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3360" w:hanging="381"/>
        <w:spacing w:after="0"/>
        <w:tabs>
          <w:tab w:leader="none" w:pos="33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w:t>
      </w:r>
    </w:p>
    <w:p>
      <w:pPr>
        <w:spacing w:after="0" w:line="29" w:lineRule="exact"/>
        <w:rPr>
          <w:rFonts w:ascii="MS PGothic" w:cs="MS PGothic" w:eastAsia="MS PGothic" w:hAnsi="MS PGothic"/>
          <w:sz w:val="18"/>
          <w:szCs w:val="18"/>
          <w:color w:val="auto"/>
          <w:highlight w:val="black"/>
        </w:rPr>
      </w:pPr>
    </w:p>
    <w:p>
      <w:pPr>
        <w:ind w:left="37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360" w:hanging="386"/>
        <w:spacing w:after="0"/>
        <w:tabs>
          <w:tab w:leader="none" w:pos="33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w:t>
      </w:r>
    </w:p>
    <w:p>
      <w:pPr>
        <w:spacing w:after="0" w:line="29" w:lineRule="exact"/>
        <w:rPr>
          <w:rFonts w:ascii="MS PGothic" w:cs="MS PGothic" w:eastAsia="MS PGothic" w:hAnsi="MS PGothic"/>
          <w:sz w:val="18"/>
          <w:szCs w:val="18"/>
          <w:color w:val="auto"/>
          <w:highlight w:val="black"/>
        </w:rPr>
      </w:pPr>
    </w:p>
    <w:p>
      <w:pPr>
        <w:ind w:left="37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OF THE SECURITIES EXCHANGE ACT OF 1934</w:t>
      </w:r>
    </w:p>
    <w:p>
      <w:pPr>
        <w:spacing w:after="0" w:line="205"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40" w:type="dxa"/>
            <w:vAlign w:val="bottom"/>
            <w:gridSpan w:val="5"/>
          </w:tcPr>
          <w:p>
            <w:pPr>
              <w:jc w:val="center"/>
              <w:ind w:right="3670"/>
              <w:spacing w:after="0"/>
              <w:rPr>
                <w:sz w:val="20"/>
                <w:szCs w:val="20"/>
                <w:color w:val="auto"/>
              </w:rPr>
            </w:pPr>
            <w:r>
              <w:rPr>
                <w:rFonts w:ascii="Arial" w:cs="Arial" w:eastAsia="Arial" w:hAnsi="Arial"/>
                <w:sz w:val="18"/>
                <w:szCs w:val="18"/>
                <w:b w:val="1"/>
                <w:bCs w:val="1"/>
                <w:color w:val="auto"/>
                <w:w w:val="90"/>
              </w:rPr>
              <w:t>Commission file number 001-35095</w:t>
            </w:r>
          </w:p>
        </w:tc>
      </w:tr>
      <w:tr>
        <w:trPr>
          <w:trHeight w:val="439"/>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40" w:type="dxa"/>
            <w:vAlign w:val="bottom"/>
            <w:gridSpan w:val="5"/>
          </w:tcPr>
          <w:p>
            <w:pPr>
              <w:jc w:val="center"/>
              <w:ind w:right="3670"/>
              <w:spacing w:after="0"/>
              <w:rPr>
                <w:sz w:val="20"/>
                <w:szCs w:val="20"/>
                <w:color w:val="auto"/>
              </w:rPr>
            </w:pPr>
            <w:r>
              <w:rPr>
                <w:rFonts w:ascii="Arial" w:cs="Arial" w:eastAsia="Arial" w:hAnsi="Arial"/>
                <w:sz w:val="18"/>
                <w:szCs w:val="18"/>
                <w:b w:val="1"/>
                <w:bCs w:val="1"/>
                <w:color w:val="auto"/>
              </w:rPr>
              <w:t>UNITED COMMUNITY BANKS, INC.</w:t>
            </w:r>
          </w:p>
        </w:tc>
      </w:tr>
      <w:tr>
        <w:trPr>
          <w:trHeight w:val="234"/>
        </w:trPr>
        <w:tc>
          <w:tcPr>
            <w:tcW w:w="3660" w:type="dxa"/>
            <w:vAlign w:val="bottom"/>
          </w:tcPr>
          <w:p>
            <w:pPr>
              <w:spacing w:after="0"/>
              <w:rPr>
                <w:sz w:val="20"/>
                <w:szCs w:val="20"/>
                <w:color w:val="auto"/>
              </w:rPr>
            </w:pPr>
          </w:p>
        </w:tc>
        <w:tc>
          <w:tcPr>
            <w:tcW w:w="41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3640" w:type="dxa"/>
            <w:vAlign w:val="bottom"/>
          </w:tcPr>
          <w:p>
            <w:pPr>
              <w:spacing w:after="0"/>
              <w:rPr>
                <w:sz w:val="20"/>
                <w:szCs w:val="20"/>
                <w:color w:val="auto"/>
              </w:rPr>
            </w:pPr>
          </w:p>
        </w:tc>
      </w:tr>
      <w:tr>
        <w:trPr>
          <w:trHeight w:val="637"/>
        </w:trPr>
        <w:tc>
          <w:tcPr>
            <w:tcW w:w="366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Georgia</w:t>
            </w:r>
          </w:p>
        </w:tc>
        <w:tc>
          <w:tcPr>
            <w:tcW w:w="7760" w:type="dxa"/>
            <w:vAlign w:val="bottom"/>
            <w:gridSpan w:val="6"/>
          </w:tcPr>
          <w:p>
            <w:pPr>
              <w:jc w:val="right"/>
              <w:ind w:right="1350"/>
              <w:spacing w:after="0"/>
              <w:rPr>
                <w:sz w:val="20"/>
                <w:szCs w:val="20"/>
                <w:color w:val="auto"/>
              </w:rPr>
            </w:pPr>
            <w:r>
              <w:rPr>
                <w:rFonts w:ascii="Arial" w:cs="Arial" w:eastAsia="Arial" w:hAnsi="Arial"/>
                <w:sz w:val="18"/>
                <w:szCs w:val="18"/>
                <w:b w:val="1"/>
                <w:bCs w:val="1"/>
                <w:color w:val="auto"/>
              </w:rPr>
              <w:t>58-1807304</w:t>
            </w:r>
          </w:p>
        </w:tc>
      </w:tr>
      <w:tr>
        <w:trPr>
          <w:trHeight w:val="234"/>
        </w:trPr>
        <w:tc>
          <w:tcPr>
            <w:tcW w:w="3660" w:type="dxa"/>
            <w:vAlign w:val="bottom"/>
            <w:tcBorders>
              <w:top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1"/>
              </w:rPr>
              <w:t>(State of Incorporation)</w:t>
            </w:r>
          </w:p>
        </w:tc>
        <w:tc>
          <w:tcPr>
            <w:tcW w:w="120" w:type="dxa"/>
            <w:vAlign w:val="bottom"/>
            <w:tcBorders>
              <w:top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64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396"/>
        </w:trPr>
        <w:tc>
          <w:tcPr>
            <w:tcW w:w="366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125 Highway 515 East</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41"/>
        </w:trPr>
        <w:tc>
          <w:tcPr>
            <w:tcW w:w="3660" w:type="dxa"/>
            <w:vAlign w:val="bottom"/>
          </w:tcPr>
          <w:p>
            <w:pPr>
              <w:jc w:val="center"/>
              <w:ind w:left="30"/>
              <w:spacing w:after="0"/>
              <w:rPr>
                <w:sz w:val="20"/>
                <w:szCs w:val="20"/>
                <w:color w:val="auto"/>
              </w:rPr>
            </w:pPr>
            <w:r>
              <w:rPr>
                <w:rFonts w:ascii="Arial" w:cs="Arial" w:eastAsia="Arial" w:hAnsi="Arial"/>
                <w:sz w:val="18"/>
                <w:szCs w:val="18"/>
                <w:b w:val="1"/>
                <w:bCs w:val="1"/>
                <w:color w:val="auto"/>
                <w:w w:val="91"/>
              </w:rPr>
              <w:t>Blairsville, Georgia</w:t>
            </w:r>
          </w:p>
        </w:tc>
        <w:tc>
          <w:tcPr>
            <w:tcW w:w="7760" w:type="dxa"/>
            <w:vAlign w:val="bottom"/>
            <w:gridSpan w:val="6"/>
          </w:tcPr>
          <w:p>
            <w:pPr>
              <w:jc w:val="right"/>
              <w:ind w:right="1570"/>
              <w:spacing w:after="0"/>
              <w:rPr>
                <w:sz w:val="20"/>
                <w:szCs w:val="20"/>
                <w:color w:val="auto"/>
              </w:rPr>
            </w:pPr>
            <w:r>
              <w:rPr>
                <w:rFonts w:ascii="Arial" w:cs="Arial" w:eastAsia="Arial" w:hAnsi="Arial"/>
                <w:sz w:val="18"/>
                <w:szCs w:val="18"/>
                <w:b w:val="1"/>
                <w:bCs w:val="1"/>
                <w:color w:val="auto"/>
              </w:rPr>
              <w:t>30512</w:t>
            </w:r>
          </w:p>
        </w:tc>
      </w:tr>
      <w:tr>
        <w:trPr>
          <w:trHeight w:val="234"/>
        </w:trPr>
        <w:tc>
          <w:tcPr>
            <w:tcW w:w="3660" w:type="dxa"/>
            <w:vAlign w:val="bottom"/>
            <w:tcBorders>
              <w:top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9"/>
              </w:rPr>
              <w:t>Address of Principal Executive Offices</w:t>
            </w:r>
          </w:p>
        </w:tc>
        <w:tc>
          <w:tcPr>
            <w:tcW w:w="120" w:type="dxa"/>
            <w:vAlign w:val="bottom"/>
            <w:tcBorders>
              <w:top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64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(Zip Code)</w:t>
            </w:r>
          </w:p>
        </w:tc>
      </w:tr>
      <w:tr>
        <w:trPr>
          <w:trHeight w:val="421"/>
        </w:trPr>
        <w:tc>
          <w:tcPr>
            <w:tcW w:w="3660" w:type="dxa"/>
            <w:vAlign w:val="bottom"/>
          </w:tcPr>
          <w:p>
            <w:pPr>
              <w:spacing w:after="0"/>
              <w:rPr>
                <w:sz w:val="24"/>
                <w:szCs w:val="24"/>
                <w:color w:val="auto"/>
              </w:rPr>
            </w:pPr>
          </w:p>
        </w:tc>
        <w:tc>
          <w:tcPr>
            <w:tcW w:w="342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90"/>
              </w:rPr>
              <w:t>(706) 781-2265</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34"/>
        </w:trPr>
        <w:tc>
          <w:tcPr>
            <w:tcW w:w="3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7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(Telephone Number)</w:t>
            </w:r>
          </w:p>
        </w:tc>
        <w:tc>
          <w:tcPr>
            <w:tcW w:w="4340" w:type="dxa"/>
            <w:vAlign w:val="bottom"/>
            <w:gridSpan w:val="3"/>
          </w:tcPr>
          <w:p>
            <w:pPr>
              <w:spacing w:after="0"/>
              <w:rPr>
                <w:sz w:val="20"/>
                <w:szCs w:val="20"/>
                <w:color w:val="auto"/>
              </w:rPr>
            </w:pPr>
          </w:p>
        </w:tc>
      </w:tr>
    </w:tbl>
    <w:p>
      <w:pPr>
        <w:spacing w:after="0" w:line="179"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7"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54"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has submitted electronically and posted on its corporate Web site, if any, every Interactive Date File required to be submitted and posted pursuant to Rule 405 of Regulation S-T (§232.405 of this chapter) during the preceding 12 months (or for such shorter period that the registrant was required to submit and post such files).</w:t>
      </w:r>
    </w:p>
    <w:p>
      <w:pPr>
        <w:spacing w:after="0" w:line="147"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54" w:lineRule="exact"/>
        <w:rPr>
          <w:sz w:val="24"/>
          <w:szCs w:val="24"/>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715" w:right="239" w:bottom="1440" w:gutter="0" w:footer="0" w:header="0"/>
        </w:sectPr>
      </w:pPr>
    </w:p>
    <w:p>
      <w:pPr>
        <w:spacing w:after="0" w:line="110"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Large accelerated filer </w:t>
      </w: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90"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Accelerated filer </w:t>
      </w:r>
      <w:r>
        <w:rPr>
          <w:rFonts w:ascii="MS PGothic" w:cs="MS PGothic" w:eastAsia="MS PGothic" w:hAnsi="MS PGothic"/>
          <w:sz w:val="16"/>
          <w:szCs w:val="16"/>
          <w:color w:val="auto"/>
          <w:highlight w:val="black"/>
        </w:rPr>
        <w:t>☐</w:t>
      </w:r>
    </w:p>
    <w:p>
      <w:pPr>
        <w:spacing w:after="0" w:line="200" w:lineRule="exact"/>
        <w:rPr>
          <w:sz w:val="24"/>
          <w:szCs w:val="24"/>
          <w:color w:val="auto"/>
        </w:rPr>
      </w:pPr>
    </w:p>
    <w:p>
      <w:pPr>
        <w:sectPr>
          <w:pgSz w:w="11900" w:h="16838" w:orient="portrait"/>
          <w:cols w:equalWidth="0" w:num="2">
            <w:col w:w="9220" w:space="720"/>
            <w:col w:w="1480"/>
          </w:cols>
          <w:pgMar w:left="240" w:top="715" w:right="239" w:bottom="1440"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Non-accelerated filer </w:t>
      </w: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Smaller Reporting Company </w:t>
      </w:r>
      <w:r>
        <w:rPr>
          <w:rFonts w:ascii="MS PGothic" w:cs="MS PGothic" w:eastAsia="MS PGothic" w:hAnsi="MS PGothic"/>
          <w:sz w:val="16"/>
          <w:szCs w:val="16"/>
          <w:color w:val="auto"/>
          <w:highlight w:val="black"/>
        </w:rPr>
        <w:t>☐</w:t>
      </w:r>
    </w:p>
    <w:p>
      <w:pPr>
        <w:spacing w:after="0" w:line="200" w:lineRule="exact"/>
        <w:rPr>
          <w:sz w:val="24"/>
          <w:szCs w:val="24"/>
          <w:color w:val="auto"/>
        </w:rPr>
      </w:pPr>
    </w:p>
    <w:p>
      <w:pPr>
        <w:sectPr>
          <w:pgSz w:w="11900" w:h="16838" w:orient="portrait"/>
          <w:cols w:equalWidth="0" w:num="2">
            <w:col w:w="8280" w:space="720"/>
            <w:col w:w="2420"/>
          </w:cols>
          <w:pgMar w:left="240" w:top="715" w:right="239" w:bottom="1440" w:gutter="0" w:footer="0" w:header="0"/>
          <w:type w:val="continuous"/>
        </w:sectPr>
      </w:pPr>
    </w:p>
    <w:p>
      <w:pPr>
        <w:spacing w:after="0" w:line="7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Indicate by check mark whether the registrant is a shell company (as defined in Rule 12b-2 of the Act).</w:t>
      </w:r>
    </w:p>
    <w:p>
      <w:pPr>
        <w:spacing w:after="0" w:line="220"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ectPr>
          <w:pgSz w:w="11900" w:h="16838" w:orient="portrait"/>
          <w:cols w:equalWidth="0" w:num="1">
            <w:col w:w="11420"/>
          </w:cols>
          <w:pgMar w:left="240" w:top="715" w:right="239" w:bottom="1440" w:gutter="0" w:footer="0" w:header="0"/>
          <w:type w:val="continuous"/>
        </w:sectPr>
      </w:pPr>
    </w:p>
    <w:p>
      <w:pPr>
        <w:spacing w:after="0" w:line="25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Common stock, par value $1 per share 54,416,549 shares voting and 8,285,516 shares non-voting outstanding as of July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p>
      <w:pPr>
        <w:spacing w:after="0" w:line="225"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9360" w:type="dxa"/>
            <w:vAlign w:val="bottom"/>
            <w:gridSpan w:val="12"/>
          </w:tcPr>
          <w:p>
            <w:pPr>
              <w:spacing w:after="0"/>
              <w:rPr>
                <w:sz w:val="20"/>
                <w:szCs w:val="20"/>
                <w:color w:val="auto"/>
              </w:rPr>
            </w:pPr>
            <w:r>
              <w:rPr>
                <w:rFonts w:ascii="Arial" w:cs="Arial" w:eastAsia="Arial" w:hAnsi="Arial"/>
                <w:sz w:val="18"/>
                <w:szCs w:val="18"/>
                <w:b w:val="1"/>
                <w:bCs w:val="1"/>
                <w:color w:val="auto"/>
              </w:rPr>
              <w:t>Financial Statements.</w:t>
            </w:r>
          </w:p>
        </w:tc>
        <w:tc>
          <w:tcPr>
            <w:tcW w:w="440" w:type="dxa"/>
            <w:vAlign w:val="bottom"/>
          </w:tcPr>
          <w:p>
            <w:pPr>
              <w:spacing w:after="0"/>
              <w:rPr>
                <w:sz w:val="20"/>
                <w:szCs w:val="20"/>
                <w:color w:val="auto"/>
              </w:rPr>
            </w:pPr>
          </w:p>
        </w:tc>
      </w:tr>
      <w:tr>
        <w:trPr>
          <w:trHeight w:val="392"/>
        </w:trPr>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80" w:type="dxa"/>
            <w:vAlign w:val="bottom"/>
            <w:tcBorders>
              <w:bottom w:val="single" w:sz="8" w:color="0000EE"/>
            </w:tcBorders>
            <w:gridSpan w:val="9"/>
          </w:tcPr>
          <w:p>
            <w:pPr>
              <w:spacing w:after="0"/>
              <w:rPr>
                <w:rFonts w:ascii="Arial" w:cs="Arial" w:eastAsia="Arial" w:hAnsi="Arial"/>
                <w:sz w:val="18"/>
                <w:szCs w:val="18"/>
                <w:b w:val="1"/>
                <w:bCs w:val="1"/>
                <w:color w:val="0000EE"/>
                <w:w w:val="90"/>
              </w:rPr>
            </w:pPr>
            <w:hyperlink w:anchor="page3">
              <w:r>
                <w:rPr>
                  <w:rFonts w:ascii="Arial" w:cs="Arial" w:eastAsia="Arial" w:hAnsi="Arial"/>
                  <w:sz w:val="18"/>
                  <w:szCs w:val="18"/>
                  <w:b w:val="1"/>
                  <w:bCs w:val="1"/>
                  <w:color w:val="0000EE"/>
                  <w:w w:val="90"/>
                </w:rPr>
                <w:t>Consolidated Statement of Income (unaudited) for the Three and Six Months Ended June 30, 2015 and 2014</w:t>
              </w:r>
            </w:hyperlink>
          </w:p>
        </w:tc>
        <w:tc>
          <w:tcPr>
            <w:tcW w:w="1080" w:type="dxa"/>
            <w:vAlign w:val="bottom"/>
            <w:gridSpan w:val="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360" w:type="dxa"/>
            <w:vAlign w:val="bottom"/>
            <w:gridSpan w:val="12"/>
          </w:tcPr>
          <w:p>
            <w:pPr>
              <w:spacing w:after="0"/>
              <w:rPr>
                <w:rFonts w:ascii="Arial" w:cs="Arial" w:eastAsia="Arial" w:hAnsi="Arial"/>
                <w:sz w:val="18"/>
                <w:szCs w:val="18"/>
                <w:b w:val="1"/>
                <w:bCs w:val="1"/>
                <w:color w:val="0000EE"/>
                <w:w w:val="92"/>
              </w:rPr>
            </w:pPr>
            <w:hyperlink w:anchor="page5">
              <w:r>
                <w:rPr>
                  <w:rFonts w:ascii="Arial" w:cs="Arial" w:eastAsia="Arial" w:hAnsi="Arial"/>
                  <w:sz w:val="18"/>
                  <w:szCs w:val="18"/>
                  <w:b w:val="1"/>
                  <w:bCs w:val="1"/>
                  <w:color w:val="0000EE"/>
                  <w:w w:val="92"/>
                </w:rPr>
                <w:t>Consolidated Statement of Comprehensive Income (unaudited) for the Three and Six Months Ended June 30, 2015 and</w:t>
              </w:r>
            </w:hyperlink>
          </w:p>
        </w:tc>
        <w:tc>
          <w:tcPr>
            <w:tcW w:w="440" w:type="dxa"/>
            <w:vAlign w:val="bottom"/>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Borders>
              <w:top w:val="single" w:sz="8" w:color="0000EE"/>
            </w:tcBorders>
            <w:gridSpan w:val="2"/>
          </w:tcPr>
          <w:p>
            <w:pPr>
              <w:ind w:left="160"/>
              <w:spacing w:after="0" w:line="196" w:lineRule="exact"/>
              <w:rPr>
                <w:rFonts w:ascii="Arial" w:cs="Arial" w:eastAsia="Arial" w:hAnsi="Arial"/>
                <w:sz w:val="18"/>
                <w:szCs w:val="18"/>
                <w:b w:val="1"/>
                <w:bCs w:val="1"/>
                <w:color w:val="0000EE"/>
                <w:w w:val="84"/>
              </w:rPr>
            </w:pPr>
            <w:hyperlink w:anchor="page5">
              <w:r>
                <w:rPr>
                  <w:rFonts w:ascii="Arial" w:cs="Arial" w:eastAsia="Arial" w:hAnsi="Arial"/>
                  <w:sz w:val="18"/>
                  <w:szCs w:val="18"/>
                  <w:b w:val="1"/>
                  <w:bCs w:val="1"/>
                  <w:color w:val="0000EE"/>
                  <w:w w:val="84"/>
                </w:rPr>
                <w:t>2014</w:t>
              </w:r>
            </w:hyperlink>
          </w:p>
        </w:tc>
        <w:tc>
          <w:tcPr>
            <w:tcW w:w="144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21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360" w:type="dxa"/>
            <w:vAlign w:val="bottom"/>
            <w:gridSpan w:val="12"/>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Consolidated Balance Sheet (unaudited) at June 30, 2015, December 31, 2014 and June 30, 2014</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360" w:type="dxa"/>
            <w:vAlign w:val="bottom"/>
            <w:gridSpan w:val="12"/>
          </w:tcPr>
          <w:p>
            <w:pPr>
              <w:spacing w:after="0"/>
              <w:rPr>
                <w:rFonts w:ascii="Arial" w:cs="Arial" w:eastAsia="Arial" w:hAnsi="Arial"/>
                <w:sz w:val="18"/>
                <w:szCs w:val="18"/>
                <w:b w:val="1"/>
                <w:bCs w:val="1"/>
                <w:color w:val="0000EE"/>
                <w:w w:val="93"/>
              </w:rPr>
            </w:pPr>
            <w:hyperlink w:anchor="page7">
              <w:r>
                <w:rPr>
                  <w:rFonts w:ascii="Arial" w:cs="Arial" w:eastAsia="Arial" w:hAnsi="Arial"/>
                  <w:sz w:val="18"/>
                  <w:szCs w:val="18"/>
                  <w:b w:val="1"/>
                  <w:bCs w:val="1"/>
                  <w:color w:val="0000EE"/>
                  <w:w w:val="93"/>
                </w:rPr>
                <w:t>Consolidated Statement of Changes in Shareholders’ Equity (unaudited) for the Six Months Ended June 30, 2015 and</w:t>
              </w:r>
            </w:hyperlink>
          </w:p>
        </w:tc>
        <w:tc>
          <w:tcPr>
            <w:tcW w:w="440" w:type="dxa"/>
            <w:vAlign w:val="bottom"/>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Borders>
              <w:top w:val="single" w:sz="8" w:color="0000EE"/>
            </w:tcBorders>
            <w:gridSpan w:val="2"/>
          </w:tcPr>
          <w:p>
            <w:pPr>
              <w:ind w:left="160"/>
              <w:spacing w:after="0" w:line="196" w:lineRule="exact"/>
              <w:rPr>
                <w:rFonts w:ascii="Arial" w:cs="Arial" w:eastAsia="Arial" w:hAnsi="Arial"/>
                <w:sz w:val="18"/>
                <w:szCs w:val="18"/>
                <w:b w:val="1"/>
                <w:bCs w:val="1"/>
                <w:color w:val="0000EE"/>
                <w:w w:val="84"/>
              </w:rPr>
            </w:pPr>
            <w:hyperlink w:anchor="page7">
              <w:r>
                <w:rPr>
                  <w:rFonts w:ascii="Arial" w:cs="Arial" w:eastAsia="Arial" w:hAnsi="Arial"/>
                  <w:sz w:val="18"/>
                  <w:szCs w:val="18"/>
                  <w:b w:val="1"/>
                  <w:bCs w:val="1"/>
                  <w:color w:val="0000EE"/>
                  <w:w w:val="84"/>
                </w:rPr>
                <w:t>2014</w:t>
              </w:r>
            </w:hyperlink>
          </w:p>
        </w:tc>
        <w:tc>
          <w:tcPr>
            <w:tcW w:w="144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21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60" w:type="dxa"/>
            <w:vAlign w:val="bottom"/>
            <w:tcBorders>
              <w:bottom w:val="single" w:sz="8" w:color="0000EE"/>
            </w:tcBorders>
            <w:gridSpan w:val="8"/>
          </w:tcPr>
          <w:p>
            <w:pPr>
              <w:spacing w:after="0"/>
              <w:rPr>
                <w:rFonts w:ascii="Arial" w:cs="Arial" w:eastAsia="Arial" w:hAnsi="Arial"/>
                <w:sz w:val="18"/>
                <w:szCs w:val="18"/>
                <w:b w:val="1"/>
                <w:bCs w:val="1"/>
                <w:color w:val="0000EE"/>
                <w:w w:val="89"/>
              </w:rPr>
            </w:pPr>
            <w:hyperlink w:anchor="page9">
              <w:r>
                <w:rPr>
                  <w:rFonts w:ascii="Arial" w:cs="Arial" w:eastAsia="Arial" w:hAnsi="Arial"/>
                  <w:sz w:val="18"/>
                  <w:szCs w:val="18"/>
                  <w:b w:val="1"/>
                  <w:bCs w:val="1"/>
                  <w:color w:val="0000EE"/>
                  <w:w w:val="89"/>
                </w:rPr>
                <w:t>Consolidated Statement of Cash Flows (unaudited) for the Six Months Ended June 30, 2015 and 2014</w:t>
              </w:r>
            </w:hyperlink>
          </w:p>
        </w:tc>
        <w:tc>
          <w:tcPr>
            <w:tcW w:w="1600" w:type="dxa"/>
            <w:vAlign w:val="bottom"/>
            <w:gridSpan w:val="4"/>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40" w:type="dxa"/>
            <w:vAlign w:val="bottom"/>
            <w:tcBorders>
              <w:bottom w:val="single" w:sz="8" w:color="0000EE"/>
            </w:tcBorders>
            <w:gridSpan w:val="4"/>
          </w:tcPr>
          <w:p>
            <w:pPr>
              <w:spacing w:after="0"/>
              <w:rPr>
                <w:rFonts w:ascii="Arial" w:cs="Arial" w:eastAsia="Arial" w:hAnsi="Arial"/>
                <w:sz w:val="18"/>
                <w:szCs w:val="18"/>
                <w:b w:val="1"/>
                <w:bCs w:val="1"/>
                <w:color w:val="0000EE"/>
                <w:w w:val="88"/>
              </w:rPr>
            </w:pPr>
            <w:hyperlink w:anchor="page11">
              <w:r>
                <w:rPr>
                  <w:rFonts w:ascii="Arial" w:cs="Arial" w:eastAsia="Arial" w:hAnsi="Arial"/>
                  <w:sz w:val="18"/>
                  <w:szCs w:val="18"/>
                  <w:b w:val="1"/>
                  <w:bCs w:val="1"/>
                  <w:color w:val="0000EE"/>
                  <w:w w:val="88"/>
                </w:rPr>
                <w:t>Notes to Consolidated Financial Statements</w:t>
              </w:r>
            </w:hyperlink>
          </w:p>
        </w:tc>
        <w:tc>
          <w:tcPr>
            <w:tcW w:w="6020" w:type="dxa"/>
            <w:vAlign w:val="bottom"/>
            <w:gridSpan w:val="8"/>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2"/>
        </w:trPr>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47">
              <w:r>
                <w:rPr>
                  <w:rFonts w:ascii="Arial" w:cs="Arial" w:eastAsia="Arial" w:hAnsi="Arial"/>
                  <w:sz w:val="18"/>
                  <w:szCs w:val="18"/>
                  <w:b w:val="1"/>
                  <w:bCs w:val="1"/>
                  <w:color w:val="0000EE"/>
                  <w:w w:val="91"/>
                </w:rPr>
                <w:t>Item 2.</w:t>
              </w:r>
            </w:hyperlink>
          </w:p>
        </w:tc>
        <w:tc>
          <w:tcPr>
            <w:tcW w:w="380" w:type="dxa"/>
            <w:vAlign w:val="bottom"/>
          </w:tcPr>
          <w:p>
            <w:pPr>
              <w:spacing w:after="0"/>
              <w:rPr>
                <w:sz w:val="24"/>
                <w:szCs w:val="24"/>
                <w:color w:val="auto"/>
              </w:rPr>
            </w:pPr>
          </w:p>
        </w:tc>
        <w:tc>
          <w:tcPr>
            <w:tcW w:w="6880" w:type="dxa"/>
            <w:vAlign w:val="bottom"/>
            <w:tcBorders>
              <w:bottom w:val="single" w:sz="8" w:color="0000EE"/>
            </w:tcBorders>
            <w:gridSpan w:val="6"/>
          </w:tcPr>
          <w:p>
            <w:pPr>
              <w:spacing w:after="0"/>
              <w:rPr>
                <w:rFonts w:ascii="Arial" w:cs="Arial" w:eastAsia="Arial" w:hAnsi="Arial"/>
                <w:sz w:val="18"/>
                <w:szCs w:val="18"/>
                <w:b w:val="1"/>
                <w:bCs w:val="1"/>
                <w:color w:val="0000EE"/>
                <w:w w:val="89"/>
              </w:rPr>
            </w:pPr>
            <w:hyperlink w:anchor="page47">
              <w:r>
                <w:rPr>
                  <w:rFonts w:ascii="Arial" w:cs="Arial" w:eastAsia="Arial" w:hAnsi="Arial"/>
                  <w:sz w:val="18"/>
                  <w:szCs w:val="18"/>
                  <w:b w:val="1"/>
                  <w:bCs w:val="1"/>
                  <w:color w:val="0000EE"/>
                  <w:w w:val="89"/>
                </w:rPr>
                <w:t>Management’s Discussion and Analysis of Financial Condition and Results of Operations.</w:t>
              </w:r>
            </w:hyperlink>
          </w:p>
        </w:tc>
        <w:tc>
          <w:tcPr>
            <w:tcW w:w="2480" w:type="dxa"/>
            <w:vAlign w:val="bottom"/>
            <w:gridSpan w:val="6"/>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12"/>
        </w:trPr>
        <w:tc>
          <w:tcPr>
            <w:tcW w:w="540" w:type="dxa"/>
            <w:vAlign w:val="bottom"/>
          </w:tcPr>
          <w:p>
            <w:pPr>
              <w:spacing w:after="0"/>
              <w:rPr>
                <w:rFonts w:ascii="Arial" w:cs="Arial" w:eastAsia="Arial" w:hAnsi="Arial"/>
                <w:sz w:val="18"/>
                <w:szCs w:val="18"/>
                <w:b w:val="1"/>
                <w:bCs w:val="1"/>
                <w:color w:val="0000EE"/>
                <w:w w:val="91"/>
              </w:rPr>
            </w:pPr>
            <w:hyperlink w:anchor="page74">
              <w:r>
                <w:rPr>
                  <w:rFonts w:ascii="Arial" w:cs="Arial" w:eastAsia="Arial" w:hAnsi="Arial"/>
                  <w:sz w:val="18"/>
                  <w:szCs w:val="18"/>
                  <w:b w:val="1"/>
                  <w:bCs w:val="1"/>
                  <w:color w:val="0000EE"/>
                  <w:w w:val="91"/>
                </w:rPr>
                <w:t>Item 3.</w:t>
              </w:r>
            </w:hyperlink>
          </w:p>
        </w:tc>
        <w:tc>
          <w:tcPr>
            <w:tcW w:w="380" w:type="dxa"/>
            <w:vAlign w:val="bottom"/>
          </w:tcPr>
          <w:p>
            <w:pPr>
              <w:spacing w:after="0"/>
              <w:rPr>
                <w:sz w:val="24"/>
                <w:szCs w:val="24"/>
                <w:color w:val="auto"/>
              </w:rPr>
            </w:pPr>
          </w:p>
        </w:tc>
        <w:tc>
          <w:tcPr>
            <w:tcW w:w="9360" w:type="dxa"/>
            <w:vAlign w:val="bottom"/>
            <w:gridSpan w:val="12"/>
          </w:tcPr>
          <w:p>
            <w:pPr>
              <w:spacing w:after="0"/>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Quantitative and Qualitative Disclosures About Market Risk.</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12"/>
        </w:trPr>
        <w:tc>
          <w:tcPr>
            <w:tcW w:w="54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91"/>
              </w:rPr>
            </w:pPr>
            <w:hyperlink w:anchor="page74">
              <w:r>
                <w:rPr>
                  <w:rFonts w:ascii="Arial" w:cs="Arial" w:eastAsia="Arial" w:hAnsi="Arial"/>
                  <w:sz w:val="18"/>
                  <w:szCs w:val="18"/>
                  <w:b w:val="1"/>
                  <w:bCs w:val="1"/>
                  <w:color w:val="0000EE"/>
                  <w:w w:val="91"/>
                </w:rPr>
                <w:t>Item 4.</w:t>
              </w:r>
            </w:hyperlink>
          </w:p>
        </w:tc>
        <w:tc>
          <w:tcPr>
            <w:tcW w:w="380" w:type="dxa"/>
            <w:vAlign w:val="bottom"/>
          </w:tcPr>
          <w:p>
            <w:pPr>
              <w:spacing w:after="0"/>
              <w:rPr>
                <w:sz w:val="24"/>
                <w:szCs w:val="24"/>
                <w:color w:val="auto"/>
              </w:rPr>
            </w:pPr>
          </w:p>
        </w:tc>
        <w:tc>
          <w:tcPr>
            <w:tcW w:w="196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88"/>
              </w:rPr>
            </w:pPr>
            <w:hyperlink w:anchor="page74">
              <w:r>
                <w:rPr>
                  <w:rFonts w:ascii="Arial" w:cs="Arial" w:eastAsia="Arial" w:hAnsi="Arial"/>
                  <w:sz w:val="18"/>
                  <w:szCs w:val="18"/>
                  <w:b w:val="1"/>
                  <w:bCs w:val="1"/>
                  <w:color w:val="0000EE"/>
                  <w:w w:val="88"/>
                </w:rPr>
                <w:t>Controls and Procedures.</w:t>
              </w:r>
            </w:hyperlink>
          </w:p>
        </w:tc>
        <w:tc>
          <w:tcPr>
            <w:tcW w:w="2740" w:type="dxa"/>
            <w:vAlign w:val="bottom"/>
            <w:tcBorders>
              <w:top w:val="single" w:sz="8" w:color="0000EE"/>
            </w:tcBorders>
            <w:gridSpan w:val="2"/>
          </w:tcPr>
          <w:p>
            <w:pPr>
              <w:spacing w:after="0"/>
              <w:rPr>
                <w:sz w:val="24"/>
                <w:szCs w:val="24"/>
                <w:color w:val="auto"/>
              </w:rPr>
            </w:pPr>
          </w:p>
        </w:tc>
        <w:tc>
          <w:tcPr>
            <w:tcW w:w="4660" w:type="dxa"/>
            <w:vAlign w:val="bottom"/>
            <w:gridSpan w:val="7"/>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22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74">
        <w:r>
          <w:rPr>
            <w:rFonts w:ascii="Arial" w:cs="Arial" w:eastAsia="Arial" w:hAnsi="Arial"/>
            <w:sz w:val="18"/>
            <w:szCs w:val="18"/>
            <w:b w:val="1"/>
            <w:bCs w:val="1"/>
            <w:u w:val="single" w:color="auto"/>
            <w:color w:val="0000EE"/>
          </w:rPr>
          <w:t>PART II - Other Information</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8"/>
                <w:szCs w:val="18"/>
                <w:color w:val="auto"/>
              </w:rPr>
            </w:pPr>
          </w:p>
        </w:tc>
        <w:tc>
          <w:tcPr>
            <w:tcW w:w="540" w:type="dxa"/>
            <w:vAlign w:val="bottom"/>
          </w:tcPr>
          <w:p>
            <w:pPr>
              <w:spacing w:after="0"/>
              <w:rPr>
                <w:rFonts w:ascii="Arial" w:cs="Arial" w:eastAsia="Arial" w:hAnsi="Arial"/>
                <w:sz w:val="18"/>
                <w:szCs w:val="18"/>
                <w:b w:val="1"/>
                <w:bCs w:val="1"/>
                <w:color w:val="0000EE"/>
                <w:w w:val="91"/>
              </w:rPr>
            </w:pPr>
            <w:hyperlink w:anchor="page74">
              <w:r>
                <w:rPr>
                  <w:rFonts w:ascii="Arial" w:cs="Arial" w:eastAsia="Arial" w:hAnsi="Arial"/>
                  <w:sz w:val="18"/>
                  <w:szCs w:val="18"/>
                  <w:b w:val="1"/>
                  <w:bCs w:val="1"/>
                  <w:color w:val="0000EE"/>
                  <w:w w:val="91"/>
                </w:rPr>
                <w:t>Item 1.</w:t>
              </w:r>
            </w:hyperlink>
          </w:p>
        </w:tc>
        <w:tc>
          <w:tcPr>
            <w:tcW w:w="380" w:type="dxa"/>
            <w:vAlign w:val="bottom"/>
            <w:gridSpan w:val="2"/>
          </w:tcPr>
          <w:p>
            <w:pPr>
              <w:spacing w:after="0"/>
              <w:rPr>
                <w:sz w:val="18"/>
                <w:szCs w:val="18"/>
                <w:color w:val="auto"/>
              </w:rPr>
            </w:pPr>
          </w:p>
        </w:tc>
        <w:tc>
          <w:tcPr>
            <w:tcW w:w="7120" w:type="dxa"/>
            <w:vAlign w:val="bottom"/>
            <w:gridSpan w:val="8"/>
          </w:tcPr>
          <w:p>
            <w:pPr>
              <w:spacing w:after="0"/>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Legal Proceedings.</w:t>
              </w:r>
            </w:hyperlink>
          </w:p>
        </w:tc>
        <w:tc>
          <w:tcPr>
            <w:tcW w:w="26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920" w:type="dxa"/>
            <w:vAlign w:val="bottom"/>
            <w:gridSpan w:val="3"/>
          </w:tcPr>
          <w:p>
            <w:pPr>
              <w:spacing w:after="0" w:line="196" w:lineRule="exact"/>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Item 1A.</w:t>
              </w:r>
            </w:hyperlink>
          </w:p>
        </w:tc>
        <w:tc>
          <w:tcPr>
            <w:tcW w:w="7120" w:type="dxa"/>
            <w:vAlign w:val="bottom"/>
            <w:gridSpan w:val="8"/>
          </w:tcPr>
          <w:p>
            <w:pPr>
              <w:spacing w:after="0" w:line="196" w:lineRule="exact"/>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Risk Factors.</w:t>
              </w:r>
            </w:hyperlink>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b w:val="1"/>
                <w:bCs w:val="1"/>
                <w:color w:val="0000EE"/>
                <w:w w:val="91"/>
              </w:rPr>
            </w:pPr>
            <w:hyperlink w:anchor="page75">
              <w:r>
                <w:rPr>
                  <w:rFonts w:ascii="Arial" w:cs="Arial" w:eastAsia="Arial" w:hAnsi="Arial"/>
                  <w:sz w:val="18"/>
                  <w:szCs w:val="18"/>
                  <w:b w:val="1"/>
                  <w:bCs w:val="1"/>
                  <w:color w:val="0000EE"/>
                  <w:w w:val="91"/>
                </w:rPr>
                <w:t>Item 2.</w:t>
              </w:r>
            </w:hyperlink>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120" w:type="dxa"/>
            <w:vAlign w:val="bottom"/>
            <w:gridSpan w:val="8"/>
          </w:tcPr>
          <w:p>
            <w:pPr>
              <w:spacing w:after="0" w:line="196" w:lineRule="exact"/>
              <w:rPr>
                <w:rFonts w:ascii="Arial" w:cs="Arial" w:eastAsia="Arial" w:hAnsi="Arial"/>
                <w:sz w:val="18"/>
                <w:szCs w:val="18"/>
                <w:b w:val="1"/>
                <w:bCs w:val="1"/>
                <w:color w:val="0000EE"/>
              </w:rPr>
            </w:pPr>
            <w:hyperlink w:anchor="page75">
              <w:r>
                <w:rPr>
                  <w:rFonts w:ascii="Arial" w:cs="Arial" w:eastAsia="Arial" w:hAnsi="Arial"/>
                  <w:sz w:val="18"/>
                  <w:szCs w:val="18"/>
                  <w:b w:val="1"/>
                  <w:bCs w:val="1"/>
                  <w:color w:val="0000EE"/>
                </w:rPr>
                <w:t>Unregistered Sales of Equity Securities and Use of Proceeds.</w:t>
              </w:r>
            </w:hyperlink>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700" w:type="dxa"/>
            <w:vAlign w:val="bottom"/>
          </w:tcPr>
          <w:p>
            <w:pPr>
              <w:spacing w:after="0"/>
              <w:rPr>
                <w:sz w:val="17"/>
                <w:szCs w:val="17"/>
                <w:color w:val="auto"/>
              </w:rPr>
            </w:pPr>
          </w:p>
        </w:tc>
        <w:tc>
          <w:tcPr>
            <w:tcW w:w="540" w:type="dxa"/>
            <w:vAlign w:val="bottom"/>
            <w:tcBorders>
              <w:top w:val="single" w:sz="8" w:color="0000EE"/>
            </w:tcBorders>
          </w:tcPr>
          <w:p>
            <w:pPr>
              <w:spacing w:after="0" w:line="196" w:lineRule="exact"/>
              <w:rPr>
                <w:rFonts w:ascii="Arial" w:cs="Arial" w:eastAsia="Arial" w:hAnsi="Arial"/>
                <w:sz w:val="18"/>
                <w:szCs w:val="18"/>
                <w:b w:val="1"/>
                <w:bCs w:val="1"/>
                <w:color w:val="0000EE"/>
                <w:w w:val="91"/>
              </w:rPr>
            </w:pPr>
            <w:hyperlink w:anchor="page75">
              <w:r>
                <w:rPr>
                  <w:rFonts w:ascii="Arial" w:cs="Arial" w:eastAsia="Arial" w:hAnsi="Arial"/>
                  <w:sz w:val="18"/>
                  <w:szCs w:val="18"/>
                  <w:b w:val="1"/>
                  <w:bCs w:val="1"/>
                  <w:color w:val="0000EE"/>
                  <w:w w:val="91"/>
                </w:rPr>
                <w:t>Item 3.</w:t>
              </w:r>
            </w:hyperlink>
          </w:p>
        </w:tc>
        <w:tc>
          <w:tcPr>
            <w:tcW w:w="380" w:type="dxa"/>
            <w:vAlign w:val="bottom"/>
            <w:gridSpan w:val="2"/>
          </w:tcPr>
          <w:p>
            <w:pPr>
              <w:spacing w:after="0"/>
              <w:rPr>
                <w:sz w:val="17"/>
                <w:szCs w:val="17"/>
                <w:color w:val="auto"/>
              </w:rPr>
            </w:pPr>
          </w:p>
        </w:tc>
        <w:tc>
          <w:tcPr>
            <w:tcW w:w="4600" w:type="dxa"/>
            <w:vAlign w:val="bottom"/>
            <w:tcBorders>
              <w:top w:val="single" w:sz="8" w:color="0000EE"/>
            </w:tcBorders>
            <w:gridSpan w:val="7"/>
          </w:tcPr>
          <w:p>
            <w:pPr>
              <w:spacing w:after="0" w:line="196" w:lineRule="exact"/>
              <w:rPr>
                <w:rFonts w:ascii="Arial" w:cs="Arial" w:eastAsia="Arial" w:hAnsi="Arial"/>
                <w:sz w:val="18"/>
                <w:szCs w:val="18"/>
                <w:b w:val="1"/>
                <w:bCs w:val="1"/>
                <w:color w:val="0000EE"/>
              </w:rPr>
            </w:pPr>
            <w:hyperlink w:anchor="page75">
              <w:r>
                <w:rPr>
                  <w:rFonts w:ascii="Arial" w:cs="Arial" w:eastAsia="Arial" w:hAnsi="Arial"/>
                  <w:sz w:val="18"/>
                  <w:szCs w:val="18"/>
                  <w:b w:val="1"/>
                  <w:bCs w:val="1"/>
                  <w:color w:val="0000EE"/>
                </w:rPr>
                <w:t>Defaults Upon Senior Securities.</w:t>
              </w:r>
            </w:hyperlink>
          </w:p>
        </w:tc>
        <w:tc>
          <w:tcPr>
            <w:tcW w:w="2520" w:type="dxa"/>
            <w:vAlign w:val="bottom"/>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70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w w:val="91"/>
              </w:rPr>
            </w:pPr>
            <w:hyperlink w:anchor="page75">
              <w:r>
                <w:rPr>
                  <w:rFonts w:ascii="Arial" w:cs="Arial" w:eastAsia="Arial" w:hAnsi="Arial"/>
                  <w:sz w:val="18"/>
                  <w:szCs w:val="18"/>
                  <w:b w:val="1"/>
                  <w:bCs w:val="1"/>
                  <w:color w:val="0000EE"/>
                  <w:w w:val="91"/>
                </w:rPr>
                <w:t>Item 4.</w:t>
              </w:r>
            </w:hyperlink>
          </w:p>
        </w:tc>
        <w:tc>
          <w:tcPr>
            <w:tcW w:w="380" w:type="dxa"/>
            <w:vAlign w:val="bottom"/>
            <w:gridSpan w:val="2"/>
          </w:tcPr>
          <w:p>
            <w:pPr>
              <w:spacing w:after="0"/>
              <w:rPr>
                <w:sz w:val="17"/>
                <w:szCs w:val="17"/>
                <w:color w:val="auto"/>
              </w:rPr>
            </w:pPr>
          </w:p>
        </w:tc>
        <w:tc>
          <w:tcPr>
            <w:tcW w:w="18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b w:val="1"/>
                <w:bCs w:val="1"/>
                <w:color w:val="0000EE"/>
                <w:w w:val="87"/>
              </w:rPr>
            </w:pPr>
            <w:hyperlink w:anchor="page75">
              <w:r>
                <w:rPr>
                  <w:rFonts w:ascii="Arial" w:cs="Arial" w:eastAsia="Arial" w:hAnsi="Arial"/>
                  <w:sz w:val="18"/>
                  <w:szCs w:val="18"/>
                  <w:b w:val="1"/>
                  <w:bCs w:val="1"/>
                  <w:color w:val="0000EE"/>
                  <w:w w:val="87"/>
                </w:rPr>
                <w:t>Mine Safety Disclosures.</w:t>
              </w:r>
            </w:hyperlink>
          </w:p>
        </w:tc>
        <w:tc>
          <w:tcPr>
            <w:tcW w:w="600" w:type="dxa"/>
            <w:vAlign w:val="bottom"/>
            <w:tcBorders>
              <w:top w:val="single" w:sz="8" w:color="0000EE"/>
            </w:tcBorders>
          </w:tcPr>
          <w:p>
            <w:pPr>
              <w:spacing w:after="0"/>
              <w:rPr>
                <w:sz w:val="17"/>
                <w:szCs w:val="17"/>
                <w:color w:val="auto"/>
              </w:rPr>
            </w:pPr>
          </w:p>
        </w:tc>
        <w:tc>
          <w:tcPr>
            <w:tcW w:w="4640" w:type="dxa"/>
            <w:vAlign w:val="bottom"/>
            <w:gridSpan w:val="2"/>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70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b w:val="1"/>
                <w:bCs w:val="1"/>
                <w:color w:val="0000EE"/>
                <w:w w:val="91"/>
              </w:rPr>
            </w:pPr>
            <w:hyperlink w:anchor="page75">
              <w:r>
                <w:rPr>
                  <w:rFonts w:ascii="Arial" w:cs="Arial" w:eastAsia="Arial" w:hAnsi="Arial"/>
                  <w:sz w:val="18"/>
                  <w:szCs w:val="18"/>
                  <w:b w:val="1"/>
                  <w:bCs w:val="1"/>
                  <w:color w:val="0000EE"/>
                  <w:w w:val="91"/>
                </w:rPr>
                <w:t>Item 5.</w:t>
              </w:r>
            </w:hyperlink>
          </w:p>
        </w:tc>
        <w:tc>
          <w:tcPr>
            <w:tcW w:w="380" w:type="dxa"/>
            <w:vAlign w:val="bottom"/>
            <w:gridSpan w:val="2"/>
          </w:tcPr>
          <w:p>
            <w:pPr>
              <w:spacing w:after="0"/>
              <w:rPr>
                <w:sz w:val="17"/>
                <w:szCs w:val="17"/>
                <w:color w:val="auto"/>
              </w:rPr>
            </w:pPr>
          </w:p>
        </w:tc>
        <w:tc>
          <w:tcPr>
            <w:tcW w:w="7120" w:type="dxa"/>
            <w:vAlign w:val="bottom"/>
            <w:gridSpan w:val="8"/>
          </w:tcPr>
          <w:p>
            <w:pPr>
              <w:spacing w:after="0" w:line="196" w:lineRule="exact"/>
              <w:rPr>
                <w:rFonts w:ascii="Arial" w:cs="Arial" w:eastAsia="Arial" w:hAnsi="Arial"/>
                <w:sz w:val="18"/>
                <w:szCs w:val="18"/>
                <w:b w:val="1"/>
                <w:bCs w:val="1"/>
                <w:color w:val="0000EE"/>
              </w:rPr>
            </w:pPr>
            <w:hyperlink w:anchor="page75">
              <w:r>
                <w:rPr>
                  <w:rFonts w:ascii="Arial" w:cs="Arial" w:eastAsia="Arial" w:hAnsi="Arial"/>
                  <w:sz w:val="18"/>
                  <w:szCs w:val="18"/>
                  <w:b w:val="1"/>
                  <w:bCs w:val="1"/>
                  <w:color w:val="0000EE"/>
                </w:rPr>
                <w:t>Other Information.</w:t>
              </w:r>
            </w:hyperlink>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700" w:type="dxa"/>
            <w:vAlign w:val="bottom"/>
          </w:tcPr>
          <w:p>
            <w:pPr>
              <w:spacing w:after="0"/>
              <w:rPr>
                <w:sz w:val="17"/>
                <w:szCs w:val="17"/>
                <w:color w:val="auto"/>
              </w:rPr>
            </w:pPr>
          </w:p>
        </w:tc>
        <w:tc>
          <w:tcPr>
            <w:tcW w:w="540" w:type="dxa"/>
            <w:vAlign w:val="bottom"/>
            <w:tcBorders>
              <w:top w:val="single" w:sz="8" w:color="0000EE"/>
            </w:tcBorders>
          </w:tcPr>
          <w:p>
            <w:pPr>
              <w:spacing w:after="0" w:line="196" w:lineRule="exact"/>
              <w:rPr>
                <w:rFonts w:ascii="Arial" w:cs="Arial" w:eastAsia="Arial" w:hAnsi="Arial"/>
                <w:sz w:val="18"/>
                <w:szCs w:val="18"/>
                <w:b w:val="1"/>
                <w:bCs w:val="1"/>
                <w:color w:val="0000EE"/>
                <w:w w:val="91"/>
              </w:rPr>
            </w:pPr>
            <w:hyperlink w:anchor="page76">
              <w:r>
                <w:rPr>
                  <w:rFonts w:ascii="Arial" w:cs="Arial" w:eastAsia="Arial" w:hAnsi="Arial"/>
                  <w:sz w:val="18"/>
                  <w:szCs w:val="18"/>
                  <w:b w:val="1"/>
                  <w:bCs w:val="1"/>
                  <w:color w:val="0000EE"/>
                  <w:w w:val="91"/>
                </w:rPr>
                <w:t>Item 6.</w:t>
              </w:r>
            </w:hyperlink>
          </w:p>
        </w:tc>
        <w:tc>
          <w:tcPr>
            <w:tcW w:w="380" w:type="dxa"/>
            <w:vAlign w:val="bottom"/>
            <w:gridSpan w:val="2"/>
          </w:tcPr>
          <w:p>
            <w:pPr>
              <w:spacing w:after="0"/>
              <w:rPr>
                <w:sz w:val="17"/>
                <w:szCs w:val="17"/>
                <w:color w:val="auto"/>
              </w:rPr>
            </w:pPr>
          </w:p>
        </w:tc>
        <w:tc>
          <w:tcPr>
            <w:tcW w:w="1480" w:type="dxa"/>
            <w:vAlign w:val="bottom"/>
            <w:tcBorders>
              <w:top w:val="single" w:sz="8" w:color="0000EE"/>
            </w:tcBorders>
            <w:gridSpan w:val="4"/>
          </w:tcPr>
          <w:p>
            <w:pPr>
              <w:spacing w:after="0" w:line="196" w:lineRule="exact"/>
              <w:rPr>
                <w:rFonts w:ascii="Arial" w:cs="Arial" w:eastAsia="Arial" w:hAnsi="Arial"/>
                <w:sz w:val="18"/>
                <w:szCs w:val="18"/>
                <w:b w:val="1"/>
                <w:bCs w:val="1"/>
                <w:color w:val="0000EE"/>
              </w:rPr>
            </w:pPr>
            <w:hyperlink w:anchor="page76">
              <w:r>
                <w:rPr>
                  <w:rFonts w:ascii="Arial" w:cs="Arial" w:eastAsia="Arial" w:hAnsi="Arial"/>
                  <w:sz w:val="18"/>
                  <w:szCs w:val="18"/>
                  <w:b w:val="1"/>
                  <w:bCs w:val="1"/>
                  <w:color w:val="0000EE"/>
                </w:rPr>
                <w:t>Exhibits.</w:t>
              </w:r>
            </w:hyperlink>
          </w:p>
        </w:tc>
        <w:tc>
          <w:tcPr>
            <w:tcW w:w="5640" w:type="dxa"/>
            <w:vAlign w:val="bottom"/>
            <w:gridSpan w:val="4"/>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669"/>
        </w:trPr>
        <w:tc>
          <w:tcPr>
            <w:tcW w:w="700" w:type="dxa"/>
            <w:vAlign w:val="bottom"/>
            <w:tcBorders>
              <w:bottom w:val="single" w:sz="8" w:color="DCDCDC"/>
            </w:tcBorders>
          </w:tcPr>
          <w:p>
            <w:pPr>
              <w:spacing w:after="0"/>
              <w:rPr>
                <w:sz w:val="24"/>
                <w:szCs w:val="24"/>
                <w:color w:val="auto"/>
              </w:rPr>
            </w:pPr>
          </w:p>
        </w:tc>
        <w:tc>
          <w:tcPr>
            <w:tcW w:w="540" w:type="dxa"/>
            <w:vAlign w:val="bottom"/>
            <w:tcBorders>
              <w:top w:val="single" w:sz="8" w:color="0000EE"/>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680" w:type="dxa"/>
            <w:vAlign w:val="bottom"/>
            <w:tcBorders>
              <w:top w:val="single" w:sz="8" w:color="0000EE"/>
              <w:bottom w:val="single" w:sz="8" w:color="DCDCDC"/>
            </w:tcBorders>
          </w:tcPr>
          <w:p>
            <w:pPr>
              <w:spacing w:after="0"/>
              <w:rPr>
                <w:sz w:val="24"/>
                <w:szCs w:val="24"/>
                <w:color w:val="auto"/>
              </w:rPr>
            </w:pPr>
          </w:p>
        </w:tc>
        <w:tc>
          <w:tcPr>
            <w:tcW w:w="3920" w:type="dxa"/>
            <w:vAlign w:val="bottom"/>
            <w:tcBorders>
              <w:bottom w:val="single" w:sz="8" w:color="DCDCDC"/>
            </w:tcBorders>
            <w:gridSpan w:val="6"/>
          </w:tcPr>
          <w:p>
            <w:pPr>
              <w:jc w:val="right"/>
              <w:ind w:right="460"/>
              <w:spacing w:after="0"/>
              <w:rPr>
                <w:sz w:val="20"/>
                <w:szCs w:val="20"/>
                <w:color w:val="auto"/>
              </w:rPr>
            </w:pPr>
            <w:r>
              <w:rPr>
                <w:rFonts w:ascii="Arial" w:cs="Arial" w:eastAsia="Arial" w:hAnsi="Arial"/>
                <w:sz w:val="18"/>
                <w:szCs w:val="18"/>
                <w:color w:val="auto"/>
              </w:rPr>
              <w:t>2</w:t>
            </w:r>
          </w:p>
        </w:tc>
        <w:tc>
          <w:tcPr>
            <w:tcW w:w="2520" w:type="dxa"/>
            <w:vAlign w:val="bottom"/>
            <w:tcBorders>
              <w:bottom w:val="single" w:sz="8" w:color="DCDCDC"/>
            </w:tcBorders>
          </w:tcPr>
          <w:p>
            <w:pPr>
              <w:spacing w:after="0"/>
              <w:rPr>
                <w:sz w:val="24"/>
                <w:szCs w:val="24"/>
                <w:color w:val="auto"/>
              </w:rPr>
            </w:pPr>
          </w:p>
        </w:tc>
        <w:tc>
          <w:tcPr>
            <w:tcW w:w="26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Income </w:t>
      </w:r>
      <w:r>
        <w:rPr>
          <w:rFonts w:ascii="Arial" w:cs="Arial" w:eastAsia="Arial" w:hAnsi="Arial"/>
          <w:sz w:val="18"/>
          <w:szCs w:val="18"/>
          <w:i w:val="1"/>
          <w:i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4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640" w:type="dxa"/>
            <w:vAlign w:val="bottom"/>
            <w:tcBorders>
              <w:top w:val="single" w:sz="8" w:color="auto"/>
            </w:tcBorders>
            <w:gridSpan w:val="5"/>
          </w:tcPr>
          <w:p>
            <w:pPr>
              <w:jc w:val="right"/>
              <w:ind w:right="700"/>
              <w:spacing w:after="0" w:line="205" w:lineRule="exact"/>
              <w:rPr>
                <w:sz w:val="20"/>
                <w:szCs w:val="20"/>
                <w:color w:val="auto"/>
              </w:rPr>
            </w:pPr>
            <w:r>
              <w:rPr>
                <w:rFonts w:ascii="Arial" w:cs="Arial" w:eastAsia="Arial" w:hAnsi="Arial"/>
                <w:sz w:val="18"/>
                <w:szCs w:val="18"/>
                <w:b w:val="1"/>
                <w:bCs w:val="1"/>
                <w:color w:val="auto"/>
              </w:rPr>
              <w:t>Three Months Ended</w:t>
            </w: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440" w:type="dxa"/>
            <w:vAlign w:val="bottom"/>
            <w:tcBorders>
              <w:top w:val="single" w:sz="8" w:color="auto"/>
            </w:tcBorders>
            <w:gridSpan w:val="5"/>
          </w:tcPr>
          <w:p>
            <w:pPr>
              <w:jc w:val="right"/>
              <w:ind w:right="550"/>
              <w:spacing w:after="0" w:line="205" w:lineRule="exact"/>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20" w:type="dxa"/>
            <w:vAlign w:val="bottom"/>
            <w:gridSpan w:val="3"/>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26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Interest revenue:</w:t>
            </w:r>
          </w:p>
        </w:tc>
        <w:tc>
          <w:tcPr>
            <w:tcW w:w="12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240" w:type="dxa"/>
            <w:vAlign w:val="bottom"/>
            <w:tcBorders>
              <w:top w:val="single" w:sz="8" w:color="F0FFFF"/>
            </w:tcBorders>
            <w:shd w:val="clear" w:color="auto" w:fill="F0FFFF"/>
          </w:tcPr>
          <w:p>
            <w:pPr>
              <w:spacing w:after="0"/>
              <w:rPr>
                <w:sz w:val="18"/>
                <w:szCs w:val="18"/>
                <w:color w:val="auto"/>
              </w:rPr>
            </w:pPr>
          </w:p>
        </w:tc>
        <w:tc>
          <w:tcPr>
            <w:tcW w:w="32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34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140"/>
              <w:spacing w:after="0"/>
              <w:rPr>
                <w:sz w:val="20"/>
                <w:szCs w:val="20"/>
                <w:color w:val="auto"/>
              </w:rPr>
            </w:pPr>
            <w:r>
              <w:rPr>
                <w:rFonts w:ascii="Arial" w:cs="Arial" w:eastAsia="Arial" w:hAnsi="Arial"/>
                <w:sz w:val="18"/>
                <w:szCs w:val="18"/>
                <w:color w:val="auto"/>
              </w:rPr>
              <w:t>Loans, including fees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52,976</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48,261</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102,640</w:t>
            </w: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95,949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0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Investment securities, including tax exempt of $181, $193, $339 and</w:t>
            </w:r>
          </w:p>
        </w:tc>
        <w:tc>
          <w:tcPr>
            <w:tcW w:w="260" w:type="dxa"/>
            <w:vAlign w:val="bottom"/>
            <w:shd w:val="clear" w:color="auto" w:fill="F0FFFF"/>
          </w:tcPr>
          <w:p>
            <w:pPr>
              <w:spacing w:after="0"/>
              <w:rPr>
                <w:sz w:val="19"/>
                <w:szCs w:val="19"/>
                <w:color w:val="auto"/>
              </w:rPr>
            </w:pPr>
          </w:p>
        </w:tc>
        <w:tc>
          <w:tcPr>
            <w:tcW w:w="100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320" w:type="dxa"/>
            <w:vAlign w:val="bottom"/>
            <w:shd w:val="clear" w:color="auto" w:fill="F0FFFF"/>
          </w:tcPr>
          <w:p>
            <w:pPr>
              <w:spacing w:after="0"/>
              <w:rPr>
                <w:sz w:val="19"/>
                <w:szCs w:val="19"/>
                <w:color w:val="auto"/>
              </w:rPr>
            </w:pPr>
          </w:p>
        </w:tc>
        <w:tc>
          <w:tcPr>
            <w:tcW w:w="94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9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60" w:type="dxa"/>
            <w:vAlign w:val="bottom"/>
            <w:shd w:val="clear" w:color="auto" w:fill="F0FFFF"/>
          </w:tcPr>
          <w:p>
            <w:pPr>
              <w:spacing w:after="0"/>
              <w:rPr>
                <w:sz w:val="19"/>
                <w:szCs w:val="19"/>
                <w:color w:val="auto"/>
              </w:rPr>
            </w:pPr>
          </w:p>
        </w:tc>
        <w:tc>
          <w:tcPr>
            <w:tcW w:w="340" w:type="dxa"/>
            <w:vAlign w:val="bottom"/>
            <w:shd w:val="clear" w:color="auto" w:fill="F0FFFF"/>
          </w:tcPr>
          <w:p>
            <w:pPr>
              <w:spacing w:after="0"/>
              <w:rPr>
                <w:sz w:val="19"/>
                <w:szCs w:val="19"/>
                <w:color w:val="auto"/>
              </w:rPr>
            </w:pPr>
          </w:p>
        </w:tc>
        <w:tc>
          <w:tcPr>
            <w:tcW w:w="9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shd w:val="clear" w:color="auto" w:fill="F0FFFF"/>
          </w:tcPr>
          <w:p>
            <w:pPr>
              <w:ind w:left="300"/>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12,037</w:t>
            </w:r>
          </w:p>
        </w:tc>
        <w:tc>
          <w:tcPr>
            <w:tcW w:w="320" w:type="dxa"/>
            <w:vAlign w:val="bottom"/>
            <w:shd w:val="clear" w:color="auto" w:fill="F0FFFF"/>
          </w:tcPr>
          <w:p>
            <w:pPr>
              <w:spacing w:after="0"/>
              <w:rPr>
                <w:sz w:val="20"/>
                <w:szCs w:val="20"/>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12,165</w:t>
            </w:r>
          </w:p>
        </w:tc>
        <w:tc>
          <w:tcPr>
            <w:tcW w:w="10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24,095</w:t>
            </w:r>
          </w:p>
        </w:tc>
        <w:tc>
          <w:tcPr>
            <w:tcW w:w="60" w:type="dxa"/>
            <w:vAlign w:val="bottom"/>
            <w:shd w:val="clear" w:color="auto" w:fill="F0FFFF"/>
          </w:tcPr>
          <w:p>
            <w:pPr>
              <w:spacing w:after="0"/>
              <w:rPr>
                <w:sz w:val="20"/>
                <w:szCs w:val="20"/>
                <w:color w:val="auto"/>
              </w:rPr>
            </w:pPr>
          </w:p>
        </w:tc>
        <w:tc>
          <w:tcPr>
            <w:tcW w:w="340" w:type="dxa"/>
            <w:vAlign w:val="bottom"/>
            <w:shd w:val="clear" w:color="auto" w:fill="F0FFFF"/>
          </w:tcPr>
          <w:p>
            <w:pPr>
              <w:spacing w:after="0"/>
              <w:rPr>
                <w:sz w:val="20"/>
                <w:szCs w:val="20"/>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23,772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gridSpan w:val="2"/>
          </w:tcPr>
          <w:p>
            <w:pPr>
              <w:ind w:left="140"/>
              <w:spacing w:after="0"/>
              <w:rPr>
                <w:sz w:val="20"/>
                <w:szCs w:val="20"/>
                <w:color w:val="auto"/>
              </w:rPr>
            </w:pPr>
            <w:r>
              <w:rPr>
                <w:rFonts w:ascii="Arial" w:cs="Arial" w:eastAsia="Arial" w:hAnsi="Arial"/>
                <w:sz w:val="18"/>
                <w:szCs w:val="18"/>
                <w:color w:val="auto"/>
              </w:rPr>
              <w:t>Deposits in banks and short-term investments</w:t>
            </w:r>
          </w:p>
        </w:tc>
        <w:tc>
          <w:tcPr>
            <w:tcW w:w="2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795</w:t>
            </w:r>
          </w:p>
        </w:tc>
        <w:tc>
          <w:tcPr>
            <w:tcW w:w="3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1,607</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F0FFFF"/>
              <w:bottom w:val="single" w:sz="8" w:color="F0FFFF"/>
            </w:tcBorders>
            <w:gridSpan w:val="2"/>
            <w:shd w:val="clear" w:color="auto" w:fill="F0FFFF"/>
          </w:tcPr>
          <w:p>
            <w:pPr>
              <w:ind w:left="460"/>
              <w:spacing w:after="0"/>
              <w:rPr>
                <w:sz w:val="20"/>
                <w:szCs w:val="20"/>
                <w:color w:val="auto"/>
              </w:rPr>
            </w:pPr>
            <w:r>
              <w:rPr>
                <w:rFonts w:ascii="Arial" w:cs="Arial" w:eastAsia="Arial" w:hAnsi="Arial"/>
                <w:sz w:val="18"/>
                <w:szCs w:val="18"/>
                <w:color w:val="auto"/>
              </w:rPr>
              <w:t>Total interest revenue</w:t>
            </w:r>
          </w:p>
        </w:tc>
        <w:tc>
          <w:tcPr>
            <w:tcW w:w="260" w:type="dxa"/>
            <w:vAlign w:val="bottom"/>
            <w:tcBorders>
              <w:top w:val="single" w:sz="8" w:color="auto"/>
              <w:bottom w:val="single" w:sz="8" w:color="auto"/>
            </w:tcBorders>
            <w:shd w:val="clear" w:color="auto" w:fill="F0FFFF"/>
          </w:tcPr>
          <w:p>
            <w:pPr>
              <w:spacing w:after="0"/>
              <w:rPr>
                <w:sz w:val="19"/>
                <w:szCs w:val="19"/>
                <w:color w:val="auto"/>
              </w:rPr>
            </w:pP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65,808</w:t>
            </w:r>
          </w:p>
        </w:tc>
        <w:tc>
          <w:tcPr>
            <w:tcW w:w="240" w:type="dxa"/>
            <w:vAlign w:val="bottom"/>
            <w:tcBorders>
              <w:top w:val="single" w:sz="8" w:color="F0FFFF"/>
              <w:bottom w:val="single" w:sz="8" w:color="F0FFFF"/>
            </w:tcBorders>
            <w:shd w:val="clear" w:color="auto" w:fill="F0FFFF"/>
          </w:tcPr>
          <w:p>
            <w:pPr>
              <w:spacing w:after="0"/>
              <w:rPr>
                <w:sz w:val="19"/>
                <w:szCs w:val="19"/>
                <w:color w:val="auto"/>
              </w:rPr>
            </w:pPr>
          </w:p>
        </w:tc>
        <w:tc>
          <w:tcPr>
            <w:tcW w:w="320" w:type="dxa"/>
            <w:vAlign w:val="bottom"/>
            <w:tcBorders>
              <w:top w:val="single" w:sz="8" w:color="auto"/>
              <w:bottom w:val="single" w:sz="8" w:color="auto"/>
            </w:tcBorders>
            <w:shd w:val="clear" w:color="auto" w:fill="F0FFFF"/>
          </w:tcPr>
          <w:p>
            <w:pPr>
              <w:spacing w:after="0"/>
              <w:rPr>
                <w:sz w:val="19"/>
                <w:szCs w:val="19"/>
                <w:color w:val="auto"/>
              </w:rPr>
            </w:pP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61,406</w:t>
            </w:r>
          </w:p>
        </w:tc>
        <w:tc>
          <w:tcPr>
            <w:tcW w:w="140" w:type="dxa"/>
            <w:vAlign w:val="bottom"/>
            <w:tcBorders>
              <w:top w:val="single" w:sz="8" w:color="F0FFFF"/>
              <w:bottom w:val="single" w:sz="8" w:color="F0FFFF"/>
            </w:tcBorders>
            <w:shd w:val="clear" w:color="auto" w:fill="F0FFFF"/>
          </w:tcPr>
          <w:p>
            <w:pPr>
              <w:spacing w:after="0"/>
              <w:rPr>
                <w:sz w:val="19"/>
                <w:szCs w:val="19"/>
                <w:color w:val="auto"/>
              </w:rPr>
            </w:pP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260" w:type="dxa"/>
            <w:vAlign w:val="bottom"/>
            <w:tcBorders>
              <w:top w:val="single" w:sz="8" w:color="auto"/>
              <w:bottom w:val="single" w:sz="8" w:color="auto"/>
            </w:tcBorders>
            <w:shd w:val="clear" w:color="auto" w:fill="F0FFFF"/>
          </w:tcPr>
          <w:p>
            <w:pPr>
              <w:spacing w:after="0"/>
              <w:rPr>
                <w:sz w:val="19"/>
                <w:szCs w:val="19"/>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128,342</w:t>
            </w:r>
          </w:p>
        </w:tc>
        <w:tc>
          <w:tcPr>
            <w:tcW w:w="140" w:type="dxa"/>
            <w:vAlign w:val="bottom"/>
            <w:tcBorders>
              <w:top w:val="single" w:sz="8" w:color="F0FFFF"/>
              <w:bottom w:val="single" w:sz="8" w:color="F0FFFF"/>
            </w:tcBorders>
            <w:shd w:val="clear" w:color="auto" w:fill="F0FFFF"/>
          </w:tcPr>
          <w:p>
            <w:pPr>
              <w:spacing w:after="0"/>
              <w:rPr>
                <w:sz w:val="19"/>
                <w:szCs w:val="19"/>
                <w:color w:val="auto"/>
              </w:rPr>
            </w:pP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340" w:type="dxa"/>
            <w:vAlign w:val="bottom"/>
            <w:tcBorders>
              <w:top w:val="single" w:sz="8" w:color="auto"/>
              <w:bottom w:val="single" w:sz="8" w:color="auto"/>
            </w:tcBorders>
            <w:shd w:val="clear" w:color="auto" w:fill="F0FFFF"/>
          </w:tcPr>
          <w:p>
            <w:pPr>
              <w:spacing w:after="0"/>
              <w:rPr>
                <w:sz w:val="19"/>
                <w:szCs w:val="19"/>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121,544</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F0FFFF"/>
          </w:tcPr>
          <w:p>
            <w:pPr>
              <w:spacing w:after="0"/>
              <w:rPr>
                <w:sz w:val="20"/>
                <w:szCs w:val="20"/>
                <w:color w:val="auto"/>
              </w:rPr>
            </w:pPr>
            <w:r>
              <w:rPr>
                <w:rFonts w:ascii="Arial" w:cs="Arial" w:eastAsia="Arial" w:hAnsi="Arial"/>
                <w:sz w:val="18"/>
                <w:szCs w:val="18"/>
                <w:b w:val="1"/>
                <w:bCs w:val="1"/>
                <w:color w:val="auto"/>
              </w:rPr>
              <w:t>Interest expense:</w:t>
            </w: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140"/>
              <w:spacing w:after="0"/>
              <w:rPr>
                <w:sz w:val="20"/>
                <w:szCs w:val="20"/>
                <w:color w:val="auto"/>
              </w:rPr>
            </w:pPr>
            <w:r>
              <w:rPr>
                <w:rFonts w:ascii="Arial" w:cs="Arial" w:eastAsia="Arial" w:hAnsi="Arial"/>
                <w:sz w:val="18"/>
                <w:szCs w:val="18"/>
                <w:color w:val="auto"/>
              </w:rPr>
              <w:t>Deposits: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shd w:val="clear" w:color="auto" w:fill="F0FFFF"/>
          </w:tcPr>
          <w:p>
            <w:pPr>
              <w:ind w:left="300"/>
              <w:spacing w:after="0"/>
              <w:rPr>
                <w:sz w:val="20"/>
                <w:szCs w:val="20"/>
                <w:color w:val="auto"/>
              </w:rPr>
            </w:pPr>
            <w:r>
              <w:rPr>
                <w:rFonts w:ascii="Arial" w:cs="Arial" w:eastAsia="Arial" w:hAnsi="Arial"/>
                <w:sz w:val="18"/>
                <w:szCs w:val="18"/>
                <w:color w:val="auto"/>
              </w:rPr>
              <w:t>NOW</w:t>
            </w:r>
          </w:p>
        </w:tc>
        <w:tc>
          <w:tcPr>
            <w:tcW w:w="26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348</w:t>
            </w:r>
          </w:p>
        </w:tc>
        <w:tc>
          <w:tcPr>
            <w:tcW w:w="32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742</w:t>
            </w:r>
          </w:p>
        </w:tc>
        <w:tc>
          <w:tcPr>
            <w:tcW w:w="60" w:type="dxa"/>
            <w:vAlign w:val="bottom"/>
            <w:shd w:val="clear" w:color="auto" w:fill="F0FFFF"/>
          </w:tcPr>
          <w:p>
            <w:pPr>
              <w:spacing w:after="0"/>
              <w:rPr>
                <w:sz w:val="21"/>
                <w:szCs w:val="21"/>
                <w:color w:val="auto"/>
              </w:rPr>
            </w:pPr>
          </w:p>
        </w:tc>
        <w:tc>
          <w:tcPr>
            <w:tcW w:w="34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300"/>
              <w:spacing w:after="0"/>
              <w:rPr>
                <w:sz w:val="20"/>
                <w:szCs w:val="20"/>
                <w:color w:val="auto"/>
              </w:rPr>
            </w:pPr>
            <w:r>
              <w:rPr>
                <w:rFonts w:ascii="Arial" w:cs="Arial" w:eastAsia="Arial" w:hAnsi="Arial"/>
                <w:sz w:val="18"/>
                <w:szCs w:val="18"/>
                <w:color w:val="auto"/>
              </w:rPr>
              <w:t>Money market</w:t>
            </w:r>
          </w:p>
        </w:tc>
        <w:tc>
          <w:tcPr>
            <w:tcW w:w="26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806</w:t>
            </w:r>
          </w:p>
        </w:tc>
        <w:tc>
          <w:tcPr>
            <w:tcW w:w="3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1,479</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shd w:val="clear" w:color="auto" w:fill="F0FFFF"/>
          </w:tcPr>
          <w:p>
            <w:pPr>
              <w:ind w:left="300"/>
              <w:spacing w:after="0"/>
              <w:rPr>
                <w:sz w:val="20"/>
                <w:szCs w:val="20"/>
                <w:color w:val="auto"/>
              </w:rPr>
            </w:pPr>
            <w:r>
              <w:rPr>
                <w:rFonts w:ascii="Arial" w:cs="Arial" w:eastAsia="Arial" w:hAnsi="Arial"/>
                <w:sz w:val="18"/>
                <w:szCs w:val="18"/>
                <w:color w:val="auto"/>
              </w:rPr>
              <w:t>Savings</w:t>
            </w:r>
          </w:p>
        </w:tc>
        <w:tc>
          <w:tcPr>
            <w:tcW w:w="260" w:type="dxa"/>
            <w:vAlign w:val="bottom"/>
            <w:shd w:val="clear" w:color="auto" w:fill="F0FFFF"/>
          </w:tcPr>
          <w:p>
            <w:pPr>
              <w:spacing w:after="0"/>
              <w:rPr>
                <w:sz w:val="21"/>
                <w:szCs w:val="21"/>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F0FFFF"/>
          </w:tcPr>
          <w:p>
            <w:pPr>
              <w:spacing w:after="0"/>
              <w:rPr>
                <w:sz w:val="21"/>
                <w:szCs w:val="21"/>
                <w:color w:val="auto"/>
              </w:rPr>
            </w:pPr>
          </w:p>
        </w:tc>
        <w:tc>
          <w:tcPr>
            <w:tcW w:w="320" w:type="dxa"/>
            <w:vAlign w:val="bottom"/>
            <w:shd w:val="clear" w:color="auto" w:fill="F0FFFF"/>
          </w:tcPr>
          <w:p>
            <w:pPr>
              <w:spacing w:after="0"/>
              <w:rPr>
                <w:sz w:val="21"/>
                <w:szCs w:val="21"/>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46</w:t>
            </w:r>
          </w:p>
        </w:tc>
        <w:tc>
          <w:tcPr>
            <w:tcW w:w="60" w:type="dxa"/>
            <w:vAlign w:val="bottom"/>
            <w:shd w:val="clear" w:color="auto" w:fill="F0FFFF"/>
          </w:tcPr>
          <w:p>
            <w:pPr>
              <w:spacing w:after="0"/>
              <w:rPr>
                <w:sz w:val="21"/>
                <w:szCs w:val="21"/>
                <w:color w:val="auto"/>
              </w:rPr>
            </w:pPr>
          </w:p>
        </w:tc>
        <w:tc>
          <w:tcPr>
            <w:tcW w:w="34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gridSpan w:val="2"/>
          </w:tcPr>
          <w:p>
            <w:pPr>
              <w:ind w:left="300"/>
              <w:spacing w:after="0"/>
              <w:rPr>
                <w:sz w:val="20"/>
                <w:szCs w:val="20"/>
                <w:color w:val="auto"/>
              </w:rPr>
            </w:pPr>
            <w:r>
              <w:rPr>
                <w:rFonts w:ascii="Arial" w:cs="Arial" w:eastAsia="Arial" w:hAnsi="Arial"/>
                <w:sz w:val="18"/>
                <w:szCs w:val="18"/>
                <w:color w:val="auto"/>
              </w:rPr>
              <w:t>Time</w:t>
            </w:r>
          </w:p>
        </w:tc>
        <w:tc>
          <w:tcPr>
            <w:tcW w:w="2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895</w:t>
            </w:r>
          </w:p>
        </w:tc>
        <w:tc>
          <w:tcPr>
            <w:tcW w:w="3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2,004</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Borders>
              <w:top w:val="single" w:sz="8" w:color="F0FFFF"/>
            </w:tcBorders>
            <w:gridSpan w:val="2"/>
            <w:shd w:val="clear" w:color="auto" w:fill="F0FFFF"/>
          </w:tcPr>
          <w:p>
            <w:pPr>
              <w:ind w:left="460"/>
              <w:spacing w:after="0"/>
              <w:rPr>
                <w:sz w:val="20"/>
                <w:szCs w:val="20"/>
                <w:color w:val="auto"/>
              </w:rPr>
            </w:pPr>
            <w:r>
              <w:rPr>
                <w:rFonts w:ascii="Arial" w:cs="Arial" w:eastAsia="Arial" w:hAnsi="Arial"/>
                <w:sz w:val="18"/>
                <w:szCs w:val="18"/>
                <w:color w:val="auto"/>
              </w:rPr>
              <w:t>Total deposit interest expense</w:t>
            </w:r>
          </w:p>
        </w:tc>
        <w:tc>
          <w:tcPr>
            <w:tcW w:w="260" w:type="dxa"/>
            <w:vAlign w:val="bottom"/>
            <w:tcBorders>
              <w:top w:val="single" w:sz="8" w:color="auto"/>
            </w:tcBorders>
            <w:shd w:val="clear" w:color="auto" w:fill="F0FFFF"/>
          </w:tcPr>
          <w:p>
            <w:pPr>
              <w:spacing w:after="0"/>
              <w:rPr>
                <w:sz w:val="19"/>
                <w:szCs w:val="19"/>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2,075</w:t>
            </w:r>
          </w:p>
        </w:tc>
        <w:tc>
          <w:tcPr>
            <w:tcW w:w="240" w:type="dxa"/>
            <w:vAlign w:val="bottom"/>
            <w:tcBorders>
              <w:top w:val="single" w:sz="8" w:color="F0FFFF"/>
            </w:tcBorders>
            <w:shd w:val="clear" w:color="auto" w:fill="F0FFFF"/>
          </w:tcPr>
          <w:p>
            <w:pPr>
              <w:spacing w:after="0"/>
              <w:rPr>
                <w:sz w:val="19"/>
                <w:szCs w:val="19"/>
                <w:color w:val="auto"/>
              </w:rPr>
            </w:pPr>
          </w:p>
        </w:tc>
        <w:tc>
          <w:tcPr>
            <w:tcW w:w="320" w:type="dxa"/>
            <w:vAlign w:val="bottom"/>
            <w:tcBorders>
              <w:top w:val="single" w:sz="8" w:color="auto"/>
            </w:tcBorders>
            <w:shd w:val="clear" w:color="auto" w:fill="F0FFFF"/>
          </w:tcPr>
          <w:p>
            <w:pPr>
              <w:spacing w:after="0"/>
              <w:rPr>
                <w:sz w:val="19"/>
                <w:szCs w:val="19"/>
                <w:color w:val="auto"/>
              </w:rPr>
            </w:pPr>
          </w:p>
        </w:tc>
        <w:tc>
          <w:tcPr>
            <w:tcW w:w="9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3,207</w:t>
            </w:r>
          </w:p>
        </w:tc>
        <w:tc>
          <w:tcPr>
            <w:tcW w:w="140" w:type="dxa"/>
            <w:vAlign w:val="bottom"/>
            <w:tcBorders>
              <w:top w:val="single" w:sz="8" w:color="F0FFFF"/>
            </w:tcBorders>
            <w:shd w:val="clear" w:color="auto" w:fill="F0FFFF"/>
          </w:tcPr>
          <w:p>
            <w:pPr>
              <w:spacing w:after="0"/>
              <w:rPr>
                <w:sz w:val="19"/>
                <w:szCs w:val="19"/>
                <w:color w:val="auto"/>
              </w:rPr>
            </w:pPr>
          </w:p>
        </w:tc>
        <w:tc>
          <w:tcPr>
            <w:tcW w:w="100" w:type="dxa"/>
            <w:vAlign w:val="bottom"/>
            <w:tcBorders>
              <w:top w:val="single" w:sz="8" w:color="F0FFFF"/>
            </w:tcBorders>
            <w:shd w:val="clear" w:color="auto" w:fill="F0FFFF"/>
          </w:tcPr>
          <w:p>
            <w:pPr>
              <w:spacing w:after="0"/>
              <w:rPr>
                <w:sz w:val="19"/>
                <w:szCs w:val="19"/>
                <w:color w:val="auto"/>
              </w:rPr>
            </w:pPr>
          </w:p>
        </w:tc>
        <w:tc>
          <w:tcPr>
            <w:tcW w:w="260" w:type="dxa"/>
            <w:vAlign w:val="bottom"/>
            <w:tcBorders>
              <w:top w:val="single" w:sz="8" w:color="auto"/>
            </w:tcBorders>
            <w:shd w:val="clear" w:color="auto" w:fill="F0FFFF"/>
          </w:tcPr>
          <w:p>
            <w:pPr>
              <w:spacing w:after="0"/>
              <w:rPr>
                <w:sz w:val="19"/>
                <w:szCs w:val="19"/>
                <w:color w:val="auto"/>
              </w:rPr>
            </w:pP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4,271</w:t>
            </w:r>
          </w:p>
        </w:tc>
        <w:tc>
          <w:tcPr>
            <w:tcW w:w="140" w:type="dxa"/>
            <w:vAlign w:val="bottom"/>
            <w:tcBorders>
              <w:top w:val="single" w:sz="8" w:color="F0FFFF"/>
            </w:tcBorders>
            <w:shd w:val="clear" w:color="auto" w:fill="F0FFFF"/>
          </w:tcPr>
          <w:p>
            <w:pPr>
              <w:spacing w:after="0"/>
              <w:rPr>
                <w:sz w:val="19"/>
                <w:szCs w:val="19"/>
                <w:color w:val="auto"/>
              </w:rPr>
            </w:pPr>
          </w:p>
        </w:tc>
        <w:tc>
          <w:tcPr>
            <w:tcW w:w="60" w:type="dxa"/>
            <w:vAlign w:val="bottom"/>
            <w:tcBorders>
              <w:top w:val="single" w:sz="8" w:color="F0FFFF"/>
            </w:tcBorders>
            <w:shd w:val="clear" w:color="auto" w:fill="F0FFFF"/>
          </w:tcPr>
          <w:p>
            <w:pPr>
              <w:spacing w:after="0"/>
              <w:rPr>
                <w:sz w:val="19"/>
                <w:szCs w:val="19"/>
                <w:color w:val="auto"/>
              </w:rPr>
            </w:pPr>
          </w:p>
        </w:tc>
        <w:tc>
          <w:tcPr>
            <w:tcW w:w="340" w:type="dxa"/>
            <w:vAlign w:val="bottom"/>
            <w:tcBorders>
              <w:top w:val="single" w:sz="8" w:color="auto"/>
            </w:tcBorders>
            <w:shd w:val="clear" w:color="auto" w:fill="F0FFFF"/>
          </w:tcPr>
          <w:p>
            <w:pPr>
              <w:spacing w:after="0"/>
              <w:rPr>
                <w:sz w:val="19"/>
                <w:szCs w:val="19"/>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6,001</w:t>
            </w:r>
          </w:p>
        </w:tc>
        <w:tc>
          <w:tcPr>
            <w:tcW w:w="100" w:type="dxa"/>
            <w:vAlign w:val="bottom"/>
            <w:tcBorders>
              <w:top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140"/>
              <w:spacing w:after="0"/>
              <w:rPr>
                <w:sz w:val="20"/>
                <w:szCs w:val="20"/>
                <w:color w:val="auto"/>
              </w:rPr>
            </w:pPr>
            <w:r>
              <w:rPr>
                <w:rFonts w:ascii="Arial" w:cs="Arial" w:eastAsia="Arial" w:hAnsi="Arial"/>
                <w:sz w:val="18"/>
                <w:szCs w:val="18"/>
                <w:color w:val="auto"/>
              </w:rPr>
              <w:t>Short-term borrowings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180</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Federal Home Loan Bank advances</w:t>
            </w:r>
          </w:p>
        </w:tc>
        <w:tc>
          <w:tcPr>
            <w:tcW w:w="26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454</w:t>
            </w:r>
          </w:p>
        </w:tc>
        <w:tc>
          <w:tcPr>
            <w:tcW w:w="320" w:type="dxa"/>
            <w:vAlign w:val="bottom"/>
            <w:shd w:val="clear" w:color="auto" w:fill="F0FFFF"/>
          </w:tcPr>
          <w:p>
            <w:pPr>
              <w:spacing w:after="0"/>
              <w:rPr>
                <w:sz w:val="21"/>
                <w:szCs w:val="21"/>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846</w:t>
            </w:r>
          </w:p>
        </w:tc>
        <w:tc>
          <w:tcPr>
            <w:tcW w:w="60" w:type="dxa"/>
            <w:vAlign w:val="bottom"/>
            <w:shd w:val="clear" w:color="auto" w:fill="F0FFFF"/>
          </w:tcPr>
          <w:p>
            <w:pPr>
              <w:spacing w:after="0"/>
              <w:rPr>
                <w:sz w:val="21"/>
                <w:szCs w:val="21"/>
                <w:color w:val="auto"/>
              </w:rPr>
            </w:pPr>
          </w:p>
        </w:tc>
        <w:tc>
          <w:tcPr>
            <w:tcW w:w="34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gridSpan w:val="2"/>
          </w:tcPr>
          <w:p>
            <w:pPr>
              <w:ind w:left="140"/>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2,206</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4,812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5,272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00" w:type="dxa"/>
            <w:vAlign w:val="bottom"/>
            <w:tcBorders>
              <w:top w:val="single" w:sz="8" w:color="F0FFFF"/>
              <w:bottom w:val="single" w:sz="8" w:color="F0FFFF"/>
            </w:tcBorders>
            <w:gridSpan w:val="2"/>
            <w:shd w:val="clear" w:color="auto" w:fill="F0FFFF"/>
          </w:tcPr>
          <w:p>
            <w:pPr>
              <w:ind w:left="300"/>
              <w:spacing w:after="0"/>
              <w:rPr>
                <w:sz w:val="20"/>
                <w:szCs w:val="20"/>
                <w:color w:val="auto"/>
              </w:rPr>
            </w:pPr>
            <w:r>
              <w:rPr>
                <w:rFonts w:ascii="Arial" w:cs="Arial" w:eastAsia="Arial" w:hAnsi="Arial"/>
                <w:sz w:val="18"/>
                <w:szCs w:val="18"/>
                <w:color w:val="auto"/>
              </w:rPr>
              <w:t>Total interest expense</w:t>
            </w:r>
          </w:p>
        </w:tc>
        <w:tc>
          <w:tcPr>
            <w:tcW w:w="260" w:type="dxa"/>
            <w:vAlign w:val="bottom"/>
            <w:tcBorders>
              <w:top w:val="single" w:sz="8" w:color="auto"/>
              <w:bottom w:val="single" w:sz="8" w:color="auto"/>
            </w:tcBorders>
            <w:shd w:val="clear" w:color="auto" w:fill="F0FFFF"/>
          </w:tcPr>
          <w:p>
            <w:pPr>
              <w:spacing w:after="0"/>
              <w:rPr>
                <w:sz w:val="20"/>
                <w:szCs w:val="20"/>
                <w:color w:val="auto"/>
              </w:rPr>
            </w:pP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4,817</w:t>
            </w:r>
          </w:p>
        </w:tc>
        <w:tc>
          <w:tcPr>
            <w:tcW w:w="240" w:type="dxa"/>
            <w:vAlign w:val="bottom"/>
            <w:tcBorders>
              <w:top w:val="single" w:sz="8" w:color="F0FFFF"/>
              <w:bottom w:val="single" w:sz="8" w:color="F0FFFF"/>
            </w:tcBorders>
            <w:shd w:val="clear" w:color="auto" w:fill="F0FFFF"/>
          </w:tcPr>
          <w:p>
            <w:pPr>
              <w:spacing w:after="0"/>
              <w:rPr>
                <w:sz w:val="20"/>
                <w:szCs w:val="20"/>
                <w:color w:val="auto"/>
              </w:rPr>
            </w:pPr>
          </w:p>
        </w:tc>
        <w:tc>
          <w:tcPr>
            <w:tcW w:w="320" w:type="dxa"/>
            <w:vAlign w:val="bottom"/>
            <w:tcBorders>
              <w:top w:val="single" w:sz="8" w:color="auto"/>
              <w:bottom w:val="single" w:sz="8" w:color="auto"/>
            </w:tcBorders>
            <w:shd w:val="clear" w:color="auto" w:fill="F0FFFF"/>
          </w:tcPr>
          <w:p>
            <w:pPr>
              <w:spacing w:after="0"/>
              <w:rPr>
                <w:sz w:val="20"/>
                <w:szCs w:val="20"/>
                <w:color w:val="auto"/>
              </w:rPr>
            </w:pP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6,833</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260" w:type="dxa"/>
            <w:vAlign w:val="bottom"/>
            <w:tcBorders>
              <w:top w:val="single" w:sz="8" w:color="auto"/>
              <w:bottom w:val="single" w:sz="8" w:color="auto"/>
            </w:tcBorders>
            <w:shd w:val="clear" w:color="auto" w:fill="F0FFFF"/>
          </w:tcPr>
          <w:p>
            <w:pPr>
              <w:spacing w:after="0"/>
              <w:rPr>
                <w:sz w:val="20"/>
                <w:szCs w:val="20"/>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10,109</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340" w:type="dxa"/>
            <w:vAlign w:val="bottom"/>
            <w:tcBorders>
              <w:top w:val="single" w:sz="8" w:color="auto"/>
              <w:bottom w:val="single" w:sz="8" w:color="auto"/>
            </w:tcBorders>
            <w:shd w:val="clear" w:color="auto" w:fill="F0FFFF"/>
          </w:tcPr>
          <w:p>
            <w:pPr>
              <w:spacing w:after="0"/>
              <w:rPr>
                <w:sz w:val="20"/>
                <w:szCs w:val="20"/>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13,159</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gridSpan w:val="2"/>
          </w:tcPr>
          <w:p>
            <w:pPr>
              <w:ind w:left="300"/>
              <w:spacing w:after="0"/>
              <w:rPr>
                <w:sz w:val="20"/>
                <w:szCs w:val="20"/>
                <w:color w:val="auto"/>
              </w:rPr>
            </w:pPr>
            <w:r>
              <w:rPr>
                <w:rFonts w:ascii="Arial" w:cs="Arial" w:eastAsia="Arial" w:hAnsi="Arial"/>
                <w:sz w:val="18"/>
                <w:szCs w:val="18"/>
                <w:color w:val="auto"/>
              </w:rPr>
              <w:t>Net interest revenue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60,991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54,573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118,233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Provision for credit losses</w:t>
            </w:r>
          </w:p>
        </w:tc>
        <w:tc>
          <w:tcPr>
            <w:tcW w:w="26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900</w:t>
            </w:r>
          </w:p>
        </w:tc>
        <w:tc>
          <w:tcPr>
            <w:tcW w:w="32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2,200</w:t>
            </w:r>
          </w:p>
        </w:tc>
        <w:tc>
          <w:tcPr>
            <w:tcW w:w="10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2,700</w:t>
            </w:r>
          </w:p>
        </w:tc>
        <w:tc>
          <w:tcPr>
            <w:tcW w:w="60" w:type="dxa"/>
            <w:vAlign w:val="bottom"/>
            <w:shd w:val="clear" w:color="auto" w:fill="F0FFFF"/>
          </w:tcPr>
          <w:p>
            <w:pPr>
              <w:spacing w:after="0"/>
              <w:rPr>
                <w:sz w:val="21"/>
                <w:szCs w:val="21"/>
                <w:color w:val="auto"/>
              </w:rPr>
            </w:pPr>
          </w:p>
        </w:tc>
        <w:tc>
          <w:tcPr>
            <w:tcW w:w="34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F0FFFF"/>
              <w:bottom w:val="single" w:sz="8" w:color="F0FFFF"/>
            </w:tcBorders>
            <w:gridSpan w:val="2"/>
          </w:tcPr>
          <w:p>
            <w:pPr>
              <w:ind w:left="300"/>
              <w:spacing w:after="0" w:line="203" w:lineRule="exact"/>
              <w:rPr>
                <w:sz w:val="20"/>
                <w:szCs w:val="20"/>
                <w:color w:val="auto"/>
              </w:rPr>
            </w:pPr>
            <w:r>
              <w:rPr>
                <w:rFonts w:ascii="Arial" w:cs="Arial" w:eastAsia="Arial" w:hAnsi="Arial"/>
                <w:sz w:val="18"/>
                <w:szCs w:val="18"/>
                <w:color w:val="auto"/>
              </w:rPr>
              <w:t>Net interest revenue after provision for credit losses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60,091</w:t>
            </w:r>
          </w:p>
        </w:tc>
        <w:tc>
          <w:tcPr>
            <w:tcW w:w="240" w:type="dxa"/>
            <w:vAlign w:val="bottom"/>
            <w:tcBorders>
              <w:top w:val="single" w:sz="8" w:color="F0FFFF"/>
              <w:bottom w:val="single" w:sz="8" w:color="F0FF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52,373</w:t>
            </w:r>
          </w:p>
        </w:tc>
        <w:tc>
          <w:tcPr>
            <w:tcW w:w="14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115,533</w:t>
            </w:r>
          </w:p>
        </w:tc>
        <w:tc>
          <w:tcPr>
            <w:tcW w:w="140" w:type="dxa"/>
            <w:vAlign w:val="bottom"/>
            <w:tcBorders>
              <w:top w:val="single" w:sz="8" w:color="F0FFFF"/>
              <w:bottom w:val="single" w:sz="8" w:color="F0FFFF"/>
            </w:tcBorders>
          </w:tcPr>
          <w:p>
            <w:pPr>
              <w:spacing w:after="0"/>
              <w:rPr>
                <w:sz w:val="18"/>
                <w:szCs w:val="18"/>
                <w:color w:val="auto"/>
              </w:rPr>
            </w:pPr>
          </w:p>
        </w:tc>
        <w:tc>
          <w:tcPr>
            <w:tcW w:w="60" w:type="dxa"/>
            <w:vAlign w:val="bottom"/>
            <w:tcBorders>
              <w:top w:val="single" w:sz="8" w:color="F0FFFF"/>
              <w:bottom w:val="single" w:sz="8" w:color="F0FF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103,685</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Fee revenue: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Service charges and fees</w:t>
            </w:r>
          </w:p>
        </w:tc>
        <w:tc>
          <w:tcPr>
            <w:tcW w:w="260" w:type="dxa"/>
            <w:vAlign w:val="bottom"/>
            <w:shd w:val="clear" w:color="auto" w:fill="F0FFFF"/>
          </w:tcPr>
          <w:p>
            <w:pPr>
              <w:spacing w:after="0"/>
              <w:rPr>
                <w:sz w:val="21"/>
                <w:szCs w:val="21"/>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8,375</w:t>
            </w:r>
          </w:p>
        </w:tc>
        <w:tc>
          <w:tcPr>
            <w:tcW w:w="240" w:type="dxa"/>
            <w:vAlign w:val="bottom"/>
            <w:shd w:val="clear" w:color="auto" w:fill="F0FFFF"/>
          </w:tcPr>
          <w:p>
            <w:pPr>
              <w:spacing w:after="0"/>
              <w:rPr>
                <w:sz w:val="21"/>
                <w:szCs w:val="21"/>
                <w:color w:val="auto"/>
              </w:rPr>
            </w:pPr>
          </w:p>
        </w:tc>
        <w:tc>
          <w:tcPr>
            <w:tcW w:w="32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8,527</w:t>
            </w:r>
          </w:p>
        </w:tc>
        <w:tc>
          <w:tcPr>
            <w:tcW w:w="10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15,990</w:t>
            </w:r>
          </w:p>
        </w:tc>
        <w:tc>
          <w:tcPr>
            <w:tcW w:w="60" w:type="dxa"/>
            <w:vAlign w:val="bottom"/>
            <w:shd w:val="clear" w:color="auto" w:fill="F0FFFF"/>
          </w:tcPr>
          <w:p>
            <w:pPr>
              <w:spacing w:after="0"/>
              <w:rPr>
                <w:sz w:val="21"/>
                <w:szCs w:val="21"/>
                <w:color w:val="auto"/>
              </w:rPr>
            </w:pPr>
          </w:p>
        </w:tc>
        <w:tc>
          <w:tcPr>
            <w:tcW w:w="34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16,425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140"/>
              <w:spacing w:after="0"/>
              <w:rPr>
                <w:sz w:val="20"/>
                <w:szCs w:val="20"/>
                <w:color w:val="auto"/>
              </w:rPr>
            </w:pPr>
            <w:r>
              <w:rPr>
                <w:rFonts w:ascii="Arial" w:cs="Arial" w:eastAsia="Arial" w:hAnsi="Arial"/>
                <w:sz w:val="18"/>
                <w:szCs w:val="18"/>
                <w:color w:val="auto"/>
              </w:rPr>
              <w:t>Mortgage loan and other related fees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3,707</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6,462</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Brokerage fees</w:t>
            </w:r>
          </w:p>
        </w:tc>
        <w:tc>
          <w:tcPr>
            <w:tcW w:w="260" w:type="dxa"/>
            <w:vAlign w:val="bottom"/>
            <w:shd w:val="clear" w:color="auto" w:fill="F0FFFF"/>
          </w:tcPr>
          <w:p>
            <w:pPr>
              <w:spacing w:after="0"/>
              <w:rPr>
                <w:sz w:val="21"/>
                <w:szCs w:val="21"/>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1,232</w:t>
            </w:r>
          </w:p>
        </w:tc>
        <w:tc>
          <w:tcPr>
            <w:tcW w:w="240" w:type="dxa"/>
            <w:vAlign w:val="bottom"/>
            <w:shd w:val="clear" w:color="auto" w:fill="F0FFFF"/>
          </w:tcPr>
          <w:p>
            <w:pPr>
              <w:spacing w:after="0"/>
              <w:rPr>
                <w:sz w:val="21"/>
                <w:szCs w:val="21"/>
                <w:color w:val="auto"/>
              </w:rPr>
            </w:pPr>
          </w:p>
        </w:tc>
        <w:tc>
          <w:tcPr>
            <w:tcW w:w="32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2,783</w:t>
            </w:r>
          </w:p>
        </w:tc>
        <w:tc>
          <w:tcPr>
            <w:tcW w:w="60" w:type="dxa"/>
            <w:vAlign w:val="bottom"/>
            <w:shd w:val="clear" w:color="auto" w:fill="F0FFFF"/>
          </w:tcPr>
          <w:p>
            <w:pPr>
              <w:spacing w:after="0"/>
              <w:rPr>
                <w:sz w:val="21"/>
                <w:szCs w:val="21"/>
                <w:color w:val="auto"/>
              </w:rPr>
            </w:pPr>
          </w:p>
        </w:tc>
        <w:tc>
          <w:tcPr>
            <w:tcW w:w="34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140"/>
              <w:spacing w:after="0"/>
              <w:rPr>
                <w:sz w:val="20"/>
                <w:szCs w:val="20"/>
                <w:color w:val="auto"/>
              </w:rPr>
            </w:pPr>
            <w:r>
              <w:rPr>
                <w:rFonts w:ascii="Arial" w:cs="Arial" w:eastAsia="Arial" w:hAnsi="Arial"/>
                <w:sz w:val="18"/>
                <w:szCs w:val="18"/>
                <w:color w:val="auto"/>
              </w:rPr>
              <w:t>Gains from sales of government guaranteed loans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1,494</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2,635</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Securities gains, net</w:t>
            </w:r>
          </w:p>
        </w:tc>
        <w:tc>
          <w:tcPr>
            <w:tcW w:w="260" w:type="dxa"/>
            <w:vAlign w:val="bottom"/>
            <w:shd w:val="clear" w:color="auto" w:fill="F0FFFF"/>
          </w:tcPr>
          <w:p>
            <w:pPr>
              <w:spacing w:after="0"/>
              <w:rPr>
                <w:sz w:val="21"/>
                <w:szCs w:val="21"/>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F0FFFF"/>
          </w:tcPr>
          <w:p>
            <w:pPr>
              <w:spacing w:after="0"/>
              <w:rPr>
                <w:sz w:val="21"/>
                <w:szCs w:val="21"/>
                <w:color w:val="auto"/>
              </w:rPr>
            </w:pPr>
          </w:p>
        </w:tc>
        <w:tc>
          <w:tcPr>
            <w:tcW w:w="32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4,435</w:t>
            </w:r>
          </w:p>
        </w:tc>
        <w:tc>
          <w:tcPr>
            <w:tcW w:w="10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1,552</w:t>
            </w:r>
          </w:p>
        </w:tc>
        <w:tc>
          <w:tcPr>
            <w:tcW w:w="60" w:type="dxa"/>
            <w:vAlign w:val="bottom"/>
            <w:shd w:val="clear" w:color="auto" w:fill="F0FFFF"/>
          </w:tcPr>
          <w:p>
            <w:pPr>
              <w:spacing w:after="0"/>
              <w:rPr>
                <w:sz w:val="21"/>
                <w:szCs w:val="21"/>
                <w:color w:val="auto"/>
              </w:rPr>
            </w:pPr>
          </w:p>
        </w:tc>
        <w:tc>
          <w:tcPr>
            <w:tcW w:w="34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4,652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140"/>
              <w:spacing w:after="0"/>
              <w:rPr>
                <w:sz w:val="20"/>
                <w:szCs w:val="20"/>
                <w:color w:val="auto"/>
              </w:rPr>
            </w:pPr>
            <w:r>
              <w:rPr>
                <w:rFonts w:ascii="Arial" w:cs="Arial" w:eastAsia="Arial" w:hAnsi="Arial"/>
                <w:sz w:val="18"/>
                <w:szCs w:val="18"/>
                <w:color w:val="auto"/>
              </w:rPr>
              <w:t>Loss from prepayment of debt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(4,446)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(1,038)</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(4,446)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F0FFFF"/>
          </w:tcPr>
          <w:p>
            <w:pPr>
              <w:spacing w:after="0"/>
              <w:rPr>
                <w:sz w:val="21"/>
                <w:szCs w:val="21"/>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2,445</w:t>
            </w:r>
          </w:p>
        </w:tc>
        <w:tc>
          <w:tcPr>
            <w:tcW w:w="240" w:type="dxa"/>
            <w:vAlign w:val="bottom"/>
            <w:shd w:val="clear" w:color="auto" w:fill="F0FFFF"/>
          </w:tcPr>
          <w:p>
            <w:pPr>
              <w:spacing w:after="0"/>
              <w:rPr>
                <w:sz w:val="21"/>
                <w:szCs w:val="21"/>
                <w:color w:val="auto"/>
              </w:rPr>
            </w:pPr>
          </w:p>
        </w:tc>
        <w:tc>
          <w:tcPr>
            <w:tcW w:w="32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1,761</w:t>
            </w:r>
          </w:p>
        </w:tc>
        <w:tc>
          <w:tcPr>
            <w:tcW w:w="10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4,564</w:t>
            </w:r>
          </w:p>
        </w:tc>
        <w:tc>
          <w:tcPr>
            <w:tcW w:w="60" w:type="dxa"/>
            <w:vAlign w:val="bottom"/>
            <w:shd w:val="clear" w:color="auto" w:fill="F0FFFF"/>
          </w:tcPr>
          <w:p>
            <w:pPr>
              <w:spacing w:after="0"/>
              <w:rPr>
                <w:sz w:val="21"/>
                <w:szCs w:val="21"/>
                <w:color w:val="auto"/>
              </w:rPr>
            </w:pPr>
          </w:p>
        </w:tc>
        <w:tc>
          <w:tcPr>
            <w:tcW w:w="34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F0FFFF"/>
              <w:bottom w:val="single" w:sz="8" w:color="F0FFFF"/>
            </w:tcBorders>
            <w:gridSpan w:val="2"/>
          </w:tcPr>
          <w:p>
            <w:pPr>
              <w:ind w:left="300"/>
              <w:spacing w:after="0" w:line="203" w:lineRule="exact"/>
              <w:rPr>
                <w:sz w:val="20"/>
                <w:szCs w:val="20"/>
                <w:color w:val="auto"/>
              </w:rPr>
            </w:pPr>
            <w:r>
              <w:rPr>
                <w:rFonts w:ascii="Arial" w:cs="Arial" w:eastAsia="Arial" w:hAnsi="Arial"/>
                <w:sz w:val="18"/>
                <w:szCs w:val="18"/>
                <w:color w:val="auto"/>
              </w:rPr>
              <w:t>Total fee revenue</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17,266</w:t>
            </w:r>
          </w:p>
        </w:tc>
        <w:tc>
          <w:tcPr>
            <w:tcW w:w="240" w:type="dxa"/>
            <w:vAlign w:val="bottom"/>
            <w:tcBorders>
              <w:top w:val="single" w:sz="8" w:color="F0FFFF"/>
              <w:bottom w:val="single" w:sz="8" w:color="F0FF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14,143</w:t>
            </w:r>
          </w:p>
        </w:tc>
        <w:tc>
          <w:tcPr>
            <w:tcW w:w="14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32,948</w:t>
            </w:r>
          </w:p>
        </w:tc>
        <w:tc>
          <w:tcPr>
            <w:tcW w:w="140" w:type="dxa"/>
            <w:vAlign w:val="bottom"/>
            <w:tcBorders>
              <w:top w:val="single" w:sz="8" w:color="F0FFFF"/>
              <w:bottom w:val="single" w:sz="8" w:color="F0FFFF"/>
            </w:tcBorders>
          </w:tcPr>
          <w:p>
            <w:pPr>
              <w:spacing w:after="0"/>
              <w:rPr>
                <w:sz w:val="18"/>
                <w:szCs w:val="18"/>
                <w:color w:val="auto"/>
              </w:rPr>
            </w:pPr>
          </w:p>
        </w:tc>
        <w:tc>
          <w:tcPr>
            <w:tcW w:w="60" w:type="dxa"/>
            <w:vAlign w:val="bottom"/>
            <w:tcBorders>
              <w:top w:val="single" w:sz="8" w:color="F0FFFF"/>
              <w:bottom w:val="single" w:sz="8" w:color="F0FF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26,319</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F0FFFF"/>
            </w:tcBorders>
            <w:gridSpan w:val="2"/>
            <w:shd w:val="clear" w:color="auto" w:fill="F0FFFF"/>
          </w:tcPr>
          <w:p>
            <w:pPr>
              <w:ind w:left="30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bottom w:val="single" w:sz="8" w:color="auto"/>
            </w:tcBorders>
            <w:shd w:val="clear" w:color="auto" w:fill="F0FFFF"/>
          </w:tcPr>
          <w:p>
            <w:pPr>
              <w:spacing w:after="0"/>
              <w:rPr>
                <w:sz w:val="19"/>
                <w:szCs w:val="19"/>
                <w:color w:val="auto"/>
              </w:rPr>
            </w:pPr>
          </w:p>
        </w:tc>
        <w:tc>
          <w:tcPr>
            <w:tcW w:w="10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77,357</w:t>
            </w:r>
          </w:p>
        </w:tc>
        <w:tc>
          <w:tcPr>
            <w:tcW w:w="240" w:type="dxa"/>
            <w:vAlign w:val="bottom"/>
            <w:tcBorders>
              <w:bottom w:val="single" w:sz="8" w:color="F0FFFF"/>
            </w:tcBorders>
            <w:shd w:val="clear" w:color="auto" w:fill="F0FFFF"/>
          </w:tcPr>
          <w:p>
            <w:pPr>
              <w:spacing w:after="0"/>
              <w:rPr>
                <w:sz w:val="19"/>
                <w:szCs w:val="19"/>
                <w:color w:val="auto"/>
              </w:rPr>
            </w:pPr>
          </w:p>
        </w:tc>
        <w:tc>
          <w:tcPr>
            <w:tcW w:w="320" w:type="dxa"/>
            <w:vAlign w:val="bottom"/>
            <w:tcBorders>
              <w:bottom w:val="single" w:sz="8" w:color="auto"/>
            </w:tcBorders>
            <w:shd w:val="clear" w:color="auto" w:fill="F0FFFF"/>
          </w:tcPr>
          <w:p>
            <w:pPr>
              <w:spacing w:after="0"/>
              <w:rPr>
                <w:sz w:val="19"/>
                <w:szCs w:val="19"/>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66,516</w:t>
            </w:r>
          </w:p>
        </w:tc>
        <w:tc>
          <w:tcPr>
            <w:tcW w:w="14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260" w:type="dxa"/>
            <w:vAlign w:val="bottom"/>
            <w:tcBorders>
              <w:bottom w:val="single" w:sz="8" w:color="auto"/>
            </w:tcBorders>
            <w:shd w:val="clear" w:color="auto" w:fill="F0FFFF"/>
          </w:tcPr>
          <w:p>
            <w:pPr>
              <w:spacing w:after="0"/>
              <w:rPr>
                <w:sz w:val="19"/>
                <w:szCs w:val="19"/>
                <w:color w:val="auto"/>
              </w:rPr>
            </w:pP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148,481</w:t>
            </w:r>
          </w:p>
        </w:tc>
        <w:tc>
          <w:tcPr>
            <w:tcW w:w="140" w:type="dxa"/>
            <w:vAlign w:val="bottom"/>
            <w:tcBorders>
              <w:bottom w:val="single" w:sz="8" w:color="F0FFFF"/>
            </w:tcBorders>
            <w:shd w:val="clear" w:color="auto" w:fill="F0FFFF"/>
          </w:tcPr>
          <w:p>
            <w:pPr>
              <w:spacing w:after="0"/>
              <w:rPr>
                <w:sz w:val="19"/>
                <w:szCs w:val="19"/>
                <w:color w:val="auto"/>
              </w:rPr>
            </w:pPr>
          </w:p>
        </w:tc>
        <w:tc>
          <w:tcPr>
            <w:tcW w:w="60" w:type="dxa"/>
            <w:vAlign w:val="bottom"/>
            <w:tcBorders>
              <w:bottom w:val="single" w:sz="8" w:color="F0FFFF"/>
            </w:tcBorders>
            <w:shd w:val="clear" w:color="auto" w:fill="F0FFFF"/>
          </w:tcPr>
          <w:p>
            <w:pPr>
              <w:spacing w:after="0"/>
              <w:rPr>
                <w:sz w:val="19"/>
                <w:szCs w:val="19"/>
                <w:color w:val="auto"/>
              </w:rPr>
            </w:pPr>
          </w:p>
        </w:tc>
        <w:tc>
          <w:tcPr>
            <w:tcW w:w="340" w:type="dxa"/>
            <w:vAlign w:val="bottom"/>
            <w:tcBorders>
              <w:bottom w:val="single" w:sz="8" w:color="auto"/>
            </w:tcBorders>
            <w:shd w:val="clear" w:color="auto" w:fill="F0FFFF"/>
          </w:tcPr>
          <w:p>
            <w:pPr>
              <w:spacing w:after="0"/>
              <w:rPr>
                <w:sz w:val="19"/>
                <w:szCs w:val="19"/>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130,004</w:t>
            </w: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F0FFFF"/>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140"/>
              <w:spacing w:after="0"/>
              <w:rPr>
                <w:sz w:val="20"/>
                <w:szCs w:val="20"/>
                <w:color w:val="auto"/>
              </w:rPr>
            </w:pPr>
            <w:r>
              <w:rPr>
                <w:rFonts w:ascii="Arial" w:cs="Arial" w:eastAsia="Arial" w:hAnsi="Arial"/>
                <w:sz w:val="18"/>
                <w:szCs w:val="18"/>
                <w:color w:val="auto"/>
              </w:rPr>
              <w:t>Salaries and employee benefits</w:t>
            </w:r>
          </w:p>
        </w:tc>
        <w:tc>
          <w:tcPr>
            <w:tcW w:w="26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27,961</w:t>
            </w:r>
          </w:p>
        </w:tc>
        <w:tc>
          <w:tcPr>
            <w:tcW w:w="3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24,287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54,407</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48,683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Communications and equipment</w:t>
            </w:r>
          </w:p>
        </w:tc>
        <w:tc>
          <w:tcPr>
            <w:tcW w:w="260" w:type="dxa"/>
            <w:vAlign w:val="bottom"/>
            <w:shd w:val="clear" w:color="auto" w:fill="F0FFFF"/>
          </w:tcPr>
          <w:p>
            <w:pPr>
              <w:spacing w:after="0"/>
              <w:rPr>
                <w:sz w:val="21"/>
                <w:szCs w:val="21"/>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3,304</w:t>
            </w:r>
          </w:p>
        </w:tc>
        <w:tc>
          <w:tcPr>
            <w:tcW w:w="240" w:type="dxa"/>
            <w:vAlign w:val="bottom"/>
            <w:shd w:val="clear" w:color="auto" w:fill="F0FFFF"/>
          </w:tcPr>
          <w:p>
            <w:pPr>
              <w:spacing w:after="0"/>
              <w:rPr>
                <w:sz w:val="21"/>
                <w:szCs w:val="21"/>
                <w:color w:val="auto"/>
              </w:rPr>
            </w:pPr>
          </w:p>
        </w:tc>
        <w:tc>
          <w:tcPr>
            <w:tcW w:w="32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3,037</w:t>
            </w:r>
          </w:p>
        </w:tc>
        <w:tc>
          <w:tcPr>
            <w:tcW w:w="10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6,575</w:t>
            </w:r>
          </w:p>
        </w:tc>
        <w:tc>
          <w:tcPr>
            <w:tcW w:w="60" w:type="dxa"/>
            <w:vAlign w:val="bottom"/>
            <w:shd w:val="clear" w:color="auto" w:fill="F0FFFF"/>
          </w:tcPr>
          <w:p>
            <w:pPr>
              <w:spacing w:after="0"/>
              <w:rPr>
                <w:sz w:val="21"/>
                <w:szCs w:val="21"/>
                <w:color w:val="auto"/>
              </w:rPr>
            </w:pPr>
          </w:p>
        </w:tc>
        <w:tc>
          <w:tcPr>
            <w:tcW w:w="34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6,276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140"/>
              <w:spacing w:after="0"/>
              <w:rPr>
                <w:sz w:val="20"/>
                <w:szCs w:val="20"/>
                <w:color w:val="auto"/>
              </w:rPr>
            </w:pPr>
            <w:r>
              <w:rPr>
                <w:rFonts w:ascii="Arial" w:cs="Arial" w:eastAsia="Arial" w:hAnsi="Arial"/>
                <w:sz w:val="18"/>
                <w:szCs w:val="18"/>
                <w:color w:val="auto"/>
              </w:rPr>
              <w:t>Occupancy</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3,415</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3,262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6,693</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6,640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Advertising and public relations</w:t>
            </w:r>
          </w:p>
        </w:tc>
        <w:tc>
          <w:tcPr>
            <w:tcW w:w="260" w:type="dxa"/>
            <w:vAlign w:val="bottom"/>
            <w:shd w:val="clear" w:color="auto" w:fill="F0FFFF"/>
          </w:tcPr>
          <w:p>
            <w:pPr>
              <w:spacing w:after="0"/>
              <w:rPr>
                <w:sz w:val="21"/>
                <w:szCs w:val="21"/>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1,127</w:t>
            </w:r>
          </w:p>
        </w:tc>
        <w:tc>
          <w:tcPr>
            <w:tcW w:w="240" w:type="dxa"/>
            <w:vAlign w:val="bottom"/>
            <w:shd w:val="clear" w:color="auto" w:fill="F0FFFF"/>
          </w:tcPr>
          <w:p>
            <w:pPr>
              <w:spacing w:after="0"/>
              <w:rPr>
                <w:sz w:val="21"/>
                <w:szCs w:val="21"/>
                <w:color w:val="auto"/>
              </w:rPr>
            </w:pPr>
          </w:p>
        </w:tc>
        <w:tc>
          <w:tcPr>
            <w:tcW w:w="32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1,877</w:t>
            </w:r>
          </w:p>
        </w:tc>
        <w:tc>
          <w:tcPr>
            <w:tcW w:w="60" w:type="dxa"/>
            <w:vAlign w:val="bottom"/>
            <w:shd w:val="clear" w:color="auto" w:fill="F0FFFF"/>
          </w:tcPr>
          <w:p>
            <w:pPr>
              <w:spacing w:after="0"/>
              <w:rPr>
                <w:sz w:val="21"/>
                <w:szCs w:val="21"/>
                <w:color w:val="auto"/>
              </w:rPr>
            </w:pPr>
          </w:p>
        </w:tc>
        <w:tc>
          <w:tcPr>
            <w:tcW w:w="34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140"/>
              <w:spacing w:after="0"/>
              <w:rPr>
                <w:sz w:val="20"/>
                <w:szCs w:val="20"/>
                <w:color w:val="auto"/>
              </w:rPr>
            </w:pPr>
            <w:r>
              <w:rPr>
                <w:rFonts w:ascii="Arial" w:cs="Arial" w:eastAsia="Arial" w:hAnsi="Arial"/>
                <w:sz w:val="18"/>
                <w:szCs w:val="18"/>
                <w:color w:val="auto"/>
              </w:rPr>
              <w:t>Postage, printing and supplies</w:t>
            </w:r>
          </w:p>
        </w:tc>
        <w:tc>
          <w:tcPr>
            <w:tcW w:w="26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993</w:t>
            </w:r>
          </w:p>
        </w:tc>
        <w:tc>
          <w:tcPr>
            <w:tcW w:w="3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1,931</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Professional fees</w:t>
            </w:r>
          </w:p>
        </w:tc>
        <w:tc>
          <w:tcPr>
            <w:tcW w:w="260" w:type="dxa"/>
            <w:vAlign w:val="bottom"/>
            <w:shd w:val="clear" w:color="auto" w:fill="F0FFFF"/>
          </w:tcPr>
          <w:p>
            <w:pPr>
              <w:spacing w:after="0"/>
              <w:rPr>
                <w:sz w:val="21"/>
                <w:szCs w:val="21"/>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2,257</w:t>
            </w:r>
          </w:p>
        </w:tc>
        <w:tc>
          <w:tcPr>
            <w:tcW w:w="240" w:type="dxa"/>
            <w:vAlign w:val="bottom"/>
            <w:shd w:val="clear" w:color="auto" w:fill="F0FFFF"/>
          </w:tcPr>
          <w:p>
            <w:pPr>
              <w:spacing w:after="0"/>
              <w:rPr>
                <w:sz w:val="21"/>
                <w:szCs w:val="21"/>
                <w:color w:val="auto"/>
              </w:rPr>
            </w:pPr>
          </w:p>
        </w:tc>
        <w:tc>
          <w:tcPr>
            <w:tcW w:w="32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2,172</w:t>
            </w:r>
          </w:p>
        </w:tc>
        <w:tc>
          <w:tcPr>
            <w:tcW w:w="10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4,176</w:t>
            </w:r>
          </w:p>
        </w:tc>
        <w:tc>
          <w:tcPr>
            <w:tcW w:w="60" w:type="dxa"/>
            <w:vAlign w:val="bottom"/>
            <w:shd w:val="clear" w:color="auto" w:fill="F0FFFF"/>
          </w:tcPr>
          <w:p>
            <w:pPr>
              <w:spacing w:after="0"/>
              <w:rPr>
                <w:sz w:val="21"/>
                <w:szCs w:val="21"/>
                <w:color w:val="auto"/>
              </w:rPr>
            </w:pPr>
          </w:p>
        </w:tc>
        <w:tc>
          <w:tcPr>
            <w:tcW w:w="34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3,599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140"/>
              <w:spacing w:after="0"/>
              <w:rPr>
                <w:sz w:val="20"/>
                <w:szCs w:val="20"/>
                <w:color w:val="auto"/>
              </w:rPr>
            </w:pPr>
            <w:r>
              <w:rPr>
                <w:rFonts w:ascii="Arial" w:cs="Arial" w:eastAsia="Arial" w:hAnsi="Arial"/>
                <w:sz w:val="18"/>
                <w:szCs w:val="18"/>
                <w:color w:val="auto"/>
              </w:rPr>
              <w:t>FDIC assessments and other regulatory charges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1,298</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2,507</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Merger-related charges</w:t>
            </w:r>
          </w:p>
        </w:tc>
        <w:tc>
          <w:tcPr>
            <w:tcW w:w="260" w:type="dxa"/>
            <w:vAlign w:val="bottom"/>
            <w:shd w:val="clear" w:color="auto" w:fill="F0FFFF"/>
          </w:tcPr>
          <w:p>
            <w:pPr>
              <w:spacing w:after="0"/>
              <w:rPr>
                <w:sz w:val="21"/>
                <w:szCs w:val="21"/>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3,173</w:t>
            </w:r>
          </w:p>
        </w:tc>
        <w:tc>
          <w:tcPr>
            <w:tcW w:w="240" w:type="dxa"/>
            <w:vAlign w:val="bottom"/>
            <w:shd w:val="clear" w:color="auto" w:fill="F0FFFF"/>
          </w:tcPr>
          <w:p>
            <w:pPr>
              <w:spacing w:after="0"/>
              <w:rPr>
                <w:sz w:val="21"/>
                <w:szCs w:val="21"/>
                <w:color w:val="auto"/>
              </w:rPr>
            </w:pPr>
          </w:p>
        </w:tc>
        <w:tc>
          <w:tcPr>
            <w:tcW w:w="32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3,173</w:t>
            </w:r>
          </w:p>
        </w:tc>
        <w:tc>
          <w:tcPr>
            <w:tcW w:w="60" w:type="dxa"/>
            <w:vAlign w:val="bottom"/>
            <w:shd w:val="clear" w:color="auto" w:fill="F0FFFF"/>
          </w:tcPr>
          <w:p>
            <w:pPr>
              <w:spacing w:after="0"/>
              <w:rPr>
                <w:sz w:val="21"/>
                <w:szCs w:val="21"/>
                <w:color w:val="auto"/>
              </w:rPr>
            </w:pPr>
          </w:p>
        </w:tc>
        <w:tc>
          <w:tcPr>
            <w:tcW w:w="34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4,892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4,406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10,142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8,261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00" w:type="dxa"/>
            <w:vAlign w:val="bottom"/>
            <w:tcBorders>
              <w:top w:val="single" w:sz="8" w:color="F0FFFF"/>
              <w:bottom w:val="single" w:sz="8" w:color="F0FFFF"/>
            </w:tcBorders>
            <w:gridSpan w:val="2"/>
            <w:shd w:val="clear" w:color="auto" w:fill="F0FFFF"/>
          </w:tcPr>
          <w:p>
            <w:pPr>
              <w:ind w:left="30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shd w:val="clear" w:color="auto" w:fill="F0FFFF"/>
          </w:tcPr>
          <w:p>
            <w:pPr>
              <w:spacing w:after="0"/>
              <w:rPr>
                <w:sz w:val="20"/>
                <w:szCs w:val="20"/>
                <w:color w:val="auto"/>
              </w:rPr>
            </w:pP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48,420</w:t>
            </w:r>
          </w:p>
        </w:tc>
        <w:tc>
          <w:tcPr>
            <w:tcW w:w="240" w:type="dxa"/>
            <w:vAlign w:val="bottom"/>
            <w:tcBorders>
              <w:top w:val="single" w:sz="8" w:color="F0FFFF"/>
              <w:bottom w:val="single" w:sz="8" w:color="F0FFFF"/>
            </w:tcBorders>
            <w:shd w:val="clear" w:color="auto" w:fill="F0FFFF"/>
          </w:tcPr>
          <w:p>
            <w:pPr>
              <w:spacing w:after="0"/>
              <w:rPr>
                <w:sz w:val="20"/>
                <w:szCs w:val="20"/>
                <w:color w:val="auto"/>
              </w:rPr>
            </w:pPr>
          </w:p>
        </w:tc>
        <w:tc>
          <w:tcPr>
            <w:tcW w:w="320" w:type="dxa"/>
            <w:vAlign w:val="bottom"/>
            <w:tcBorders>
              <w:top w:val="single" w:sz="8" w:color="auto"/>
              <w:bottom w:val="single" w:sz="8" w:color="auto"/>
            </w:tcBorders>
            <w:shd w:val="clear" w:color="auto" w:fill="F0FFFF"/>
          </w:tcPr>
          <w:p>
            <w:pPr>
              <w:spacing w:after="0"/>
              <w:rPr>
                <w:sz w:val="20"/>
                <w:szCs w:val="20"/>
                <w:color w:val="auto"/>
              </w:rPr>
            </w:pP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40,532</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260" w:type="dxa"/>
            <w:vAlign w:val="bottom"/>
            <w:tcBorders>
              <w:top w:val="single" w:sz="8" w:color="auto"/>
              <w:bottom w:val="single" w:sz="8" w:color="auto"/>
            </w:tcBorders>
            <w:shd w:val="clear" w:color="auto" w:fill="F0FFFF"/>
          </w:tcPr>
          <w:p>
            <w:pPr>
              <w:spacing w:after="0"/>
              <w:rPr>
                <w:sz w:val="20"/>
                <w:szCs w:val="20"/>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91,481</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340" w:type="dxa"/>
            <w:vAlign w:val="bottom"/>
            <w:tcBorders>
              <w:top w:val="single" w:sz="8" w:color="auto"/>
              <w:bottom w:val="single" w:sz="8" w:color="auto"/>
            </w:tcBorders>
            <w:shd w:val="clear" w:color="auto" w:fill="F0FFFF"/>
          </w:tcPr>
          <w:p>
            <w:pPr>
              <w:spacing w:after="0"/>
              <w:rPr>
                <w:sz w:val="20"/>
                <w:szCs w:val="20"/>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79,582</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gridSpan w:val="2"/>
          </w:tcPr>
          <w:p>
            <w:pPr>
              <w:ind w:left="300"/>
              <w:spacing w:after="0"/>
              <w:rPr>
                <w:sz w:val="20"/>
                <w:szCs w:val="20"/>
                <w:color w:val="auto"/>
              </w:rPr>
            </w:pPr>
            <w:r>
              <w:rPr>
                <w:rFonts w:ascii="Arial" w:cs="Arial" w:eastAsia="Arial" w:hAnsi="Arial"/>
                <w:sz w:val="18"/>
                <w:szCs w:val="18"/>
                <w:color w:val="auto"/>
              </w:rPr>
              <w:t>Net income before income taxes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28,937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50,422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F0FFFF"/>
          </w:tcPr>
          <w:p>
            <w:pPr>
              <w:spacing w:after="0"/>
              <w:rPr>
                <w:sz w:val="21"/>
                <w:szCs w:val="21"/>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11,124</w:t>
            </w:r>
          </w:p>
        </w:tc>
        <w:tc>
          <w:tcPr>
            <w:tcW w:w="240" w:type="dxa"/>
            <w:vAlign w:val="bottom"/>
            <w:shd w:val="clear" w:color="auto" w:fill="F0FFFF"/>
          </w:tcPr>
          <w:p>
            <w:pPr>
              <w:spacing w:after="0"/>
              <w:rPr>
                <w:sz w:val="21"/>
                <w:szCs w:val="21"/>
                <w:color w:val="auto"/>
              </w:rPr>
            </w:pPr>
          </w:p>
        </w:tc>
        <w:tc>
          <w:tcPr>
            <w:tcW w:w="32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9,627</w:t>
            </w:r>
          </w:p>
        </w:tc>
        <w:tc>
          <w:tcPr>
            <w:tcW w:w="10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21,517</w:t>
            </w:r>
          </w:p>
        </w:tc>
        <w:tc>
          <w:tcPr>
            <w:tcW w:w="60" w:type="dxa"/>
            <w:vAlign w:val="bottom"/>
            <w:shd w:val="clear" w:color="auto" w:fill="F0FFFF"/>
          </w:tcPr>
          <w:p>
            <w:pPr>
              <w:spacing w:after="0"/>
              <w:rPr>
                <w:sz w:val="21"/>
                <w:szCs w:val="21"/>
                <w:color w:val="auto"/>
              </w:rPr>
            </w:pPr>
          </w:p>
        </w:tc>
        <w:tc>
          <w:tcPr>
            <w:tcW w:w="34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18,665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tcBorders>
              <w:top w:val="single" w:sz="8" w:color="F0FFFF"/>
            </w:tcBorders>
            <w:gridSpan w:val="2"/>
          </w:tcPr>
          <w:p>
            <w:pPr>
              <w:ind w:left="30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17,813</w:t>
            </w:r>
          </w:p>
        </w:tc>
        <w:tc>
          <w:tcPr>
            <w:tcW w:w="240" w:type="dxa"/>
            <w:vAlign w:val="bottom"/>
            <w:tcBorders>
              <w:top w:val="single" w:sz="8" w:color="F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16,357</w:t>
            </w:r>
          </w:p>
        </w:tc>
        <w:tc>
          <w:tcPr>
            <w:tcW w:w="14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35,483</w:t>
            </w:r>
          </w:p>
        </w:tc>
        <w:tc>
          <w:tcPr>
            <w:tcW w:w="14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31,757</w:t>
            </w: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Preferred stock dividends and discount accretion</w:t>
            </w:r>
          </w:p>
        </w:tc>
        <w:tc>
          <w:tcPr>
            <w:tcW w:w="260" w:type="dxa"/>
            <w:vAlign w:val="bottom"/>
            <w:shd w:val="clear" w:color="auto" w:fill="F0FFFF"/>
          </w:tcPr>
          <w:p>
            <w:pPr>
              <w:spacing w:after="0"/>
              <w:rPr>
                <w:sz w:val="21"/>
                <w:szCs w:val="21"/>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F0FFFF"/>
          </w:tcPr>
          <w:p>
            <w:pPr>
              <w:spacing w:after="0"/>
              <w:rPr>
                <w:sz w:val="21"/>
                <w:szCs w:val="21"/>
                <w:color w:val="auto"/>
              </w:rPr>
            </w:pPr>
          </w:p>
        </w:tc>
        <w:tc>
          <w:tcPr>
            <w:tcW w:w="32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17</w:t>
            </w:r>
          </w:p>
        </w:tc>
        <w:tc>
          <w:tcPr>
            <w:tcW w:w="60" w:type="dxa"/>
            <w:vAlign w:val="bottom"/>
            <w:shd w:val="clear" w:color="auto" w:fill="F0FFFF"/>
          </w:tcPr>
          <w:p>
            <w:pPr>
              <w:spacing w:after="0"/>
              <w:rPr>
                <w:sz w:val="21"/>
                <w:szCs w:val="21"/>
                <w:color w:val="auto"/>
              </w:rPr>
            </w:pPr>
          </w:p>
        </w:tc>
        <w:tc>
          <w:tcPr>
            <w:tcW w:w="34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Borders>
              <w:top w:val="single" w:sz="8" w:color="F0FFFF"/>
            </w:tcBorders>
            <w:gridSpan w:val="2"/>
          </w:tcPr>
          <w:p>
            <w:pPr>
              <w:ind w:left="300"/>
              <w:spacing w:after="0" w:line="203" w:lineRule="exact"/>
              <w:rPr>
                <w:sz w:val="20"/>
                <w:szCs w:val="20"/>
                <w:color w:val="auto"/>
              </w:rPr>
            </w:pPr>
            <w:r>
              <w:rPr>
                <w:rFonts w:ascii="Arial" w:cs="Arial" w:eastAsia="Arial" w:hAnsi="Arial"/>
                <w:sz w:val="18"/>
                <w:szCs w:val="18"/>
                <w:b w:val="1"/>
                <w:bCs w:val="1"/>
                <w:color w:val="auto"/>
              </w:rPr>
              <w:t>Net income available to common shareholders</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17,796</w:t>
            </w:r>
          </w:p>
        </w:tc>
        <w:tc>
          <w:tcPr>
            <w:tcW w:w="240" w:type="dxa"/>
            <w:vAlign w:val="bottom"/>
            <w:tcBorders>
              <w:top w:val="single" w:sz="8" w:color="F0FFFF"/>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16,357</w:t>
            </w:r>
          </w:p>
        </w:tc>
        <w:tc>
          <w:tcPr>
            <w:tcW w:w="14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35,466</w:t>
            </w:r>
          </w:p>
        </w:tc>
        <w:tc>
          <w:tcPr>
            <w:tcW w:w="140" w:type="dxa"/>
            <w:vAlign w:val="bottom"/>
            <w:tcBorders>
              <w:top w:val="single" w:sz="8" w:color="F0FFFF"/>
            </w:tcBorders>
          </w:tcPr>
          <w:p>
            <w:pPr>
              <w:spacing w:after="0"/>
              <w:rPr>
                <w:sz w:val="17"/>
                <w:szCs w:val="17"/>
                <w:color w:val="auto"/>
              </w:rPr>
            </w:pPr>
          </w:p>
        </w:tc>
        <w:tc>
          <w:tcPr>
            <w:tcW w:w="60" w:type="dxa"/>
            <w:vAlign w:val="bottom"/>
            <w:tcBorders>
              <w:top w:val="single" w:sz="8" w:color="F0FF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31,318</w:t>
            </w:r>
          </w:p>
        </w:tc>
        <w:tc>
          <w:tcPr>
            <w:tcW w:w="10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Earnings per common share: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F0FFFF"/>
          </w:tcPr>
          <w:p>
            <w:pPr>
              <w:spacing w:after="0"/>
              <w:rPr>
                <w:sz w:val="21"/>
                <w:szCs w:val="21"/>
                <w:color w:val="auto"/>
              </w:rPr>
            </w:pPr>
          </w:p>
        </w:tc>
        <w:tc>
          <w:tcPr>
            <w:tcW w:w="320" w:type="dxa"/>
            <w:vAlign w:val="bottom"/>
            <w:shd w:val="clear" w:color="auto" w:fill="F0FFFF"/>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.27</w:t>
            </w:r>
          </w:p>
        </w:tc>
        <w:tc>
          <w:tcPr>
            <w:tcW w:w="360" w:type="dxa"/>
            <w:vAlign w:val="bottom"/>
            <w:gridSpan w:val="2"/>
            <w:shd w:val="clear" w:color="auto" w:fill="F0FF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.57</w:t>
            </w:r>
          </w:p>
        </w:tc>
        <w:tc>
          <w:tcPr>
            <w:tcW w:w="400" w:type="dxa"/>
            <w:vAlign w:val="bottom"/>
            <w:gridSpan w:val="2"/>
            <w:shd w:val="clear" w:color="auto" w:fill="F0FF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62,549</w:t>
            </w:r>
          </w:p>
        </w:tc>
        <w:tc>
          <w:tcPr>
            <w:tcW w:w="3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60,712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61,730</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60,386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62,553</w:t>
            </w:r>
          </w:p>
        </w:tc>
        <w:tc>
          <w:tcPr>
            <w:tcW w:w="32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60,714</w:t>
            </w:r>
          </w:p>
        </w:tc>
        <w:tc>
          <w:tcPr>
            <w:tcW w:w="10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61,734</w:t>
            </w:r>
          </w:p>
        </w:tc>
        <w:tc>
          <w:tcPr>
            <w:tcW w:w="60" w:type="dxa"/>
            <w:vAlign w:val="bottom"/>
            <w:shd w:val="clear" w:color="auto" w:fill="F0FFFF"/>
          </w:tcPr>
          <w:p>
            <w:pPr>
              <w:spacing w:after="0"/>
              <w:rPr>
                <w:sz w:val="21"/>
                <w:szCs w:val="21"/>
                <w:color w:val="auto"/>
              </w:rPr>
            </w:pPr>
          </w:p>
        </w:tc>
        <w:tc>
          <w:tcPr>
            <w:tcW w:w="34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60,388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877" w:right="239" w:bottom="0" w:gutter="0" w:footer="0" w:header="0"/>
        </w:sectPr>
      </w:pPr>
    </w:p>
    <w:bookmarkStart w:id="3" w:name="page4"/>
    <w:bookmarkEnd w:id="3"/>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Comprehensive Income </w:t>
      </w:r>
      <w:r>
        <w:rPr>
          <w:rFonts w:ascii="Arial" w:cs="Arial" w:eastAsia="Arial" w:hAnsi="Arial"/>
          <w:sz w:val="18"/>
          <w:szCs w:val="18"/>
          <w:i w:val="1"/>
          <w:i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Borders>
              <w:top w:val="single" w:sz="8" w:color="auto"/>
            </w:tcBorders>
            <w:gridSpan w:val="3"/>
          </w:tcPr>
          <w:p>
            <w:pPr>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Borders>
              <w:top w:val="single" w:sz="8" w:color="auto"/>
            </w:tcBorders>
          </w:tcPr>
          <w:p>
            <w:pPr>
              <w:spacing w:after="0"/>
              <w:rPr>
                <w:sz w:val="20"/>
                <w:szCs w:val="20"/>
                <w:color w:val="auto"/>
              </w:rPr>
            </w:pPr>
          </w:p>
        </w:tc>
        <w:tc>
          <w:tcPr>
            <w:tcW w:w="3260" w:type="dxa"/>
            <w:vAlign w:val="bottom"/>
            <w:tcBorders>
              <w:top w:val="single" w:sz="8" w:color="auto"/>
            </w:tcBorders>
            <w:gridSpan w:val="7"/>
          </w:tcPr>
          <w:p>
            <w:pPr>
              <w:jc w:val="center"/>
              <w:ind w:right="10"/>
              <w:spacing w:after="0"/>
              <w:rPr>
                <w:sz w:val="20"/>
                <w:szCs w:val="20"/>
                <w:color w:val="auto"/>
              </w:rPr>
            </w:pPr>
            <w:r>
              <w:rPr>
                <w:rFonts w:ascii="Arial" w:cs="Arial" w:eastAsia="Arial" w:hAnsi="Arial"/>
                <w:sz w:val="18"/>
                <w:szCs w:val="18"/>
                <w:b w:val="1"/>
                <w:bCs w:val="1"/>
                <w:color w:val="auto"/>
                <w:w w:val="90"/>
              </w:rPr>
              <w:t>Three Months Ended June 30,</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180" w:type="dxa"/>
            <w:vAlign w:val="bottom"/>
            <w:tcBorders>
              <w:top w:val="single" w:sz="8" w:color="auto"/>
            </w:tcBorders>
            <w:gridSpan w:val="10"/>
          </w:tcPr>
          <w:p>
            <w:pPr>
              <w:jc w:val="center"/>
              <w:ind w:right="40"/>
              <w:spacing w:after="0"/>
              <w:rPr>
                <w:sz w:val="20"/>
                <w:szCs w:val="20"/>
                <w:color w:val="auto"/>
              </w:rPr>
            </w:pPr>
            <w:r>
              <w:rPr>
                <w:rFonts w:ascii="Arial" w:cs="Arial" w:eastAsia="Arial" w:hAnsi="Arial"/>
                <w:sz w:val="18"/>
                <w:szCs w:val="18"/>
                <w:b w:val="1"/>
                <w:bCs w:val="1"/>
                <w:color w:val="auto"/>
                <w:w w:val="90"/>
              </w:rPr>
              <w:t>Six Months Ended June 30,</w:t>
            </w:r>
          </w:p>
        </w:tc>
        <w:tc>
          <w:tcPr>
            <w:tcW w:w="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0"/>
              </w:rPr>
              <w:t>Tax</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4"/>
          </w:tcPr>
          <w:p>
            <w:pPr>
              <w:jc w:val="center"/>
              <w:ind w:right="270"/>
              <w:spacing w:after="0" w:line="198" w:lineRule="exact"/>
              <w:rPr>
                <w:sz w:val="20"/>
                <w:szCs w:val="20"/>
                <w:color w:val="auto"/>
              </w:rPr>
            </w:pPr>
            <w:r>
              <w:rPr>
                <w:rFonts w:ascii="Arial" w:cs="Arial" w:eastAsia="Arial" w:hAnsi="Arial"/>
                <w:sz w:val="18"/>
                <w:szCs w:val="18"/>
                <w:b w:val="1"/>
                <w:bCs w:val="1"/>
                <w:color w:val="auto"/>
                <w:w w:val="90"/>
              </w:rPr>
              <w:t>Tax</w:t>
            </w:r>
          </w:p>
        </w:tc>
        <w:tc>
          <w:tcPr>
            <w:tcW w:w="9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Before-tax</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Net of Tax</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7"/>
              </w:rPr>
              <w:t>Before-tax</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88"/>
              </w:rPr>
              <w:t>(Expense)</w:t>
            </w:r>
          </w:p>
        </w:tc>
        <w:tc>
          <w:tcPr>
            <w:tcW w:w="9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Net of Tax</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Benefit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1"/>
              </w:rPr>
              <w:t>Benefit</w:t>
            </w:r>
          </w:p>
        </w:tc>
        <w:tc>
          <w:tcPr>
            <w:tcW w:w="9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28,937</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(11,124) $</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17,813</w:t>
            </w: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57,000</w:t>
            </w:r>
          </w:p>
        </w:tc>
        <w:tc>
          <w:tcPr>
            <w:tcW w:w="1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4"/>
            <w:shd w:val="clear" w:color="auto" w:fill="F0FFFF"/>
          </w:tcPr>
          <w:p>
            <w:pPr>
              <w:jc w:val="right"/>
              <w:spacing w:after="0"/>
              <w:rPr>
                <w:sz w:val="20"/>
                <w:szCs w:val="20"/>
                <w:color w:val="auto"/>
              </w:rPr>
            </w:pPr>
            <w:r>
              <w:rPr>
                <w:rFonts w:ascii="Arial" w:cs="Arial" w:eastAsia="Arial" w:hAnsi="Arial"/>
                <w:sz w:val="18"/>
                <w:szCs w:val="18"/>
                <w:color w:val="auto"/>
              </w:rPr>
              <w:t>(21,517) $</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35,483</w:t>
            </w:r>
          </w:p>
        </w:tc>
        <w:tc>
          <w:tcPr>
            <w:tcW w:w="2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w w:val="96"/>
              </w:rPr>
              <w:t>Unrealized gains (losses) on available-for-sale securities:</w:t>
            </w:r>
          </w:p>
        </w:tc>
        <w:tc>
          <w:tcPr>
            <w:tcW w:w="100" w:type="dxa"/>
            <w:vAlign w:val="bottom"/>
            <w:shd w:val="clear" w:color="auto" w:fill="F0FFFF"/>
          </w:tcPr>
          <w:p>
            <w:pPr>
              <w:spacing w:after="0"/>
              <w:rPr>
                <w:sz w:val="21"/>
                <w:szCs w:val="21"/>
                <w:color w:val="auto"/>
              </w:rPr>
            </w:pPr>
          </w:p>
        </w:tc>
        <w:tc>
          <w:tcPr>
            <w:tcW w:w="94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9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9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92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9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2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920" w:type="dxa"/>
            <w:vAlign w:val="bottom"/>
            <w:shd w:val="clear" w:color="auto" w:fill="F0FFFF"/>
          </w:tcPr>
          <w:p>
            <w:pPr>
              <w:spacing w:after="0"/>
              <w:rPr>
                <w:sz w:val="21"/>
                <w:szCs w:val="21"/>
                <w:color w:val="auto"/>
              </w:rPr>
            </w:pPr>
          </w:p>
        </w:tc>
        <w:tc>
          <w:tcPr>
            <w:tcW w:w="2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tcPr>
          <w:p>
            <w:pPr>
              <w:ind w:left="300"/>
              <w:spacing w:after="0"/>
              <w:rPr>
                <w:sz w:val="20"/>
                <w:szCs w:val="20"/>
                <w:color w:val="auto"/>
              </w:rPr>
            </w:pPr>
            <w:r>
              <w:rPr>
                <w:rFonts w:ascii="Arial" w:cs="Arial" w:eastAsia="Arial" w:hAnsi="Arial"/>
                <w:sz w:val="18"/>
                <w:szCs w:val="18"/>
                <w:color w:val="auto"/>
                <w:w w:val="97"/>
              </w:rPr>
              <w:t>Unrealized holding gains (losses) arising during period</w:t>
            </w:r>
          </w:p>
        </w:tc>
        <w:tc>
          <w:tcPr>
            <w:tcW w:w="1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(10,875)</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(6,843)</w:t>
            </w: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gridSpan w:val="2"/>
            <w:shd w:val="clear" w:color="auto" w:fill="F0FFFF"/>
          </w:tcPr>
          <w:p>
            <w:pPr>
              <w:ind w:left="300"/>
              <w:spacing w:after="0"/>
              <w:rPr>
                <w:sz w:val="20"/>
                <w:szCs w:val="20"/>
                <w:color w:val="auto"/>
              </w:rPr>
            </w:pPr>
            <w:r>
              <w:rPr>
                <w:rFonts w:ascii="Arial" w:cs="Arial" w:eastAsia="Arial" w:hAnsi="Arial"/>
                <w:sz w:val="18"/>
                <w:szCs w:val="18"/>
                <w:color w:val="auto"/>
              </w:rPr>
              <w:t>Reclassification adjustment for gains included in net</w:t>
            </w:r>
          </w:p>
        </w:tc>
        <w:tc>
          <w:tcPr>
            <w:tcW w:w="100" w:type="dxa"/>
            <w:vAlign w:val="bottom"/>
            <w:shd w:val="clear" w:color="auto" w:fill="F0FFFF"/>
          </w:tcPr>
          <w:p>
            <w:pPr>
              <w:spacing w:after="0"/>
              <w:rPr>
                <w:sz w:val="19"/>
                <w:szCs w:val="19"/>
                <w:color w:val="auto"/>
              </w:rPr>
            </w:pPr>
          </w:p>
        </w:tc>
        <w:tc>
          <w:tcPr>
            <w:tcW w:w="940" w:type="dxa"/>
            <w:vAlign w:val="bottom"/>
            <w:vMerge w:val="restart"/>
            <w:shd w:val="clear" w:color="auto" w:fill="F0FFFF"/>
          </w:tcPr>
          <w:p>
            <w:pPr>
              <w:jc w:val="right"/>
              <w:spacing w:after="0"/>
              <w:rPr>
                <w:sz w:val="20"/>
                <w:szCs w:val="20"/>
                <w:color w:val="auto"/>
              </w:rPr>
            </w:pPr>
            <w:r>
              <w:rPr>
                <w:rFonts w:ascii="Arial" w:cs="Arial" w:eastAsia="Arial" w:hAnsi="Arial"/>
                <w:sz w:val="18"/>
                <w:szCs w:val="18"/>
                <w:color w:val="auto"/>
              </w:rPr>
              <w:t>(13</w:t>
            </w:r>
          </w:p>
        </w:tc>
        <w:tc>
          <w:tcPr>
            <w:tcW w:w="12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F0FFFF"/>
          </w:tcPr>
          <w:p>
            <w:pPr>
              <w:spacing w:after="0"/>
              <w:rPr>
                <w:sz w:val="19"/>
                <w:szCs w:val="19"/>
                <w:color w:val="auto"/>
              </w:rPr>
            </w:pPr>
          </w:p>
        </w:tc>
        <w:tc>
          <w:tcPr>
            <w:tcW w:w="920" w:type="dxa"/>
            <w:vAlign w:val="bottom"/>
            <w:vMerge w:val="restart"/>
            <w:shd w:val="clear" w:color="auto" w:fill="F0FF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920" w:type="dxa"/>
            <w:vAlign w:val="bottom"/>
            <w:vMerge w:val="restart"/>
            <w:shd w:val="clear" w:color="auto" w:fill="F0FFFF"/>
          </w:tcPr>
          <w:p>
            <w:pPr>
              <w:jc w:val="right"/>
              <w:spacing w:after="0"/>
              <w:rPr>
                <w:sz w:val="20"/>
                <w:szCs w:val="20"/>
                <w:color w:val="auto"/>
              </w:rPr>
            </w:pPr>
            <w:r>
              <w:rPr>
                <w:rFonts w:ascii="Arial" w:cs="Arial" w:eastAsia="Arial" w:hAnsi="Arial"/>
                <w:sz w:val="18"/>
                <w:szCs w:val="18"/>
                <w:color w:val="auto"/>
              </w:rPr>
              <w:t>(8</w:t>
            </w:r>
          </w:p>
        </w:tc>
        <w:tc>
          <w:tcPr>
            <w:tcW w:w="12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F0FFFF"/>
          </w:tcPr>
          <w:p>
            <w:pPr>
              <w:spacing w:after="0"/>
              <w:rPr>
                <w:sz w:val="19"/>
                <w:szCs w:val="19"/>
                <w:color w:val="auto"/>
              </w:rPr>
            </w:pPr>
          </w:p>
        </w:tc>
        <w:tc>
          <w:tcPr>
            <w:tcW w:w="1000" w:type="dxa"/>
            <w:vAlign w:val="bottom"/>
            <w:gridSpan w:val="2"/>
            <w:vMerge w:val="restart"/>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020" w:type="dxa"/>
            <w:vAlign w:val="bottom"/>
            <w:gridSpan w:val="2"/>
            <w:vMerge w:val="restart"/>
            <w:shd w:val="clear" w:color="auto" w:fill="F0FFFF"/>
          </w:tcPr>
          <w:p>
            <w:pPr>
              <w:jc w:val="right"/>
              <w:ind w:right="21"/>
              <w:spacing w:after="0"/>
              <w:rPr>
                <w:sz w:val="20"/>
                <w:szCs w:val="20"/>
                <w:color w:val="auto"/>
              </w:rPr>
            </w:pPr>
            <w:r>
              <w:rPr>
                <w:rFonts w:ascii="Arial" w:cs="Arial" w:eastAsia="Arial" w:hAnsi="Arial"/>
                <w:sz w:val="18"/>
                <w:szCs w:val="18"/>
                <w:color w:val="auto"/>
              </w:rPr>
              <w:t>603</w:t>
            </w:r>
          </w:p>
        </w:tc>
        <w:tc>
          <w:tcPr>
            <w:tcW w:w="2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920" w:type="dxa"/>
            <w:vAlign w:val="bottom"/>
            <w:vMerge w:val="restart"/>
            <w:shd w:val="clear" w:color="auto" w:fill="F0FFFF"/>
          </w:tcPr>
          <w:p>
            <w:pPr>
              <w:jc w:val="right"/>
              <w:spacing w:after="0"/>
              <w:rPr>
                <w:sz w:val="20"/>
                <w:szCs w:val="20"/>
                <w:color w:val="auto"/>
              </w:rPr>
            </w:pPr>
            <w:r>
              <w:rPr>
                <w:rFonts w:ascii="Arial" w:cs="Arial" w:eastAsia="Arial" w:hAnsi="Arial"/>
                <w:sz w:val="18"/>
                <w:szCs w:val="18"/>
                <w:color w:val="auto"/>
              </w:rPr>
              <w:t>(949</w:t>
            </w:r>
          </w:p>
        </w:tc>
        <w:tc>
          <w:tcPr>
            <w:tcW w:w="20" w:type="dxa"/>
            <w:vAlign w:val="bottom"/>
            <w:shd w:val="clear" w:color="auto" w:fill="F0FFFF"/>
          </w:tcPr>
          <w:p>
            <w:pPr>
              <w:spacing w:after="0"/>
              <w:rPr>
                <w:sz w:val="19"/>
                <w:szCs w:val="19"/>
                <w:color w:val="auto"/>
              </w:rPr>
            </w:pPr>
          </w:p>
        </w:tc>
        <w:tc>
          <w:tcPr>
            <w:tcW w:w="80" w:type="dxa"/>
            <w:vAlign w:val="bottom"/>
            <w:vMerge w:val="restart"/>
            <w:shd w:val="clear" w:color="auto" w:fill="F0FF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2"/>
            <w:vMerge w:val="restart"/>
            <w:shd w:val="clear" w:color="auto" w:fill="F0FFFF"/>
          </w:tcPr>
          <w:p>
            <w:pPr>
              <w:ind w:left="460"/>
              <w:spacing w:after="0"/>
              <w:rPr>
                <w:sz w:val="20"/>
                <w:szCs w:val="20"/>
                <w:color w:val="auto"/>
              </w:rPr>
            </w:pPr>
            <w:r>
              <w:rPr>
                <w:rFonts w:ascii="Arial" w:cs="Arial" w:eastAsia="Arial" w:hAnsi="Arial"/>
                <w:sz w:val="18"/>
                <w:szCs w:val="18"/>
                <w:color w:val="auto"/>
              </w:rPr>
              <w:t>income</w:t>
            </w:r>
          </w:p>
        </w:tc>
        <w:tc>
          <w:tcPr>
            <w:tcW w:w="100" w:type="dxa"/>
            <w:vAlign w:val="bottom"/>
            <w:shd w:val="clear" w:color="auto" w:fill="F0FFFF"/>
          </w:tcPr>
          <w:p>
            <w:pPr>
              <w:spacing w:after="0"/>
              <w:rPr>
                <w:sz w:val="12"/>
                <w:szCs w:val="12"/>
                <w:color w:val="auto"/>
              </w:rPr>
            </w:pPr>
          </w:p>
        </w:tc>
        <w:tc>
          <w:tcPr>
            <w:tcW w:w="940" w:type="dxa"/>
            <w:vAlign w:val="bottom"/>
            <w:vMerge w:val="continue"/>
            <w:shd w:val="clear" w:color="auto" w:fill="F0FFFF"/>
          </w:tcPr>
          <w:p>
            <w:pPr>
              <w:spacing w:after="0"/>
              <w:rPr>
                <w:sz w:val="12"/>
                <w:szCs w:val="12"/>
                <w:color w:val="auto"/>
              </w:rPr>
            </w:pPr>
          </w:p>
        </w:tc>
        <w:tc>
          <w:tcPr>
            <w:tcW w:w="120" w:type="dxa"/>
            <w:vAlign w:val="bottom"/>
            <w:vMerge w:val="continue"/>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920" w:type="dxa"/>
            <w:vAlign w:val="bottom"/>
            <w:vMerge w:val="continue"/>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920" w:type="dxa"/>
            <w:vAlign w:val="bottom"/>
            <w:vMerge w:val="continue"/>
            <w:shd w:val="clear" w:color="auto" w:fill="F0FFFF"/>
          </w:tcPr>
          <w:p>
            <w:pPr>
              <w:spacing w:after="0"/>
              <w:rPr>
                <w:sz w:val="12"/>
                <w:szCs w:val="12"/>
                <w:color w:val="auto"/>
              </w:rPr>
            </w:pPr>
          </w:p>
        </w:tc>
        <w:tc>
          <w:tcPr>
            <w:tcW w:w="120" w:type="dxa"/>
            <w:vAlign w:val="bottom"/>
            <w:vMerge w:val="continue"/>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0" w:type="dxa"/>
            <w:vAlign w:val="bottom"/>
            <w:gridSpan w:val="2"/>
            <w:vMerge w:val="continue"/>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20" w:type="dxa"/>
            <w:vAlign w:val="bottom"/>
            <w:gridSpan w:val="2"/>
            <w:vMerge w:val="continue"/>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20" w:type="dxa"/>
            <w:vAlign w:val="bottom"/>
            <w:vMerge w:val="continue"/>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0" w:type="dxa"/>
            <w:vAlign w:val="bottom"/>
            <w:vMerge w:val="continue"/>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560" w:type="dxa"/>
            <w:vAlign w:val="bottom"/>
            <w:gridSpan w:val="2"/>
            <w:vMerge w:val="continue"/>
            <w:shd w:val="clear" w:color="auto" w:fill="F0FFFF"/>
          </w:tcPr>
          <w:p>
            <w:pPr>
              <w:spacing w:after="0"/>
              <w:rPr>
                <w:sz w:val="7"/>
                <w:szCs w:val="7"/>
                <w:color w:val="auto"/>
              </w:rPr>
            </w:pPr>
          </w:p>
        </w:tc>
        <w:tc>
          <w:tcPr>
            <w:tcW w:w="100" w:type="dxa"/>
            <w:vAlign w:val="bottom"/>
            <w:shd w:val="clear" w:color="auto" w:fill="F0FFFF"/>
          </w:tcPr>
          <w:p>
            <w:pPr>
              <w:spacing w:after="0"/>
              <w:rPr>
                <w:sz w:val="7"/>
                <w:szCs w:val="7"/>
                <w:color w:val="auto"/>
              </w:rPr>
            </w:pPr>
          </w:p>
        </w:tc>
        <w:tc>
          <w:tcPr>
            <w:tcW w:w="940" w:type="dxa"/>
            <w:vAlign w:val="bottom"/>
            <w:vMerge w:val="continue"/>
            <w:shd w:val="clear" w:color="auto" w:fill="F0FFFF"/>
          </w:tcPr>
          <w:p>
            <w:pPr>
              <w:spacing w:after="0"/>
              <w:rPr>
                <w:sz w:val="7"/>
                <w:szCs w:val="7"/>
                <w:color w:val="auto"/>
              </w:rPr>
            </w:pPr>
          </w:p>
        </w:tc>
        <w:tc>
          <w:tcPr>
            <w:tcW w:w="120" w:type="dxa"/>
            <w:vAlign w:val="bottom"/>
            <w:shd w:val="clear" w:color="auto" w:fill="F0FFFF"/>
          </w:tcPr>
          <w:p>
            <w:pPr>
              <w:spacing w:after="0"/>
              <w:rPr>
                <w:sz w:val="7"/>
                <w:szCs w:val="7"/>
                <w:color w:val="auto"/>
              </w:rPr>
            </w:pPr>
          </w:p>
        </w:tc>
        <w:tc>
          <w:tcPr>
            <w:tcW w:w="120" w:type="dxa"/>
            <w:vAlign w:val="bottom"/>
            <w:shd w:val="clear" w:color="auto" w:fill="F0FFFF"/>
          </w:tcPr>
          <w:p>
            <w:pPr>
              <w:spacing w:after="0"/>
              <w:rPr>
                <w:sz w:val="7"/>
                <w:szCs w:val="7"/>
                <w:color w:val="auto"/>
              </w:rPr>
            </w:pPr>
          </w:p>
        </w:tc>
        <w:tc>
          <w:tcPr>
            <w:tcW w:w="920" w:type="dxa"/>
            <w:vAlign w:val="bottom"/>
            <w:vMerge w:val="continue"/>
            <w:shd w:val="clear" w:color="auto" w:fill="F0FFFF"/>
          </w:tcPr>
          <w:p>
            <w:pPr>
              <w:spacing w:after="0"/>
              <w:rPr>
                <w:sz w:val="7"/>
                <w:szCs w:val="7"/>
                <w:color w:val="auto"/>
              </w:rPr>
            </w:pPr>
          </w:p>
        </w:tc>
        <w:tc>
          <w:tcPr>
            <w:tcW w:w="120" w:type="dxa"/>
            <w:vAlign w:val="bottom"/>
            <w:shd w:val="clear" w:color="auto" w:fill="F0FFFF"/>
          </w:tcPr>
          <w:p>
            <w:pPr>
              <w:spacing w:after="0"/>
              <w:rPr>
                <w:sz w:val="7"/>
                <w:szCs w:val="7"/>
                <w:color w:val="auto"/>
              </w:rPr>
            </w:pPr>
          </w:p>
        </w:tc>
        <w:tc>
          <w:tcPr>
            <w:tcW w:w="120" w:type="dxa"/>
            <w:vAlign w:val="bottom"/>
            <w:shd w:val="clear" w:color="auto" w:fill="F0FFFF"/>
          </w:tcPr>
          <w:p>
            <w:pPr>
              <w:spacing w:after="0"/>
              <w:rPr>
                <w:sz w:val="7"/>
                <w:szCs w:val="7"/>
                <w:color w:val="auto"/>
              </w:rPr>
            </w:pPr>
          </w:p>
        </w:tc>
        <w:tc>
          <w:tcPr>
            <w:tcW w:w="920" w:type="dxa"/>
            <w:vAlign w:val="bottom"/>
            <w:vMerge w:val="continue"/>
            <w:shd w:val="clear" w:color="auto" w:fill="F0FFFF"/>
          </w:tcPr>
          <w:p>
            <w:pPr>
              <w:spacing w:after="0"/>
              <w:rPr>
                <w:sz w:val="7"/>
                <w:szCs w:val="7"/>
                <w:color w:val="auto"/>
              </w:rPr>
            </w:pPr>
          </w:p>
        </w:tc>
        <w:tc>
          <w:tcPr>
            <w:tcW w:w="120" w:type="dxa"/>
            <w:vAlign w:val="bottom"/>
            <w:shd w:val="clear" w:color="auto" w:fill="F0FFFF"/>
          </w:tcPr>
          <w:p>
            <w:pPr>
              <w:spacing w:after="0"/>
              <w:rPr>
                <w:sz w:val="7"/>
                <w:szCs w:val="7"/>
                <w:color w:val="auto"/>
              </w:rPr>
            </w:pPr>
          </w:p>
        </w:tc>
        <w:tc>
          <w:tcPr>
            <w:tcW w:w="100" w:type="dxa"/>
            <w:vAlign w:val="bottom"/>
            <w:shd w:val="clear" w:color="auto" w:fill="F0FFFF"/>
          </w:tcPr>
          <w:p>
            <w:pPr>
              <w:spacing w:after="0"/>
              <w:rPr>
                <w:sz w:val="7"/>
                <w:szCs w:val="7"/>
                <w:color w:val="auto"/>
              </w:rPr>
            </w:pPr>
          </w:p>
        </w:tc>
        <w:tc>
          <w:tcPr>
            <w:tcW w:w="1000" w:type="dxa"/>
            <w:vAlign w:val="bottom"/>
            <w:gridSpan w:val="2"/>
            <w:shd w:val="clear" w:color="auto" w:fill="F0FFFF"/>
          </w:tcPr>
          <w:p>
            <w:pPr>
              <w:jc w:val="right"/>
              <w:spacing w:after="0" w:line="68" w:lineRule="exact"/>
              <w:rPr>
                <w:sz w:val="20"/>
                <w:szCs w:val="20"/>
                <w:color w:val="auto"/>
              </w:rPr>
            </w:pPr>
            <w:r>
              <w:rPr>
                <w:rFonts w:ascii="Arial" w:cs="Arial" w:eastAsia="Arial" w:hAnsi="Arial"/>
                <w:sz w:val="7"/>
                <w:szCs w:val="7"/>
                <w:color w:val="auto"/>
              </w:rPr>
              <w:t>(1,552</w:t>
            </w:r>
          </w:p>
        </w:tc>
        <w:tc>
          <w:tcPr>
            <w:tcW w:w="20" w:type="dxa"/>
            <w:vAlign w:val="bottom"/>
            <w:shd w:val="clear" w:color="auto" w:fill="F0FFFF"/>
          </w:tcPr>
          <w:p>
            <w:pPr>
              <w:spacing w:after="0"/>
              <w:rPr>
                <w:sz w:val="7"/>
                <w:szCs w:val="7"/>
                <w:color w:val="auto"/>
              </w:rPr>
            </w:pPr>
          </w:p>
        </w:tc>
        <w:tc>
          <w:tcPr>
            <w:tcW w:w="100" w:type="dxa"/>
            <w:vAlign w:val="bottom"/>
            <w:shd w:val="clear" w:color="auto" w:fill="F0FFFF"/>
          </w:tcPr>
          <w:p>
            <w:pPr>
              <w:spacing w:after="0"/>
              <w:rPr>
                <w:sz w:val="7"/>
                <w:szCs w:val="7"/>
                <w:color w:val="auto"/>
              </w:rPr>
            </w:pPr>
          </w:p>
        </w:tc>
        <w:tc>
          <w:tcPr>
            <w:tcW w:w="1020" w:type="dxa"/>
            <w:vAlign w:val="bottom"/>
            <w:gridSpan w:val="2"/>
            <w:vMerge w:val="continue"/>
            <w:shd w:val="clear" w:color="auto" w:fill="F0FFFF"/>
          </w:tcPr>
          <w:p>
            <w:pPr>
              <w:spacing w:after="0"/>
              <w:rPr>
                <w:sz w:val="7"/>
                <w:szCs w:val="7"/>
                <w:color w:val="auto"/>
              </w:rPr>
            </w:pPr>
          </w:p>
        </w:tc>
        <w:tc>
          <w:tcPr>
            <w:tcW w:w="20" w:type="dxa"/>
            <w:vAlign w:val="bottom"/>
            <w:shd w:val="clear" w:color="auto" w:fill="F0FFFF"/>
          </w:tcPr>
          <w:p>
            <w:pPr>
              <w:spacing w:after="0"/>
              <w:rPr>
                <w:sz w:val="7"/>
                <w:szCs w:val="7"/>
                <w:color w:val="auto"/>
              </w:rPr>
            </w:pPr>
          </w:p>
        </w:tc>
        <w:tc>
          <w:tcPr>
            <w:tcW w:w="80" w:type="dxa"/>
            <w:vAlign w:val="bottom"/>
            <w:shd w:val="clear" w:color="auto" w:fill="F0FFFF"/>
          </w:tcPr>
          <w:p>
            <w:pPr>
              <w:spacing w:after="0"/>
              <w:rPr>
                <w:sz w:val="7"/>
                <w:szCs w:val="7"/>
                <w:color w:val="auto"/>
              </w:rPr>
            </w:pPr>
          </w:p>
        </w:tc>
        <w:tc>
          <w:tcPr>
            <w:tcW w:w="920" w:type="dxa"/>
            <w:vAlign w:val="bottom"/>
            <w:vMerge w:val="continue"/>
            <w:shd w:val="clear" w:color="auto" w:fill="F0FFFF"/>
          </w:tcPr>
          <w:p>
            <w:pPr>
              <w:spacing w:after="0"/>
              <w:rPr>
                <w:sz w:val="7"/>
                <w:szCs w:val="7"/>
                <w:color w:val="auto"/>
              </w:rPr>
            </w:pPr>
          </w:p>
        </w:tc>
        <w:tc>
          <w:tcPr>
            <w:tcW w:w="20" w:type="dxa"/>
            <w:vAlign w:val="bottom"/>
            <w:shd w:val="clear" w:color="auto" w:fill="F0FFFF"/>
          </w:tcPr>
          <w:p>
            <w:pPr>
              <w:spacing w:after="0"/>
              <w:rPr>
                <w:sz w:val="7"/>
                <w:szCs w:val="7"/>
                <w:color w:val="auto"/>
              </w:rPr>
            </w:pPr>
          </w:p>
        </w:tc>
        <w:tc>
          <w:tcPr>
            <w:tcW w:w="80" w:type="dxa"/>
            <w:vAlign w:val="bottom"/>
            <w:shd w:val="clear" w:color="auto" w:fill="F0FFFF"/>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Borders>
              <w:top w:val="single" w:sz="8" w:color="F0FFFF"/>
            </w:tcBorders>
            <w:gridSpan w:val="2"/>
          </w:tcPr>
          <w:p>
            <w:pPr>
              <w:ind w:left="300"/>
              <w:spacing w:after="0"/>
              <w:rPr>
                <w:sz w:val="20"/>
                <w:szCs w:val="20"/>
                <w:color w:val="auto"/>
              </w:rPr>
            </w:pPr>
            <w:r>
              <w:rPr>
                <w:rFonts w:ascii="Arial" w:cs="Arial" w:eastAsia="Arial" w:hAnsi="Arial"/>
                <w:sz w:val="18"/>
                <w:szCs w:val="18"/>
                <w:color w:val="auto"/>
              </w:rPr>
              <w:t>Net unrealized gains (losses)</w:t>
            </w: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(10,888</w:t>
            </w:r>
          </w:p>
        </w:tc>
        <w:tc>
          <w:tcPr>
            <w:tcW w:w="12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4,037</w:t>
            </w: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(6,851</w:t>
            </w:r>
          </w:p>
        </w:tc>
        <w:tc>
          <w:tcPr>
            <w:tcW w:w="12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8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w w:val="94"/>
              </w:rPr>
              <w:t>Amortization of losses included in net income on available-</w:t>
            </w:r>
          </w:p>
        </w:tc>
        <w:tc>
          <w:tcPr>
            <w:tcW w:w="100" w:type="dxa"/>
            <w:vAlign w:val="bottom"/>
            <w:shd w:val="clear" w:color="auto" w:fill="F0FFFF"/>
          </w:tcPr>
          <w:p>
            <w:pPr>
              <w:spacing w:after="0"/>
              <w:rPr>
                <w:sz w:val="19"/>
                <w:szCs w:val="19"/>
                <w:color w:val="auto"/>
              </w:rPr>
            </w:pPr>
          </w:p>
        </w:tc>
        <w:tc>
          <w:tcPr>
            <w:tcW w:w="940" w:type="dxa"/>
            <w:vAlign w:val="bottom"/>
            <w:vMerge w:val="restart"/>
            <w:shd w:val="clear" w:color="auto" w:fill="F0FF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920" w:type="dxa"/>
            <w:vAlign w:val="bottom"/>
            <w:vMerge w:val="restart"/>
            <w:shd w:val="clear" w:color="auto" w:fill="F0FF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F0FFFF"/>
          </w:tcPr>
          <w:p>
            <w:pPr>
              <w:spacing w:after="0"/>
              <w:rPr>
                <w:sz w:val="19"/>
                <w:szCs w:val="19"/>
                <w:color w:val="auto"/>
              </w:rPr>
            </w:pPr>
          </w:p>
        </w:tc>
        <w:tc>
          <w:tcPr>
            <w:tcW w:w="920" w:type="dxa"/>
            <w:vAlign w:val="bottom"/>
            <w:vMerge w:val="restart"/>
            <w:shd w:val="clear" w:color="auto" w:fill="F0FF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000" w:type="dxa"/>
            <w:vAlign w:val="bottom"/>
            <w:gridSpan w:val="2"/>
            <w:vMerge w:val="restart"/>
            <w:shd w:val="clear" w:color="auto" w:fill="F0FFFF"/>
          </w:tcPr>
          <w:p>
            <w:pPr>
              <w:jc w:val="right"/>
              <w:spacing w:after="0"/>
              <w:rPr>
                <w:sz w:val="20"/>
                <w:szCs w:val="20"/>
                <w:color w:val="auto"/>
              </w:rPr>
            </w:pPr>
            <w:r>
              <w:rPr>
                <w:rFonts w:ascii="Arial" w:cs="Arial" w:eastAsia="Arial" w:hAnsi="Arial"/>
                <w:sz w:val="18"/>
                <w:szCs w:val="18"/>
                <w:color w:val="auto"/>
              </w:rPr>
              <w:t>773</w:t>
            </w:r>
          </w:p>
        </w:tc>
        <w:tc>
          <w:tcPr>
            <w:tcW w:w="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020" w:type="dxa"/>
            <w:vAlign w:val="bottom"/>
            <w:gridSpan w:val="2"/>
            <w:vMerge w:val="restart"/>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920" w:type="dxa"/>
            <w:vAlign w:val="bottom"/>
            <w:vMerge w:val="restart"/>
            <w:shd w:val="clear" w:color="auto" w:fill="F0FFFF"/>
          </w:tcPr>
          <w:p>
            <w:pPr>
              <w:jc w:val="right"/>
              <w:spacing w:after="0"/>
              <w:rPr>
                <w:sz w:val="20"/>
                <w:szCs w:val="20"/>
                <w:color w:val="auto"/>
              </w:rPr>
            </w:pPr>
            <w:r>
              <w:rPr>
                <w:rFonts w:ascii="Arial" w:cs="Arial" w:eastAsia="Arial" w:hAnsi="Arial"/>
                <w:sz w:val="18"/>
                <w:szCs w:val="18"/>
                <w:color w:val="auto"/>
              </w:rPr>
              <w:t>486</w:t>
            </w:r>
          </w:p>
        </w:tc>
        <w:tc>
          <w:tcPr>
            <w:tcW w:w="2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2"/>
            <w:vMerge w:val="restart"/>
            <w:shd w:val="clear" w:color="auto" w:fill="F0FFFF"/>
          </w:tcPr>
          <w:p>
            <w:pPr>
              <w:ind w:left="300"/>
              <w:spacing w:after="0"/>
              <w:rPr>
                <w:sz w:val="20"/>
                <w:szCs w:val="20"/>
                <w:color w:val="auto"/>
              </w:rPr>
            </w:pPr>
            <w:r>
              <w:rPr>
                <w:rFonts w:ascii="Arial" w:cs="Arial" w:eastAsia="Arial" w:hAnsi="Arial"/>
                <w:sz w:val="18"/>
                <w:szCs w:val="18"/>
                <w:color w:val="auto"/>
              </w:rPr>
              <w:t>for-sale securities transferred to held-to-maturity</w:t>
            </w:r>
          </w:p>
        </w:tc>
        <w:tc>
          <w:tcPr>
            <w:tcW w:w="100" w:type="dxa"/>
            <w:vAlign w:val="bottom"/>
            <w:shd w:val="clear" w:color="auto" w:fill="F0FFFF"/>
          </w:tcPr>
          <w:p>
            <w:pPr>
              <w:spacing w:after="0"/>
              <w:rPr>
                <w:sz w:val="12"/>
                <w:szCs w:val="12"/>
                <w:color w:val="auto"/>
              </w:rPr>
            </w:pPr>
          </w:p>
        </w:tc>
        <w:tc>
          <w:tcPr>
            <w:tcW w:w="940" w:type="dxa"/>
            <w:vAlign w:val="bottom"/>
            <w:vMerge w:val="continue"/>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920" w:type="dxa"/>
            <w:vAlign w:val="bottom"/>
            <w:vMerge w:val="continue"/>
            <w:shd w:val="clear" w:color="auto" w:fill="F0FFFF"/>
          </w:tcPr>
          <w:p>
            <w:pPr>
              <w:spacing w:after="0"/>
              <w:rPr>
                <w:sz w:val="12"/>
                <w:szCs w:val="12"/>
                <w:color w:val="auto"/>
              </w:rPr>
            </w:pPr>
          </w:p>
        </w:tc>
        <w:tc>
          <w:tcPr>
            <w:tcW w:w="120" w:type="dxa"/>
            <w:vAlign w:val="bottom"/>
            <w:vMerge w:val="continue"/>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920" w:type="dxa"/>
            <w:vAlign w:val="bottom"/>
            <w:vMerge w:val="continue"/>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0" w:type="dxa"/>
            <w:vAlign w:val="bottom"/>
            <w:gridSpan w:val="2"/>
            <w:vMerge w:val="continue"/>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20" w:type="dxa"/>
            <w:vAlign w:val="bottom"/>
            <w:gridSpan w:val="2"/>
            <w:vMerge w:val="continue"/>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20" w:type="dxa"/>
            <w:vAlign w:val="bottom"/>
            <w:vMerge w:val="continue"/>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560" w:type="dxa"/>
            <w:vAlign w:val="bottom"/>
            <w:gridSpan w:val="2"/>
            <w:vMerge w:val="continue"/>
            <w:shd w:val="clear" w:color="auto" w:fill="F0FFFF"/>
          </w:tcPr>
          <w:p>
            <w:pPr>
              <w:spacing w:after="0"/>
              <w:rPr>
                <w:sz w:val="7"/>
                <w:szCs w:val="7"/>
                <w:color w:val="auto"/>
              </w:rPr>
            </w:pPr>
          </w:p>
        </w:tc>
        <w:tc>
          <w:tcPr>
            <w:tcW w:w="100" w:type="dxa"/>
            <w:vAlign w:val="bottom"/>
            <w:shd w:val="clear" w:color="auto" w:fill="F0FFFF"/>
          </w:tcPr>
          <w:p>
            <w:pPr>
              <w:spacing w:after="0"/>
              <w:rPr>
                <w:sz w:val="7"/>
                <w:szCs w:val="7"/>
                <w:color w:val="auto"/>
              </w:rPr>
            </w:pPr>
          </w:p>
        </w:tc>
        <w:tc>
          <w:tcPr>
            <w:tcW w:w="940" w:type="dxa"/>
            <w:vAlign w:val="bottom"/>
            <w:vMerge w:val="continue"/>
            <w:shd w:val="clear" w:color="auto" w:fill="F0FFFF"/>
          </w:tcPr>
          <w:p>
            <w:pPr>
              <w:spacing w:after="0"/>
              <w:rPr>
                <w:sz w:val="7"/>
                <w:szCs w:val="7"/>
                <w:color w:val="auto"/>
              </w:rPr>
            </w:pPr>
          </w:p>
        </w:tc>
        <w:tc>
          <w:tcPr>
            <w:tcW w:w="120" w:type="dxa"/>
            <w:vAlign w:val="bottom"/>
            <w:shd w:val="clear" w:color="auto" w:fill="F0FFFF"/>
          </w:tcPr>
          <w:p>
            <w:pPr>
              <w:spacing w:after="0"/>
              <w:rPr>
                <w:sz w:val="7"/>
                <w:szCs w:val="7"/>
                <w:color w:val="auto"/>
              </w:rPr>
            </w:pPr>
          </w:p>
        </w:tc>
        <w:tc>
          <w:tcPr>
            <w:tcW w:w="120" w:type="dxa"/>
            <w:vAlign w:val="bottom"/>
            <w:shd w:val="clear" w:color="auto" w:fill="F0FFFF"/>
          </w:tcPr>
          <w:p>
            <w:pPr>
              <w:spacing w:after="0"/>
              <w:rPr>
                <w:sz w:val="7"/>
                <w:szCs w:val="7"/>
                <w:color w:val="auto"/>
              </w:rPr>
            </w:pPr>
          </w:p>
        </w:tc>
        <w:tc>
          <w:tcPr>
            <w:tcW w:w="920" w:type="dxa"/>
            <w:vAlign w:val="bottom"/>
            <w:vMerge w:val="continue"/>
            <w:shd w:val="clear" w:color="auto" w:fill="F0FFFF"/>
          </w:tcPr>
          <w:p>
            <w:pPr>
              <w:spacing w:after="0"/>
              <w:rPr>
                <w:sz w:val="7"/>
                <w:szCs w:val="7"/>
                <w:color w:val="auto"/>
              </w:rPr>
            </w:pPr>
          </w:p>
        </w:tc>
        <w:tc>
          <w:tcPr>
            <w:tcW w:w="120" w:type="dxa"/>
            <w:vAlign w:val="bottom"/>
            <w:shd w:val="clear" w:color="auto" w:fill="F0FFFF"/>
          </w:tcPr>
          <w:p>
            <w:pPr>
              <w:spacing w:after="0"/>
              <w:rPr>
                <w:sz w:val="7"/>
                <w:szCs w:val="7"/>
                <w:color w:val="auto"/>
              </w:rPr>
            </w:pPr>
          </w:p>
        </w:tc>
        <w:tc>
          <w:tcPr>
            <w:tcW w:w="120" w:type="dxa"/>
            <w:vAlign w:val="bottom"/>
            <w:shd w:val="clear" w:color="auto" w:fill="F0FFFF"/>
          </w:tcPr>
          <w:p>
            <w:pPr>
              <w:spacing w:after="0"/>
              <w:rPr>
                <w:sz w:val="7"/>
                <w:szCs w:val="7"/>
                <w:color w:val="auto"/>
              </w:rPr>
            </w:pPr>
          </w:p>
        </w:tc>
        <w:tc>
          <w:tcPr>
            <w:tcW w:w="920" w:type="dxa"/>
            <w:vAlign w:val="bottom"/>
            <w:vMerge w:val="continue"/>
            <w:shd w:val="clear" w:color="auto" w:fill="F0FFFF"/>
          </w:tcPr>
          <w:p>
            <w:pPr>
              <w:spacing w:after="0"/>
              <w:rPr>
                <w:sz w:val="7"/>
                <w:szCs w:val="7"/>
                <w:color w:val="auto"/>
              </w:rPr>
            </w:pPr>
          </w:p>
        </w:tc>
        <w:tc>
          <w:tcPr>
            <w:tcW w:w="120" w:type="dxa"/>
            <w:vAlign w:val="bottom"/>
            <w:shd w:val="clear" w:color="auto" w:fill="F0FFFF"/>
          </w:tcPr>
          <w:p>
            <w:pPr>
              <w:spacing w:after="0"/>
              <w:rPr>
                <w:sz w:val="7"/>
                <w:szCs w:val="7"/>
                <w:color w:val="auto"/>
              </w:rPr>
            </w:pPr>
          </w:p>
        </w:tc>
        <w:tc>
          <w:tcPr>
            <w:tcW w:w="100" w:type="dxa"/>
            <w:vAlign w:val="bottom"/>
            <w:shd w:val="clear" w:color="auto" w:fill="F0FFFF"/>
          </w:tcPr>
          <w:p>
            <w:pPr>
              <w:spacing w:after="0"/>
              <w:rPr>
                <w:sz w:val="7"/>
                <w:szCs w:val="7"/>
                <w:color w:val="auto"/>
              </w:rPr>
            </w:pPr>
          </w:p>
        </w:tc>
        <w:tc>
          <w:tcPr>
            <w:tcW w:w="1000" w:type="dxa"/>
            <w:vAlign w:val="bottom"/>
            <w:gridSpan w:val="2"/>
            <w:vMerge w:val="continue"/>
            <w:shd w:val="clear" w:color="auto" w:fill="F0FFFF"/>
          </w:tcPr>
          <w:p>
            <w:pPr>
              <w:spacing w:after="0"/>
              <w:rPr>
                <w:sz w:val="7"/>
                <w:szCs w:val="7"/>
                <w:color w:val="auto"/>
              </w:rPr>
            </w:pPr>
          </w:p>
        </w:tc>
        <w:tc>
          <w:tcPr>
            <w:tcW w:w="20" w:type="dxa"/>
            <w:vAlign w:val="bottom"/>
            <w:shd w:val="clear" w:color="auto" w:fill="F0FFFF"/>
          </w:tcPr>
          <w:p>
            <w:pPr>
              <w:spacing w:after="0"/>
              <w:rPr>
                <w:sz w:val="7"/>
                <w:szCs w:val="7"/>
                <w:color w:val="auto"/>
              </w:rPr>
            </w:pPr>
          </w:p>
        </w:tc>
        <w:tc>
          <w:tcPr>
            <w:tcW w:w="100" w:type="dxa"/>
            <w:vAlign w:val="bottom"/>
            <w:shd w:val="clear" w:color="auto" w:fill="F0FFFF"/>
          </w:tcPr>
          <w:p>
            <w:pPr>
              <w:spacing w:after="0"/>
              <w:rPr>
                <w:sz w:val="7"/>
                <w:szCs w:val="7"/>
                <w:color w:val="auto"/>
              </w:rPr>
            </w:pPr>
          </w:p>
        </w:tc>
        <w:tc>
          <w:tcPr>
            <w:tcW w:w="1020" w:type="dxa"/>
            <w:vAlign w:val="bottom"/>
            <w:gridSpan w:val="2"/>
            <w:shd w:val="clear" w:color="auto" w:fill="F0FFFF"/>
          </w:tcPr>
          <w:p>
            <w:pPr>
              <w:jc w:val="right"/>
              <w:ind w:right="21"/>
              <w:spacing w:after="0" w:line="68" w:lineRule="exact"/>
              <w:rPr>
                <w:sz w:val="20"/>
                <w:szCs w:val="20"/>
                <w:color w:val="auto"/>
              </w:rPr>
            </w:pPr>
            <w:r>
              <w:rPr>
                <w:rFonts w:ascii="Arial" w:cs="Arial" w:eastAsia="Arial" w:hAnsi="Arial"/>
                <w:sz w:val="7"/>
                <w:szCs w:val="7"/>
                <w:color w:val="auto"/>
              </w:rPr>
              <w:t>(287</w:t>
            </w:r>
          </w:p>
        </w:tc>
        <w:tc>
          <w:tcPr>
            <w:tcW w:w="20" w:type="dxa"/>
            <w:vAlign w:val="bottom"/>
            <w:shd w:val="clear" w:color="auto" w:fill="F0FFFF"/>
          </w:tcPr>
          <w:p>
            <w:pPr>
              <w:spacing w:after="0"/>
              <w:rPr>
                <w:sz w:val="7"/>
                <w:szCs w:val="7"/>
                <w:color w:val="auto"/>
              </w:rPr>
            </w:pPr>
          </w:p>
        </w:tc>
        <w:tc>
          <w:tcPr>
            <w:tcW w:w="80" w:type="dxa"/>
            <w:vAlign w:val="bottom"/>
            <w:shd w:val="clear" w:color="auto" w:fill="F0FFFF"/>
          </w:tcPr>
          <w:p>
            <w:pPr>
              <w:spacing w:after="0"/>
              <w:rPr>
                <w:sz w:val="7"/>
                <w:szCs w:val="7"/>
                <w:color w:val="auto"/>
              </w:rPr>
            </w:pPr>
          </w:p>
        </w:tc>
        <w:tc>
          <w:tcPr>
            <w:tcW w:w="920" w:type="dxa"/>
            <w:vAlign w:val="bottom"/>
            <w:vMerge w:val="continue"/>
            <w:shd w:val="clear" w:color="auto" w:fill="F0FFFF"/>
          </w:tcPr>
          <w:p>
            <w:pPr>
              <w:spacing w:after="0"/>
              <w:rPr>
                <w:sz w:val="7"/>
                <w:szCs w:val="7"/>
                <w:color w:val="auto"/>
              </w:rPr>
            </w:pPr>
          </w:p>
        </w:tc>
        <w:tc>
          <w:tcPr>
            <w:tcW w:w="20" w:type="dxa"/>
            <w:vAlign w:val="bottom"/>
            <w:shd w:val="clear" w:color="auto" w:fill="F0FFFF"/>
          </w:tcPr>
          <w:p>
            <w:pPr>
              <w:spacing w:after="0"/>
              <w:rPr>
                <w:sz w:val="7"/>
                <w:szCs w:val="7"/>
                <w:color w:val="auto"/>
              </w:rPr>
            </w:pPr>
          </w:p>
        </w:tc>
        <w:tc>
          <w:tcPr>
            <w:tcW w:w="80" w:type="dxa"/>
            <w:vAlign w:val="bottom"/>
            <w:shd w:val="clear" w:color="auto" w:fill="F0FFFF"/>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Borders>
              <w:top w:val="single" w:sz="8" w:color="F0FFFF"/>
            </w:tcBorders>
            <w:gridSpan w:val="2"/>
          </w:tcPr>
          <w:p>
            <w:pPr>
              <w:ind w:left="300"/>
              <w:spacing w:after="0"/>
              <w:rPr>
                <w:sz w:val="20"/>
                <w:szCs w:val="20"/>
                <w:color w:val="auto"/>
              </w:rPr>
            </w:pPr>
            <w:r>
              <w:rPr>
                <w:rFonts w:ascii="Arial" w:cs="Arial" w:eastAsia="Arial" w:hAnsi="Arial"/>
                <w:sz w:val="18"/>
                <w:szCs w:val="18"/>
                <w:color w:val="auto"/>
              </w:rPr>
              <w:t>Net unrealized gains</w:t>
            </w: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8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Amortization of losses included in net income on</w:t>
            </w:r>
          </w:p>
        </w:tc>
        <w:tc>
          <w:tcPr>
            <w:tcW w:w="100" w:type="dxa"/>
            <w:vAlign w:val="bottom"/>
            <w:shd w:val="clear" w:color="auto" w:fill="F0FFFF"/>
          </w:tcPr>
          <w:p>
            <w:pPr>
              <w:spacing w:after="0"/>
              <w:rPr>
                <w:sz w:val="19"/>
                <w:szCs w:val="19"/>
                <w:color w:val="auto"/>
              </w:rPr>
            </w:pPr>
          </w:p>
        </w:tc>
        <w:tc>
          <w:tcPr>
            <w:tcW w:w="94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9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9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92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9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2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920" w:type="dxa"/>
            <w:vAlign w:val="bottom"/>
            <w:shd w:val="clear" w:color="auto" w:fill="F0FFFF"/>
          </w:tcPr>
          <w:p>
            <w:pPr>
              <w:spacing w:after="0"/>
              <w:rPr>
                <w:sz w:val="19"/>
                <w:szCs w:val="19"/>
                <w:color w:val="auto"/>
              </w:rPr>
            </w:pPr>
          </w:p>
        </w:tc>
        <w:tc>
          <w:tcPr>
            <w:tcW w:w="2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F0FFFF"/>
          </w:tcPr>
          <w:p>
            <w:pPr>
              <w:ind w:left="300"/>
              <w:spacing w:after="0"/>
              <w:rPr>
                <w:sz w:val="20"/>
                <w:szCs w:val="20"/>
                <w:color w:val="auto"/>
              </w:rPr>
            </w:pPr>
            <w:r>
              <w:rPr>
                <w:rFonts w:ascii="Arial" w:cs="Arial" w:eastAsia="Arial" w:hAnsi="Arial"/>
                <w:sz w:val="18"/>
                <w:szCs w:val="18"/>
                <w:color w:val="auto"/>
              </w:rPr>
              <w:t>terminated derivative financial instruments that were</w:t>
            </w: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gridSpan w:val="2"/>
            <w:vMerge w:val="restart"/>
            <w:shd w:val="clear" w:color="auto" w:fill="F0FF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vMerge w:val="restart"/>
            <w:shd w:val="clear" w:color="auto" w:fill="F0FFFF"/>
          </w:tcPr>
          <w:p>
            <w:pPr>
              <w:jc w:val="right"/>
              <w:spacing w:after="0"/>
              <w:rPr>
                <w:sz w:val="20"/>
                <w:szCs w:val="20"/>
                <w:color w:val="auto"/>
              </w:rPr>
            </w:pPr>
            <w:r>
              <w:rPr>
                <w:rFonts w:ascii="Arial" w:cs="Arial" w:eastAsia="Arial" w:hAnsi="Arial"/>
                <w:sz w:val="18"/>
                <w:szCs w:val="18"/>
                <w:color w:val="auto"/>
              </w:rPr>
              <w:t>(342)</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shd w:val="clear" w:color="auto" w:fill="F0FFFF"/>
          </w:tcPr>
          <w:p>
            <w:pPr>
              <w:ind w:left="300"/>
              <w:spacing w:after="0"/>
              <w:rPr>
                <w:sz w:val="20"/>
                <w:szCs w:val="20"/>
                <w:color w:val="auto"/>
              </w:rPr>
            </w:pPr>
            <w:r>
              <w:rPr>
                <w:rFonts w:ascii="Arial" w:cs="Arial" w:eastAsia="Arial" w:hAnsi="Arial"/>
                <w:sz w:val="18"/>
                <w:szCs w:val="18"/>
                <w:color w:val="auto"/>
              </w:rPr>
              <w:t>previously accounted for as cash flow hedges</w:t>
            </w:r>
          </w:p>
        </w:tc>
        <w:tc>
          <w:tcPr>
            <w:tcW w:w="100" w:type="dxa"/>
            <w:vAlign w:val="bottom"/>
            <w:shd w:val="clear" w:color="auto" w:fill="F0FFFF"/>
          </w:tcPr>
          <w:p>
            <w:pPr>
              <w:spacing w:after="0"/>
              <w:rPr>
                <w:sz w:val="20"/>
                <w:szCs w:val="20"/>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40" w:type="dxa"/>
            <w:vAlign w:val="bottom"/>
            <w:gridSpan w:val="2"/>
            <w:vMerge w:val="continue"/>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880</w:t>
            </w:r>
          </w:p>
        </w:tc>
        <w:tc>
          <w:tcPr>
            <w:tcW w:w="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020" w:type="dxa"/>
            <w:vAlign w:val="bottom"/>
            <w:gridSpan w:val="2"/>
            <w:vMerge w:val="continue"/>
            <w:shd w:val="clear" w:color="auto" w:fill="F0FFFF"/>
          </w:tcPr>
          <w:p>
            <w:pPr>
              <w:spacing w:after="0"/>
              <w:rPr>
                <w:sz w:val="20"/>
                <w:szCs w:val="20"/>
                <w:color w:val="auto"/>
              </w:rPr>
            </w:pPr>
          </w:p>
        </w:tc>
        <w:tc>
          <w:tcPr>
            <w:tcW w:w="2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538</w:t>
            </w:r>
          </w:p>
        </w:tc>
        <w:tc>
          <w:tcPr>
            <w:tcW w:w="2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gridSpan w:val="2"/>
          </w:tcPr>
          <w:p>
            <w:pPr>
              <w:ind w:left="140"/>
              <w:spacing w:after="0"/>
              <w:rPr>
                <w:sz w:val="20"/>
                <w:szCs w:val="20"/>
                <w:color w:val="auto"/>
              </w:rPr>
            </w:pPr>
            <w:r>
              <w:rPr>
                <w:rFonts w:ascii="Arial" w:cs="Arial" w:eastAsia="Arial" w:hAnsi="Arial"/>
                <w:sz w:val="18"/>
                <w:szCs w:val="18"/>
                <w:color w:val="auto"/>
              </w:rPr>
              <w:t>Unrealized losses on derivative financial instruments</w:t>
            </w:r>
          </w:p>
        </w:tc>
        <w:tc>
          <w:tcPr>
            <w:tcW w:w="10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vMerge w:val="restart"/>
          </w:tcPr>
          <w:p>
            <w:pPr>
              <w:jc w:val="right"/>
              <w:ind w:right="21"/>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19"/>
                <w:szCs w:val="19"/>
                <w:color w:val="auto"/>
              </w:rPr>
            </w:pPr>
          </w:p>
        </w:tc>
        <w:tc>
          <w:tcPr>
            <w:tcW w:w="8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2"/>
            <w:vMerge w:val="restart"/>
          </w:tcPr>
          <w:p>
            <w:pPr>
              <w:ind w:left="300"/>
              <w:spacing w:after="0"/>
              <w:rPr>
                <w:sz w:val="20"/>
                <w:szCs w:val="20"/>
                <w:color w:val="auto"/>
              </w:rPr>
            </w:pPr>
            <w:r>
              <w:rPr>
                <w:rFonts w:ascii="Arial" w:cs="Arial" w:eastAsia="Arial" w:hAnsi="Arial"/>
                <w:sz w:val="18"/>
                <w:szCs w:val="18"/>
                <w:color w:val="auto"/>
              </w:rPr>
              <w:t>accounted for as cash flow hedges</w:t>
            </w: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5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tcPr>
          <w:p>
            <w:pPr>
              <w:jc w:val="right"/>
              <w:spacing w:after="0" w:line="68" w:lineRule="exact"/>
              <w:rPr>
                <w:sz w:val="20"/>
                <w:szCs w:val="20"/>
                <w:color w:val="auto"/>
              </w:rPr>
            </w:pPr>
            <w:r>
              <w:rPr>
                <w:rFonts w:ascii="Arial" w:cs="Arial" w:eastAsia="Arial" w:hAnsi="Arial"/>
                <w:sz w:val="7"/>
                <w:szCs w:val="7"/>
                <w:color w:val="auto"/>
              </w:rPr>
              <w:t>(471</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Borders>
              <w:top w:val="single" w:sz="8" w:color="F0FFFF"/>
            </w:tcBorders>
            <w:gridSpan w:val="2"/>
            <w:shd w:val="clear" w:color="auto" w:fill="F0FFFF"/>
          </w:tcPr>
          <w:p>
            <w:pPr>
              <w:ind w:left="300"/>
              <w:spacing w:after="0"/>
              <w:rPr>
                <w:sz w:val="20"/>
                <w:szCs w:val="20"/>
                <w:color w:val="auto"/>
              </w:rPr>
            </w:pPr>
            <w:r>
              <w:rPr>
                <w:rFonts w:ascii="Arial" w:cs="Arial" w:eastAsia="Arial" w:hAnsi="Arial"/>
                <w:sz w:val="18"/>
                <w:szCs w:val="18"/>
                <w:color w:val="auto"/>
              </w:rPr>
              <w:t>Net unrealized losses</w:t>
            </w:r>
          </w:p>
        </w:tc>
        <w:tc>
          <w:tcPr>
            <w:tcW w:w="100" w:type="dxa"/>
            <w:vAlign w:val="bottom"/>
            <w:tcBorders>
              <w:top w:val="single" w:sz="8" w:color="auto"/>
            </w:tcBorders>
            <w:shd w:val="clear" w:color="auto" w:fill="F0FFFF"/>
          </w:tcPr>
          <w:p>
            <w:pPr>
              <w:spacing w:after="0"/>
              <w:rPr>
                <w:sz w:val="19"/>
                <w:szCs w:val="19"/>
                <w:color w:val="auto"/>
              </w:rPr>
            </w:pPr>
          </w:p>
        </w:tc>
        <w:tc>
          <w:tcPr>
            <w:tcW w:w="9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Borders>
              <w:top w:val="single" w:sz="8" w:color="F0FFFF"/>
            </w:tcBorders>
            <w:shd w:val="clear" w:color="auto" w:fill="F0FFFF"/>
          </w:tcPr>
          <w:p>
            <w:pPr>
              <w:spacing w:after="0"/>
              <w:rPr>
                <w:sz w:val="19"/>
                <w:szCs w:val="19"/>
                <w:color w:val="auto"/>
              </w:rPr>
            </w:pPr>
          </w:p>
        </w:tc>
        <w:tc>
          <w:tcPr>
            <w:tcW w:w="120" w:type="dxa"/>
            <w:vAlign w:val="bottom"/>
            <w:tcBorders>
              <w:top w:val="single" w:sz="8" w:color="auto"/>
            </w:tcBorders>
            <w:shd w:val="clear" w:color="auto" w:fill="F0FFFF"/>
          </w:tcPr>
          <w:p>
            <w:pPr>
              <w:spacing w:after="0"/>
              <w:rPr>
                <w:sz w:val="19"/>
                <w:szCs w:val="19"/>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top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F0FFFF"/>
          </w:tcPr>
          <w:p>
            <w:pPr>
              <w:spacing w:after="0"/>
              <w:rPr>
                <w:sz w:val="19"/>
                <w:szCs w:val="19"/>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Borders>
              <w:top w:val="single" w:sz="8" w:color="F0FFFF"/>
            </w:tcBorders>
            <w:shd w:val="clear" w:color="auto" w:fill="F0FFFF"/>
          </w:tcPr>
          <w:p>
            <w:pPr>
              <w:spacing w:after="0"/>
              <w:rPr>
                <w:sz w:val="19"/>
                <w:szCs w:val="19"/>
                <w:color w:val="auto"/>
              </w:rPr>
            </w:pPr>
          </w:p>
        </w:tc>
        <w:tc>
          <w:tcPr>
            <w:tcW w:w="100" w:type="dxa"/>
            <w:vAlign w:val="bottom"/>
            <w:tcBorders>
              <w:top w:val="single" w:sz="8" w:color="auto"/>
            </w:tcBorders>
            <w:shd w:val="clear" w:color="auto" w:fill="F0FFFF"/>
          </w:tcPr>
          <w:p>
            <w:pPr>
              <w:spacing w:after="0"/>
              <w:rPr>
                <w:sz w:val="19"/>
                <w:szCs w:val="19"/>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409</w:t>
            </w:r>
          </w:p>
        </w:tc>
        <w:tc>
          <w:tcPr>
            <w:tcW w:w="80" w:type="dxa"/>
            <w:vAlign w:val="bottom"/>
            <w:tcBorders>
              <w:top w:val="single" w:sz="8" w:color="F0FFFF"/>
            </w:tcBorders>
            <w:shd w:val="clear" w:color="auto" w:fill="F0FFFF"/>
          </w:tcPr>
          <w:p>
            <w:pPr>
              <w:spacing w:after="0"/>
              <w:rPr>
                <w:sz w:val="19"/>
                <w:szCs w:val="19"/>
                <w:color w:val="auto"/>
              </w:rPr>
            </w:pPr>
          </w:p>
        </w:tc>
        <w:tc>
          <w:tcPr>
            <w:tcW w:w="20" w:type="dxa"/>
            <w:vAlign w:val="bottom"/>
            <w:tcBorders>
              <w:top w:val="single" w:sz="8" w:color="F0FFFF"/>
            </w:tcBorders>
            <w:shd w:val="clear" w:color="auto" w:fill="F0FFFF"/>
          </w:tcPr>
          <w:p>
            <w:pPr>
              <w:spacing w:after="0"/>
              <w:rPr>
                <w:sz w:val="19"/>
                <w:szCs w:val="19"/>
                <w:color w:val="auto"/>
              </w:rPr>
            </w:pPr>
          </w:p>
        </w:tc>
        <w:tc>
          <w:tcPr>
            <w:tcW w:w="100" w:type="dxa"/>
            <w:vAlign w:val="bottom"/>
            <w:tcBorders>
              <w:top w:val="single" w:sz="8" w:color="auto"/>
            </w:tcBorders>
            <w:shd w:val="clear" w:color="auto" w:fill="F0FFFF"/>
          </w:tcPr>
          <w:p>
            <w:pPr>
              <w:spacing w:after="0"/>
              <w:rPr>
                <w:sz w:val="19"/>
                <w:szCs w:val="19"/>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top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F0FFFF"/>
            </w:tcBorders>
            <w:shd w:val="clear" w:color="auto" w:fill="F0FFFF"/>
          </w:tcPr>
          <w:p>
            <w:pPr>
              <w:spacing w:after="0"/>
              <w:rPr>
                <w:sz w:val="19"/>
                <w:szCs w:val="19"/>
                <w:color w:val="auto"/>
              </w:rPr>
            </w:pPr>
          </w:p>
        </w:tc>
        <w:tc>
          <w:tcPr>
            <w:tcW w:w="80" w:type="dxa"/>
            <w:vAlign w:val="bottom"/>
            <w:tcBorders>
              <w:top w:val="single" w:sz="8" w:color="auto"/>
            </w:tcBorders>
            <w:shd w:val="clear" w:color="auto" w:fill="F0FFFF"/>
          </w:tcPr>
          <w:p>
            <w:pPr>
              <w:spacing w:after="0"/>
              <w:rPr>
                <w:sz w:val="19"/>
                <w:szCs w:val="19"/>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250</w:t>
            </w:r>
          </w:p>
        </w:tc>
        <w:tc>
          <w:tcPr>
            <w:tcW w:w="20" w:type="dxa"/>
            <w:vAlign w:val="bottom"/>
            <w:tcBorders>
              <w:top w:val="single" w:sz="8" w:color="F0FFFF"/>
            </w:tcBorders>
            <w:shd w:val="clear" w:color="auto" w:fill="F0FFFF"/>
          </w:tcPr>
          <w:p>
            <w:pPr>
              <w:spacing w:after="0"/>
              <w:rPr>
                <w:sz w:val="19"/>
                <w:szCs w:val="19"/>
                <w:color w:val="auto"/>
              </w:rPr>
            </w:pPr>
          </w:p>
        </w:tc>
        <w:tc>
          <w:tcPr>
            <w:tcW w:w="80" w:type="dxa"/>
            <w:vAlign w:val="bottom"/>
            <w:tcBorders>
              <w:top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gridSpan w:val="2"/>
          </w:tcPr>
          <w:p>
            <w:pPr>
              <w:ind w:left="140"/>
              <w:spacing w:after="0"/>
              <w:rPr>
                <w:sz w:val="20"/>
                <w:szCs w:val="20"/>
                <w:color w:val="auto"/>
              </w:rPr>
            </w:pPr>
            <w:r>
              <w:rPr>
                <w:rFonts w:ascii="Arial" w:cs="Arial" w:eastAsia="Arial" w:hAnsi="Arial"/>
                <w:sz w:val="18"/>
                <w:szCs w:val="18"/>
                <w:color w:val="auto"/>
              </w:rPr>
              <w:t>Amortization of prior service cost and actuarial losses</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ind w:left="300"/>
              <w:spacing w:after="0"/>
              <w:rPr>
                <w:sz w:val="20"/>
                <w:szCs w:val="20"/>
                <w:color w:val="auto"/>
              </w:rPr>
            </w:pPr>
            <w:r>
              <w:rPr>
                <w:rFonts w:ascii="Arial" w:cs="Arial" w:eastAsia="Arial" w:hAnsi="Arial"/>
                <w:sz w:val="18"/>
                <w:szCs w:val="18"/>
                <w:color w:val="auto"/>
                <w:w w:val="96"/>
              </w:rPr>
              <w:t>included in net periodic pension cost for defined benefit</w:t>
            </w:r>
          </w:p>
        </w:tc>
        <w:tc>
          <w:tcPr>
            <w:tcW w:w="10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(62</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318</w:t>
            </w:r>
          </w:p>
        </w:tc>
        <w:tc>
          <w:tcPr>
            <w:tcW w:w="8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2"/>
            <w:vMerge w:val="restart"/>
          </w:tcPr>
          <w:p>
            <w:pPr>
              <w:ind w:left="300"/>
              <w:spacing w:after="0"/>
              <w:rPr>
                <w:sz w:val="20"/>
                <w:szCs w:val="20"/>
                <w:color w:val="auto"/>
              </w:rPr>
            </w:pPr>
            <w:r>
              <w:rPr>
                <w:rFonts w:ascii="Arial" w:cs="Arial" w:eastAsia="Arial" w:hAnsi="Arial"/>
                <w:sz w:val="18"/>
                <w:szCs w:val="18"/>
                <w:color w:val="auto"/>
              </w:rPr>
              <w:t>pension plan</w:t>
            </w: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560" w:type="dxa"/>
            <w:vAlign w:val="bottom"/>
            <w:tcBorders>
              <w:bottom w:val="single" w:sz="8" w:color="F0FFFF"/>
            </w:tcBorders>
            <w:gridSpan w:val="2"/>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F0FF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F0FF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F0FF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F0FFFF"/>
            </w:tcBorders>
            <w:vMerge w:val="continue"/>
          </w:tcPr>
          <w:p>
            <w:pPr>
              <w:spacing w:after="0"/>
              <w:rPr>
                <w:sz w:val="6"/>
                <w:szCs w:val="6"/>
                <w:color w:val="auto"/>
              </w:rPr>
            </w:pPr>
          </w:p>
        </w:tc>
        <w:tc>
          <w:tcPr>
            <w:tcW w:w="20" w:type="dxa"/>
            <w:vAlign w:val="bottom"/>
            <w:tcBorders>
              <w:bottom w:val="single" w:sz="8" w:color="F0FF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jc w:val="right"/>
              <w:spacing w:after="0" w:line="68" w:lineRule="exact"/>
              <w:rPr>
                <w:sz w:val="20"/>
                <w:szCs w:val="20"/>
                <w:color w:val="auto"/>
              </w:rPr>
            </w:pPr>
            <w:r>
              <w:rPr>
                <w:rFonts w:ascii="Arial" w:cs="Arial" w:eastAsia="Arial" w:hAnsi="Arial"/>
                <w:sz w:val="7"/>
                <w:szCs w:val="7"/>
                <w:color w:val="auto"/>
              </w:rPr>
              <w:t>(124</w:t>
            </w:r>
          </w:p>
        </w:tc>
        <w:tc>
          <w:tcPr>
            <w:tcW w:w="100" w:type="dxa"/>
            <w:vAlign w:val="bottom"/>
            <w:tcBorders>
              <w:bottom w:val="single" w:sz="8" w:color="F0FFFF"/>
            </w:tcBorders>
          </w:tcPr>
          <w:p>
            <w:pPr>
              <w:spacing w:after="0"/>
              <w:rPr>
                <w:sz w:val="6"/>
                <w:szCs w:val="6"/>
                <w:color w:val="auto"/>
              </w:rPr>
            </w:pPr>
          </w:p>
        </w:tc>
        <w:tc>
          <w:tcPr>
            <w:tcW w:w="20" w:type="dxa"/>
            <w:vAlign w:val="bottom"/>
            <w:tcBorders>
              <w:bottom w:val="single" w:sz="8" w:color="F0FF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F0FFFF"/>
            </w:tcBorders>
          </w:tcPr>
          <w:p>
            <w:pPr>
              <w:spacing w:after="0"/>
              <w:rPr>
                <w:sz w:val="6"/>
                <w:szCs w:val="6"/>
                <w:color w:val="auto"/>
              </w:rPr>
            </w:pPr>
          </w:p>
        </w:tc>
        <w:tc>
          <w:tcPr>
            <w:tcW w:w="80" w:type="dxa"/>
            <w:vAlign w:val="bottom"/>
            <w:tcBorders>
              <w:bottom w:val="single" w:sz="8" w:color="F0FFFF"/>
            </w:tcBorders>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2"/>
            <w:vMerge w:val="restart"/>
            <w:shd w:val="clear" w:color="auto" w:fill="F0FFFF"/>
          </w:tcPr>
          <w:p>
            <w:pPr>
              <w:ind w:left="300"/>
              <w:spacing w:after="0"/>
              <w:rPr>
                <w:sz w:val="20"/>
                <w:szCs w:val="20"/>
                <w:color w:val="auto"/>
              </w:rPr>
            </w:pPr>
            <w:r>
              <w:rPr>
                <w:rFonts w:ascii="Arial" w:cs="Arial" w:eastAsia="Arial" w:hAnsi="Arial"/>
                <w:sz w:val="18"/>
                <w:szCs w:val="18"/>
                <w:color w:val="auto"/>
              </w:rPr>
              <w:t>Net defined benefit pension plan activity</w:t>
            </w:r>
          </w:p>
        </w:tc>
        <w:tc>
          <w:tcPr>
            <w:tcW w:w="100" w:type="dxa"/>
            <w:vAlign w:val="bottom"/>
            <w:shd w:val="clear" w:color="auto" w:fill="F0FFFF"/>
          </w:tcPr>
          <w:p>
            <w:pPr>
              <w:spacing w:after="0"/>
              <w:rPr>
                <w:sz w:val="12"/>
                <w:szCs w:val="12"/>
                <w:color w:val="auto"/>
              </w:rPr>
            </w:pPr>
          </w:p>
        </w:tc>
        <w:tc>
          <w:tcPr>
            <w:tcW w:w="940" w:type="dxa"/>
            <w:vAlign w:val="bottom"/>
            <w:vMerge w:val="restart"/>
            <w:shd w:val="clear" w:color="auto" w:fill="F0FF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920" w:type="dxa"/>
            <w:vAlign w:val="bottom"/>
            <w:vMerge w:val="restart"/>
            <w:shd w:val="clear" w:color="auto" w:fill="F0FF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F0FFFF"/>
          </w:tcPr>
          <w:p>
            <w:pPr>
              <w:jc w:val="right"/>
              <w:spacing w:after="0" w:line="148" w:lineRule="exact"/>
              <w:rPr>
                <w:sz w:val="20"/>
                <w:szCs w:val="20"/>
                <w:color w:val="auto"/>
              </w:rPr>
            </w:pPr>
            <w:r>
              <w:rPr>
                <w:rFonts w:ascii="Arial" w:cs="Arial" w:eastAsia="Arial" w:hAnsi="Arial"/>
                <w:sz w:val="16"/>
                <w:szCs w:val="16"/>
                <w:color w:val="auto"/>
                <w:w w:val="74"/>
              </w:rPr>
              <w:t>)</w:t>
            </w:r>
          </w:p>
        </w:tc>
        <w:tc>
          <w:tcPr>
            <w:tcW w:w="120" w:type="dxa"/>
            <w:vAlign w:val="bottom"/>
            <w:shd w:val="clear" w:color="auto" w:fill="F0FFFF"/>
          </w:tcPr>
          <w:p>
            <w:pPr>
              <w:spacing w:after="0"/>
              <w:rPr>
                <w:sz w:val="12"/>
                <w:szCs w:val="12"/>
                <w:color w:val="auto"/>
              </w:rPr>
            </w:pPr>
          </w:p>
        </w:tc>
        <w:tc>
          <w:tcPr>
            <w:tcW w:w="920" w:type="dxa"/>
            <w:vAlign w:val="bottom"/>
            <w:vMerge w:val="restart"/>
            <w:shd w:val="clear" w:color="auto" w:fill="F0FF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0" w:type="dxa"/>
            <w:vAlign w:val="bottom"/>
            <w:gridSpan w:val="2"/>
            <w:vMerge w:val="restart"/>
            <w:shd w:val="clear" w:color="auto" w:fill="F0FFFF"/>
          </w:tcPr>
          <w:p>
            <w:pPr>
              <w:jc w:val="right"/>
              <w:spacing w:after="0"/>
              <w:rPr>
                <w:sz w:val="20"/>
                <w:szCs w:val="20"/>
                <w:color w:val="auto"/>
              </w:rPr>
            </w:pPr>
            <w:r>
              <w:rPr>
                <w:rFonts w:ascii="Arial" w:cs="Arial" w:eastAsia="Arial" w:hAnsi="Arial"/>
                <w:sz w:val="18"/>
                <w:szCs w:val="18"/>
                <w:color w:val="auto"/>
              </w:rPr>
              <w:t>318</w:t>
            </w: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20" w:type="dxa"/>
            <w:vAlign w:val="bottom"/>
            <w:shd w:val="clear" w:color="auto" w:fill="F0FFFF"/>
          </w:tcPr>
          <w:p>
            <w:pPr>
              <w:spacing w:after="0"/>
              <w:rPr>
                <w:sz w:val="12"/>
                <w:szCs w:val="12"/>
                <w:color w:val="auto"/>
              </w:rPr>
            </w:pPr>
          </w:p>
        </w:tc>
        <w:tc>
          <w:tcPr>
            <w:tcW w:w="100" w:type="dxa"/>
            <w:vAlign w:val="bottom"/>
            <w:shd w:val="clear" w:color="auto" w:fill="F0FFFF"/>
          </w:tcPr>
          <w:p>
            <w:pPr>
              <w:jc w:val="right"/>
              <w:spacing w:after="0" w:line="148" w:lineRule="exact"/>
              <w:rPr>
                <w:sz w:val="20"/>
                <w:szCs w:val="20"/>
                <w:color w:val="auto"/>
              </w:rPr>
            </w:pPr>
            <w:r>
              <w:rPr>
                <w:rFonts w:ascii="Arial" w:cs="Arial" w:eastAsia="Arial" w:hAnsi="Arial"/>
                <w:sz w:val="16"/>
                <w:szCs w:val="16"/>
                <w:color w:val="auto"/>
                <w:w w:val="74"/>
              </w:rPr>
              <w:t>)</w:t>
            </w: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20" w:type="dxa"/>
            <w:vAlign w:val="bottom"/>
            <w:vMerge w:val="restart"/>
            <w:shd w:val="clear" w:color="auto" w:fill="F0FFFF"/>
          </w:tcPr>
          <w:p>
            <w:pPr>
              <w:jc w:val="right"/>
              <w:spacing w:after="0"/>
              <w:rPr>
                <w:sz w:val="20"/>
                <w:szCs w:val="20"/>
                <w:color w:val="auto"/>
              </w:rPr>
            </w:pPr>
            <w:r>
              <w:rPr>
                <w:rFonts w:ascii="Arial" w:cs="Arial" w:eastAsia="Arial" w:hAnsi="Arial"/>
                <w:sz w:val="18"/>
                <w:szCs w:val="18"/>
                <w:color w:val="auto"/>
              </w:rPr>
              <w:t>194</w:t>
            </w: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560" w:type="dxa"/>
            <w:vAlign w:val="bottom"/>
            <w:gridSpan w:val="2"/>
            <w:vMerge w:val="continue"/>
            <w:shd w:val="clear" w:color="auto" w:fill="F0FFFF"/>
          </w:tcPr>
          <w:p>
            <w:pPr>
              <w:spacing w:after="0"/>
              <w:rPr>
                <w:sz w:val="7"/>
                <w:szCs w:val="7"/>
                <w:color w:val="auto"/>
              </w:rPr>
            </w:pPr>
          </w:p>
        </w:tc>
        <w:tc>
          <w:tcPr>
            <w:tcW w:w="100" w:type="dxa"/>
            <w:vAlign w:val="bottom"/>
            <w:shd w:val="clear" w:color="auto" w:fill="F0FFFF"/>
          </w:tcPr>
          <w:p>
            <w:pPr>
              <w:spacing w:after="0"/>
              <w:rPr>
                <w:sz w:val="7"/>
                <w:szCs w:val="7"/>
                <w:color w:val="auto"/>
              </w:rPr>
            </w:pPr>
          </w:p>
        </w:tc>
        <w:tc>
          <w:tcPr>
            <w:tcW w:w="940" w:type="dxa"/>
            <w:vAlign w:val="bottom"/>
            <w:vMerge w:val="continue"/>
            <w:shd w:val="clear" w:color="auto" w:fill="F0FFFF"/>
          </w:tcPr>
          <w:p>
            <w:pPr>
              <w:spacing w:after="0"/>
              <w:rPr>
                <w:sz w:val="7"/>
                <w:szCs w:val="7"/>
                <w:color w:val="auto"/>
              </w:rPr>
            </w:pPr>
          </w:p>
        </w:tc>
        <w:tc>
          <w:tcPr>
            <w:tcW w:w="120" w:type="dxa"/>
            <w:vAlign w:val="bottom"/>
            <w:shd w:val="clear" w:color="auto" w:fill="F0FFFF"/>
          </w:tcPr>
          <w:p>
            <w:pPr>
              <w:spacing w:after="0"/>
              <w:rPr>
                <w:sz w:val="7"/>
                <w:szCs w:val="7"/>
                <w:color w:val="auto"/>
              </w:rPr>
            </w:pPr>
          </w:p>
        </w:tc>
        <w:tc>
          <w:tcPr>
            <w:tcW w:w="120" w:type="dxa"/>
            <w:vAlign w:val="bottom"/>
            <w:shd w:val="clear" w:color="auto" w:fill="F0FFFF"/>
          </w:tcPr>
          <w:p>
            <w:pPr>
              <w:spacing w:after="0"/>
              <w:rPr>
                <w:sz w:val="7"/>
                <w:szCs w:val="7"/>
                <w:color w:val="auto"/>
              </w:rPr>
            </w:pPr>
          </w:p>
        </w:tc>
        <w:tc>
          <w:tcPr>
            <w:tcW w:w="920" w:type="dxa"/>
            <w:vAlign w:val="bottom"/>
            <w:vMerge w:val="continue"/>
            <w:shd w:val="clear" w:color="auto" w:fill="F0FFFF"/>
          </w:tcPr>
          <w:p>
            <w:pPr>
              <w:spacing w:after="0"/>
              <w:rPr>
                <w:sz w:val="7"/>
                <w:szCs w:val="7"/>
                <w:color w:val="auto"/>
              </w:rPr>
            </w:pPr>
          </w:p>
        </w:tc>
        <w:tc>
          <w:tcPr>
            <w:tcW w:w="120" w:type="dxa"/>
            <w:vAlign w:val="bottom"/>
            <w:shd w:val="clear" w:color="auto" w:fill="F0FFFF"/>
          </w:tcPr>
          <w:p>
            <w:pPr>
              <w:spacing w:after="0"/>
              <w:rPr>
                <w:sz w:val="7"/>
                <w:szCs w:val="7"/>
                <w:color w:val="auto"/>
              </w:rPr>
            </w:pPr>
          </w:p>
        </w:tc>
        <w:tc>
          <w:tcPr>
            <w:tcW w:w="120" w:type="dxa"/>
            <w:vAlign w:val="bottom"/>
            <w:shd w:val="clear" w:color="auto" w:fill="F0FFFF"/>
          </w:tcPr>
          <w:p>
            <w:pPr>
              <w:spacing w:after="0"/>
              <w:rPr>
                <w:sz w:val="7"/>
                <w:szCs w:val="7"/>
                <w:color w:val="auto"/>
              </w:rPr>
            </w:pPr>
          </w:p>
        </w:tc>
        <w:tc>
          <w:tcPr>
            <w:tcW w:w="920" w:type="dxa"/>
            <w:vAlign w:val="bottom"/>
            <w:vMerge w:val="continue"/>
            <w:shd w:val="clear" w:color="auto" w:fill="F0FFFF"/>
          </w:tcPr>
          <w:p>
            <w:pPr>
              <w:spacing w:after="0"/>
              <w:rPr>
                <w:sz w:val="7"/>
                <w:szCs w:val="7"/>
                <w:color w:val="auto"/>
              </w:rPr>
            </w:pPr>
          </w:p>
        </w:tc>
        <w:tc>
          <w:tcPr>
            <w:tcW w:w="120" w:type="dxa"/>
            <w:vAlign w:val="bottom"/>
            <w:shd w:val="clear" w:color="auto" w:fill="F0FFFF"/>
          </w:tcPr>
          <w:p>
            <w:pPr>
              <w:spacing w:after="0"/>
              <w:rPr>
                <w:sz w:val="7"/>
                <w:szCs w:val="7"/>
                <w:color w:val="auto"/>
              </w:rPr>
            </w:pPr>
          </w:p>
        </w:tc>
        <w:tc>
          <w:tcPr>
            <w:tcW w:w="100" w:type="dxa"/>
            <w:vAlign w:val="bottom"/>
            <w:shd w:val="clear" w:color="auto" w:fill="F0FFFF"/>
          </w:tcPr>
          <w:p>
            <w:pPr>
              <w:spacing w:after="0"/>
              <w:rPr>
                <w:sz w:val="7"/>
                <w:szCs w:val="7"/>
                <w:color w:val="auto"/>
              </w:rPr>
            </w:pPr>
          </w:p>
        </w:tc>
        <w:tc>
          <w:tcPr>
            <w:tcW w:w="1000" w:type="dxa"/>
            <w:vAlign w:val="bottom"/>
            <w:gridSpan w:val="2"/>
            <w:vMerge w:val="continue"/>
            <w:shd w:val="clear" w:color="auto" w:fill="F0FFFF"/>
          </w:tcPr>
          <w:p>
            <w:pPr>
              <w:spacing w:after="0"/>
              <w:rPr>
                <w:sz w:val="7"/>
                <w:szCs w:val="7"/>
                <w:color w:val="auto"/>
              </w:rPr>
            </w:pPr>
          </w:p>
        </w:tc>
        <w:tc>
          <w:tcPr>
            <w:tcW w:w="20" w:type="dxa"/>
            <w:vAlign w:val="bottom"/>
            <w:shd w:val="clear" w:color="auto" w:fill="F0FFFF"/>
          </w:tcPr>
          <w:p>
            <w:pPr>
              <w:spacing w:after="0"/>
              <w:rPr>
                <w:sz w:val="7"/>
                <w:szCs w:val="7"/>
                <w:color w:val="auto"/>
              </w:rPr>
            </w:pPr>
          </w:p>
        </w:tc>
        <w:tc>
          <w:tcPr>
            <w:tcW w:w="100" w:type="dxa"/>
            <w:vAlign w:val="bottom"/>
            <w:shd w:val="clear" w:color="auto" w:fill="F0FFFF"/>
          </w:tcPr>
          <w:p>
            <w:pPr>
              <w:spacing w:after="0"/>
              <w:rPr>
                <w:sz w:val="7"/>
                <w:szCs w:val="7"/>
                <w:color w:val="auto"/>
              </w:rPr>
            </w:pPr>
          </w:p>
        </w:tc>
        <w:tc>
          <w:tcPr>
            <w:tcW w:w="1020" w:type="dxa"/>
            <w:vAlign w:val="bottom"/>
            <w:gridSpan w:val="2"/>
            <w:shd w:val="clear" w:color="auto" w:fill="F0FFFF"/>
          </w:tcPr>
          <w:p>
            <w:pPr>
              <w:jc w:val="right"/>
              <w:ind w:right="21"/>
              <w:spacing w:after="0" w:line="68" w:lineRule="exact"/>
              <w:rPr>
                <w:sz w:val="20"/>
                <w:szCs w:val="20"/>
                <w:color w:val="auto"/>
              </w:rPr>
            </w:pPr>
            <w:r>
              <w:rPr>
                <w:rFonts w:ascii="Arial" w:cs="Arial" w:eastAsia="Arial" w:hAnsi="Arial"/>
                <w:sz w:val="7"/>
                <w:szCs w:val="7"/>
                <w:color w:val="auto"/>
              </w:rPr>
              <w:t>(124</w:t>
            </w:r>
          </w:p>
        </w:tc>
        <w:tc>
          <w:tcPr>
            <w:tcW w:w="20" w:type="dxa"/>
            <w:vAlign w:val="bottom"/>
            <w:shd w:val="clear" w:color="auto" w:fill="F0FFFF"/>
          </w:tcPr>
          <w:p>
            <w:pPr>
              <w:spacing w:after="0"/>
              <w:rPr>
                <w:sz w:val="7"/>
                <w:szCs w:val="7"/>
                <w:color w:val="auto"/>
              </w:rPr>
            </w:pPr>
          </w:p>
        </w:tc>
        <w:tc>
          <w:tcPr>
            <w:tcW w:w="80" w:type="dxa"/>
            <w:vAlign w:val="bottom"/>
            <w:shd w:val="clear" w:color="auto" w:fill="F0FFFF"/>
          </w:tcPr>
          <w:p>
            <w:pPr>
              <w:spacing w:after="0"/>
              <w:rPr>
                <w:sz w:val="7"/>
                <w:szCs w:val="7"/>
                <w:color w:val="auto"/>
              </w:rPr>
            </w:pPr>
          </w:p>
        </w:tc>
        <w:tc>
          <w:tcPr>
            <w:tcW w:w="920" w:type="dxa"/>
            <w:vAlign w:val="bottom"/>
            <w:vMerge w:val="continue"/>
            <w:shd w:val="clear" w:color="auto" w:fill="F0FFFF"/>
          </w:tcPr>
          <w:p>
            <w:pPr>
              <w:spacing w:after="0"/>
              <w:rPr>
                <w:sz w:val="7"/>
                <w:szCs w:val="7"/>
                <w:color w:val="auto"/>
              </w:rPr>
            </w:pPr>
          </w:p>
        </w:tc>
        <w:tc>
          <w:tcPr>
            <w:tcW w:w="20" w:type="dxa"/>
            <w:vAlign w:val="bottom"/>
            <w:shd w:val="clear" w:color="auto" w:fill="F0FFFF"/>
          </w:tcPr>
          <w:p>
            <w:pPr>
              <w:spacing w:after="0"/>
              <w:rPr>
                <w:sz w:val="7"/>
                <w:szCs w:val="7"/>
                <w:color w:val="auto"/>
              </w:rPr>
            </w:pPr>
          </w:p>
        </w:tc>
        <w:tc>
          <w:tcPr>
            <w:tcW w:w="80" w:type="dxa"/>
            <w:vAlign w:val="bottom"/>
            <w:shd w:val="clear" w:color="auto" w:fill="F0FFFF"/>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60" w:type="dxa"/>
            <w:vAlign w:val="bottom"/>
            <w:tcBorders>
              <w:top w:val="single" w:sz="8" w:color="F0FFFF"/>
              <w:bottom w:val="single" w:sz="8" w:color="F0FFFF"/>
            </w:tcBorders>
            <w:gridSpan w:val="2"/>
          </w:tcPr>
          <w:p>
            <w:pPr>
              <w:ind w:left="460"/>
              <w:spacing w:after="0"/>
              <w:rPr>
                <w:sz w:val="20"/>
                <w:szCs w:val="20"/>
                <w:color w:val="auto"/>
              </w:rPr>
            </w:pPr>
            <w:r>
              <w:rPr>
                <w:rFonts w:ascii="Arial" w:cs="Arial" w:eastAsia="Arial" w:hAnsi="Arial"/>
                <w:sz w:val="18"/>
                <w:szCs w:val="18"/>
                <w:color w:val="auto"/>
              </w:rPr>
              <w:t>Total other comprehensive income</w:t>
            </w: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(9,985)</w:t>
            </w:r>
          </w:p>
        </w:tc>
        <w:tc>
          <w:tcPr>
            <w:tcW w:w="120" w:type="dxa"/>
            <w:vAlign w:val="bottom"/>
            <w:tcBorders>
              <w:top w:val="single" w:sz="8" w:color="F0FFFF"/>
              <w:bottom w:val="single" w:sz="8" w:color="F0FF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3,693</w:t>
            </w:r>
          </w:p>
        </w:tc>
        <w:tc>
          <w:tcPr>
            <w:tcW w:w="120" w:type="dxa"/>
            <w:vAlign w:val="bottom"/>
            <w:tcBorders>
              <w:top w:val="single" w:sz="8" w:color="F0FFFF"/>
              <w:bottom w:val="single" w:sz="8" w:color="F0FF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(6,292)</w:t>
            </w:r>
          </w:p>
        </w:tc>
        <w:tc>
          <w:tcPr>
            <w:tcW w:w="120" w:type="dxa"/>
            <w:vAlign w:val="bottom"/>
            <w:tcBorders>
              <w:top w:val="single" w:sz="8" w:color="F0FFFF"/>
              <w:bottom w:val="single" w:sz="8" w:color="F0FF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3,062</w:t>
            </w:r>
          </w:p>
        </w:tc>
        <w:tc>
          <w:tcPr>
            <w:tcW w:w="80" w:type="dxa"/>
            <w:vAlign w:val="bottom"/>
            <w:tcBorders>
              <w:top w:val="single" w:sz="8" w:color="F0FFFF"/>
              <w:bottom w:val="single" w:sz="8" w:color="F0FFFF"/>
            </w:tcBorders>
          </w:tcPr>
          <w:p>
            <w:pPr>
              <w:spacing w:after="0"/>
              <w:rPr>
                <w:sz w:val="19"/>
                <w:szCs w:val="19"/>
                <w:color w:val="auto"/>
              </w:rPr>
            </w:pPr>
          </w:p>
        </w:tc>
        <w:tc>
          <w:tcPr>
            <w:tcW w:w="20" w:type="dxa"/>
            <w:vAlign w:val="bottom"/>
            <w:tcBorders>
              <w:top w:val="single" w:sz="8" w:color="F0FFFF"/>
              <w:bottom w:val="single" w:sz="8" w:color="F0FF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Borders>
              <w:top w:val="single" w:sz="8" w:color="F0FFFF"/>
              <w:bottom w:val="single" w:sz="8" w:color="F0FFFF"/>
            </w:tcBorders>
          </w:tcPr>
          <w:p>
            <w:pPr>
              <w:spacing w:after="0"/>
              <w:rPr>
                <w:sz w:val="19"/>
                <w:szCs w:val="19"/>
                <w:color w:val="auto"/>
              </w:rPr>
            </w:pPr>
          </w:p>
        </w:tc>
        <w:tc>
          <w:tcPr>
            <w:tcW w:w="20" w:type="dxa"/>
            <w:vAlign w:val="bottom"/>
            <w:tcBorders>
              <w:top w:val="single" w:sz="8" w:color="F0FFFF"/>
              <w:bottom w:val="single" w:sz="8" w:color="F0FF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20" w:type="dxa"/>
            <w:vAlign w:val="bottom"/>
            <w:tcBorders>
              <w:top w:val="single" w:sz="8" w:color="F0FFFF"/>
              <w:bottom w:val="single" w:sz="8" w:color="F0FFFF"/>
            </w:tcBorders>
          </w:tcPr>
          <w:p>
            <w:pPr>
              <w:spacing w:after="0"/>
              <w:rPr>
                <w:sz w:val="19"/>
                <w:szCs w:val="19"/>
                <w:color w:val="auto"/>
              </w:rPr>
            </w:pPr>
          </w:p>
        </w:tc>
        <w:tc>
          <w:tcPr>
            <w:tcW w:w="80" w:type="dxa"/>
            <w:vAlign w:val="bottom"/>
            <w:tcBorders>
              <w:top w:val="single" w:sz="8" w:color="F0FFFF"/>
              <w:bottom w:val="single" w:sz="8" w:color="F0FFFF"/>
            </w:tcBorders>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560" w:type="dxa"/>
            <w:vAlign w:val="bottom"/>
            <w:tcBorders>
              <w:bottom w:val="single" w:sz="8" w:color="F0FFFF"/>
            </w:tcBorders>
            <w:gridSpan w:val="2"/>
            <w:shd w:val="clear" w:color="auto" w:fill="F0FFFF"/>
          </w:tcPr>
          <w:p>
            <w:pPr>
              <w:ind w:left="460"/>
              <w:spacing w:after="0"/>
              <w:rPr>
                <w:sz w:val="20"/>
                <w:szCs w:val="20"/>
                <w:color w:val="auto"/>
              </w:rPr>
            </w:pPr>
            <w:r>
              <w:rPr>
                <w:rFonts w:ascii="Arial" w:cs="Arial" w:eastAsia="Arial" w:hAnsi="Arial"/>
                <w:sz w:val="18"/>
                <w:szCs w:val="18"/>
                <w:color w:val="auto"/>
              </w:rPr>
              <w:t>Comprehensive income</w:t>
            </w:r>
          </w:p>
        </w:tc>
        <w:tc>
          <w:tcPr>
            <w:tcW w:w="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18,952</w:t>
            </w:r>
          </w:p>
        </w:tc>
        <w:tc>
          <w:tcPr>
            <w:tcW w:w="1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(7,431</w:t>
            </w:r>
          </w:p>
        </w:tc>
        <w:tc>
          <w:tcPr>
            <w:tcW w:w="1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11,521</w:t>
            </w:r>
          </w:p>
        </w:tc>
        <w:tc>
          <w:tcPr>
            <w:tcW w:w="1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60,062</w:t>
            </w:r>
          </w:p>
        </w:tc>
        <w:tc>
          <w:tcPr>
            <w:tcW w:w="80" w:type="dxa"/>
            <w:vAlign w:val="bottom"/>
            <w:tcBorders>
              <w:bottom w:val="single" w:sz="8" w:color="F0FFFF"/>
            </w:tcBorders>
            <w:shd w:val="clear" w:color="auto" w:fill="F0FFFF"/>
          </w:tcPr>
          <w:p>
            <w:pPr>
              <w:spacing w:after="0"/>
              <w:rPr>
                <w:sz w:val="21"/>
                <w:szCs w:val="21"/>
                <w:color w:val="auto"/>
              </w:rPr>
            </w:pPr>
          </w:p>
        </w:tc>
        <w:tc>
          <w:tcPr>
            <w:tcW w:w="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(22,757</w:t>
            </w:r>
          </w:p>
        </w:tc>
        <w:tc>
          <w:tcPr>
            <w:tcW w:w="120" w:type="dxa"/>
            <w:vAlign w:val="bottom"/>
            <w:tcBorders>
              <w:bottom w:val="single" w:sz="8" w:color="F0FFFF"/>
            </w:tcBorders>
            <w:gridSpan w:val="2"/>
            <w:shd w:val="clear" w:color="auto" w:fill="F0FFFF"/>
          </w:tcPr>
          <w:p>
            <w:pPr>
              <w:jc w:val="right"/>
              <w:ind w:right="6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37,305</w:t>
            </w:r>
          </w:p>
        </w:tc>
        <w:tc>
          <w:tcPr>
            <w:tcW w:w="2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4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94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9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9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92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2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92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2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920" w:type="dxa"/>
            <w:vAlign w:val="bottom"/>
            <w:tcBorders>
              <w:bottom w:val="single" w:sz="8" w:color="F0FFFF"/>
            </w:tcBorders>
            <w:shd w:val="clear" w:color="auto" w:fill="F0FFFF"/>
          </w:tcPr>
          <w:p>
            <w:pPr>
              <w:spacing w:after="0"/>
              <w:rPr>
                <w:sz w:val="19"/>
                <w:szCs w:val="19"/>
                <w:color w:val="auto"/>
              </w:rPr>
            </w:pPr>
          </w:p>
        </w:tc>
        <w:tc>
          <w:tcPr>
            <w:tcW w:w="2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25,984</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(9,627) $</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16,357</w:t>
            </w: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50,422</w:t>
            </w:r>
          </w:p>
        </w:tc>
        <w:tc>
          <w:tcPr>
            <w:tcW w:w="1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4"/>
            <w:shd w:val="clear" w:color="auto" w:fill="F0FFFF"/>
          </w:tcPr>
          <w:p>
            <w:pPr>
              <w:jc w:val="right"/>
              <w:spacing w:after="0"/>
              <w:rPr>
                <w:sz w:val="20"/>
                <w:szCs w:val="20"/>
                <w:color w:val="auto"/>
              </w:rPr>
            </w:pPr>
            <w:r>
              <w:rPr>
                <w:rFonts w:ascii="Arial" w:cs="Arial" w:eastAsia="Arial" w:hAnsi="Arial"/>
                <w:sz w:val="18"/>
                <w:szCs w:val="18"/>
                <w:color w:val="auto"/>
              </w:rPr>
              <w:t>(18,665) $</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31,757</w:t>
            </w:r>
          </w:p>
        </w:tc>
        <w:tc>
          <w:tcPr>
            <w:tcW w:w="2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Unrealized gains on available-for-sale securities:</w:t>
            </w:r>
          </w:p>
        </w:tc>
        <w:tc>
          <w:tcPr>
            <w:tcW w:w="100" w:type="dxa"/>
            <w:vAlign w:val="bottom"/>
            <w:shd w:val="clear" w:color="auto" w:fill="F0FFFF"/>
          </w:tcPr>
          <w:p>
            <w:pPr>
              <w:spacing w:after="0"/>
              <w:rPr>
                <w:sz w:val="21"/>
                <w:szCs w:val="21"/>
                <w:color w:val="auto"/>
              </w:rPr>
            </w:pPr>
          </w:p>
        </w:tc>
        <w:tc>
          <w:tcPr>
            <w:tcW w:w="94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9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9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92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9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2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920" w:type="dxa"/>
            <w:vAlign w:val="bottom"/>
            <w:shd w:val="clear" w:color="auto" w:fill="F0FFFF"/>
          </w:tcPr>
          <w:p>
            <w:pPr>
              <w:spacing w:after="0"/>
              <w:rPr>
                <w:sz w:val="21"/>
                <w:szCs w:val="21"/>
                <w:color w:val="auto"/>
              </w:rPr>
            </w:pPr>
          </w:p>
        </w:tc>
        <w:tc>
          <w:tcPr>
            <w:tcW w:w="2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tcPr>
          <w:p>
            <w:pPr>
              <w:ind w:left="300"/>
              <w:spacing w:after="0"/>
              <w:rPr>
                <w:sz w:val="20"/>
                <w:szCs w:val="20"/>
                <w:color w:val="auto"/>
              </w:rPr>
            </w:pPr>
            <w:r>
              <w:rPr>
                <w:rFonts w:ascii="Arial" w:cs="Arial" w:eastAsia="Arial" w:hAnsi="Arial"/>
                <w:sz w:val="18"/>
                <w:szCs w:val="18"/>
                <w:color w:val="auto"/>
              </w:rPr>
              <w:t>Unrealized holding gains arising during period</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(4,216)</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6,968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15,053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(5,657)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9,396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gridSpan w:val="2"/>
            <w:shd w:val="clear" w:color="auto" w:fill="F0FFFF"/>
          </w:tcPr>
          <w:p>
            <w:pPr>
              <w:ind w:left="300"/>
              <w:spacing w:after="0"/>
              <w:rPr>
                <w:sz w:val="20"/>
                <w:szCs w:val="20"/>
                <w:color w:val="auto"/>
              </w:rPr>
            </w:pPr>
            <w:r>
              <w:rPr>
                <w:rFonts w:ascii="Arial" w:cs="Arial" w:eastAsia="Arial" w:hAnsi="Arial"/>
                <w:sz w:val="18"/>
                <w:szCs w:val="18"/>
                <w:color w:val="auto"/>
              </w:rPr>
              <w:t>Reclassification adjustment for gains included in net</w:t>
            </w:r>
          </w:p>
        </w:tc>
        <w:tc>
          <w:tcPr>
            <w:tcW w:w="100" w:type="dxa"/>
            <w:vAlign w:val="bottom"/>
            <w:shd w:val="clear" w:color="auto" w:fill="F0FFFF"/>
          </w:tcPr>
          <w:p>
            <w:pPr>
              <w:spacing w:after="0"/>
              <w:rPr>
                <w:sz w:val="19"/>
                <w:szCs w:val="19"/>
                <w:color w:val="auto"/>
              </w:rPr>
            </w:pPr>
          </w:p>
        </w:tc>
        <w:tc>
          <w:tcPr>
            <w:tcW w:w="940" w:type="dxa"/>
            <w:vAlign w:val="bottom"/>
            <w:vMerge w:val="restart"/>
            <w:shd w:val="clear" w:color="auto" w:fill="F0FFFF"/>
          </w:tcPr>
          <w:p>
            <w:pPr>
              <w:jc w:val="right"/>
              <w:spacing w:after="0"/>
              <w:rPr>
                <w:sz w:val="20"/>
                <w:szCs w:val="20"/>
                <w:color w:val="auto"/>
              </w:rPr>
            </w:pPr>
            <w:r>
              <w:rPr>
                <w:rFonts w:ascii="Arial" w:cs="Arial" w:eastAsia="Arial" w:hAnsi="Arial"/>
                <w:sz w:val="18"/>
                <w:szCs w:val="18"/>
                <w:color w:val="auto"/>
              </w:rPr>
              <w:t>(4,435</w:t>
            </w:r>
          </w:p>
        </w:tc>
        <w:tc>
          <w:tcPr>
            <w:tcW w:w="12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F0FFFF"/>
          </w:tcPr>
          <w:p>
            <w:pPr>
              <w:spacing w:after="0"/>
              <w:rPr>
                <w:sz w:val="19"/>
                <w:szCs w:val="19"/>
                <w:color w:val="auto"/>
              </w:rPr>
            </w:pPr>
          </w:p>
        </w:tc>
        <w:tc>
          <w:tcPr>
            <w:tcW w:w="920" w:type="dxa"/>
            <w:vAlign w:val="bottom"/>
            <w:vMerge w:val="restart"/>
            <w:shd w:val="clear" w:color="auto" w:fill="F0FFFF"/>
          </w:tcPr>
          <w:p>
            <w:pPr>
              <w:jc w:val="right"/>
              <w:spacing w:after="0"/>
              <w:rPr>
                <w:sz w:val="20"/>
                <w:szCs w:val="20"/>
                <w:color w:val="auto"/>
              </w:rPr>
            </w:pPr>
            <w:r>
              <w:rPr>
                <w:rFonts w:ascii="Arial" w:cs="Arial" w:eastAsia="Arial" w:hAnsi="Arial"/>
                <w:sz w:val="18"/>
                <w:szCs w:val="18"/>
                <w:color w:val="auto"/>
              </w:rPr>
              <w:t>1,725</w:t>
            </w: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920" w:type="dxa"/>
            <w:vAlign w:val="bottom"/>
            <w:vMerge w:val="restart"/>
            <w:shd w:val="clear" w:color="auto" w:fill="F0FFFF"/>
          </w:tcPr>
          <w:p>
            <w:pPr>
              <w:jc w:val="right"/>
              <w:spacing w:after="0"/>
              <w:rPr>
                <w:sz w:val="20"/>
                <w:szCs w:val="20"/>
                <w:color w:val="auto"/>
              </w:rPr>
            </w:pPr>
            <w:r>
              <w:rPr>
                <w:rFonts w:ascii="Arial" w:cs="Arial" w:eastAsia="Arial" w:hAnsi="Arial"/>
                <w:sz w:val="18"/>
                <w:szCs w:val="18"/>
                <w:color w:val="auto"/>
              </w:rPr>
              <w:t>(2,710</w:t>
            </w:r>
          </w:p>
        </w:tc>
        <w:tc>
          <w:tcPr>
            <w:tcW w:w="12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F0FFFF"/>
          </w:tcPr>
          <w:p>
            <w:pPr>
              <w:spacing w:after="0"/>
              <w:rPr>
                <w:sz w:val="19"/>
                <w:szCs w:val="19"/>
                <w:color w:val="auto"/>
              </w:rPr>
            </w:pPr>
          </w:p>
        </w:tc>
        <w:tc>
          <w:tcPr>
            <w:tcW w:w="1000" w:type="dxa"/>
            <w:vAlign w:val="bottom"/>
            <w:gridSpan w:val="2"/>
            <w:vMerge w:val="restart"/>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020" w:type="dxa"/>
            <w:vAlign w:val="bottom"/>
            <w:gridSpan w:val="2"/>
            <w:vMerge w:val="restart"/>
            <w:shd w:val="clear" w:color="auto" w:fill="F0FFFF"/>
          </w:tcPr>
          <w:p>
            <w:pPr>
              <w:jc w:val="right"/>
              <w:ind w:right="21"/>
              <w:spacing w:after="0"/>
              <w:rPr>
                <w:sz w:val="20"/>
                <w:szCs w:val="20"/>
                <w:color w:val="auto"/>
              </w:rPr>
            </w:pPr>
            <w:r>
              <w:rPr>
                <w:rFonts w:ascii="Arial" w:cs="Arial" w:eastAsia="Arial" w:hAnsi="Arial"/>
                <w:sz w:val="18"/>
                <w:szCs w:val="18"/>
                <w:color w:val="auto"/>
              </w:rPr>
              <w:t>1,817</w:t>
            </w:r>
          </w:p>
        </w:tc>
        <w:tc>
          <w:tcPr>
            <w:tcW w:w="2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920" w:type="dxa"/>
            <w:vAlign w:val="bottom"/>
            <w:vMerge w:val="restart"/>
            <w:shd w:val="clear" w:color="auto" w:fill="F0FFFF"/>
          </w:tcPr>
          <w:p>
            <w:pPr>
              <w:jc w:val="right"/>
              <w:spacing w:after="0"/>
              <w:rPr>
                <w:sz w:val="20"/>
                <w:szCs w:val="20"/>
                <w:color w:val="auto"/>
              </w:rPr>
            </w:pPr>
            <w:r>
              <w:rPr>
                <w:rFonts w:ascii="Arial" w:cs="Arial" w:eastAsia="Arial" w:hAnsi="Arial"/>
                <w:sz w:val="18"/>
                <w:szCs w:val="18"/>
                <w:color w:val="auto"/>
              </w:rPr>
              <w:t>(2,835</w:t>
            </w:r>
          </w:p>
        </w:tc>
        <w:tc>
          <w:tcPr>
            <w:tcW w:w="20" w:type="dxa"/>
            <w:vAlign w:val="bottom"/>
            <w:shd w:val="clear" w:color="auto" w:fill="F0FFFF"/>
          </w:tcPr>
          <w:p>
            <w:pPr>
              <w:spacing w:after="0"/>
              <w:rPr>
                <w:sz w:val="19"/>
                <w:szCs w:val="19"/>
                <w:color w:val="auto"/>
              </w:rPr>
            </w:pPr>
          </w:p>
        </w:tc>
        <w:tc>
          <w:tcPr>
            <w:tcW w:w="80" w:type="dxa"/>
            <w:vAlign w:val="bottom"/>
            <w:vMerge w:val="restart"/>
            <w:shd w:val="clear" w:color="auto" w:fill="F0FFFF"/>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2"/>
            <w:vMerge w:val="restart"/>
            <w:shd w:val="clear" w:color="auto" w:fill="F0FFFF"/>
          </w:tcPr>
          <w:p>
            <w:pPr>
              <w:ind w:left="460"/>
              <w:spacing w:after="0"/>
              <w:rPr>
                <w:sz w:val="20"/>
                <w:szCs w:val="20"/>
                <w:color w:val="auto"/>
              </w:rPr>
            </w:pPr>
            <w:r>
              <w:rPr>
                <w:rFonts w:ascii="Arial" w:cs="Arial" w:eastAsia="Arial" w:hAnsi="Arial"/>
                <w:sz w:val="18"/>
                <w:szCs w:val="18"/>
                <w:color w:val="auto"/>
              </w:rPr>
              <w:t>income</w:t>
            </w:r>
          </w:p>
        </w:tc>
        <w:tc>
          <w:tcPr>
            <w:tcW w:w="100" w:type="dxa"/>
            <w:vAlign w:val="bottom"/>
            <w:shd w:val="clear" w:color="auto" w:fill="F0FFFF"/>
          </w:tcPr>
          <w:p>
            <w:pPr>
              <w:spacing w:after="0"/>
              <w:rPr>
                <w:sz w:val="12"/>
                <w:szCs w:val="12"/>
                <w:color w:val="auto"/>
              </w:rPr>
            </w:pPr>
          </w:p>
        </w:tc>
        <w:tc>
          <w:tcPr>
            <w:tcW w:w="940" w:type="dxa"/>
            <w:vAlign w:val="bottom"/>
            <w:vMerge w:val="continue"/>
            <w:shd w:val="clear" w:color="auto" w:fill="F0FFFF"/>
          </w:tcPr>
          <w:p>
            <w:pPr>
              <w:spacing w:after="0"/>
              <w:rPr>
                <w:sz w:val="12"/>
                <w:szCs w:val="12"/>
                <w:color w:val="auto"/>
              </w:rPr>
            </w:pPr>
          </w:p>
        </w:tc>
        <w:tc>
          <w:tcPr>
            <w:tcW w:w="120" w:type="dxa"/>
            <w:vAlign w:val="bottom"/>
            <w:vMerge w:val="continue"/>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920" w:type="dxa"/>
            <w:vAlign w:val="bottom"/>
            <w:vMerge w:val="continue"/>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920" w:type="dxa"/>
            <w:vAlign w:val="bottom"/>
            <w:vMerge w:val="continue"/>
            <w:shd w:val="clear" w:color="auto" w:fill="F0FFFF"/>
          </w:tcPr>
          <w:p>
            <w:pPr>
              <w:spacing w:after="0"/>
              <w:rPr>
                <w:sz w:val="12"/>
                <w:szCs w:val="12"/>
                <w:color w:val="auto"/>
              </w:rPr>
            </w:pPr>
          </w:p>
        </w:tc>
        <w:tc>
          <w:tcPr>
            <w:tcW w:w="120" w:type="dxa"/>
            <w:vAlign w:val="bottom"/>
            <w:vMerge w:val="continue"/>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0" w:type="dxa"/>
            <w:vAlign w:val="bottom"/>
            <w:gridSpan w:val="2"/>
            <w:vMerge w:val="continue"/>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20" w:type="dxa"/>
            <w:vAlign w:val="bottom"/>
            <w:gridSpan w:val="2"/>
            <w:vMerge w:val="continue"/>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20" w:type="dxa"/>
            <w:vAlign w:val="bottom"/>
            <w:vMerge w:val="continue"/>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0" w:type="dxa"/>
            <w:vAlign w:val="bottom"/>
            <w:vMerge w:val="continue"/>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560" w:type="dxa"/>
            <w:vAlign w:val="bottom"/>
            <w:gridSpan w:val="2"/>
            <w:vMerge w:val="continue"/>
            <w:shd w:val="clear" w:color="auto" w:fill="F0FFFF"/>
          </w:tcPr>
          <w:p>
            <w:pPr>
              <w:spacing w:after="0"/>
              <w:rPr>
                <w:sz w:val="7"/>
                <w:szCs w:val="7"/>
                <w:color w:val="auto"/>
              </w:rPr>
            </w:pPr>
          </w:p>
        </w:tc>
        <w:tc>
          <w:tcPr>
            <w:tcW w:w="100" w:type="dxa"/>
            <w:vAlign w:val="bottom"/>
            <w:shd w:val="clear" w:color="auto" w:fill="F0FFFF"/>
          </w:tcPr>
          <w:p>
            <w:pPr>
              <w:spacing w:after="0"/>
              <w:rPr>
                <w:sz w:val="7"/>
                <w:szCs w:val="7"/>
                <w:color w:val="auto"/>
              </w:rPr>
            </w:pPr>
          </w:p>
        </w:tc>
        <w:tc>
          <w:tcPr>
            <w:tcW w:w="940" w:type="dxa"/>
            <w:vAlign w:val="bottom"/>
            <w:vMerge w:val="continue"/>
            <w:shd w:val="clear" w:color="auto" w:fill="F0FFFF"/>
          </w:tcPr>
          <w:p>
            <w:pPr>
              <w:spacing w:after="0"/>
              <w:rPr>
                <w:sz w:val="7"/>
                <w:szCs w:val="7"/>
                <w:color w:val="auto"/>
              </w:rPr>
            </w:pPr>
          </w:p>
        </w:tc>
        <w:tc>
          <w:tcPr>
            <w:tcW w:w="120" w:type="dxa"/>
            <w:vAlign w:val="bottom"/>
            <w:shd w:val="clear" w:color="auto" w:fill="F0FFFF"/>
          </w:tcPr>
          <w:p>
            <w:pPr>
              <w:spacing w:after="0"/>
              <w:rPr>
                <w:sz w:val="7"/>
                <w:szCs w:val="7"/>
                <w:color w:val="auto"/>
              </w:rPr>
            </w:pPr>
          </w:p>
        </w:tc>
        <w:tc>
          <w:tcPr>
            <w:tcW w:w="120" w:type="dxa"/>
            <w:vAlign w:val="bottom"/>
            <w:shd w:val="clear" w:color="auto" w:fill="F0FFFF"/>
          </w:tcPr>
          <w:p>
            <w:pPr>
              <w:spacing w:after="0"/>
              <w:rPr>
                <w:sz w:val="7"/>
                <w:szCs w:val="7"/>
                <w:color w:val="auto"/>
              </w:rPr>
            </w:pPr>
          </w:p>
        </w:tc>
        <w:tc>
          <w:tcPr>
            <w:tcW w:w="920" w:type="dxa"/>
            <w:vAlign w:val="bottom"/>
            <w:vMerge w:val="continue"/>
            <w:shd w:val="clear" w:color="auto" w:fill="F0FFFF"/>
          </w:tcPr>
          <w:p>
            <w:pPr>
              <w:spacing w:after="0"/>
              <w:rPr>
                <w:sz w:val="7"/>
                <w:szCs w:val="7"/>
                <w:color w:val="auto"/>
              </w:rPr>
            </w:pPr>
          </w:p>
        </w:tc>
        <w:tc>
          <w:tcPr>
            <w:tcW w:w="120" w:type="dxa"/>
            <w:vAlign w:val="bottom"/>
            <w:shd w:val="clear" w:color="auto" w:fill="F0FFFF"/>
          </w:tcPr>
          <w:p>
            <w:pPr>
              <w:spacing w:after="0"/>
              <w:rPr>
                <w:sz w:val="7"/>
                <w:szCs w:val="7"/>
                <w:color w:val="auto"/>
              </w:rPr>
            </w:pPr>
          </w:p>
        </w:tc>
        <w:tc>
          <w:tcPr>
            <w:tcW w:w="120" w:type="dxa"/>
            <w:vAlign w:val="bottom"/>
            <w:shd w:val="clear" w:color="auto" w:fill="F0FFFF"/>
          </w:tcPr>
          <w:p>
            <w:pPr>
              <w:spacing w:after="0"/>
              <w:rPr>
                <w:sz w:val="7"/>
                <w:szCs w:val="7"/>
                <w:color w:val="auto"/>
              </w:rPr>
            </w:pPr>
          </w:p>
        </w:tc>
        <w:tc>
          <w:tcPr>
            <w:tcW w:w="920" w:type="dxa"/>
            <w:vAlign w:val="bottom"/>
            <w:vMerge w:val="continue"/>
            <w:shd w:val="clear" w:color="auto" w:fill="F0FFFF"/>
          </w:tcPr>
          <w:p>
            <w:pPr>
              <w:spacing w:after="0"/>
              <w:rPr>
                <w:sz w:val="7"/>
                <w:szCs w:val="7"/>
                <w:color w:val="auto"/>
              </w:rPr>
            </w:pPr>
          </w:p>
        </w:tc>
        <w:tc>
          <w:tcPr>
            <w:tcW w:w="120" w:type="dxa"/>
            <w:vAlign w:val="bottom"/>
            <w:shd w:val="clear" w:color="auto" w:fill="F0FFFF"/>
          </w:tcPr>
          <w:p>
            <w:pPr>
              <w:spacing w:after="0"/>
              <w:rPr>
                <w:sz w:val="7"/>
                <w:szCs w:val="7"/>
                <w:color w:val="auto"/>
              </w:rPr>
            </w:pPr>
          </w:p>
        </w:tc>
        <w:tc>
          <w:tcPr>
            <w:tcW w:w="100" w:type="dxa"/>
            <w:vAlign w:val="bottom"/>
            <w:shd w:val="clear" w:color="auto" w:fill="F0FFFF"/>
          </w:tcPr>
          <w:p>
            <w:pPr>
              <w:spacing w:after="0"/>
              <w:rPr>
                <w:sz w:val="7"/>
                <w:szCs w:val="7"/>
                <w:color w:val="auto"/>
              </w:rPr>
            </w:pPr>
          </w:p>
        </w:tc>
        <w:tc>
          <w:tcPr>
            <w:tcW w:w="1000" w:type="dxa"/>
            <w:vAlign w:val="bottom"/>
            <w:gridSpan w:val="2"/>
            <w:shd w:val="clear" w:color="auto" w:fill="F0FFFF"/>
          </w:tcPr>
          <w:p>
            <w:pPr>
              <w:jc w:val="right"/>
              <w:spacing w:after="0" w:line="68" w:lineRule="exact"/>
              <w:rPr>
                <w:sz w:val="20"/>
                <w:szCs w:val="20"/>
                <w:color w:val="auto"/>
              </w:rPr>
            </w:pPr>
            <w:r>
              <w:rPr>
                <w:rFonts w:ascii="Arial" w:cs="Arial" w:eastAsia="Arial" w:hAnsi="Arial"/>
                <w:sz w:val="7"/>
                <w:szCs w:val="7"/>
                <w:color w:val="auto"/>
              </w:rPr>
              <w:t>(4,652</w:t>
            </w:r>
          </w:p>
        </w:tc>
        <w:tc>
          <w:tcPr>
            <w:tcW w:w="20" w:type="dxa"/>
            <w:vAlign w:val="bottom"/>
            <w:shd w:val="clear" w:color="auto" w:fill="F0FFFF"/>
          </w:tcPr>
          <w:p>
            <w:pPr>
              <w:spacing w:after="0"/>
              <w:rPr>
                <w:sz w:val="7"/>
                <w:szCs w:val="7"/>
                <w:color w:val="auto"/>
              </w:rPr>
            </w:pPr>
          </w:p>
        </w:tc>
        <w:tc>
          <w:tcPr>
            <w:tcW w:w="100" w:type="dxa"/>
            <w:vAlign w:val="bottom"/>
            <w:shd w:val="clear" w:color="auto" w:fill="F0FFFF"/>
          </w:tcPr>
          <w:p>
            <w:pPr>
              <w:spacing w:after="0"/>
              <w:rPr>
                <w:sz w:val="7"/>
                <w:szCs w:val="7"/>
                <w:color w:val="auto"/>
              </w:rPr>
            </w:pPr>
          </w:p>
        </w:tc>
        <w:tc>
          <w:tcPr>
            <w:tcW w:w="1020" w:type="dxa"/>
            <w:vAlign w:val="bottom"/>
            <w:gridSpan w:val="2"/>
            <w:vMerge w:val="continue"/>
            <w:shd w:val="clear" w:color="auto" w:fill="F0FFFF"/>
          </w:tcPr>
          <w:p>
            <w:pPr>
              <w:spacing w:after="0"/>
              <w:rPr>
                <w:sz w:val="7"/>
                <w:szCs w:val="7"/>
                <w:color w:val="auto"/>
              </w:rPr>
            </w:pPr>
          </w:p>
        </w:tc>
        <w:tc>
          <w:tcPr>
            <w:tcW w:w="20" w:type="dxa"/>
            <w:vAlign w:val="bottom"/>
            <w:shd w:val="clear" w:color="auto" w:fill="F0FFFF"/>
          </w:tcPr>
          <w:p>
            <w:pPr>
              <w:spacing w:after="0"/>
              <w:rPr>
                <w:sz w:val="7"/>
                <w:szCs w:val="7"/>
                <w:color w:val="auto"/>
              </w:rPr>
            </w:pPr>
          </w:p>
        </w:tc>
        <w:tc>
          <w:tcPr>
            <w:tcW w:w="80" w:type="dxa"/>
            <w:vAlign w:val="bottom"/>
            <w:shd w:val="clear" w:color="auto" w:fill="F0FFFF"/>
          </w:tcPr>
          <w:p>
            <w:pPr>
              <w:spacing w:after="0"/>
              <w:rPr>
                <w:sz w:val="7"/>
                <w:szCs w:val="7"/>
                <w:color w:val="auto"/>
              </w:rPr>
            </w:pPr>
          </w:p>
        </w:tc>
        <w:tc>
          <w:tcPr>
            <w:tcW w:w="920" w:type="dxa"/>
            <w:vAlign w:val="bottom"/>
            <w:vMerge w:val="continue"/>
            <w:shd w:val="clear" w:color="auto" w:fill="F0FFFF"/>
          </w:tcPr>
          <w:p>
            <w:pPr>
              <w:spacing w:after="0"/>
              <w:rPr>
                <w:sz w:val="7"/>
                <w:szCs w:val="7"/>
                <w:color w:val="auto"/>
              </w:rPr>
            </w:pPr>
          </w:p>
        </w:tc>
        <w:tc>
          <w:tcPr>
            <w:tcW w:w="20" w:type="dxa"/>
            <w:vAlign w:val="bottom"/>
            <w:shd w:val="clear" w:color="auto" w:fill="F0FFFF"/>
          </w:tcPr>
          <w:p>
            <w:pPr>
              <w:spacing w:after="0"/>
              <w:rPr>
                <w:sz w:val="7"/>
                <w:szCs w:val="7"/>
                <w:color w:val="auto"/>
              </w:rPr>
            </w:pPr>
          </w:p>
        </w:tc>
        <w:tc>
          <w:tcPr>
            <w:tcW w:w="80" w:type="dxa"/>
            <w:vAlign w:val="bottom"/>
            <w:shd w:val="clear" w:color="auto" w:fill="F0FFFF"/>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Borders>
              <w:top w:val="single" w:sz="8" w:color="F0FFFF"/>
            </w:tcBorders>
            <w:gridSpan w:val="2"/>
          </w:tcPr>
          <w:p>
            <w:pPr>
              <w:ind w:left="300"/>
              <w:spacing w:after="0"/>
              <w:rPr>
                <w:sz w:val="20"/>
                <w:szCs w:val="20"/>
                <w:color w:val="auto"/>
              </w:rPr>
            </w:pPr>
            <w:r>
              <w:rPr>
                <w:rFonts w:ascii="Arial" w:cs="Arial" w:eastAsia="Arial" w:hAnsi="Arial"/>
                <w:sz w:val="18"/>
                <w:szCs w:val="18"/>
                <w:color w:val="auto"/>
              </w:rPr>
              <w:t>Net unrealized gains</w:t>
            </w: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6,749</w:t>
            </w: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(2,491</w:t>
            </w:r>
          </w:p>
        </w:tc>
        <w:tc>
          <w:tcPr>
            <w:tcW w:w="12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4,258</w:t>
            </w: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10,401</w:t>
            </w:r>
          </w:p>
        </w:tc>
        <w:tc>
          <w:tcPr>
            <w:tcW w:w="8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(3,840</w:t>
            </w:r>
          </w:p>
        </w:tc>
        <w:tc>
          <w:tcPr>
            <w:tcW w:w="10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6,561</w:t>
            </w: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w w:val="95"/>
              </w:rPr>
              <w:t>Amortization of gains included in net income on available-</w:t>
            </w:r>
          </w:p>
        </w:tc>
        <w:tc>
          <w:tcPr>
            <w:tcW w:w="100" w:type="dxa"/>
            <w:vAlign w:val="bottom"/>
            <w:shd w:val="clear" w:color="auto" w:fill="F0FFFF"/>
          </w:tcPr>
          <w:p>
            <w:pPr>
              <w:spacing w:after="0"/>
              <w:rPr>
                <w:sz w:val="19"/>
                <w:szCs w:val="19"/>
                <w:color w:val="auto"/>
              </w:rPr>
            </w:pPr>
          </w:p>
        </w:tc>
        <w:tc>
          <w:tcPr>
            <w:tcW w:w="940" w:type="dxa"/>
            <w:vAlign w:val="bottom"/>
            <w:vMerge w:val="restart"/>
            <w:shd w:val="clear" w:color="auto" w:fill="F0FF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920" w:type="dxa"/>
            <w:vAlign w:val="bottom"/>
            <w:vMerge w:val="restart"/>
            <w:shd w:val="clear" w:color="auto" w:fill="F0FF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F0FFFF"/>
          </w:tcPr>
          <w:p>
            <w:pPr>
              <w:spacing w:after="0"/>
              <w:rPr>
                <w:sz w:val="19"/>
                <w:szCs w:val="19"/>
                <w:color w:val="auto"/>
              </w:rPr>
            </w:pPr>
          </w:p>
        </w:tc>
        <w:tc>
          <w:tcPr>
            <w:tcW w:w="920" w:type="dxa"/>
            <w:vAlign w:val="bottom"/>
            <w:vMerge w:val="restart"/>
            <w:shd w:val="clear" w:color="auto" w:fill="F0FF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000" w:type="dxa"/>
            <w:vAlign w:val="bottom"/>
            <w:gridSpan w:val="2"/>
            <w:vMerge w:val="restart"/>
            <w:shd w:val="clear" w:color="auto" w:fill="F0FFFF"/>
          </w:tcPr>
          <w:p>
            <w:pPr>
              <w:jc w:val="right"/>
              <w:spacing w:after="0"/>
              <w:rPr>
                <w:sz w:val="20"/>
                <w:szCs w:val="20"/>
                <w:color w:val="auto"/>
              </w:rPr>
            </w:pPr>
            <w:r>
              <w:rPr>
                <w:rFonts w:ascii="Arial" w:cs="Arial" w:eastAsia="Arial" w:hAnsi="Arial"/>
                <w:sz w:val="18"/>
                <w:szCs w:val="18"/>
                <w:color w:val="auto"/>
              </w:rPr>
              <w:t>739</w:t>
            </w:r>
          </w:p>
        </w:tc>
        <w:tc>
          <w:tcPr>
            <w:tcW w:w="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020" w:type="dxa"/>
            <w:vAlign w:val="bottom"/>
            <w:gridSpan w:val="2"/>
            <w:vMerge w:val="restart"/>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920" w:type="dxa"/>
            <w:vAlign w:val="bottom"/>
            <w:vMerge w:val="restart"/>
            <w:shd w:val="clear" w:color="auto" w:fill="F0FFFF"/>
          </w:tcPr>
          <w:p>
            <w:pPr>
              <w:jc w:val="right"/>
              <w:spacing w:after="0"/>
              <w:rPr>
                <w:sz w:val="20"/>
                <w:szCs w:val="20"/>
                <w:color w:val="auto"/>
              </w:rPr>
            </w:pPr>
            <w:r>
              <w:rPr>
                <w:rFonts w:ascii="Arial" w:cs="Arial" w:eastAsia="Arial" w:hAnsi="Arial"/>
                <w:sz w:val="18"/>
                <w:szCs w:val="18"/>
                <w:color w:val="auto"/>
              </w:rPr>
              <w:t>462</w:t>
            </w:r>
          </w:p>
        </w:tc>
        <w:tc>
          <w:tcPr>
            <w:tcW w:w="2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2"/>
            <w:vMerge w:val="restart"/>
            <w:shd w:val="clear" w:color="auto" w:fill="F0FFFF"/>
          </w:tcPr>
          <w:p>
            <w:pPr>
              <w:ind w:left="300"/>
              <w:spacing w:after="0"/>
              <w:rPr>
                <w:sz w:val="20"/>
                <w:szCs w:val="20"/>
                <w:color w:val="auto"/>
              </w:rPr>
            </w:pPr>
            <w:r>
              <w:rPr>
                <w:rFonts w:ascii="Arial" w:cs="Arial" w:eastAsia="Arial" w:hAnsi="Arial"/>
                <w:sz w:val="18"/>
                <w:szCs w:val="18"/>
                <w:color w:val="auto"/>
              </w:rPr>
              <w:t>for-sale securities transferred to held-to-maturity</w:t>
            </w:r>
          </w:p>
        </w:tc>
        <w:tc>
          <w:tcPr>
            <w:tcW w:w="100" w:type="dxa"/>
            <w:vAlign w:val="bottom"/>
            <w:shd w:val="clear" w:color="auto" w:fill="F0FFFF"/>
          </w:tcPr>
          <w:p>
            <w:pPr>
              <w:spacing w:after="0"/>
              <w:rPr>
                <w:sz w:val="12"/>
                <w:szCs w:val="12"/>
                <w:color w:val="auto"/>
              </w:rPr>
            </w:pPr>
          </w:p>
        </w:tc>
        <w:tc>
          <w:tcPr>
            <w:tcW w:w="940" w:type="dxa"/>
            <w:vAlign w:val="bottom"/>
            <w:vMerge w:val="continue"/>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920" w:type="dxa"/>
            <w:vAlign w:val="bottom"/>
            <w:vMerge w:val="continue"/>
            <w:shd w:val="clear" w:color="auto" w:fill="F0FFFF"/>
          </w:tcPr>
          <w:p>
            <w:pPr>
              <w:spacing w:after="0"/>
              <w:rPr>
                <w:sz w:val="12"/>
                <w:szCs w:val="12"/>
                <w:color w:val="auto"/>
              </w:rPr>
            </w:pPr>
          </w:p>
        </w:tc>
        <w:tc>
          <w:tcPr>
            <w:tcW w:w="120" w:type="dxa"/>
            <w:vAlign w:val="bottom"/>
            <w:vMerge w:val="continue"/>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920" w:type="dxa"/>
            <w:vAlign w:val="bottom"/>
            <w:vMerge w:val="continue"/>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0" w:type="dxa"/>
            <w:vAlign w:val="bottom"/>
            <w:gridSpan w:val="2"/>
            <w:vMerge w:val="continue"/>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20" w:type="dxa"/>
            <w:vAlign w:val="bottom"/>
            <w:gridSpan w:val="2"/>
            <w:vMerge w:val="continue"/>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20" w:type="dxa"/>
            <w:vAlign w:val="bottom"/>
            <w:vMerge w:val="continue"/>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560" w:type="dxa"/>
            <w:vAlign w:val="bottom"/>
            <w:gridSpan w:val="2"/>
            <w:vMerge w:val="continue"/>
            <w:shd w:val="clear" w:color="auto" w:fill="F0FFFF"/>
          </w:tcPr>
          <w:p>
            <w:pPr>
              <w:spacing w:after="0"/>
              <w:rPr>
                <w:sz w:val="7"/>
                <w:szCs w:val="7"/>
                <w:color w:val="auto"/>
              </w:rPr>
            </w:pPr>
          </w:p>
        </w:tc>
        <w:tc>
          <w:tcPr>
            <w:tcW w:w="100" w:type="dxa"/>
            <w:vAlign w:val="bottom"/>
            <w:shd w:val="clear" w:color="auto" w:fill="F0FFFF"/>
          </w:tcPr>
          <w:p>
            <w:pPr>
              <w:spacing w:after="0"/>
              <w:rPr>
                <w:sz w:val="7"/>
                <w:szCs w:val="7"/>
                <w:color w:val="auto"/>
              </w:rPr>
            </w:pPr>
          </w:p>
        </w:tc>
        <w:tc>
          <w:tcPr>
            <w:tcW w:w="940" w:type="dxa"/>
            <w:vAlign w:val="bottom"/>
            <w:vMerge w:val="continue"/>
            <w:shd w:val="clear" w:color="auto" w:fill="F0FFFF"/>
          </w:tcPr>
          <w:p>
            <w:pPr>
              <w:spacing w:after="0"/>
              <w:rPr>
                <w:sz w:val="7"/>
                <w:szCs w:val="7"/>
                <w:color w:val="auto"/>
              </w:rPr>
            </w:pPr>
          </w:p>
        </w:tc>
        <w:tc>
          <w:tcPr>
            <w:tcW w:w="120" w:type="dxa"/>
            <w:vAlign w:val="bottom"/>
            <w:shd w:val="clear" w:color="auto" w:fill="F0FFFF"/>
          </w:tcPr>
          <w:p>
            <w:pPr>
              <w:spacing w:after="0"/>
              <w:rPr>
                <w:sz w:val="7"/>
                <w:szCs w:val="7"/>
                <w:color w:val="auto"/>
              </w:rPr>
            </w:pPr>
          </w:p>
        </w:tc>
        <w:tc>
          <w:tcPr>
            <w:tcW w:w="120" w:type="dxa"/>
            <w:vAlign w:val="bottom"/>
            <w:shd w:val="clear" w:color="auto" w:fill="F0FFFF"/>
          </w:tcPr>
          <w:p>
            <w:pPr>
              <w:spacing w:after="0"/>
              <w:rPr>
                <w:sz w:val="7"/>
                <w:szCs w:val="7"/>
                <w:color w:val="auto"/>
              </w:rPr>
            </w:pPr>
          </w:p>
        </w:tc>
        <w:tc>
          <w:tcPr>
            <w:tcW w:w="920" w:type="dxa"/>
            <w:vAlign w:val="bottom"/>
            <w:vMerge w:val="continue"/>
            <w:shd w:val="clear" w:color="auto" w:fill="F0FFFF"/>
          </w:tcPr>
          <w:p>
            <w:pPr>
              <w:spacing w:after="0"/>
              <w:rPr>
                <w:sz w:val="7"/>
                <w:szCs w:val="7"/>
                <w:color w:val="auto"/>
              </w:rPr>
            </w:pPr>
          </w:p>
        </w:tc>
        <w:tc>
          <w:tcPr>
            <w:tcW w:w="120" w:type="dxa"/>
            <w:vAlign w:val="bottom"/>
            <w:shd w:val="clear" w:color="auto" w:fill="F0FFFF"/>
          </w:tcPr>
          <w:p>
            <w:pPr>
              <w:spacing w:after="0"/>
              <w:rPr>
                <w:sz w:val="7"/>
                <w:szCs w:val="7"/>
                <w:color w:val="auto"/>
              </w:rPr>
            </w:pPr>
          </w:p>
        </w:tc>
        <w:tc>
          <w:tcPr>
            <w:tcW w:w="120" w:type="dxa"/>
            <w:vAlign w:val="bottom"/>
            <w:shd w:val="clear" w:color="auto" w:fill="F0FFFF"/>
          </w:tcPr>
          <w:p>
            <w:pPr>
              <w:spacing w:after="0"/>
              <w:rPr>
                <w:sz w:val="7"/>
                <w:szCs w:val="7"/>
                <w:color w:val="auto"/>
              </w:rPr>
            </w:pPr>
          </w:p>
        </w:tc>
        <w:tc>
          <w:tcPr>
            <w:tcW w:w="920" w:type="dxa"/>
            <w:vAlign w:val="bottom"/>
            <w:vMerge w:val="continue"/>
            <w:shd w:val="clear" w:color="auto" w:fill="F0FFFF"/>
          </w:tcPr>
          <w:p>
            <w:pPr>
              <w:spacing w:after="0"/>
              <w:rPr>
                <w:sz w:val="7"/>
                <w:szCs w:val="7"/>
                <w:color w:val="auto"/>
              </w:rPr>
            </w:pPr>
          </w:p>
        </w:tc>
        <w:tc>
          <w:tcPr>
            <w:tcW w:w="120" w:type="dxa"/>
            <w:vAlign w:val="bottom"/>
            <w:shd w:val="clear" w:color="auto" w:fill="F0FFFF"/>
          </w:tcPr>
          <w:p>
            <w:pPr>
              <w:spacing w:after="0"/>
              <w:rPr>
                <w:sz w:val="7"/>
                <w:szCs w:val="7"/>
                <w:color w:val="auto"/>
              </w:rPr>
            </w:pPr>
          </w:p>
        </w:tc>
        <w:tc>
          <w:tcPr>
            <w:tcW w:w="100" w:type="dxa"/>
            <w:vAlign w:val="bottom"/>
            <w:shd w:val="clear" w:color="auto" w:fill="F0FFFF"/>
          </w:tcPr>
          <w:p>
            <w:pPr>
              <w:spacing w:after="0"/>
              <w:rPr>
                <w:sz w:val="7"/>
                <w:szCs w:val="7"/>
                <w:color w:val="auto"/>
              </w:rPr>
            </w:pPr>
          </w:p>
        </w:tc>
        <w:tc>
          <w:tcPr>
            <w:tcW w:w="1000" w:type="dxa"/>
            <w:vAlign w:val="bottom"/>
            <w:gridSpan w:val="2"/>
            <w:vMerge w:val="continue"/>
            <w:shd w:val="clear" w:color="auto" w:fill="F0FFFF"/>
          </w:tcPr>
          <w:p>
            <w:pPr>
              <w:spacing w:after="0"/>
              <w:rPr>
                <w:sz w:val="7"/>
                <w:szCs w:val="7"/>
                <w:color w:val="auto"/>
              </w:rPr>
            </w:pPr>
          </w:p>
        </w:tc>
        <w:tc>
          <w:tcPr>
            <w:tcW w:w="20" w:type="dxa"/>
            <w:vAlign w:val="bottom"/>
            <w:shd w:val="clear" w:color="auto" w:fill="F0FFFF"/>
          </w:tcPr>
          <w:p>
            <w:pPr>
              <w:spacing w:after="0"/>
              <w:rPr>
                <w:sz w:val="7"/>
                <w:szCs w:val="7"/>
                <w:color w:val="auto"/>
              </w:rPr>
            </w:pPr>
          </w:p>
        </w:tc>
        <w:tc>
          <w:tcPr>
            <w:tcW w:w="100" w:type="dxa"/>
            <w:vAlign w:val="bottom"/>
            <w:shd w:val="clear" w:color="auto" w:fill="F0FFFF"/>
          </w:tcPr>
          <w:p>
            <w:pPr>
              <w:spacing w:after="0"/>
              <w:rPr>
                <w:sz w:val="7"/>
                <w:szCs w:val="7"/>
                <w:color w:val="auto"/>
              </w:rPr>
            </w:pPr>
          </w:p>
        </w:tc>
        <w:tc>
          <w:tcPr>
            <w:tcW w:w="1020" w:type="dxa"/>
            <w:vAlign w:val="bottom"/>
            <w:gridSpan w:val="2"/>
            <w:shd w:val="clear" w:color="auto" w:fill="F0FFFF"/>
          </w:tcPr>
          <w:p>
            <w:pPr>
              <w:jc w:val="right"/>
              <w:ind w:right="21"/>
              <w:spacing w:after="0" w:line="68" w:lineRule="exact"/>
              <w:rPr>
                <w:sz w:val="20"/>
                <w:szCs w:val="20"/>
                <w:color w:val="auto"/>
              </w:rPr>
            </w:pPr>
            <w:r>
              <w:rPr>
                <w:rFonts w:ascii="Arial" w:cs="Arial" w:eastAsia="Arial" w:hAnsi="Arial"/>
                <w:sz w:val="7"/>
                <w:szCs w:val="7"/>
                <w:color w:val="auto"/>
              </w:rPr>
              <w:t>(277</w:t>
            </w:r>
          </w:p>
        </w:tc>
        <w:tc>
          <w:tcPr>
            <w:tcW w:w="20" w:type="dxa"/>
            <w:vAlign w:val="bottom"/>
            <w:shd w:val="clear" w:color="auto" w:fill="F0FFFF"/>
          </w:tcPr>
          <w:p>
            <w:pPr>
              <w:spacing w:after="0"/>
              <w:rPr>
                <w:sz w:val="7"/>
                <w:szCs w:val="7"/>
                <w:color w:val="auto"/>
              </w:rPr>
            </w:pPr>
          </w:p>
        </w:tc>
        <w:tc>
          <w:tcPr>
            <w:tcW w:w="80" w:type="dxa"/>
            <w:vAlign w:val="bottom"/>
            <w:shd w:val="clear" w:color="auto" w:fill="F0FFFF"/>
          </w:tcPr>
          <w:p>
            <w:pPr>
              <w:spacing w:after="0"/>
              <w:rPr>
                <w:sz w:val="7"/>
                <w:szCs w:val="7"/>
                <w:color w:val="auto"/>
              </w:rPr>
            </w:pPr>
          </w:p>
        </w:tc>
        <w:tc>
          <w:tcPr>
            <w:tcW w:w="920" w:type="dxa"/>
            <w:vAlign w:val="bottom"/>
            <w:vMerge w:val="continue"/>
            <w:shd w:val="clear" w:color="auto" w:fill="F0FFFF"/>
          </w:tcPr>
          <w:p>
            <w:pPr>
              <w:spacing w:after="0"/>
              <w:rPr>
                <w:sz w:val="7"/>
                <w:szCs w:val="7"/>
                <w:color w:val="auto"/>
              </w:rPr>
            </w:pPr>
          </w:p>
        </w:tc>
        <w:tc>
          <w:tcPr>
            <w:tcW w:w="20" w:type="dxa"/>
            <w:vAlign w:val="bottom"/>
            <w:shd w:val="clear" w:color="auto" w:fill="F0FFFF"/>
          </w:tcPr>
          <w:p>
            <w:pPr>
              <w:spacing w:after="0"/>
              <w:rPr>
                <w:sz w:val="7"/>
                <w:szCs w:val="7"/>
                <w:color w:val="auto"/>
              </w:rPr>
            </w:pPr>
          </w:p>
        </w:tc>
        <w:tc>
          <w:tcPr>
            <w:tcW w:w="80" w:type="dxa"/>
            <w:vAlign w:val="bottom"/>
            <w:shd w:val="clear" w:color="auto" w:fill="F0FFFF"/>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Borders>
              <w:top w:val="single" w:sz="8" w:color="F0FFFF"/>
            </w:tcBorders>
            <w:gridSpan w:val="2"/>
          </w:tcPr>
          <w:p>
            <w:pPr>
              <w:ind w:left="300"/>
              <w:spacing w:after="0"/>
              <w:rPr>
                <w:sz w:val="20"/>
                <w:szCs w:val="20"/>
                <w:color w:val="auto"/>
              </w:rPr>
            </w:pPr>
            <w:r>
              <w:rPr>
                <w:rFonts w:ascii="Arial" w:cs="Arial" w:eastAsia="Arial" w:hAnsi="Arial"/>
                <w:sz w:val="18"/>
                <w:szCs w:val="18"/>
                <w:color w:val="auto"/>
              </w:rPr>
              <w:t>Net unrealized gains</w:t>
            </w: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8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Amortization of losses included in net income on</w:t>
            </w:r>
          </w:p>
        </w:tc>
        <w:tc>
          <w:tcPr>
            <w:tcW w:w="100" w:type="dxa"/>
            <w:vAlign w:val="bottom"/>
            <w:shd w:val="clear" w:color="auto" w:fill="F0FFFF"/>
          </w:tcPr>
          <w:p>
            <w:pPr>
              <w:spacing w:after="0"/>
              <w:rPr>
                <w:sz w:val="19"/>
                <w:szCs w:val="19"/>
                <w:color w:val="auto"/>
              </w:rPr>
            </w:pPr>
          </w:p>
        </w:tc>
        <w:tc>
          <w:tcPr>
            <w:tcW w:w="94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9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9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92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9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2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920" w:type="dxa"/>
            <w:vAlign w:val="bottom"/>
            <w:shd w:val="clear" w:color="auto" w:fill="F0FFFF"/>
          </w:tcPr>
          <w:p>
            <w:pPr>
              <w:spacing w:after="0"/>
              <w:rPr>
                <w:sz w:val="19"/>
                <w:szCs w:val="19"/>
                <w:color w:val="auto"/>
              </w:rPr>
            </w:pPr>
          </w:p>
        </w:tc>
        <w:tc>
          <w:tcPr>
            <w:tcW w:w="2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F0FFFF"/>
          </w:tcPr>
          <w:p>
            <w:pPr>
              <w:ind w:left="300"/>
              <w:spacing w:after="0"/>
              <w:rPr>
                <w:sz w:val="20"/>
                <w:szCs w:val="20"/>
                <w:color w:val="auto"/>
              </w:rPr>
            </w:pPr>
            <w:r>
              <w:rPr>
                <w:rFonts w:ascii="Arial" w:cs="Arial" w:eastAsia="Arial" w:hAnsi="Arial"/>
                <w:sz w:val="18"/>
                <w:szCs w:val="18"/>
                <w:color w:val="auto"/>
              </w:rPr>
              <w:t>terminated derivative financial instruments that were</w:t>
            </w: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gridSpan w:val="2"/>
            <w:vMerge w:val="restart"/>
            <w:shd w:val="clear" w:color="auto" w:fill="F0FF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vMerge w:val="restart"/>
            <w:shd w:val="clear" w:color="auto" w:fill="F0FFFF"/>
          </w:tcPr>
          <w:p>
            <w:pPr>
              <w:jc w:val="right"/>
              <w:spacing w:after="0"/>
              <w:rPr>
                <w:sz w:val="20"/>
                <w:szCs w:val="20"/>
                <w:color w:val="auto"/>
              </w:rPr>
            </w:pPr>
            <w:r>
              <w:rPr>
                <w:rFonts w:ascii="Arial" w:cs="Arial" w:eastAsia="Arial" w:hAnsi="Arial"/>
                <w:sz w:val="18"/>
                <w:szCs w:val="18"/>
                <w:color w:val="auto"/>
              </w:rPr>
              <w:t>(261)</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shd w:val="clear" w:color="auto" w:fill="F0FFFF"/>
          </w:tcPr>
          <w:p>
            <w:pPr>
              <w:ind w:left="300"/>
              <w:spacing w:after="0"/>
              <w:rPr>
                <w:sz w:val="20"/>
                <w:szCs w:val="20"/>
                <w:color w:val="auto"/>
              </w:rPr>
            </w:pPr>
            <w:r>
              <w:rPr>
                <w:rFonts w:ascii="Arial" w:cs="Arial" w:eastAsia="Arial" w:hAnsi="Arial"/>
                <w:sz w:val="18"/>
                <w:szCs w:val="18"/>
                <w:color w:val="auto"/>
              </w:rPr>
              <w:t>previously accounted for as cash flow hedges</w:t>
            </w:r>
          </w:p>
        </w:tc>
        <w:tc>
          <w:tcPr>
            <w:tcW w:w="100" w:type="dxa"/>
            <w:vAlign w:val="bottom"/>
            <w:shd w:val="clear" w:color="auto" w:fill="F0FFFF"/>
          </w:tcPr>
          <w:p>
            <w:pPr>
              <w:spacing w:after="0"/>
              <w:rPr>
                <w:sz w:val="20"/>
                <w:szCs w:val="20"/>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573</w:t>
            </w:r>
          </w:p>
        </w:tc>
        <w:tc>
          <w:tcPr>
            <w:tcW w:w="1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40" w:type="dxa"/>
            <w:vAlign w:val="bottom"/>
            <w:gridSpan w:val="2"/>
            <w:vMerge w:val="continue"/>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670</w:t>
            </w:r>
          </w:p>
        </w:tc>
        <w:tc>
          <w:tcPr>
            <w:tcW w:w="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020" w:type="dxa"/>
            <w:vAlign w:val="bottom"/>
            <w:gridSpan w:val="2"/>
            <w:vMerge w:val="continue"/>
            <w:shd w:val="clear" w:color="auto" w:fill="F0FFFF"/>
          </w:tcPr>
          <w:p>
            <w:pPr>
              <w:spacing w:after="0"/>
              <w:rPr>
                <w:sz w:val="20"/>
                <w:szCs w:val="20"/>
                <w:color w:val="auto"/>
              </w:rPr>
            </w:pPr>
          </w:p>
        </w:tc>
        <w:tc>
          <w:tcPr>
            <w:tcW w:w="2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409</w:t>
            </w:r>
          </w:p>
        </w:tc>
        <w:tc>
          <w:tcPr>
            <w:tcW w:w="2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gridSpan w:val="2"/>
          </w:tcPr>
          <w:p>
            <w:pPr>
              <w:ind w:left="300"/>
              <w:spacing w:after="0"/>
              <w:rPr>
                <w:sz w:val="20"/>
                <w:szCs w:val="20"/>
                <w:color w:val="auto"/>
              </w:rPr>
            </w:pPr>
            <w:r>
              <w:rPr>
                <w:rFonts w:ascii="Arial" w:cs="Arial" w:eastAsia="Arial" w:hAnsi="Arial"/>
                <w:sz w:val="18"/>
                <w:szCs w:val="18"/>
                <w:color w:val="auto"/>
              </w:rPr>
              <w:t>Unrealized losses on derivative financial instruments</w:t>
            </w:r>
          </w:p>
        </w:tc>
        <w:tc>
          <w:tcPr>
            <w:tcW w:w="10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(3,547</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(2,167</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vMerge w:val="restart"/>
          </w:tcPr>
          <w:p>
            <w:pPr>
              <w:jc w:val="right"/>
              <w:ind w:right="21"/>
              <w:spacing w:after="0"/>
              <w:rPr>
                <w:sz w:val="20"/>
                <w:szCs w:val="20"/>
                <w:color w:val="auto"/>
              </w:rPr>
            </w:pPr>
            <w:r>
              <w:rPr>
                <w:rFonts w:ascii="Arial" w:cs="Arial" w:eastAsia="Arial" w:hAnsi="Arial"/>
                <w:sz w:val="18"/>
                <w:szCs w:val="18"/>
                <w:color w:val="auto"/>
              </w:rPr>
              <w:t>2,482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(3,897</w:t>
            </w:r>
          </w:p>
        </w:tc>
        <w:tc>
          <w:tcPr>
            <w:tcW w:w="20" w:type="dxa"/>
            <w:vAlign w:val="bottom"/>
          </w:tcPr>
          <w:p>
            <w:pPr>
              <w:spacing w:after="0"/>
              <w:rPr>
                <w:sz w:val="19"/>
                <w:szCs w:val="19"/>
                <w:color w:val="auto"/>
              </w:rPr>
            </w:pPr>
          </w:p>
        </w:tc>
        <w:tc>
          <w:tcPr>
            <w:tcW w:w="8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gridSpan w:val="2"/>
            <w:vMerge w:val="restart"/>
          </w:tcPr>
          <w:p>
            <w:pPr>
              <w:ind w:left="460"/>
              <w:spacing w:after="0"/>
              <w:rPr>
                <w:sz w:val="20"/>
                <w:szCs w:val="20"/>
                <w:color w:val="auto"/>
              </w:rPr>
            </w:pPr>
            <w:r>
              <w:rPr>
                <w:rFonts w:ascii="Arial" w:cs="Arial" w:eastAsia="Arial" w:hAnsi="Arial"/>
                <w:sz w:val="18"/>
                <w:szCs w:val="18"/>
                <w:color w:val="auto"/>
              </w:rPr>
              <w:t>accounted for as cash flow hedges</w:t>
            </w: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5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tcPr>
          <w:p>
            <w:pPr>
              <w:jc w:val="right"/>
              <w:spacing w:after="0" w:line="68" w:lineRule="exact"/>
              <w:rPr>
                <w:sz w:val="20"/>
                <w:szCs w:val="20"/>
                <w:color w:val="auto"/>
              </w:rPr>
            </w:pPr>
            <w:r>
              <w:rPr>
                <w:rFonts w:ascii="Arial" w:cs="Arial" w:eastAsia="Arial" w:hAnsi="Arial"/>
                <w:sz w:val="7"/>
                <w:szCs w:val="7"/>
                <w:color w:val="auto"/>
              </w:rPr>
              <w:t>(6,379</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Borders>
              <w:top w:val="single" w:sz="8" w:color="F0FFFF"/>
            </w:tcBorders>
            <w:gridSpan w:val="2"/>
            <w:shd w:val="clear" w:color="auto" w:fill="F0FFFF"/>
          </w:tcPr>
          <w:p>
            <w:pPr>
              <w:ind w:left="300"/>
              <w:spacing w:after="0"/>
              <w:rPr>
                <w:sz w:val="20"/>
                <w:szCs w:val="20"/>
                <w:color w:val="auto"/>
              </w:rPr>
            </w:pPr>
            <w:r>
              <w:rPr>
                <w:rFonts w:ascii="Arial" w:cs="Arial" w:eastAsia="Arial" w:hAnsi="Arial"/>
                <w:sz w:val="18"/>
                <w:szCs w:val="18"/>
                <w:color w:val="auto"/>
              </w:rPr>
              <w:t>Net unrealized losses</w:t>
            </w:r>
          </w:p>
        </w:tc>
        <w:tc>
          <w:tcPr>
            <w:tcW w:w="100" w:type="dxa"/>
            <w:vAlign w:val="bottom"/>
            <w:tcBorders>
              <w:top w:val="single" w:sz="8" w:color="auto"/>
            </w:tcBorders>
            <w:shd w:val="clear" w:color="auto" w:fill="F0FFFF"/>
          </w:tcPr>
          <w:p>
            <w:pPr>
              <w:spacing w:after="0"/>
              <w:rPr>
                <w:sz w:val="19"/>
                <w:szCs w:val="19"/>
                <w:color w:val="auto"/>
              </w:rPr>
            </w:pPr>
          </w:p>
        </w:tc>
        <w:tc>
          <w:tcPr>
            <w:tcW w:w="9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(2,974</w:t>
            </w:r>
          </w:p>
        </w:tc>
        <w:tc>
          <w:tcPr>
            <w:tcW w:w="120" w:type="dxa"/>
            <w:vAlign w:val="bottom"/>
            <w:tcBorders>
              <w:top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F0FFFF"/>
          </w:tcPr>
          <w:p>
            <w:pPr>
              <w:spacing w:after="0"/>
              <w:rPr>
                <w:sz w:val="19"/>
                <w:szCs w:val="19"/>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1,157</w:t>
            </w:r>
          </w:p>
        </w:tc>
        <w:tc>
          <w:tcPr>
            <w:tcW w:w="120" w:type="dxa"/>
            <w:vAlign w:val="bottom"/>
            <w:tcBorders>
              <w:top w:val="single" w:sz="8" w:color="F0FFFF"/>
            </w:tcBorders>
            <w:shd w:val="clear" w:color="auto" w:fill="F0FFFF"/>
          </w:tcPr>
          <w:p>
            <w:pPr>
              <w:spacing w:after="0"/>
              <w:rPr>
                <w:sz w:val="19"/>
                <w:szCs w:val="19"/>
                <w:color w:val="auto"/>
              </w:rPr>
            </w:pPr>
          </w:p>
        </w:tc>
        <w:tc>
          <w:tcPr>
            <w:tcW w:w="120" w:type="dxa"/>
            <w:vAlign w:val="bottom"/>
            <w:tcBorders>
              <w:top w:val="single" w:sz="8" w:color="auto"/>
            </w:tcBorders>
            <w:shd w:val="clear" w:color="auto" w:fill="F0FFFF"/>
          </w:tcPr>
          <w:p>
            <w:pPr>
              <w:spacing w:after="0"/>
              <w:rPr>
                <w:sz w:val="19"/>
                <w:szCs w:val="19"/>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(1,817</w:t>
            </w:r>
          </w:p>
        </w:tc>
        <w:tc>
          <w:tcPr>
            <w:tcW w:w="120" w:type="dxa"/>
            <w:vAlign w:val="bottom"/>
            <w:tcBorders>
              <w:top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F0FFFF"/>
          </w:tcPr>
          <w:p>
            <w:pPr>
              <w:spacing w:after="0"/>
              <w:rPr>
                <w:sz w:val="19"/>
                <w:szCs w:val="19"/>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(5,709</w:t>
            </w:r>
          </w:p>
        </w:tc>
        <w:tc>
          <w:tcPr>
            <w:tcW w:w="80" w:type="dxa"/>
            <w:vAlign w:val="bottom"/>
            <w:tcBorders>
              <w:top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F0FFFF"/>
            </w:tcBorders>
            <w:shd w:val="clear" w:color="auto" w:fill="F0FFFF"/>
          </w:tcPr>
          <w:p>
            <w:pPr>
              <w:spacing w:after="0"/>
              <w:rPr>
                <w:sz w:val="19"/>
                <w:szCs w:val="19"/>
                <w:color w:val="auto"/>
              </w:rPr>
            </w:pPr>
          </w:p>
        </w:tc>
        <w:tc>
          <w:tcPr>
            <w:tcW w:w="100" w:type="dxa"/>
            <w:vAlign w:val="bottom"/>
            <w:tcBorders>
              <w:top w:val="single" w:sz="8" w:color="auto"/>
            </w:tcBorders>
            <w:shd w:val="clear" w:color="auto" w:fill="F0FFFF"/>
          </w:tcPr>
          <w:p>
            <w:pPr>
              <w:spacing w:after="0"/>
              <w:rPr>
                <w:sz w:val="19"/>
                <w:szCs w:val="19"/>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2,221</w:t>
            </w:r>
          </w:p>
        </w:tc>
        <w:tc>
          <w:tcPr>
            <w:tcW w:w="100" w:type="dxa"/>
            <w:vAlign w:val="bottom"/>
            <w:tcBorders>
              <w:top w:val="single" w:sz="8" w:color="F0FFFF"/>
            </w:tcBorders>
            <w:shd w:val="clear" w:color="auto" w:fill="F0FFFF"/>
          </w:tcPr>
          <w:p>
            <w:pPr>
              <w:spacing w:after="0"/>
              <w:rPr>
                <w:sz w:val="19"/>
                <w:szCs w:val="19"/>
                <w:color w:val="auto"/>
              </w:rPr>
            </w:pPr>
          </w:p>
        </w:tc>
        <w:tc>
          <w:tcPr>
            <w:tcW w:w="20" w:type="dxa"/>
            <w:vAlign w:val="bottom"/>
            <w:tcBorders>
              <w:top w:val="single" w:sz="8" w:color="F0FFFF"/>
            </w:tcBorders>
            <w:shd w:val="clear" w:color="auto" w:fill="F0FFFF"/>
          </w:tcPr>
          <w:p>
            <w:pPr>
              <w:spacing w:after="0"/>
              <w:rPr>
                <w:sz w:val="19"/>
                <w:szCs w:val="19"/>
                <w:color w:val="auto"/>
              </w:rPr>
            </w:pPr>
          </w:p>
        </w:tc>
        <w:tc>
          <w:tcPr>
            <w:tcW w:w="80" w:type="dxa"/>
            <w:vAlign w:val="bottom"/>
            <w:tcBorders>
              <w:top w:val="single" w:sz="8" w:color="auto"/>
            </w:tcBorders>
            <w:shd w:val="clear" w:color="auto" w:fill="F0FFFF"/>
          </w:tcPr>
          <w:p>
            <w:pPr>
              <w:spacing w:after="0"/>
              <w:rPr>
                <w:sz w:val="19"/>
                <w:szCs w:val="19"/>
                <w:color w:val="auto"/>
              </w:rPr>
            </w:pP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(3,488</w:t>
            </w:r>
          </w:p>
        </w:tc>
        <w:tc>
          <w:tcPr>
            <w:tcW w:w="100" w:type="dxa"/>
            <w:vAlign w:val="bottom"/>
            <w:tcBorders>
              <w:top w:val="single" w:sz="8" w:color="F0FFFF"/>
            </w:tcBorders>
            <w:gridSpan w:val="2"/>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tcPr>
          <w:p>
            <w:pPr>
              <w:ind w:left="140"/>
              <w:spacing w:after="0"/>
              <w:rPr>
                <w:sz w:val="20"/>
                <w:szCs w:val="20"/>
                <w:color w:val="auto"/>
              </w:rPr>
            </w:pPr>
            <w:r>
              <w:rPr>
                <w:rFonts w:ascii="Arial" w:cs="Arial" w:eastAsia="Arial" w:hAnsi="Arial"/>
                <w:sz w:val="18"/>
                <w:szCs w:val="18"/>
                <w:color w:val="auto"/>
              </w:rPr>
              <w:t>Net actuarial gain on defined benefit pension plan</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Amortization of prior service cost and actuarial losses</w:t>
            </w:r>
          </w:p>
        </w:tc>
        <w:tc>
          <w:tcPr>
            <w:tcW w:w="100" w:type="dxa"/>
            <w:vAlign w:val="bottom"/>
            <w:shd w:val="clear" w:color="auto" w:fill="F0FFFF"/>
          </w:tcPr>
          <w:p>
            <w:pPr>
              <w:spacing w:after="0"/>
              <w:rPr>
                <w:sz w:val="19"/>
                <w:szCs w:val="19"/>
                <w:color w:val="auto"/>
              </w:rPr>
            </w:pPr>
          </w:p>
        </w:tc>
        <w:tc>
          <w:tcPr>
            <w:tcW w:w="94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9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9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92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9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2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920" w:type="dxa"/>
            <w:vAlign w:val="bottom"/>
            <w:shd w:val="clear" w:color="auto" w:fill="F0FFFF"/>
          </w:tcPr>
          <w:p>
            <w:pPr>
              <w:spacing w:after="0"/>
              <w:rPr>
                <w:sz w:val="19"/>
                <w:szCs w:val="19"/>
                <w:color w:val="auto"/>
              </w:rPr>
            </w:pPr>
          </w:p>
        </w:tc>
        <w:tc>
          <w:tcPr>
            <w:tcW w:w="2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F0FFFF"/>
          </w:tcPr>
          <w:p>
            <w:pPr>
              <w:ind w:left="300"/>
              <w:spacing w:after="0"/>
              <w:rPr>
                <w:sz w:val="20"/>
                <w:szCs w:val="20"/>
                <w:color w:val="auto"/>
              </w:rPr>
            </w:pPr>
            <w:r>
              <w:rPr>
                <w:rFonts w:ascii="Arial" w:cs="Arial" w:eastAsia="Arial" w:hAnsi="Arial"/>
                <w:sz w:val="18"/>
                <w:szCs w:val="18"/>
                <w:color w:val="auto"/>
                <w:w w:val="96"/>
              </w:rPr>
              <w:t>included in net periodic pension cost for defined benefit</w:t>
            </w:r>
          </w:p>
        </w:tc>
        <w:tc>
          <w:tcPr>
            <w:tcW w:w="100" w:type="dxa"/>
            <w:vAlign w:val="bottom"/>
            <w:shd w:val="clear" w:color="auto" w:fill="F0FFFF"/>
          </w:tcPr>
          <w:p>
            <w:pPr>
              <w:spacing w:after="0"/>
              <w:rPr>
                <w:sz w:val="18"/>
                <w:szCs w:val="18"/>
                <w:color w:val="auto"/>
              </w:rPr>
            </w:pPr>
          </w:p>
        </w:tc>
        <w:tc>
          <w:tcPr>
            <w:tcW w:w="940" w:type="dxa"/>
            <w:vAlign w:val="bottom"/>
            <w:vMerge w:val="restart"/>
            <w:shd w:val="clear" w:color="auto" w:fill="F0FF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gridSpan w:val="2"/>
            <w:vMerge w:val="restart"/>
            <w:shd w:val="clear" w:color="auto" w:fill="F0FF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F0FFFF"/>
          </w:tcPr>
          <w:p>
            <w:pPr>
              <w:spacing w:after="0"/>
              <w:rPr>
                <w:sz w:val="18"/>
                <w:szCs w:val="18"/>
                <w:color w:val="auto"/>
              </w:rPr>
            </w:pPr>
          </w:p>
        </w:tc>
        <w:tc>
          <w:tcPr>
            <w:tcW w:w="920" w:type="dxa"/>
            <w:vAlign w:val="bottom"/>
            <w:vMerge w:val="restart"/>
            <w:shd w:val="clear" w:color="auto" w:fill="F0FF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0" w:type="dxa"/>
            <w:vAlign w:val="bottom"/>
            <w:gridSpan w:val="2"/>
            <w:vMerge w:val="restart"/>
            <w:shd w:val="clear" w:color="auto" w:fill="F0FFFF"/>
          </w:tcPr>
          <w:p>
            <w:pPr>
              <w:jc w:val="right"/>
              <w:spacing w:after="0"/>
              <w:rPr>
                <w:sz w:val="20"/>
                <w:szCs w:val="20"/>
                <w:color w:val="auto"/>
              </w:rPr>
            </w:pPr>
            <w:r>
              <w:rPr>
                <w:rFonts w:ascii="Arial" w:cs="Arial" w:eastAsia="Arial" w:hAnsi="Arial"/>
                <w:sz w:val="18"/>
                <w:szCs w:val="18"/>
                <w:color w:val="auto"/>
              </w:rPr>
              <w:t>183</w:t>
            </w: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vMerge w:val="restart"/>
            <w:shd w:val="clear" w:color="auto" w:fill="F0FFFF"/>
          </w:tcPr>
          <w:p>
            <w:pPr>
              <w:jc w:val="right"/>
              <w:spacing w:after="0"/>
              <w:rPr>
                <w:sz w:val="20"/>
                <w:szCs w:val="20"/>
                <w:color w:val="auto"/>
              </w:rPr>
            </w:pPr>
            <w:r>
              <w:rPr>
                <w:rFonts w:ascii="Arial" w:cs="Arial" w:eastAsia="Arial" w:hAnsi="Arial"/>
                <w:sz w:val="18"/>
                <w:szCs w:val="18"/>
                <w:color w:val="auto"/>
              </w:rPr>
              <w:t>(71)</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40" w:type="dxa"/>
            <w:vAlign w:val="bottom"/>
            <w:gridSpan w:val="2"/>
            <w:vMerge w:val="restart"/>
            <w:shd w:val="clear" w:color="auto" w:fill="F0FFFF"/>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gridSpan w:val="2"/>
            <w:shd w:val="clear" w:color="auto" w:fill="F0FFFF"/>
          </w:tcPr>
          <w:p>
            <w:pPr>
              <w:ind w:left="300"/>
              <w:spacing w:after="0"/>
              <w:rPr>
                <w:sz w:val="20"/>
                <w:szCs w:val="20"/>
                <w:color w:val="auto"/>
              </w:rPr>
            </w:pPr>
            <w:r>
              <w:rPr>
                <w:rFonts w:ascii="Arial" w:cs="Arial" w:eastAsia="Arial" w:hAnsi="Arial"/>
                <w:sz w:val="18"/>
                <w:szCs w:val="18"/>
                <w:color w:val="auto"/>
              </w:rPr>
              <w:t>pension plan</w:t>
            </w:r>
          </w:p>
        </w:tc>
        <w:tc>
          <w:tcPr>
            <w:tcW w:w="100" w:type="dxa"/>
            <w:vAlign w:val="bottom"/>
            <w:shd w:val="clear" w:color="auto" w:fill="F0FFFF"/>
          </w:tcPr>
          <w:p>
            <w:pPr>
              <w:spacing w:after="0"/>
              <w:rPr>
                <w:sz w:val="20"/>
                <w:szCs w:val="20"/>
                <w:color w:val="auto"/>
              </w:rPr>
            </w:pPr>
          </w:p>
        </w:tc>
        <w:tc>
          <w:tcPr>
            <w:tcW w:w="940" w:type="dxa"/>
            <w:vAlign w:val="bottom"/>
            <w:vMerge w:val="continue"/>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40" w:type="dxa"/>
            <w:vAlign w:val="bottom"/>
            <w:gridSpan w:val="2"/>
            <w:vMerge w:val="continue"/>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920" w:type="dxa"/>
            <w:vAlign w:val="bottom"/>
            <w:vMerge w:val="continue"/>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000" w:type="dxa"/>
            <w:vAlign w:val="bottom"/>
            <w:gridSpan w:val="2"/>
            <w:vMerge w:val="continue"/>
            <w:shd w:val="clear" w:color="auto" w:fill="F0FFFF"/>
          </w:tcPr>
          <w:p>
            <w:pPr>
              <w:spacing w:after="0"/>
              <w:rPr>
                <w:sz w:val="20"/>
                <w:szCs w:val="20"/>
                <w:color w:val="auto"/>
              </w:rPr>
            </w:pPr>
          </w:p>
        </w:tc>
        <w:tc>
          <w:tcPr>
            <w:tcW w:w="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020" w:type="dxa"/>
            <w:vAlign w:val="bottom"/>
            <w:gridSpan w:val="2"/>
            <w:vMerge w:val="continue"/>
            <w:shd w:val="clear" w:color="auto" w:fill="F0FFFF"/>
          </w:tcPr>
          <w:p>
            <w:pPr>
              <w:spacing w:after="0"/>
              <w:rPr>
                <w:sz w:val="20"/>
                <w:szCs w:val="20"/>
                <w:color w:val="auto"/>
              </w:rPr>
            </w:pPr>
          </w:p>
        </w:tc>
        <w:tc>
          <w:tcPr>
            <w:tcW w:w="2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940" w:type="dxa"/>
            <w:vAlign w:val="bottom"/>
            <w:gridSpan w:val="2"/>
            <w:vMerge w:val="continue"/>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560" w:type="dxa"/>
            <w:vAlign w:val="bottom"/>
            <w:tcBorders>
              <w:top w:val="single" w:sz="8" w:color="F0FFFF"/>
            </w:tcBorders>
            <w:gridSpan w:val="2"/>
            <w:vMerge w:val="restart"/>
          </w:tcPr>
          <w:p>
            <w:pPr>
              <w:ind w:left="300"/>
              <w:spacing w:after="0" w:line="203" w:lineRule="exact"/>
              <w:rPr>
                <w:sz w:val="20"/>
                <w:szCs w:val="20"/>
                <w:color w:val="auto"/>
              </w:rPr>
            </w:pPr>
            <w:r>
              <w:rPr>
                <w:rFonts w:ascii="Arial" w:cs="Arial" w:eastAsia="Arial" w:hAnsi="Arial"/>
                <w:sz w:val="18"/>
                <w:szCs w:val="18"/>
                <w:color w:val="auto"/>
              </w:rPr>
              <w:t>Net defined benefit pension plan activity</w:t>
            </w: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spacing w:after="0" w:line="203" w:lineRule="exact"/>
              <w:rPr>
                <w:sz w:val="20"/>
                <w:szCs w:val="20"/>
                <w:color w:val="auto"/>
              </w:rPr>
            </w:pPr>
            <w:r>
              <w:rPr>
                <w:rFonts w:ascii="Arial" w:cs="Arial" w:eastAsia="Arial" w:hAnsi="Arial"/>
                <w:sz w:val="18"/>
                <w:szCs w:val="18"/>
                <w:color w:val="auto"/>
              </w:rPr>
              <w:t>92</w:t>
            </w:r>
          </w:p>
        </w:tc>
        <w:tc>
          <w:tcPr>
            <w:tcW w:w="120" w:type="dxa"/>
            <w:vAlign w:val="bottom"/>
            <w:tcBorders>
              <w:top w:val="single" w:sz="8" w:color="F0FF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spacing w:after="0" w:line="203" w:lineRule="exact"/>
              <w:rPr>
                <w:sz w:val="20"/>
                <w:szCs w:val="20"/>
                <w:color w:val="auto"/>
              </w:rPr>
            </w:pPr>
            <w:r>
              <w:rPr>
                <w:rFonts w:ascii="Arial" w:cs="Arial" w:eastAsia="Arial" w:hAnsi="Arial"/>
                <w:sz w:val="18"/>
                <w:szCs w:val="18"/>
                <w:color w:val="auto"/>
              </w:rPr>
              <w:t>(36</w:t>
            </w:r>
          </w:p>
        </w:tc>
        <w:tc>
          <w:tcPr>
            <w:tcW w:w="120" w:type="dxa"/>
            <w:vAlign w:val="bottom"/>
            <w:tcBorders>
              <w:top w:val="single" w:sz="8" w:color="F0FFFF"/>
            </w:tcBorders>
          </w:tcPr>
          <w:p>
            <w:pPr>
              <w:jc w:val="right"/>
              <w:spacing w:after="0" w:line="136" w:lineRule="exact"/>
              <w:rPr>
                <w:sz w:val="20"/>
                <w:szCs w:val="20"/>
                <w:color w:val="auto"/>
              </w:rPr>
            </w:pPr>
            <w:r>
              <w:rPr>
                <w:rFonts w:ascii="Arial" w:cs="Arial" w:eastAsia="Arial" w:hAnsi="Arial"/>
                <w:sz w:val="15"/>
                <w:szCs w:val="15"/>
                <w:color w:val="auto"/>
                <w:w w:val="79"/>
              </w:rPr>
              <w:t>)</w:t>
            </w: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spacing w:after="0" w:line="203" w:lineRule="exact"/>
              <w:rPr>
                <w:sz w:val="20"/>
                <w:szCs w:val="20"/>
                <w:color w:val="auto"/>
              </w:rPr>
            </w:pPr>
            <w:r>
              <w:rPr>
                <w:rFonts w:ascii="Arial" w:cs="Arial" w:eastAsia="Arial" w:hAnsi="Arial"/>
                <w:sz w:val="18"/>
                <w:szCs w:val="18"/>
                <w:color w:val="auto"/>
              </w:rPr>
              <w:t>56</w:t>
            </w:r>
          </w:p>
        </w:tc>
        <w:tc>
          <w:tcPr>
            <w:tcW w:w="12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spacing w:after="0" w:line="203" w:lineRule="exact"/>
              <w:rPr>
                <w:sz w:val="20"/>
                <w:szCs w:val="20"/>
                <w:color w:val="auto"/>
              </w:rPr>
            </w:pPr>
            <w:r>
              <w:rPr>
                <w:rFonts w:ascii="Arial" w:cs="Arial" w:eastAsia="Arial" w:hAnsi="Arial"/>
                <w:sz w:val="18"/>
                <w:szCs w:val="18"/>
                <w:color w:val="auto"/>
              </w:rPr>
              <w:t>479</w:t>
            </w:r>
          </w:p>
        </w:tc>
        <w:tc>
          <w:tcPr>
            <w:tcW w:w="80" w:type="dxa"/>
            <w:vAlign w:val="bottom"/>
            <w:tcBorders>
              <w:top w:val="single" w:sz="8" w:color="F0FFFF"/>
            </w:tcBorders>
            <w:vMerge w:val="restart"/>
          </w:tcPr>
          <w:p>
            <w:pPr>
              <w:spacing w:after="0"/>
              <w:rPr>
                <w:sz w:val="11"/>
                <w:szCs w:val="11"/>
                <w:color w:val="auto"/>
              </w:rPr>
            </w:pPr>
          </w:p>
        </w:tc>
        <w:tc>
          <w:tcPr>
            <w:tcW w:w="2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Borders>
              <w:top w:val="single" w:sz="8" w:color="F0FFFF"/>
            </w:tcBorders>
          </w:tcPr>
          <w:p>
            <w:pPr>
              <w:jc w:val="right"/>
              <w:spacing w:after="0" w:line="136" w:lineRule="exact"/>
              <w:rPr>
                <w:sz w:val="20"/>
                <w:szCs w:val="20"/>
                <w:color w:val="auto"/>
              </w:rPr>
            </w:pPr>
            <w:r>
              <w:rPr>
                <w:rFonts w:ascii="Arial" w:cs="Arial" w:eastAsia="Arial" w:hAnsi="Arial"/>
                <w:sz w:val="15"/>
                <w:szCs w:val="15"/>
                <w:color w:val="auto"/>
                <w:w w:val="79"/>
              </w:rPr>
              <w:t>)</w:t>
            </w:r>
          </w:p>
        </w:tc>
        <w:tc>
          <w:tcPr>
            <w:tcW w:w="20" w:type="dxa"/>
            <w:vAlign w:val="bottom"/>
            <w:tcBorders>
              <w:top w:val="single" w:sz="8" w:color="F0FF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right"/>
              <w:spacing w:after="0" w:line="203" w:lineRule="exact"/>
              <w:rPr>
                <w:sz w:val="20"/>
                <w:szCs w:val="20"/>
                <w:color w:val="auto"/>
              </w:rPr>
            </w:pPr>
            <w:r>
              <w:rPr>
                <w:rFonts w:ascii="Arial" w:cs="Arial" w:eastAsia="Arial" w:hAnsi="Arial"/>
                <w:sz w:val="18"/>
                <w:szCs w:val="18"/>
                <w:color w:val="auto"/>
              </w:rPr>
              <w:t>293</w:t>
            </w:r>
          </w:p>
        </w:tc>
        <w:tc>
          <w:tcPr>
            <w:tcW w:w="20" w:type="dxa"/>
            <w:vAlign w:val="bottom"/>
            <w:tcBorders>
              <w:top w:val="single" w:sz="8" w:color="F0FFFF"/>
            </w:tcBorders>
          </w:tcPr>
          <w:p>
            <w:pPr>
              <w:spacing w:after="0"/>
              <w:rPr>
                <w:sz w:val="11"/>
                <w:szCs w:val="11"/>
                <w:color w:val="auto"/>
              </w:rPr>
            </w:pPr>
          </w:p>
        </w:tc>
        <w:tc>
          <w:tcPr>
            <w:tcW w:w="80" w:type="dxa"/>
            <w:vAlign w:val="bottom"/>
            <w:tcBorders>
              <w:top w:val="single" w:sz="8" w:color="F0FFFF"/>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5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tcPr>
          <w:p>
            <w:pPr>
              <w:jc w:val="right"/>
              <w:ind w:right="21"/>
              <w:spacing w:after="0" w:line="68" w:lineRule="exact"/>
              <w:rPr>
                <w:sz w:val="20"/>
                <w:szCs w:val="20"/>
                <w:color w:val="auto"/>
              </w:rPr>
            </w:pPr>
            <w:r>
              <w:rPr>
                <w:rFonts w:ascii="Arial" w:cs="Arial" w:eastAsia="Arial" w:hAnsi="Arial"/>
                <w:sz w:val="7"/>
                <w:szCs w:val="7"/>
                <w:color w:val="auto"/>
              </w:rPr>
              <w:t>(186</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Borders>
              <w:top w:val="single" w:sz="8" w:color="F0FFFF"/>
              <w:bottom w:val="single" w:sz="8" w:color="F0FFFF"/>
            </w:tcBorders>
            <w:gridSpan w:val="2"/>
            <w:shd w:val="clear" w:color="auto" w:fill="F0FFFF"/>
          </w:tcPr>
          <w:p>
            <w:pPr>
              <w:ind w:left="460"/>
              <w:spacing w:after="0"/>
              <w:rPr>
                <w:sz w:val="20"/>
                <w:szCs w:val="20"/>
                <w:color w:val="auto"/>
              </w:rPr>
            </w:pPr>
            <w:r>
              <w:rPr>
                <w:rFonts w:ascii="Arial" w:cs="Arial" w:eastAsia="Arial" w:hAnsi="Arial"/>
                <w:sz w:val="18"/>
                <w:szCs w:val="18"/>
                <w:color w:val="auto"/>
              </w:rPr>
              <w:t>Total other comprehensive income</w:t>
            </w:r>
          </w:p>
        </w:tc>
        <w:tc>
          <w:tcPr>
            <w:tcW w:w="100" w:type="dxa"/>
            <w:vAlign w:val="bottom"/>
            <w:tcBorders>
              <w:top w:val="single" w:sz="8" w:color="auto"/>
              <w:bottom w:val="single" w:sz="8" w:color="auto"/>
            </w:tcBorders>
            <w:shd w:val="clear" w:color="auto" w:fill="F0FFFF"/>
          </w:tcPr>
          <w:p>
            <w:pPr>
              <w:spacing w:after="0"/>
              <w:rPr>
                <w:sz w:val="21"/>
                <w:szCs w:val="21"/>
                <w:color w:val="auto"/>
              </w:rPr>
            </w:pP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4,276</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spacing w:after="0"/>
              <w:rPr>
                <w:sz w:val="21"/>
                <w:szCs w:val="21"/>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(1,524)</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spacing w:after="0"/>
              <w:rPr>
                <w:sz w:val="21"/>
                <w:szCs w:val="21"/>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2,752</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spacing w:after="0"/>
              <w:rPr>
                <w:sz w:val="21"/>
                <w:szCs w:val="21"/>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5,910</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spacing w:after="0"/>
              <w:rPr>
                <w:sz w:val="21"/>
                <w:szCs w:val="21"/>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(2,082)</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spacing w:after="0"/>
              <w:rPr>
                <w:sz w:val="21"/>
                <w:szCs w:val="21"/>
                <w:color w:val="auto"/>
              </w:rPr>
            </w:pPr>
          </w:p>
        </w:tc>
        <w:tc>
          <w:tcPr>
            <w:tcW w:w="9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3,828</w:t>
            </w: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gridSpan w:val="2"/>
          </w:tcPr>
          <w:p>
            <w:pPr>
              <w:ind w:left="460"/>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30,260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(11,151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19,109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56,332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(20,747</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35,585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Balance Sheet </w:t>
      </w:r>
      <w:r>
        <w:rPr>
          <w:rFonts w:ascii="Arial" w:cs="Arial" w:eastAsia="Arial" w:hAnsi="Arial"/>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June 30,</w:t>
            </w:r>
          </w:p>
        </w:tc>
      </w:tr>
      <w:tr>
        <w:trPr>
          <w:trHeight w:val="241"/>
        </w:trPr>
        <w:tc>
          <w:tcPr>
            <w:tcW w:w="686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share and per share data)</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68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Cash and due from banks</w:t>
            </w:r>
          </w:p>
        </w:tc>
        <w:tc>
          <w:tcPr>
            <w:tcW w:w="44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80,865</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77,180</w:t>
            </w:r>
          </w:p>
        </w:tc>
        <w:tc>
          <w:tcPr>
            <w:tcW w:w="200" w:type="dxa"/>
            <w:vAlign w:val="bottom"/>
            <w:gridSpan w:val="2"/>
            <w:shd w:val="clear" w:color="auto" w:fill="F0FFFF"/>
          </w:tcPr>
          <w:p>
            <w:pPr>
              <w:jc w:val="right"/>
              <w:ind w:right="25"/>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91,791</w:t>
            </w:r>
          </w:p>
        </w:tc>
        <w:tc>
          <w:tcPr>
            <w:tcW w:w="80" w:type="dxa"/>
            <w:vAlign w:val="bottom"/>
            <w:shd w:val="clear" w:color="auto" w:fill="F0FF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40" w:type="dxa"/>
            <w:vAlign w:val="bottom"/>
          </w:tcPr>
          <w:p>
            <w:pPr>
              <w:ind w:left="140"/>
              <w:spacing w:after="0"/>
              <w:rPr>
                <w:sz w:val="20"/>
                <w:szCs w:val="20"/>
                <w:color w:val="auto"/>
              </w:rPr>
            </w:pPr>
            <w:r>
              <w:rPr>
                <w:rFonts w:ascii="Arial" w:cs="Arial" w:eastAsia="Arial" w:hAnsi="Arial"/>
                <w:sz w:val="18"/>
                <w:szCs w:val="18"/>
                <w:color w:val="auto"/>
              </w:rPr>
              <w:t>Interest-bearing deposits in banks</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94,032</w:t>
            </w:r>
          </w:p>
        </w:tc>
        <w:tc>
          <w:tcPr>
            <w:tcW w:w="10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89,074</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100,270</w:t>
            </w:r>
          </w:p>
        </w:tc>
        <w:tc>
          <w:tcPr>
            <w:tcW w:w="8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68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3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F0FFFF"/>
          </w:tcPr>
          <w:p>
            <w:pPr>
              <w:spacing w:after="0"/>
              <w:rPr>
                <w:sz w:val="21"/>
                <w:szCs w:val="21"/>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26,401</w:t>
            </w:r>
          </w:p>
        </w:tc>
        <w:tc>
          <w:tcPr>
            <w:tcW w:w="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47,999</w:t>
            </w:r>
          </w:p>
        </w:tc>
        <w:tc>
          <w:tcPr>
            <w:tcW w:w="80" w:type="dxa"/>
            <w:vAlign w:val="bottom"/>
            <w:shd w:val="clear" w:color="auto" w:fill="F0FFFF"/>
          </w:tcPr>
          <w:p>
            <w:pPr>
              <w:spacing w:after="0"/>
              <w:rPr>
                <w:sz w:val="21"/>
                <w:szCs w:val="21"/>
                <w:color w:val="auto"/>
              </w:rPr>
            </w:pPr>
          </w:p>
        </w:tc>
      </w:tr>
      <w:tr>
        <w:trPr>
          <w:trHeight w:val="217"/>
        </w:trPr>
        <w:tc>
          <w:tcPr>
            <w:tcW w:w="20" w:type="dxa"/>
            <w:vAlign w:val="bottom"/>
          </w:tcPr>
          <w:p>
            <w:pPr>
              <w:spacing w:after="0"/>
              <w:rPr>
                <w:sz w:val="18"/>
                <w:szCs w:val="18"/>
                <w:color w:val="auto"/>
              </w:rPr>
            </w:pPr>
          </w:p>
        </w:tc>
        <w:tc>
          <w:tcPr>
            <w:tcW w:w="6840" w:type="dxa"/>
            <w:vAlign w:val="bottom"/>
            <w:tcBorders>
              <w:top w:val="single" w:sz="8" w:color="F0FFFF"/>
            </w:tcBorders>
          </w:tcPr>
          <w:p>
            <w:pPr>
              <w:ind w:left="30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204,897</w:t>
            </w:r>
          </w:p>
        </w:tc>
        <w:tc>
          <w:tcPr>
            <w:tcW w:w="24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192,655</w:t>
            </w:r>
          </w:p>
        </w:tc>
        <w:tc>
          <w:tcPr>
            <w:tcW w:w="20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240,060</w:t>
            </w: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68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Securities available-for-sale</w:t>
            </w:r>
          </w:p>
        </w:tc>
        <w:tc>
          <w:tcPr>
            <w:tcW w:w="24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3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1,942,319</w:t>
            </w:r>
          </w:p>
        </w:tc>
        <w:tc>
          <w:tcPr>
            <w:tcW w:w="100" w:type="dxa"/>
            <w:vAlign w:val="bottom"/>
            <w:shd w:val="clear" w:color="auto" w:fill="F0FFFF"/>
          </w:tcPr>
          <w:p>
            <w:pPr>
              <w:spacing w:after="0"/>
              <w:rPr>
                <w:sz w:val="21"/>
                <w:szCs w:val="21"/>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1,782,734</w:t>
            </w:r>
          </w:p>
        </w:tc>
        <w:tc>
          <w:tcPr>
            <w:tcW w:w="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1,741,268</w:t>
            </w:r>
          </w:p>
        </w:tc>
        <w:tc>
          <w:tcPr>
            <w:tcW w:w="80" w:type="dxa"/>
            <w:vAlign w:val="bottom"/>
            <w:shd w:val="clear" w:color="auto" w:fill="F0FF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40" w:type="dxa"/>
            <w:vAlign w:val="bottom"/>
          </w:tcPr>
          <w:p>
            <w:pPr>
              <w:ind w:left="140"/>
              <w:spacing w:after="0"/>
              <w:rPr>
                <w:sz w:val="20"/>
                <w:szCs w:val="20"/>
                <w:color w:val="auto"/>
              </w:rPr>
            </w:pPr>
            <w:r>
              <w:rPr>
                <w:rFonts w:ascii="Arial" w:cs="Arial" w:eastAsia="Arial" w:hAnsi="Arial"/>
                <w:sz w:val="18"/>
                <w:szCs w:val="18"/>
                <w:color w:val="auto"/>
              </w:rPr>
              <w:t>Securities held-to-maturity (fair value $388,066, $425,233 and $458,864)</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379,757</w:t>
            </w:r>
          </w:p>
        </w:tc>
        <w:tc>
          <w:tcPr>
            <w:tcW w:w="10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415,267</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448,752</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Mortgage loans held for sale</w:t>
            </w:r>
          </w:p>
        </w:tc>
        <w:tc>
          <w:tcPr>
            <w:tcW w:w="24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3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22,003</w:t>
            </w:r>
          </w:p>
        </w:tc>
        <w:tc>
          <w:tcPr>
            <w:tcW w:w="100" w:type="dxa"/>
            <w:vAlign w:val="bottom"/>
            <w:shd w:val="clear" w:color="auto" w:fill="F0FFFF"/>
          </w:tcPr>
          <w:p>
            <w:pPr>
              <w:spacing w:after="0"/>
              <w:rPr>
                <w:sz w:val="21"/>
                <w:szCs w:val="21"/>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13,737</w:t>
            </w:r>
          </w:p>
        </w:tc>
        <w:tc>
          <w:tcPr>
            <w:tcW w:w="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14,918</w:t>
            </w:r>
          </w:p>
        </w:tc>
        <w:tc>
          <w:tcPr>
            <w:tcW w:w="80" w:type="dxa"/>
            <w:vAlign w:val="bottom"/>
            <w:shd w:val="clear" w:color="auto" w:fill="F0FF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40" w:type="dxa"/>
            <w:vAlign w:val="bottom"/>
          </w:tcPr>
          <w:p>
            <w:pPr>
              <w:ind w:left="140"/>
              <w:spacing w:after="0"/>
              <w:rPr>
                <w:sz w:val="20"/>
                <w:szCs w:val="20"/>
                <w:color w:val="auto"/>
              </w:rPr>
            </w:pPr>
            <w:r>
              <w:rPr>
                <w:rFonts w:ascii="Arial" w:cs="Arial" w:eastAsia="Arial" w:hAnsi="Arial"/>
                <w:sz w:val="18"/>
                <w:szCs w:val="18"/>
                <w:color w:val="auto"/>
              </w:rPr>
              <w:t>Loans, net of unearned income</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5,173,517</w:t>
            </w:r>
          </w:p>
        </w:tc>
        <w:tc>
          <w:tcPr>
            <w:tcW w:w="10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4,672,119</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4,410,285</w:t>
            </w:r>
          </w:p>
        </w:tc>
        <w:tc>
          <w:tcPr>
            <w:tcW w:w="8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6840" w:type="dxa"/>
            <w:vAlign w:val="bottom"/>
            <w:shd w:val="clear" w:color="auto" w:fill="F0FFFF"/>
          </w:tcPr>
          <w:p>
            <w:pPr>
              <w:ind w:left="300"/>
              <w:spacing w:after="0"/>
              <w:rPr>
                <w:sz w:val="20"/>
                <w:szCs w:val="20"/>
                <w:color w:val="auto"/>
              </w:rPr>
            </w:pPr>
            <w:r>
              <w:rPr>
                <w:rFonts w:ascii="Arial" w:cs="Arial" w:eastAsia="Arial" w:hAnsi="Arial"/>
                <w:sz w:val="18"/>
                <w:szCs w:val="18"/>
                <w:color w:val="auto"/>
              </w:rPr>
              <w:t>Less allowance for loan losses</w:t>
            </w:r>
          </w:p>
        </w:tc>
        <w:tc>
          <w:tcPr>
            <w:tcW w:w="24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3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(70,129)</w:t>
            </w:r>
          </w:p>
        </w:tc>
        <w:tc>
          <w:tcPr>
            <w:tcW w:w="100" w:type="dxa"/>
            <w:vAlign w:val="bottom"/>
            <w:shd w:val="clear" w:color="auto" w:fill="F0FFFF"/>
          </w:tcPr>
          <w:p>
            <w:pPr>
              <w:spacing w:after="0"/>
              <w:rPr>
                <w:sz w:val="21"/>
                <w:szCs w:val="21"/>
                <w:color w:val="auto"/>
              </w:rPr>
            </w:pPr>
          </w:p>
        </w:tc>
        <w:tc>
          <w:tcPr>
            <w:tcW w:w="13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(71,619)</w:t>
            </w:r>
          </w:p>
        </w:tc>
        <w:tc>
          <w:tcPr>
            <w:tcW w:w="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16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(73,248)</w:t>
            </w:r>
          </w:p>
        </w:tc>
      </w:tr>
      <w:tr>
        <w:trPr>
          <w:trHeight w:val="217"/>
        </w:trPr>
        <w:tc>
          <w:tcPr>
            <w:tcW w:w="20" w:type="dxa"/>
            <w:vAlign w:val="bottom"/>
          </w:tcPr>
          <w:p>
            <w:pPr>
              <w:spacing w:after="0"/>
              <w:rPr>
                <w:sz w:val="18"/>
                <w:szCs w:val="18"/>
                <w:color w:val="auto"/>
              </w:rPr>
            </w:pPr>
          </w:p>
        </w:tc>
        <w:tc>
          <w:tcPr>
            <w:tcW w:w="6840" w:type="dxa"/>
            <w:vAlign w:val="bottom"/>
            <w:tcBorders>
              <w:top w:val="single" w:sz="8" w:color="F0FFFF"/>
            </w:tcBorders>
          </w:tcPr>
          <w:p>
            <w:pPr>
              <w:ind w:left="460"/>
              <w:spacing w:after="0"/>
              <w:rPr>
                <w:sz w:val="20"/>
                <w:szCs w:val="20"/>
                <w:color w:val="auto"/>
              </w:rPr>
            </w:pPr>
            <w:r>
              <w:rPr>
                <w:rFonts w:ascii="Arial" w:cs="Arial" w:eastAsia="Arial" w:hAnsi="Arial"/>
                <w:sz w:val="18"/>
                <w:szCs w:val="18"/>
                <w:color w:val="auto"/>
              </w:rPr>
              <w:t>Loans, net</w:t>
            </w:r>
          </w:p>
        </w:tc>
        <w:tc>
          <w:tcPr>
            <w:tcW w:w="24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5,103,388</w:t>
            </w:r>
          </w:p>
        </w:tc>
        <w:tc>
          <w:tcPr>
            <w:tcW w:w="24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4,600,500</w:t>
            </w:r>
          </w:p>
        </w:tc>
        <w:tc>
          <w:tcPr>
            <w:tcW w:w="20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4,337,037</w:t>
            </w: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68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Premises and equipment, net</w:t>
            </w:r>
          </w:p>
        </w:tc>
        <w:tc>
          <w:tcPr>
            <w:tcW w:w="24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3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173,313</w:t>
            </w:r>
          </w:p>
        </w:tc>
        <w:tc>
          <w:tcPr>
            <w:tcW w:w="100" w:type="dxa"/>
            <w:vAlign w:val="bottom"/>
            <w:shd w:val="clear" w:color="auto" w:fill="F0FFFF"/>
          </w:tcPr>
          <w:p>
            <w:pPr>
              <w:spacing w:after="0"/>
              <w:rPr>
                <w:sz w:val="21"/>
                <w:szCs w:val="21"/>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159,390</w:t>
            </w:r>
          </w:p>
        </w:tc>
        <w:tc>
          <w:tcPr>
            <w:tcW w:w="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161,614</w:t>
            </w:r>
          </w:p>
        </w:tc>
        <w:tc>
          <w:tcPr>
            <w:tcW w:w="80" w:type="dxa"/>
            <w:vAlign w:val="bottom"/>
            <w:shd w:val="clear" w:color="auto" w:fill="F0FF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40" w:type="dxa"/>
            <w:vAlign w:val="bottom"/>
          </w:tcPr>
          <w:p>
            <w:pPr>
              <w:ind w:left="140"/>
              <w:spacing w:after="0"/>
              <w:rPr>
                <w:sz w:val="20"/>
                <w:szCs w:val="20"/>
                <w:color w:val="auto"/>
              </w:rPr>
            </w:pPr>
            <w:r>
              <w:rPr>
                <w:rFonts w:ascii="Arial" w:cs="Arial" w:eastAsia="Arial" w:hAnsi="Arial"/>
                <w:sz w:val="18"/>
                <w:szCs w:val="18"/>
                <w:color w:val="auto"/>
              </w:rPr>
              <w:t>Bank owned life insurance</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92,952</w:t>
            </w:r>
          </w:p>
        </w:tc>
        <w:tc>
          <w:tcPr>
            <w:tcW w:w="10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81,294</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80,922</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Accrued interest receivable</w:t>
            </w:r>
          </w:p>
        </w:tc>
        <w:tc>
          <w:tcPr>
            <w:tcW w:w="24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3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21,030</w:t>
            </w:r>
          </w:p>
        </w:tc>
        <w:tc>
          <w:tcPr>
            <w:tcW w:w="100" w:type="dxa"/>
            <w:vAlign w:val="bottom"/>
            <w:shd w:val="clear" w:color="auto" w:fill="F0FFFF"/>
          </w:tcPr>
          <w:p>
            <w:pPr>
              <w:spacing w:after="0"/>
              <w:rPr>
                <w:sz w:val="21"/>
                <w:szCs w:val="21"/>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20,103</w:t>
            </w:r>
          </w:p>
        </w:tc>
        <w:tc>
          <w:tcPr>
            <w:tcW w:w="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19,141</w:t>
            </w:r>
          </w:p>
        </w:tc>
        <w:tc>
          <w:tcPr>
            <w:tcW w:w="80" w:type="dxa"/>
            <w:vAlign w:val="bottom"/>
            <w:shd w:val="clear" w:color="auto" w:fill="F0FF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40" w:type="dxa"/>
            <w:vAlign w:val="bottom"/>
          </w:tcPr>
          <w:p>
            <w:pPr>
              <w:ind w:left="140"/>
              <w:spacing w:after="0"/>
              <w:rPr>
                <w:sz w:val="20"/>
                <w:szCs w:val="20"/>
                <w:color w:val="auto"/>
              </w:rPr>
            </w:pPr>
            <w:r>
              <w:rPr>
                <w:rFonts w:ascii="Arial" w:cs="Arial" w:eastAsia="Arial" w:hAnsi="Arial"/>
                <w:sz w:val="18"/>
                <w:szCs w:val="18"/>
                <w:color w:val="auto"/>
              </w:rPr>
              <w:t>Net deferred tax asset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195,746</w:t>
            </w:r>
          </w:p>
        </w:tc>
        <w:tc>
          <w:tcPr>
            <w:tcW w:w="10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215,503</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233,149</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Derivative financial instruments</w:t>
            </w:r>
          </w:p>
        </w:tc>
        <w:tc>
          <w:tcPr>
            <w:tcW w:w="24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3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21,728</w:t>
            </w:r>
          </w:p>
        </w:tc>
        <w:tc>
          <w:tcPr>
            <w:tcW w:w="100" w:type="dxa"/>
            <w:vAlign w:val="bottom"/>
            <w:shd w:val="clear" w:color="auto" w:fill="F0FFFF"/>
          </w:tcPr>
          <w:p>
            <w:pPr>
              <w:spacing w:after="0"/>
              <w:rPr>
                <w:sz w:val="21"/>
                <w:szCs w:val="21"/>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20,599</w:t>
            </w:r>
          </w:p>
        </w:tc>
        <w:tc>
          <w:tcPr>
            <w:tcW w:w="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22,024</w:t>
            </w:r>
          </w:p>
        </w:tc>
        <w:tc>
          <w:tcPr>
            <w:tcW w:w="80" w:type="dxa"/>
            <w:vAlign w:val="bottom"/>
            <w:shd w:val="clear" w:color="auto" w:fill="F0FF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40" w:type="dxa"/>
            <w:vAlign w:val="bottom"/>
          </w:tcPr>
          <w:p>
            <w:pPr>
              <w:ind w:left="140"/>
              <w:spacing w:after="0"/>
              <w:rPr>
                <w:sz w:val="20"/>
                <w:szCs w:val="20"/>
                <w:color w:val="auto"/>
              </w:rPr>
            </w:pPr>
            <w:r>
              <w:rPr>
                <w:rFonts w:ascii="Arial" w:cs="Arial" w:eastAsia="Arial" w:hAnsi="Arial"/>
                <w:sz w:val="18"/>
                <w:szCs w:val="18"/>
                <w:color w:val="auto"/>
              </w:rPr>
              <w:t>Goodwill and other intangible assets</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20,190</w:t>
            </w:r>
          </w:p>
        </w:tc>
        <w:tc>
          <w:tcPr>
            <w:tcW w:w="10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3,641</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2,731</w:t>
            </w:r>
          </w:p>
        </w:tc>
        <w:tc>
          <w:tcPr>
            <w:tcW w:w="8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68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3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68,980</w:t>
            </w:r>
          </w:p>
        </w:tc>
        <w:tc>
          <w:tcPr>
            <w:tcW w:w="100" w:type="dxa"/>
            <w:vAlign w:val="bottom"/>
            <w:shd w:val="clear" w:color="auto" w:fill="F0FFFF"/>
          </w:tcPr>
          <w:p>
            <w:pPr>
              <w:spacing w:after="0"/>
              <w:rPr>
                <w:sz w:val="21"/>
                <w:szCs w:val="21"/>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61,563</w:t>
            </w:r>
          </w:p>
        </w:tc>
        <w:tc>
          <w:tcPr>
            <w:tcW w:w="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50,450</w:t>
            </w:r>
          </w:p>
        </w:tc>
        <w:tc>
          <w:tcPr>
            <w:tcW w:w="80" w:type="dxa"/>
            <w:vAlign w:val="bottom"/>
            <w:shd w:val="clear" w:color="auto" w:fill="F0FFFF"/>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6840" w:type="dxa"/>
            <w:vAlign w:val="bottom"/>
            <w:tcBorders>
              <w:top w:val="single" w:sz="8" w:color="F0FFFF"/>
            </w:tcBorders>
          </w:tcPr>
          <w:p>
            <w:pPr>
              <w:ind w:left="300"/>
              <w:spacing w:after="0" w:line="203" w:lineRule="exact"/>
              <w:rPr>
                <w:sz w:val="20"/>
                <w:szCs w:val="20"/>
                <w:color w:val="auto"/>
              </w:rPr>
            </w:pPr>
            <w:r>
              <w:rPr>
                <w:rFonts w:ascii="Arial" w:cs="Arial" w:eastAsia="Arial" w:hAnsi="Arial"/>
                <w:sz w:val="18"/>
                <w:szCs w:val="18"/>
                <w:b w:val="1"/>
                <w:bCs w:val="1"/>
                <w:color w:val="auto"/>
              </w:rPr>
              <w:t>Total assets</w:t>
            </w:r>
          </w:p>
        </w:tc>
        <w:tc>
          <w:tcPr>
            <w:tcW w:w="240" w:type="dxa"/>
            <w:vAlign w:val="bottom"/>
            <w:tcBorders>
              <w:top w:val="single" w:sz="8" w:color="F0FF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8,246,303</w:t>
            </w:r>
          </w:p>
        </w:tc>
        <w:tc>
          <w:tcPr>
            <w:tcW w:w="240" w:type="dxa"/>
            <w:vAlign w:val="bottom"/>
            <w:tcBorders>
              <w:top w:val="single" w:sz="8" w:color="F0FF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7,566,986</w:t>
            </w:r>
          </w:p>
        </w:tc>
        <w:tc>
          <w:tcPr>
            <w:tcW w:w="20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7,352,066</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68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Deposits:</w:t>
            </w:r>
          </w:p>
        </w:tc>
        <w:tc>
          <w:tcPr>
            <w:tcW w:w="24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06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16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060" w:type="dxa"/>
            <w:vAlign w:val="bottom"/>
            <w:shd w:val="clear" w:color="auto" w:fill="F0FFFF"/>
          </w:tcPr>
          <w:p>
            <w:pPr>
              <w:spacing w:after="0"/>
              <w:rPr>
                <w:sz w:val="21"/>
                <w:szCs w:val="21"/>
                <w:color w:val="auto"/>
              </w:rPr>
            </w:pPr>
          </w:p>
        </w:tc>
        <w:tc>
          <w:tcPr>
            <w:tcW w:w="2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40" w:type="dxa"/>
            <w:vAlign w:val="bottom"/>
          </w:tcPr>
          <w:p>
            <w:pPr>
              <w:ind w:left="300"/>
              <w:spacing w:after="0"/>
              <w:rPr>
                <w:sz w:val="20"/>
                <w:szCs w:val="20"/>
                <w:color w:val="auto"/>
              </w:rPr>
            </w:pPr>
            <w:r>
              <w:rPr>
                <w:rFonts w:ascii="Arial" w:cs="Arial" w:eastAsia="Arial" w:hAnsi="Arial"/>
                <w:sz w:val="18"/>
                <w:szCs w:val="18"/>
                <w:color w:val="auto"/>
              </w:rPr>
              <w:t>Demand</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1,847,696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1,574,317</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1,519,635</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40" w:type="dxa"/>
            <w:vAlign w:val="bottom"/>
            <w:shd w:val="clear" w:color="auto" w:fill="F0FFFF"/>
          </w:tcPr>
          <w:p>
            <w:pPr>
              <w:ind w:left="300"/>
              <w:spacing w:after="0"/>
              <w:rPr>
                <w:sz w:val="20"/>
                <w:szCs w:val="20"/>
                <w:color w:val="auto"/>
              </w:rPr>
            </w:pPr>
            <w:r>
              <w:rPr>
                <w:rFonts w:ascii="Arial" w:cs="Arial" w:eastAsia="Arial" w:hAnsi="Arial"/>
                <w:sz w:val="18"/>
                <w:szCs w:val="18"/>
                <w:color w:val="auto"/>
              </w:rPr>
              <w:t>NOW</w:t>
            </w:r>
          </w:p>
        </w:tc>
        <w:tc>
          <w:tcPr>
            <w:tcW w:w="24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3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1,416,279</w:t>
            </w:r>
          </w:p>
        </w:tc>
        <w:tc>
          <w:tcPr>
            <w:tcW w:w="100" w:type="dxa"/>
            <w:vAlign w:val="bottom"/>
            <w:shd w:val="clear" w:color="auto" w:fill="F0FFFF"/>
          </w:tcPr>
          <w:p>
            <w:pPr>
              <w:spacing w:after="0"/>
              <w:rPr>
                <w:sz w:val="21"/>
                <w:szCs w:val="21"/>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1,504,887</w:t>
            </w:r>
          </w:p>
        </w:tc>
        <w:tc>
          <w:tcPr>
            <w:tcW w:w="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1,334,883</w:t>
            </w:r>
          </w:p>
        </w:tc>
        <w:tc>
          <w:tcPr>
            <w:tcW w:w="80" w:type="dxa"/>
            <w:vAlign w:val="bottom"/>
            <w:shd w:val="clear" w:color="auto" w:fill="F0FF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40" w:type="dxa"/>
            <w:vAlign w:val="bottom"/>
          </w:tcPr>
          <w:p>
            <w:pPr>
              <w:ind w:left="300"/>
              <w:spacing w:after="0"/>
              <w:rPr>
                <w:sz w:val="20"/>
                <w:szCs w:val="20"/>
                <w:color w:val="auto"/>
              </w:rPr>
            </w:pPr>
            <w:r>
              <w:rPr>
                <w:rFonts w:ascii="Arial" w:cs="Arial" w:eastAsia="Arial" w:hAnsi="Arial"/>
                <w:sz w:val="18"/>
                <w:szCs w:val="18"/>
                <w:color w:val="auto"/>
              </w:rPr>
              <w:t>Money market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1,406,352</w:t>
            </w:r>
          </w:p>
        </w:tc>
        <w:tc>
          <w:tcPr>
            <w:tcW w:w="10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1,273,283</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1,245,912</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40" w:type="dxa"/>
            <w:vAlign w:val="bottom"/>
            <w:shd w:val="clear" w:color="auto" w:fill="F0FFFF"/>
          </w:tcPr>
          <w:p>
            <w:pPr>
              <w:ind w:left="300"/>
              <w:spacing w:after="0"/>
              <w:rPr>
                <w:sz w:val="20"/>
                <w:szCs w:val="20"/>
                <w:color w:val="auto"/>
              </w:rPr>
            </w:pPr>
            <w:r>
              <w:rPr>
                <w:rFonts w:ascii="Arial" w:cs="Arial" w:eastAsia="Arial" w:hAnsi="Arial"/>
                <w:sz w:val="18"/>
                <w:szCs w:val="18"/>
                <w:color w:val="auto"/>
              </w:rPr>
              <w:t>Savings</w:t>
            </w:r>
          </w:p>
        </w:tc>
        <w:tc>
          <w:tcPr>
            <w:tcW w:w="24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3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350,049</w:t>
            </w:r>
          </w:p>
        </w:tc>
        <w:tc>
          <w:tcPr>
            <w:tcW w:w="100" w:type="dxa"/>
            <w:vAlign w:val="bottom"/>
            <w:shd w:val="clear" w:color="auto" w:fill="F0FFFF"/>
          </w:tcPr>
          <w:p>
            <w:pPr>
              <w:spacing w:after="0"/>
              <w:rPr>
                <w:sz w:val="21"/>
                <w:szCs w:val="21"/>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292,308</w:t>
            </w:r>
          </w:p>
        </w:tc>
        <w:tc>
          <w:tcPr>
            <w:tcW w:w="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279,203</w:t>
            </w:r>
          </w:p>
        </w:tc>
        <w:tc>
          <w:tcPr>
            <w:tcW w:w="80" w:type="dxa"/>
            <w:vAlign w:val="bottom"/>
            <w:shd w:val="clear" w:color="auto" w:fill="F0FF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40" w:type="dxa"/>
            <w:vAlign w:val="bottom"/>
          </w:tcPr>
          <w:p>
            <w:pPr>
              <w:ind w:left="300"/>
              <w:spacing w:after="0"/>
              <w:rPr>
                <w:sz w:val="20"/>
                <w:szCs w:val="20"/>
                <w:color w:val="auto"/>
              </w:rPr>
            </w:pPr>
            <w:r>
              <w:rPr>
                <w:rFonts w:ascii="Arial" w:cs="Arial" w:eastAsia="Arial" w:hAnsi="Arial"/>
                <w:sz w:val="18"/>
                <w:szCs w:val="18"/>
                <w:color w:val="auto"/>
              </w:rPr>
              <w:t>Time:</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40" w:type="dxa"/>
            <w:vAlign w:val="bottom"/>
            <w:shd w:val="clear" w:color="auto" w:fill="F0FFFF"/>
          </w:tcPr>
          <w:p>
            <w:pPr>
              <w:ind w:left="460"/>
              <w:spacing w:after="0"/>
              <w:rPr>
                <w:sz w:val="20"/>
                <w:szCs w:val="20"/>
                <w:color w:val="auto"/>
              </w:rPr>
            </w:pPr>
            <w:r>
              <w:rPr>
                <w:rFonts w:ascii="Arial" w:cs="Arial" w:eastAsia="Arial" w:hAnsi="Arial"/>
                <w:sz w:val="18"/>
                <w:szCs w:val="18"/>
                <w:color w:val="auto"/>
              </w:rPr>
              <w:t>Less than $100,000</w:t>
            </w:r>
          </w:p>
        </w:tc>
        <w:tc>
          <w:tcPr>
            <w:tcW w:w="24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3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792,300</w:t>
            </w:r>
          </w:p>
        </w:tc>
        <w:tc>
          <w:tcPr>
            <w:tcW w:w="100" w:type="dxa"/>
            <w:vAlign w:val="bottom"/>
            <w:shd w:val="clear" w:color="auto" w:fill="F0FFFF"/>
          </w:tcPr>
          <w:p>
            <w:pPr>
              <w:spacing w:after="0"/>
              <w:rPr>
                <w:sz w:val="21"/>
                <w:szCs w:val="21"/>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748,478</w:t>
            </w:r>
          </w:p>
        </w:tc>
        <w:tc>
          <w:tcPr>
            <w:tcW w:w="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805,289</w:t>
            </w:r>
          </w:p>
        </w:tc>
        <w:tc>
          <w:tcPr>
            <w:tcW w:w="80" w:type="dxa"/>
            <w:vAlign w:val="bottom"/>
            <w:shd w:val="clear" w:color="auto" w:fill="F0FF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40" w:type="dxa"/>
            <w:vAlign w:val="bottom"/>
          </w:tcPr>
          <w:p>
            <w:pPr>
              <w:ind w:left="460"/>
              <w:spacing w:after="0"/>
              <w:rPr>
                <w:sz w:val="20"/>
                <w:szCs w:val="20"/>
                <w:color w:val="auto"/>
              </w:rPr>
            </w:pPr>
            <w:r>
              <w:rPr>
                <w:rFonts w:ascii="Arial" w:cs="Arial" w:eastAsia="Arial" w:hAnsi="Arial"/>
                <w:sz w:val="18"/>
                <w:szCs w:val="18"/>
                <w:color w:val="auto"/>
              </w:rPr>
              <w:t>Greater than $100,000</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465,347</w:t>
            </w:r>
          </w:p>
        </w:tc>
        <w:tc>
          <w:tcPr>
            <w:tcW w:w="10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508,228</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554,310</w:t>
            </w:r>
          </w:p>
        </w:tc>
        <w:tc>
          <w:tcPr>
            <w:tcW w:w="8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6840" w:type="dxa"/>
            <w:vAlign w:val="bottom"/>
            <w:shd w:val="clear" w:color="auto" w:fill="F0FFFF"/>
          </w:tcPr>
          <w:p>
            <w:pPr>
              <w:ind w:left="300"/>
              <w:spacing w:after="0"/>
              <w:rPr>
                <w:sz w:val="20"/>
                <w:szCs w:val="20"/>
                <w:color w:val="auto"/>
              </w:rPr>
            </w:pPr>
            <w:r>
              <w:rPr>
                <w:rFonts w:ascii="Arial" w:cs="Arial" w:eastAsia="Arial" w:hAnsi="Arial"/>
                <w:sz w:val="18"/>
                <w:szCs w:val="18"/>
                <w:color w:val="auto"/>
              </w:rPr>
              <w:t>Brokered</w:t>
            </w:r>
          </w:p>
        </w:tc>
        <w:tc>
          <w:tcPr>
            <w:tcW w:w="24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3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529,920</w:t>
            </w:r>
          </w:p>
        </w:tc>
        <w:tc>
          <w:tcPr>
            <w:tcW w:w="100" w:type="dxa"/>
            <w:vAlign w:val="bottom"/>
            <w:shd w:val="clear" w:color="auto" w:fill="F0FFFF"/>
          </w:tcPr>
          <w:p>
            <w:pPr>
              <w:spacing w:after="0"/>
              <w:rPr>
                <w:sz w:val="21"/>
                <w:szCs w:val="21"/>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425,011</w:t>
            </w:r>
          </w:p>
        </w:tc>
        <w:tc>
          <w:tcPr>
            <w:tcW w:w="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424,313</w:t>
            </w:r>
          </w:p>
        </w:tc>
        <w:tc>
          <w:tcPr>
            <w:tcW w:w="80" w:type="dxa"/>
            <w:vAlign w:val="bottom"/>
            <w:shd w:val="clear" w:color="auto" w:fill="F0FFFF"/>
          </w:tcPr>
          <w:p>
            <w:pPr>
              <w:spacing w:after="0"/>
              <w:rPr>
                <w:sz w:val="21"/>
                <w:szCs w:val="21"/>
                <w:color w:val="auto"/>
              </w:rPr>
            </w:pPr>
          </w:p>
        </w:tc>
      </w:tr>
      <w:tr>
        <w:trPr>
          <w:trHeight w:val="217"/>
        </w:trPr>
        <w:tc>
          <w:tcPr>
            <w:tcW w:w="20" w:type="dxa"/>
            <w:vAlign w:val="bottom"/>
          </w:tcPr>
          <w:p>
            <w:pPr>
              <w:spacing w:after="0"/>
              <w:rPr>
                <w:sz w:val="18"/>
                <w:szCs w:val="18"/>
                <w:color w:val="auto"/>
              </w:rPr>
            </w:pPr>
          </w:p>
        </w:tc>
        <w:tc>
          <w:tcPr>
            <w:tcW w:w="6840" w:type="dxa"/>
            <w:vAlign w:val="bottom"/>
            <w:tcBorders>
              <w:top w:val="single" w:sz="8" w:color="F0FFFF"/>
            </w:tcBorders>
          </w:tcPr>
          <w:p>
            <w:pPr>
              <w:ind w:left="620"/>
              <w:spacing w:after="0"/>
              <w:rPr>
                <w:sz w:val="20"/>
                <w:szCs w:val="20"/>
                <w:color w:val="auto"/>
              </w:rPr>
            </w:pPr>
            <w:r>
              <w:rPr>
                <w:rFonts w:ascii="Arial" w:cs="Arial" w:eastAsia="Arial" w:hAnsi="Arial"/>
                <w:sz w:val="18"/>
                <w:szCs w:val="18"/>
                <w:color w:val="auto"/>
              </w:rPr>
              <w:t>Total deposits</w:t>
            </w:r>
          </w:p>
        </w:tc>
        <w:tc>
          <w:tcPr>
            <w:tcW w:w="24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6,807,943</w:t>
            </w:r>
          </w:p>
        </w:tc>
        <w:tc>
          <w:tcPr>
            <w:tcW w:w="24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6,326,512</w:t>
            </w:r>
          </w:p>
        </w:tc>
        <w:tc>
          <w:tcPr>
            <w:tcW w:w="20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6,163,545</w:t>
            </w: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68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Short-term borrowings</w:t>
            </w:r>
          </w:p>
        </w:tc>
        <w:tc>
          <w:tcPr>
            <w:tcW w:w="24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3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F0FFFF"/>
          </w:tcPr>
          <w:p>
            <w:pPr>
              <w:spacing w:after="0"/>
              <w:rPr>
                <w:sz w:val="21"/>
                <w:szCs w:val="21"/>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6,000</w:t>
            </w:r>
          </w:p>
        </w:tc>
        <w:tc>
          <w:tcPr>
            <w:tcW w:w="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76,256</w:t>
            </w:r>
          </w:p>
        </w:tc>
        <w:tc>
          <w:tcPr>
            <w:tcW w:w="80" w:type="dxa"/>
            <w:vAlign w:val="bottom"/>
            <w:shd w:val="clear" w:color="auto" w:fill="F0FF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40" w:type="dxa"/>
            <w:vAlign w:val="bottom"/>
          </w:tcPr>
          <w:p>
            <w:pPr>
              <w:ind w:left="140"/>
              <w:spacing w:after="0"/>
              <w:rPr>
                <w:sz w:val="20"/>
                <w:szCs w:val="20"/>
                <w:color w:val="auto"/>
              </w:rPr>
            </w:pPr>
            <w:r>
              <w:rPr>
                <w:rFonts w:ascii="Arial" w:cs="Arial" w:eastAsia="Arial" w:hAnsi="Arial"/>
                <w:sz w:val="18"/>
                <w:szCs w:val="18"/>
                <w:color w:val="auto"/>
              </w:rPr>
              <w:t>Federal Home Loan Bank advances</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385,125</w:t>
            </w:r>
          </w:p>
        </w:tc>
        <w:tc>
          <w:tcPr>
            <w:tcW w:w="10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270,125</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175,125</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3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113,901</w:t>
            </w:r>
          </w:p>
        </w:tc>
        <w:tc>
          <w:tcPr>
            <w:tcW w:w="100" w:type="dxa"/>
            <w:vAlign w:val="bottom"/>
            <w:shd w:val="clear" w:color="auto" w:fill="F0FFFF"/>
          </w:tcPr>
          <w:p>
            <w:pPr>
              <w:spacing w:after="0"/>
              <w:rPr>
                <w:sz w:val="21"/>
                <w:szCs w:val="21"/>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129,865</w:t>
            </w:r>
          </w:p>
        </w:tc>
        <w:tc>
          <w:tcPr>
            <w:tcW w:w="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129,865</w:t>
            </w:r>
          </w:p>
        </w:tc>
        <w:tc>
          <w:tcPr>
            <w:tcW w:w="80" w:type="dxa"/>
            <w:vAlign w:val="bottom"/>
            <w:shd w:val="clear" w:color="auto" w:fill="F0FF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40" w:type="dxa"/>
            <w:vAlign w:val="bottom"/>
          </w:tcPr>
          <w:p>
            <w:pPr>
              <w:ind w:left="140"/>
              <w:spacing w:after="0"/>
              <w:rPr>
                <w:sz w:val="20"/>
                <w:szCs w:val="20"/>
                <w:color w:val="auto"/>
              </w:rPr>
            </w:pPr>
            <w:r>
              <w:rPr>
                <w:rFonts w:ascii="Arial" w:cs="Arial" w:eastAsia="Arial" w:hAnsi="Arial"/>
                <w:sz w:val="18"/>
                <w:szCs w:val="18"/>
                <w:color w:val="auto"/>
              </w:rPr>
              <w:t>Derivative financial instruments</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32,374</w:t>
            </w:r>
          </w:p>
        </w:tc>
        <w:tc>
          <w:tcPr>
            <w:tcW w:w="10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31,997</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36,545</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Unsettled securities purchases</w:t>
            </w:r>
          </w:p>
        </w:tc>
        <w:tc>
          <w:tcPr>
            <w:tcW w:w="24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3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1"/>
                <w:szCs w:val="21"/>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5,425</w:t>
            </w:r>
          </w:p>
        </w:tc>
        <w:tc>
          <w:tcPr>
            <w:tcW w:w="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7,264</w:t>
            </w:r>
          </w:p>
        </w:tc>
        <w:tc>
          <w:tcPr>
            <w:tcW w:w="80" w:type="dxa"/>
            <w:vAlign w:val="bottom"/>
            <w:shd w:val="clear" w:color="auto" w:fill="F0FF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840" w:type="dxa"/>
            <w:vAlign w:val="bottom"/>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54,728</w:t>
            </w:r>
          </w:p>
        </w:tc>
        <w:tc>
          <w:tcPr>
            <w:tcW w:w="10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57,485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41,497</w:t>
            </w:r>
          </w:p>
        </w:tc>
        <w:tc>
          <w:tcPr>
            <w:tcW w:w="8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6840" w:type="dxa"/>
            <w:vAlign w:val="bottom"/>
            <w:tcBorders>
              <w:top w:val="single" w:sz="8" w:color="F0FFFF"/>
              <w:bottom w:val="single" w:sz="8" w:color="F0FFFF"/>
            </w:tcBorders>
            <w:shd w:val="clear" w:color="auto" w:fill="F0FFFF"/>
          </w:tcPr>
          <w:p>
            <w:pPr>
              <w:ind w:left="30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top w:val="single" w:sz="8" w:color="F0FFFF"/>
              <w:bottom w:val="single" w:sz="8" w:color="F0FFFF"/>
            </w:tcBorders>
            <w:shd w:val="clear" w:color="auto" w:fill="F0FFFF"/>
          </w:tcPr>
          <w:p>
            <w:pPr>
              <w:spacing w:after="0"/>
              <w:rPr>
                <w:sz w:val="20"/>
                <w:szCs w:val="20"/>
                <w:color w:val="auto"/>
              </w:rPr>
            </w:pPr>
          </w:p>
        </w:tc>
        <w:tc>
          <w:tcPr>
            <w:tcW w:w="200" w:type="dxa"/>
            <w:vAlign w:val="bottom"/>
            <w:tcBorders>
              <w:top w:val="single" w:sz="8" w:color="auto"/>
              <w:bottom w:val="single" w:sz="8" w:color="auto"/>
            </w:tcBorders>
            <w:shd w:val="clear" w:color="auto" w:fill="F0FFFF"/>
          </w:tcPr>
          <w:p>
            <w:pPr>
              <w:spacing w:after="0"/>
              <w:rPr>
                <w:sz w:val="20"/>
                <w:szCs w:val="20"/>
                <w:color w:val="auto"/>
              </w:rPr>
            </w:pP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7,419,071</w:t>
            </w:r>
          </w:p>
        </w:tc>
        <w:tc>
          <w:tcPr>
            <w:tcW w:w="24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p>
        </w:tc>
        <w:tc>
          <w:tcPr>
            <w:tcW w:w="1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6,827,409</w:t>
            </w:r>
          </w:p>
        </w:tc>
        <w:tc>
          <w:tcPr>
            <w:tcW w:w="200" w:type="dxa"/>
            <w:vAlign w:val="bottom"/>
            <w:tcBorders>
              <w:top w:val="single" w:sz="8" w:color="F0FFFF"/>
              <w:bottom w:val="single" w:sz="8" w:color="F0FFFF"/>
            </w:tcBorders>
            <w:shd w:val="clear" w:color="auto" w:fill="F0FFFF"/>
          </w:tcPr>
          <w:p>
            <w:pPr>
              <w:spacing w:after="0"/>
              <w:rPr>
                <w:sz w:val="20"/>
                <w:szCs w:val="20"/>
                <w:color w:val="auto"/>
              </w:rPr>
            </w:pP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180" w:type="dxa"/>
            <w:vAlign w:val="bottom"/>
            <w:tcBorders>
              <w:top w:val="single" w:sz="8" w:color="auto"/>
              <w:bottom w:val="single" w:sz="8" w:color="auto"/>
            </w:tcBorders>
            <w:shd w:val="clear" w:color="auto" w:fill="F0FFFF"/>
          </w:tcPr>
          <w:p>
            <w:pPr>
              <w:spacing w:after="0"/>
              <w:rPr>
                <w:sz w:val="20"/>
                <w:szCs w:val="20"/>
                <w:color w:val="auto"/>
              </w:rPr>
            </w:pP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6,630,097</w:t>
            </w: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6840" w:type="dxa"/>
            <w:vAlign w:val="bottom"/>
          </w:tcPr>
          <w:p>
            <w:pPr>
              <w:spacing w:after="0" w:line="203" w:lineRule="exact"/>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20" w:type="dxa"/>
            <w:vAlign w:val="bottom"/>
          </w:tcPr>
          <w:p>
            <w:pPr>
              <w:spacing w:after="0"/>
              <w:rPr>
                <w:sz w:val="21"/>
                <w:szCs w:val="21"/>
                <w:color w:val="auto"/>
              </w:rPr>
            </w:pPr>
          </w:p>
        </w:tc>
        <w:tc>
          <w:tcPr>
            <w:tcW w:w="68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Preferred stock, $1 par value; 10,000,000 shares authorized;</w:t>
            </w:r>
          </w:p>
        </w:tc>
        <w:tc>
          <w:tcPr>
            <w:tcW w:w="24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06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16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060" w:type="dxa"/>
            <w:vAlign w:val="bottom"/>
            <w:shd w:val="clear" w:color="auto" w:fill="F0FFFF"/>
          </w:tcPr>
          <w:p>
            <w:pPr>
              <w:spacing w:after="0"/>
              <w:rPr>
                <w:sz w:val="21"/>
                <w:szCs w:val="21"/>
                <w:color w:val="auto"/>
              </w:rPr>
            </w:pPr>
          </w:p>
        </w:tc>
        <w:tc>
          <w:tcPr>
            <w:tcW w:w="2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Series H; $1,000 stated value; 9,992 shares issued and outstanding</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9,992</w:t>
            </w:r>
          </w:p>
        </w:tc>
        <w:tc>
          <w:tcPr>
            <w:tcW w:w="10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Common stock, $1 par value; 100,000,000 shares authorized;</w:t>
            </w:r>
          </w:p>
        </w:tc>
        <w:tc>
          <w:tcPr>
            <w:tcW w:w="24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06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16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060" w:type="dxa"/>
            <w:vAlign w:val="bottom"/>
            <w:shd w:val="clear" w:color="auto" w:fill="F0FFFF"/>
          </w:tcPr>
          <w:p>
            <w:pPr>
              <w:spacing w:after="0"/>
              <w:rPr>
                <w:sz w:val="21"/>
                <w:szCs w:val="21"/>
                <w:color w:val="auto"/>
              </w:rPr>
            </w:pPr>
          </w:p>
        </w:tc>
        <w:tc>
          <w:tcPr>
            <w:tcW w:w="2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54,414,863, 50,178,605 and 50,058,295 shares issued and outstanding</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54,415</w:t>
            </w:r>
          </w:p>
        </w:tc>
        <w:tc>
          <w:tcPr>
            <w:tcW w:w="10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50,178</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50,058</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Common stock, non-voting, $1 par value; 26,000,000 shares authorized;</w:t>
            </w:r>
          </w:p>
        </w:tc>
        <w:tc>
          <w:tcPr>
            <w:tcW w:w="24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06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16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060" w:type="dxa"/>
            <w:vAlign w:val="bottom"/>
            <w:shd w:val="clear" w:color="auto" w:fill="F0FFFF"/>
          </w:tcPr>
          <w:p>
            <w:pPr>
              <w:spacing w:after="0"/>
              <w:rPr>
                <w:sz w:val="21"/>
                <w:szCs w:val="21"/>
                <w:color w:val="auto"/>
              </w:rPr>
            </w:pPr>
          </w:p>
        </w:tc>
        <w:tc>
          <w:tcPr>
            <w:tcW w:w="2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40" w:type="dxa"/>
            <w:vAlign w:val="bottom"/>
          </w:tcPr>
          <w:p>
            <w:pPr>
              <w:ind w:left="320"/>
              <w:spacing w:after="0"/>
              <w:rPr>
                <w:sz w:val="20"/>
                <w:szCs w:val="20"/>
                <w:color w:val="auto"/>
              </w:rPr>
            </w:pPr>
            <w:r>
              <w:rPr>
                <w:rFonts w:ascii="Arial" w:cs="Arial" w:eastAsia="Arial" w:hAnsi="Arial"/>
                <w:sz w:val="18"/>
                <w:szCs w:val="18"/>
                <w:color w:val="auto"/>
              </w:rPr>
              <w:t>8,285,516, 10,080,787 and 10,080,787 shares issued and outstanding</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8,286</w:t>
            </w:r>
          </w:p>
        </w:tc>
        <w:tc>
          <w:tcPr>
            <w:tcW w:w="10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10,081</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10,081</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Common stock issuable; 413,014, 357,983 and 314,039 shares</w:t>
            </w:r>
          </w:p>
        </w:tc>
        <w:tc>
          <w:tcPr>
            <w:tcW w:w="24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3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6,071</w:t>
            </w:r>
          </w:p>
        </w:tc>
        <w:tc>
          <w:tcPr>
            <w:tcW w:w="100" w:type="dxa"/>
            <w:vAlign w:val="bottom"/>
            <w:shd w:val="clear" w:color="auto" w:fill="F0FFFF"/>
          </w:tcPr>
          <w:p>
            <w:pPr>
              <w:spacing w:after="0"/>
              <w:rPr>
                <w:sz w:val="21"/>
                <w:szCs w:val="21"/>
                <w:color w:val="auto"/>
              </w:rPr>
            </w:pPr>
          </w:p>
        </w:tc>
        <w:tc>
          <w:tcPr>
            <w:tcW w:w="1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5,168</w:t>
            </w:r>
          </w:p>
        </w:tc>
        <w:tc>
          <w:tcPr>
            <w:tcW w:w="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4,649</w:t>
            </w:r>
          </w:p>
        </w:tc>
        <w:tc>
          <w:tcPr>
            <w:tcW w:w="80" w:type="dxa"/>
            <w:vAlign w:val="bottom"/>
            <w:shd w:val="clear" w:color="auto" w:fill="F0FF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40" w:type="dxa"/>
            <w:vAlign w:val="bottom"/>
          </w:tcPr>
          <w:p>
            <w:pPr>
              <w:ind w:left="140"/>
              <w:spacing w:after="0"/>
              <w:rPr>
                <w:sz w:val="20"/>
                <w:szCs w:val="20"/>
                <w:color w:val="auto"/>
              </w:rPr>
            </w:pPr>
            <w:r>
              <w:rPr>
                <w:rFonts w:ascii="Arial" w:cs="Arial" w:eastAsia="Arial" w:hAnsi="Arial"/>
                <w:sz w:val="18"/>
                <w:szCs w:val="18"/>
                <w:color w:val="auto"/>
              </w:rPr>
              <w:t>Capital surplus</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1,123,730</w:t>
            </w:r>
          </w:p>
        </w:tc>
        <w:tc>
          <w:tcPr>
            <w:tcW w:w="10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1,080,508</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1,091,780</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8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3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(358,294)</w:t>
            </w:r>
          </w:p>
        </w:tc>
        <w:tc>
          <w:tcPr>
            <w:tcW w:w="100" w:type="dxa"/>
            <w:vAlign w:val="bottom"/>
            <w:shd w:val="clear" w:color="auto" w:fill="F0FFFF"/>
          </w:tcPr>
          <w:p>
            <w:pPr>
              <w:spacing w:after="0"/>
              <w:rPr>
                <w:sz w:val="21"/>
                <w:szCs w:val="21"/>
                <w:color w:val="auto"/>
              </w:rPr>
            </w:pPr>
          </w:p>
        </w:tc>
        <w:tc>
          <w:tcPr>
            <w:tcW w:w="13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(387,568)</w:t>
            </w:r>
          </w:p>
        </w:tc>
        <w:tc>
          <w:tcPr>
            <w:tcW w:w="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16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(418,583)</w:t>
            </w:r>
          </w:p>
        </w:tc>
      </w:tr>
      <w:tr>
        <w:trPr>
          <w:trHeight w:val="237"/>
        </w:trPr>
        <w:tc>
          <w:tcPr>
            <w:tcW w:w="20" w:type="dxa"/>
            <w:vAlign w:val="bottom"/>
          </w:tcPr>
          <w:p>
            <w:pPr>
              <w:spacing w:after="0"/>
              <w:rPr>
                <w:sz w:val="20"/>
                <w:szCs w:val="20"/>
                <w:color w:val="auto"/>
              </w:rPr>
            </w:pPr>
          </w:p>
        </w:tc>
        <w:tc>
          <w:tcPr>
            <w:tcW w:w="6840" w:type="dxa"/>
            <w:vAlign w:val="bottom"/>
          </w:tcPr>
          <w:p>
            <w:pPr>
              <w:ind w:left="1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(16,968)</w:t>
            </w:r>
          </w:p>
        </w:tc>
        <w:tc>
          <w:tcPr>
            <w:tcW w:w="10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(18,790)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(16,016)</w:t>
            </w:r>
          </w:p>
        </w:tc>
      </w:tr>
      <w:tr>
        <w:trPr>
          <w:trHeight w:val="236"/>
        </w:trPr>
        <w:tc>
          <w:tcPr>
            <w:tcW w:w="20" w:type="dxa"/>
            <w:vAlign w:val="bottom"/>
          </w:tcPr>
          <w:p>
            <w:pPr>
              <w:spacing w:after="0"/>
              <w:rPr>
                <w:sz w:val="20"/>
                <w:szCs w:val="20"/>
                <w:color w:val="auto"/>
              </w:rPr>
            </w:pPr>
          </w:p>
        </w:tc>
        <w:tc>
          <w:tcPr>
            <w:tcW w:w="6840" w:type="dxa"/>
            <w:vAlign w:val="bottom"/>
            <w:tcBorders>
              <w:top w:val="single" w:sz="8" w:color="F0FFFF"/>
              <w:bottom w:val="single" w:sz="8" w:color="F0FFFF"/>
            </w:tcBorders>
            <w:shd w:val="clear" w:color="auto" w:fill="F0FFFF"/>
          </w:tcPr>
          <w:p>
            <w:pPr>
              <w:ind w:left="300"/>
              <w:spacing w:after="0"/>
              <w:rPr>
                <w:sz w:val="20"/>
                <w:szCs w:val="20"/>
                <w:color w:val="auto"/>
              </w:rPr>
            </w:pPr>
            <w:r>
              <w:rPr>
                <w:rFonts w:ascii="Arial" w:cs="Arial" w:eastAsia="Arial" w:hAnsi="Arial"/>
                <w:sz w:val="18"/>
                <w:szCs w:val="18"/>
                <w:b w:val="1"/>
                <w:bCs w:val="1"/>
                <w:color w:val="auto"/>
              </w:rPr>
              <w:t>Total shareholders’ equity</w:t>
            </w:r>
          </w:p>
        </w:tc>
        <w:tc>
          <w:tcPr>
            <w:tcW w:w="240" w:type="dxa"/>
            <w:vAlign w:val="bottom"/>
            <w:tcBorders>
              <w:top w:val="single" w:sz="8" w:color="F0FFFF"/>
              <w:bottom w:val="single" w:sz="8" w:color="F0FFFF"/>
            </w:tcBorders>
            <w:shd w:val="clear" w:color="auto" w:fill="F0FFFF"/>
          </w:tcPr>
          <w:p>
            <w:pPr>
              <w:spacing w:after="0"/>
              <w:rPr>
                <w:sz w:val="20"/>
                <w:szCs w:val="20"/>
                <w:color w:val="auto"/>
              </w:rPr>
            </w:pPr>
          </w:p>
        </w:tc>
        <w:tc>
          <w:tcPr>
            <w:tcW w:w="200" w:type="dxa"/>
            <w:vAlign w:val="bottom"/>
            <w:tcBorders>
              <w:top w:val="single" w:sz="8" w:color="auto"/>
              <w:bottom w:val="single" w:sz="8" w:color="auto"/>
            </w:tcBorders>
            <w:shd w:val="clear" w:color="auto" w:fill="F0FFFF"/>
          </w:tcPr>
          <w:p>
            <w:pPr>
              <w:spacing w:after="0"/>
              <w:rPr>
                <w:sz w:val="20"/>
                <w:szCs w:val="20"/>
                <w:color w:val="auto"/>
              </w:rPr>
            </w:pP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827,232</w:t>
            </w:r>
          </w:p>
        </w:tc>
        <w:tc>
          <w:tcPr>
            <w:tcW w:w="24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p>
        </w:tc>
        <w:tc>
          <w:tcPr>
            <w:tcW w:w="1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739,577</w:t>
            </w:r>
          </w:p>
        </w:tc>
        <w:tc>
          <w:tcPr>
            <w:tcW w:w="200" w:type="dxa"/>
            <w:vAlign w:val="bottom"/>
            <w:tcBorders>
              <w:top w:val="single" w:sz="8" w:color="F0FFFF"/>
              <w:bottom w:val="single" w:sz="8" w:color="F0FFFF"/>
            </w:tcBorders>
            <w:shd w:val="clear" w:color="auto" w:fill="F0FFFF"/>
          </w:tcPr>
          <w:p>
            <w:pPr>
              <w:spacing w:after="0"/>
              <w:rPr>
                <w:sz w:val="20"/>
                <w:szCs w:val="20"/>
                <w:color w:val="auto"/>
              </w:rPr>
            </w:pP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180" w:type="dxa"/>
            <w:vAlign w:val="bottom"/>
            <w:tcBorders>
              <w:top w:val="single" w:sz="8" w:color="auto"/>
              <w:bottom w:val="single" w:sz="8" w:color="auto"/>
            </w:tcBorders>
            <w:shd w:val="clear" w:color="auto" w:fill="F0FFFF"/>
          </w:tcPr>
          <w:p>
            <w:pPr>
              <w:spacing w:after="0"/>
              <w:rPr>
                <w:sz w:val="20"/>
                <w:szCs w:val="20"/>
                <w:color w:val="auto"/>
              </w:rPr>
            </w:pP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721,969</w:t>
            </w: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300"/>
              <w:spacing w:after="0" w:line="203" w:lineRule="exact"/>
              <w:rPr>
                <w:sz w:val="20"/>
                <w:szCs w:val="20"/>
                <w:color w:val="auto"/>
              </w:rPr>
            </w:pPr>
            <w:r>
              <w:rPr>
                <w:rFonts w:ascii="Arial" w:cs="Arial" w:eastAsia="Arial" w:hAnsi="Arial"/>
                <w:sz w:val="18"/>
                <w:szCs w:val="18"/>
                <w:b w:val="1"/>
                <w:bCs w:val="1"/>
                <w:color w:val="auto"/>
              </w:rPr>
              <w:t>Total liabilities and shareholders’ equity</w:t>
            </w:r>
          </w:p>
        </w:tc>
        <w:tc>
          <w:tcPr>
            <w:tcW w:w="240" w:type="dxa"/>
            <w:vAlign w:val="bottom"/>
          </w:tcPr>
          <w:p>
            <w:pPr>
              <w:spacing w:after="0"/>
              <w:rPr>
                <w:sz w:val="17"/>
                <w:szCs w:val="17"/>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8,246,303</w:t>
            </w:r>
          </w:p>
        </w:tc>
        <w:tc>
          <w:tcPr>
            <w:tcW w:w="2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7,566,986</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7,352,066</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586"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Changes in Shareholders'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Non-Voting</w:t>
            </w:r>
          </w:p>
        </w:tc>
        <w:tc>
          <w:tcPr>
            <w:tcW w:w="100" w:type="dxa"/>
            <w:vAlign w:val="bottom"/>
          </w:tcPr>
          <w:p>
            <w:pPr>
              <w:spacing w:after="0"/>
              <w:rPr>
                <w:sz w:val="14"/>
                <w:szCs w:val="14"/>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380" w:type="dxa"/>
            <w:vAlign w:val="bottom"/>
            <w:gridSpan w:val="3"/>
          </w:tcPr>
          <w:p>
            <w:pPr>
              <w:spacing w:after="0" w:line="125" w:lineRule="exact"/>
              <w:rPr>
                <w:sz w:val="20"/>
                <w:szCs w:val="20"/>
                <w:color w:val="auto"/>
              </w:rPr>
            </w:pPr>
            <w:r>
              <w:rPr>
                <w:rFonts w:ascii="Arial" w:cs="Arial" w:eastAsia="Arial" w:hAnsi="Arial"/>
                <w:sz w:val="14"/>
                <w:szCs w:val="14"/>
                <w:i w:val="1"/>
                <w:iCs w:val="1"/>
                <w:color w:val="auto"/>
              </w:rPr>
              <w:t>(in thousands, except</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380" w:type="dxa"/>
            <w:vAlign w:val="bottom"/>
            <w:gridSpan w:val="3"/>
          </w:tcPr>
          <w:p>
            <w:pPr>
              <w:spacing w:after="0" w:line="126" w:lineRule="exact"/>
              <w:rPr>
                <w:sz w:val="20"/>
                <w:szCs w:val="20"/>
                <w:color w:val="auto"/>
              </w:rPr>
            </w:pPr>
            <w:r>
              <w:rPr>
                <w:rFonts w:ascii="Arial" w:cs="Arial" w:eastAsia="Arial" w:hAnsi="Arial"/>
                <w:sz w:val="14"/>
                <w:szCs w:val="14"/>
                <w:i w:val="1"/>
                <w:iCs w:val="1"/>
                <w:color w:val="auto"/>
              </w:rPr>
              <w:t>share and per share</w:t>
            </w:r>
          </w:p>
        </w:tc>
        <w:tc>
          <w:tcPr>
            <w:tcW w:w="160" w:type="dxa"/>
            <w:vAlign w:val="bottom"/>
          </w:tcPr>
          <w:p>
            <w:pPr>
              <w:spacing w:after="0"/>
              <w:rPr>
                <w:sz w:val="10"/>
                <w:szCs w:val="10"/>
                <w:color w:val="auto"/>
              </w:rPr>
            </w:pPr>
          </w:p>
        </w:tc>
        <w:tc>
          <w:tcPr>
            <w:tcW w:w="780" w:type="dxa"/>
            <w:vAlign w:val="bottom"/>
            <w:gridSpan w:val="2"/>
          </w:tcPr>
          <w:p>
            <w:pPr>
              <w:jc w:val="right"/>
              <w:ind w:right="340"/>
              <w:spacing w:after="0" w:line="126" w:lineRule="exact"/>
              <w:rPr>
                <w:sz w:val="20"/>
                <w:szCs w:val="20"/>
                <w:color w:val="auto"/>
              </w:rPr>
            </w:pPr>
            <w:r>
              <w:rPr>
                <w:rFonts w:ascii="Arial" w:cs="Arial" w:eastAsia="Arial" w:hAnsi="Arial"/>
                <w:sz w:val="14"/>
                <w:szCs w:val="14"/>
                <w:b w:val="1"/>
                <w:bCs w:val="1"/>
                <w:color w:val="auto"/>
                <w:w w:val="99"/>
              </w:rPr>
              <w:t>Series</w:t>
            </w:r>
          </w:p>
        </w:tc>
        <w:tc>
          <w:tcPr>
            <w:tcW w:w="120" w:type="dxa"/>
            <w:vAlign w:val="bottom"/>
          </w:tcPr>
          <w:p>
            <w:pPr>
              <w:spacing w:after="0"/>
              <w:rPr>
                <w:sz w:val="10"/>
                <w:szCs w:val="10"/>
                <w:color w:val="auto"/>
              </w:rPr>
            </w:pPr>
          </w:p>
        </w:tc>
        <w:tc>
          <w:tcPr>
            <w:tcW w:w="700" w:type="dxa"/>
            <w:vAlign w:val="bottom"/>
            <w:gridSpan w:val="2"/>
          </w:tcPr>
          <w:p>
            <w:pPr>
              <w:jc w:val="right"/>
              <w:ind w:right="280"/>
              <w:spacing w:after="0" w:line="126" w:lineRule="exact"/>
              <w:rPr>
                <w:sz w:val="20"/>
                <w:szCs w:val="20"/>
                <w:color w:val="auto"/>
              </w:rPr>
            </w:pPr>
            <w:r>
              <w:rPr>
                <w:rFonts w:ascii="Arial" w:cs="Arial" w:eastAsia="Arial" w:hAnsi="Arial"/>
                <w:sz w:val="14"/>
                <w:szCs w:val="14"/>
                <w:b w:val="1"/>
                <w:bCs w:val="1"/>
                <w:color w:val="auto"/>
                <w:w w:val="95"/>
              </w:rPr>
              <w:t>Series</w:t>
            </w:r>
          </w:p>
        </w:tc>
        <w:tc>
          <w:tcPr>
            <w:tcW w:w="100" w:type="dxa"/>
            <w:vAlign w:val="bottom"/>
          </w:tcPr>
          <w:p>
            <w:pPr>
              <w:spacing w:after="0"/>
              <w:rPr>
                <w:sz w:val="10"/>
                <w:szCs w:val="10"/>
                <w:color w:val="auto"/>
              </w:rPr>
            </w:pPr>
          </w:p>
        </w:tc>
        <w:tc>
          <w:tcPr>
            <w:tcW w:w="480" w:type="dxa"/>
            <w:vAlign w:val="bottom"/>
          </w:tcPr>
          <w:p>
            <w:pPr>
              <w:jc w:val="right"/>
              <w:ind w:right="28"/>
              <w:spacing w:after="0" w:line="126" w:lineRule="exact"/>
              <w:rPr>
                <w:sz w:val="20"/>
                <w:szCs w:val="20"/>
                <w:color w:val="auto"/>
              </w:rPr>
            </w:pPr>
            <w:r>
              <w:rPr>
                <w:rFonts w:ascii="Arial" w:cs="Arial" w:eastAsia="Arial" w:hAnsi="Arial"/>
                <w:sz w:val="14"/>
                <w:szCs w:val="14"/>
                <w:b w:val="1"/>
                <w:bCs w:val="1"/>
                <w:color w:val="auto"/>
                <w:w w:val="85"/>
              </w:rPr>
              <w:t>Series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0"/>
                <w:szCs w:val="10"/>
                <w:color w:val="auto"/>
              </w:rPr>
            </w:pPr>
          </w:p>
        </w:tc>
        <w:tc>
          <w:tcPr>
            <w:tcW w:w="82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0"/>
                <w:szCs w:val="10"/>
                <w:color w:val="auto"/>
              </w:rPr>
            </w:pPr>
          </w:p>
        </w:tc>
        <w:tc>
          <w:tcPr>
            <w:tcW w:w="800" w:type="dxa"/>
            <w:vAlign w:val="bottom"/>
            <w:gridSpan w:val="2"/>
          </w:tcPr>
          <w:p>
            <w:pPr>
              <w:jc w:val="center"/>
              <w:ind w:right="200"/>
              <w:spacing w:after="0" w:line="126" w:lineRule="exact"/>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0"/>
                <w:szCs w:val="10"/>
                <w:color w:val="auto"/>
              </w:rPr>
            </w:pPr>
          </w:p>
        </w:tc>
        <w:tc>
          <w:tcPr>
            <w:tcW w:w="960" w:type="dxa"/>
            <w:vAlign w:val="bottom"/>
            <w:gridSpan w:val="2"/>
          </w:tcPr>
          <w:p>
            <w:pPr>
              <w:jc w:val="right"/>
              <w:ind w:right="380"/>
              <w:spacing w:after="0" w:line="126"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0"/>
                <w:szCs w:val="10"/>
                <w:color w:val="auto"/>
              </w:rPr>
            </w:pPr>
          </w:p>
        </w:tc>
        <w:tc>
          <w:tcPr>
            <w:tcW w:w="1220" w:type="dxa"/>
            <w:vAlign w:val="bottom"/>
            <w:gridSpan w:val="2"/>
          </w:tcPr>
          <w:p>
            <w:pPr>
              <w:jc w:val="right"/>
              <w:ind w:right="340"/>
              <w:spacing w:after="0" w:line="126" w:lineRule="exact"/>
              <w:rPr>
                <w:sz w:val="20"/>
                <w:szCs w:val="20"/>
                <w:color w:val="auto"/>
              </w:rPr>
            </w:pPr>
            <w:r>
              <w:rPr>
                <w:rFonts w:ascii="Arial" w:cs="Arial" w:eastAsia="Arial" w:hAnsi="Arial"/>
                <w:sz w:val="14"/>
                <w:szCs w:val="14"/>
                <w:b w:val="1"/>
                <w:bCs w:val="1"/>
                <w:color w:val="auto"/>
                <w:w w:val="97"/>
              </w:rPr>
              <w:t>Accumulated</w:t>
            </w:r>
          </w:p>
        </w:tc>
        <w:tc>
          <w:tcPr>
            <w:tcW w:w="120" w:type="dxa"/>
            <w:vAlign w:val="bottom"/>
          </w:tcPr>
          <w:p>
            <w:pPr>
              <w:spacing w:after="0"/>
              <w:rPr>
                <w:sz w:val="10"/>
                <w:szCs w:val="10"/>
                <w:color w:val="auto"/>
              </w:rPr>
            </w:pPr>
          </w:p>
        </w:tc>
        <w:tc>
          <w:tcPr>
            <w:tcW w:w="1320" w:type="dxa"/>
            <w:vAlign w:val="bottom"/>
            <w:gridSpan w:val="2"/>
          </w:tcPr>
          <w:p>
            <w:pPr>
              <w:jc w:val="center"/>
              <w:ind w:right="240"/>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0"/>
                <w:szCs w:val="10"/>
                <w:color w:val="auto"/>
              </w:rPr>
            </w:pP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380" w:type="dxa"/>
            <w:vAlign w:val="bottom"/>
            <w:gridSpan w:val="3"/>
          </w:tcPr>
          <w:p>
            <w:pPr>
              <w:spacing w:after="0"/>
              <w:rPr>
                <w:sz w:val="20"/>
                <w:szCs w:val="20"/>
                <w:color w:val="auto"/>
              </w:rPr>
            </w:pPr>
            <w:r>
              <w:rPr>
                <w:rFonts w:ascii="Arial" w:cs="Arial" w:eastAsia="Arial" w:hAnsi="Arial"/>
                <w:sz w:val="14"/>
                <w:szCs w:val="14"/>
                <w:i w:val="1"/>
                <w:iCs w:val="1"/>
                <w:color w:val="auto"/>
              </w:rPr>
              <w:t>data)</w:t>
            </w:r>
          </w:p>
        </w:tc>
        <w:tc>
          <w:tcPr>
            <w:tcW w:w="160" w:type="dxa"/>
            <w:vAlign w:val="bottom"/>
          </w:tcPr>
          <w:p>
            <w:pPr>
              <w:spacing w:after="0"/>
              <w:rPr>
                <w:sz w:val="15"/>
                <w:szCs w:val="15"/>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B</w:t>
            </w:r>
          </w:p>
        </w:tc>
        <w:tc>
          <w:tcPr>
            <w:tcW w:w="120" w:type="dxa"/>
            <w:vAlign w:val="bottom"/>
          </w:tcPr>
          <w:p>
            <w:pPr>
              <w:spacing w:after="0"/>
              <w:rPr>
                <w:sz w:val="15"/>
                <w:szCs w:val="15"/>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w:t>
            </w:r>
          </w:p>
        </w:tc>
        <w:tc>
          <w:tcPr>
            <w:tcW w:w="100" w:type="dxa"/>
            <w:vAlign w:val="bottom"/>
          </w:tcPr>
          <w:p>
            <w:pPr>
              <w:spacing w:after="0"/>
              <w:rPr>
                <w:sz w:val="15"/>
                <w:szCs w:val="15"/>
                <w:color w:val="auto"/>
              </w:rPr>
            </w:pPr>
          </w:p>
        </w:tc>
        <w:tc>
          <w:tcPr>
            <w:tcW w:w="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H</w:t>
            </w:r>
          </w:p>
        </w:tc>
        <w:tc>
          <w:tcPr>
            <w:tcW w:w="10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Stock</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Issuable</w:t>
            </w:r>
          </w:p>
        </w:tc>
        <w:tc>
          <w:tcPr>
            <w:tcW w:w="16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Surplus</w:t>
            </w:r>
          </w:p>
        </w:tc>
        <w:tc>
          <w:tcPr>
            <w:tcW w:w="140" w:type="dxa"/>
            <w:vAlign w:val="bottom"/>
          </w:tcPr>
          <w:p>
            <w:pPr>
              <w:spacing w:after="0"/>
              <w:rPr>
                <w:sz w:val="15"/>
                <w:szCs w:val="15"/>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1360" w:type="dxa"/>
            <w:vAlign w:val="bottom"/>
            <w:gridSpan w:val="2"/>
            <w:shd w:val="clear" w:color="auto" w:fill="F0FFFF"/>
          </w:tcPr>
          <w:p>
            <w:pPr>
              <w:spacing w:after="0" w:line="126" w:lineRule="exact"/>
              <w:rPr>
                <w:sz w:val="20"/>
                <w:szCs w:val="20"/>
                <w:color w:val="auto"/>
              </w:rPr>
            </w:pPr>
            <w:r>
              <w:rPr>
                <w:rFonts w:ascii="Arial" w:cs="Arial" w:eastAsia="Arial" w:hAnsi="Arial"/>
                <w:sz w:val="14"/>
                <w:szCs w:val="14"/>
                <w:b w:val="1"/>
                <w:bCs w:val="1"/>
                <w:color w:val="auto"/>
              </w:rPr>
              <w:t>Balance, December</w:t>
            </w:r>
          </w:p>
        </w:tc>
        <w:tc>
          <w:tcPr>
            <w:tcW w:w="160" w:type="dxa"/>
            <w:vAlign w:val="bottom"/>
            <w:shd w:val="clear" w:color="auto" w:fill="F0FFFF"/>
          </w:tcPr>
          <w:p>
            <w:pPr>
              <w:spacing w:after="0"/>
              <w:rPr>
                <w:sz w:val="10"/>
                <w:szCs w:val="10"/>
                <w:color w:val="auto"/>
              </w:rPr>
            </w:pPr>
          </w:p>
        </w:tc>
        <w:tc>
          <w:tcPr>
            <w:tcW w:w="660" w:type="dxa"/>
            <w:vAlign w:val="bottom"/>
            <w:shd w:val="clear" w:color="auto" w:fill="F0FFFF"/>
          </w:tcPr>
          <w:p>
            <w:pPr>
              <w:spacing w:after="0"/>
              <w:rPr>
                <w:sz w:val="10"/>
                <w:szCs w:val="10"/>
                <w:color w:val="auto"/>
              </w:rPr>
            </w:pPr>
          </w:p>
        </w:tc>
        <w:tc>
          <w:tcPr>
            <w:tcW w:w="120" w:type="dxa"/>
            <w:vAlign w:val="bottom"/>
            <w:tcBorders>
              <w:right w:val="single" w:sz="8" w:color="F0FFFF"/>
            </w:tcBorders>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580" w:type="dxa"/>
            <w:vAlign w:val="bottom"/>
            <w:shd w:val="clear" w:color="auto" w:fill="F0FFFF"/>
          </w:tcPr>
          <w:p>
            <w:pPr>
              <w:spacing w:after="0"/>
              <w:rPr>
                <w:sz w:val="10"/>
                <w:szCs w:val="10"/>
                <w:color w:val="auto"/>
              </w:rPr>
            </w:pPr>
          </w:p>
        </w:tc>
        <w:tc>
          <w:tcPr>
            <w:tcW w:w="120" w:type="dxa"/>
            <w:vAlign w:val="bottom"/>
            <w:tcBorders>
              <w:right w:val="single" w:sz="8" w:color="F0FFFF"/>
            </w:tcBorders>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48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72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700" w:type="dxa"/>
            <w:vAlign w:val="bottom"/>
            <w:shd w:val="clear" w:color="auto" w:fill="F0FFFF"/>
          </w:tcPr>
          <w:p>
            <w:pPr>
              <w:spacing w:after="0"/>
              <w:rPr>
                <w:sz w:val="10"/>
                <w:szCs w:val="10"/>
                <w:color w:val="auto"/>
              </w:rPr>
            </w:pPr>
          </w:p>
        </w:tc>
        <w:tc>
          <w:tcPr>
            <w:tcW w:w="120" w:type="dxa"/>
            <w:vAlign w:val="bottom"/>
            <w:tcBorders>
              <w:right w:val="single" w:sz="8" w:color="F0FFFF"/>
            </w:tcBorders>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70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160" w:type="dxa"/>
            <w:vAlign w:val="bottom"/>
            <w:shd w:val="clear" w:color="auto" w:fill="F0FFFF"/>
          </w:tcPr>
          <w:p>
            <w:pPr>
              <w:spacing w:after="0"/>
              <w:rPr>
                <w:sz w:val="10"/>
                <w:szCs w:val="10"/>
                <w:color w:val="auto"/>
              </w:rPr>
            </w:pPr>
          </w:p>
        </w:tc>
        <w:tc>
          <w:tcPr>
            <w:tcW w:w="86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140" w:type="dxa"/>
            <w:vAlign w:val="bottom"/>
            <w:shd w:val="clear" w:color="auto" w:fill="F0FFFF"/>
          </w:tcPr>
          <w:p>
            <w:pPr>
              <w:spacing w:after="0"/>
              <w:rPr>
                <w:sz w:val="10"/>
                <w:szCs w:val="10"/>
                <w:color w:val="auto"/>
              </w:rPr>
            </w:pPr>
          </w:p>
        </w:tc>
        <w:tc>
          <w:tcPr>
            <w:tcW w:w="1100" w:type="dxa"/>
            <w:vAlign w:val="bottom"/>
            <w:shd w:val="clear" w:color="auto" w:fill="F0FFFF"/>
          </w:tcPr>
          <w:p>
            <w:pPr>
              <w:spacing w:after="0"/>
              <w:rPr>
                <w:sz w:val="10"/>
                <w:szCs w:val="10"/>
                <w:color w:val="auto"/>
              </w:rPr>
            </w:pPr>
          </w:p>
        </w:tc>
        <w:tc>
          <w:tcPr>
            <w:tcW w:w="120" w:type="dxa"/>
            <w:vAlign w:val="bottom"/>
            <w:tcBorders>
              <w:right w:val="single" w:sz="8" w:color="F0FFFF"/>
            </w:tcBorders>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1220" w:type="dxa"/>
            <w:vAlign w:val="bottom"/>
            <w:shd w:val="clear" w:color="auto" w:fill="F0FFFF"/>
          </w:tcPr>
          <w:p>
            <w:pPr>
              <w:spacing w:after="0"/>
              <w:rPr>
                <w:sz w:val="10"/>
                <w:szCs w:val="10"/>
                <w:color w:val="auto"/>
              </w:rPr>
            </w:pPr>
          </w:p>
        </w:tc>
        <w:tc>
          <w:tcPr>
            <w:tcW w:w="100" w:type="dxa"/>
            <w:vAlign w:val="bottom"/>
            <w:tcBorders>
              <w:right w:val="single" w:sz="8" w:color="F0FFFF"/>
            </w:tcBorders>
            <w:shd w:val="clear" w:color="auto" w:fill="F0FFFF"/>
          </w:tcPr>
          <w:p>
            <w:pPr>
              <w:spacing w:after="0"/>
              <w:rPr>
                <w:sz w:val="10"/>
                <w:szCs w:val="10"/>
                <w:color w:val="auto"/>
              </w:rPr>
            </w:pPr>
          </w:p>
        </w:tc>
        <w:tc>
          <w:tcPr>
            <w:tcW w:w="160" w:type="dxa"/>
            <w:vAlign w:val="bottom"/>
            <w:shd w:val="clear" w:color="auto" w:fill="F0FFFF"/>
          </w:tcPr>
          <w:p>
            <w:pPr>
              <w:spacing w:after="0"/>
              <w:rPr>
                <w:sz w:val="10"/>
                <w:szCs w:val="10"/>
                <w:color w:val="auto"/>
              </w:rPr>
            </w:pPr>
          </w:p>
        </w:tc>
        <w:tc>
          <w:tcPr>
            <w:tcW w:w="64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shd w:val="clear" w:color="auto" w:fill="F0FFFF"/>
          </w:tcPr>
          <w:p>
            <w:pPr>
              <w:ind w:left="140"/>
              <w:spacing w:after="0"/>
              <w:rPr>
                <w:sz w:val="20"/>
                <w:szCs w:val="20"/>
                <w:color w:val="auto"/>
              </w:rPr>
            </w:pPr>
            <w:r>
              <w:rPr>
                <w:rFonts w:ascii="Arial" w:cs="Arial" w:eastAsia="Arial" w:hAnsi="Arial"/>
                <w:sz w:val="14"/>
                <w:szCs w:val="14"/>
                <w:b w:val="1"/>
                <w:bCs w:val="1"/>
                <w:color w:val="auto"/>
              </w:rPr>
              <w:t>31, 2013</w:t>
            </w:r>
          </w:p>
        </w:tc>
        <w:tc>
          <w:tcPr>
            <w:tcW w:w="120" w:type="dxa"/>
            <w:vAlign w:val="bottom"/>
            <w:shd w:val="clear" w:color="auto" w:fill="F0FFFF"/>
          </w:tcPr>
          <w:p>
            <w:pPr>
              <w:spacing w:after="0"/>
              <w:rPr>
                <w:sz w:val="14"/>
                <w:szCs w:val="14"/>
                <w:color w:val="auto"/>
              </w:rPr>
            </w:pPr>
          </w:p>
        </w:tc>
        <w:tc>
          <w:tcPr>
            <w:tcW w:w="1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105,000</w:t>
            </w:r>
          </w:p>
        </w:tc>
        <w:tc>
          <w:tcPr>
            <w:tcW w:w="120" w:type="dxa"/>
            <w:vAlign w:val="bottom"/>
            <w:shd w:val="clear" w:color="auto" w:fill="F0FF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16,613</w:t>
            </w:r>
          </w:p>
        </w:tc>
        <w:tc>
          <w:tcPr>
            <w:tcW w:w="10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46,243</w:t>
            </w:r>
          </w:p>
        </w:tc>
        <w:tc>
          <w:tcPr>
            <w:tcW w:w="10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13,188</w:t>
            </w:r>
          </w:p>
        </w:tc>
        <w:tc>
          <w:tcPr>
            <w:tcW w:w="10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3,930</w:t>
            </w:r>
          </w:p>
        </w:tc>
        <w:tc>
          <w:tcPr>
            <w:tcW w:w="1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1,078,676</w:t>
            </w: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right w:val="single" w:sz="8" w:color="F0FFFF"/>
            </w:tcBorders>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(448,091)</w:t>
            </w:r>
          </w:p>
        </w:tc>
        <w:tc>
          <w:tcPr>
            <w:tcW w:w="120" w:type="dxa"/>
            <w:vAlign w:val="bottom"/>
            <w:shd w:val="clear" w:color="auto" w:fill="F0FFFF"/>
          </w:tcPr>
          <w:p>
            <w:pPr>
              <w:jc w:val="right"/>
              <w:ind w:right="9"/>
              <w:spacing w:after="0"/>
              <w:rPr>
                <w:sz w:val="20"/>
                <w:szCs w:val="20"/>
                <w:color w:val="auto"/>
              </w:rPr>
            </w:pPr>
            <w:r>
              <w:rPr>
                <w:rFonts w:ascii="Arial" w:cs="Arial" w:eastAsia="Arial" w:hAnsi="Arial"/>
                <w:sz w:val="10"/>
                <w:szCs w:val="10"/>
                <w:color w:val="auto"/>
                <w:w w:val="71"/>
              </w:rPr>
              <w:t>$</w:t>
            </w:r>
          </w:p>
        </w:tc>
        <w:tc>
          <w:tcPr>
            <w:tcW w:w="1320" w:type="dxa"/>
            <w:vAlign w:val="bottom"/>
            <w:tcBorders>
              <w:right w:val="single" w:sz="8" w:color="F0FFFF"/>
            </w:tcBorders>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(19,844)</w:t>
            </w:r>
          </w:p>
        </w:tc>
        <w:tc>
          <w:tcPr>
            <w:tcW w:w="1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795,715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tcPr>
          <w:p>
            <w:pPr>
              <w:spacing w:after="0" w:line="149" w:lineRule="exact"/>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31,757</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31,757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gridSpan w:val="2"/>
            <w:shd w:val="clear" w:color="auto" w:fill="F0FFFF"/>
          </w:tcPr>
          <w:p>
            <w:pPr>
              <w:spacing w:after="0" w:line="130" w:lineRule="exact"/>
              <w:rPr>
                <w:sz w:val="20"/>
                <w:szCs w:val="20"/>
                <w:color w:val="auto"/>
              </w:rPr>
            </w:pPr>
            <w:r>
              <w:rPr>
                <w:rFonts w:ascii="Arial" w:cs="Arial" w:eastAsia="Arial" w:hAnsi="Arial"/>
                <w:sz w:val="14"/>
                <w:szCs w:val="14"/>
                <w:color w:val="auto"/>
              </w:rPr>
              <w:t>Other comprehensive</w:t>
            </w:r>
          </w:p>
        </w:tc>
        <w:tc>
          <w:tcPr>
            <w:tcW w:w="16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10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20" w:type="dxa"/>
            <w:vAlign w:val="bottom"/>
            <w:shd w:val="clear" w:color="auto" w:fill="F0FFFF"/>
          </w:tcPr>
          <w:p>
            <w:pPr>
              <w:spacing w:after="0"/>
              <w:rPr>
                <w:sz w:val="11"/>
                <w:szCs w:val="11"/>
                <w:color w:val="auto"/>
              </w:rPr>
            </w:pPr>
          </w:p>
        </w:tc>
        <w:tc>
          <w:tcPr>
            <w:tcW w:w="100" w:type="dxa"/>
            <w:vAlign w:val="bottom"/>
            <w:tcBorders>
              <w:right w:val="single" w:sz="8" w:color="F0FFFF"/>
            </w:tcBorders>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2"/>
            <w:shd w:val="clear" w:color="auto" w:fill="F0FFFF"/>
          </w:tcPr>
          <w:p>
            <w:pPr>
              <w:ind w:left="140"/>
              <w:spacing w:after="0"/>
              <w:rPr>
                <w:sz w:val="20"/>
                <w:szCs w:val="20"/>
                <w:color w:val="auto"/>
              </w:rPr>
            </w:pPr>
            <w:r>
              <w:rPr>
                <w:rFonts w:ascii="Arial" w:cs="Arial" w:eastAsia="Arial" w:hAnsi="Arial"/>
                <w:sz w:val="14"/>
                <w:szCs w:val="14"/>
                <w:color w:val="auto"/>
              </w:rPr>
              <w:t>income</w:t>
            </w:r>
          </w:p>
        </w:tc>
        <w:tc>
          <w:tcPr>
            <w:tcW w:w="160" w:type="dxa"/>
            <w:vAlign w:val="bottom"/>
            <w:shd w:val="clear" w:color="auto" w:fill="F0FFFF"/>
          </w:tcPr>
          <w:p>
            <w:pPr>
              <w:spacing w:after="0"/>
              <w:rPr>
                <w:sz w:val="14"/>
                <w:szCs w:val="14"/>
                <w:color w:val="auto"/>
              </w:rPr>
            </w:pPr>
          </w:p>
        </w:tc>
        <w:tc>
          <w:tcPr>
            <w:tcW w:w="660" w:type="dxa"/>
            <w:vAlign w:val="bottom"/>
            <w:shd w:val="clear" w:color="auto" w:fill="F0FFFF"/>
          </w:tcPr>
          <w:p>
            <w:pPr>
              <w:spacing w:after="0"/>
              <w:rPr>
                <w:sz w:val="14"/>
                <w:szCs w:val="14"/>
                <w:color w:val="auto"/>
              </w:rPr>
            </w:pPr>
          </w:p>
        </w:tc>
        <w:tc>
          <w:tcPr>
            <w:tcW w:w="120" w:type="dxa"/>
            <w:vAlign w:val="bottom"/>
            <w:tcBorders>
              <w:right w:val="single" w:sz="8" w:color="F0FFFF"/>
            </w:tcBorders>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120" w:type="dxa"/>
            <w:vAlign w:val="bottom"/>
            <w:tcBorders>
              <w:right w:val="single" w:sz="8" w:color="F0FFFF"/>
            </w:tcBorders>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4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120" w:type="dxa"/>
            <w:vAlign w:val="bottom"/>
            <w:tcBorders>
              <w:right w:val="single" w:sz="8" w:color="F0FFFF"/>
            </w:tcBorders>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86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1100" w:type="dxa"/>
            <w:vAlign w:val="bottom"/>
            <w:shd w:val="clear" w:color="auto" w:fill="F0FFFF"/>
          </w:tcPr>
          <w:p>
            <w:pPr>
              <w:spacing w:after="0"/>
              <w:rPr>
                <w:sz w:val="14"/>
                <w:szCs w:val="14"/>
                <w:color w:val="auto"/>
              </w:rPr>
            </w:pPr>
          </w:p>
        </w:tc>
        <w:tc>
          <w:tcPr>
            <w:tcW w:w="120" w:type="dxa"/>
            <w:vAlign w:val="bottom"/>
            <w:tcBorders>
              <w:right w:val="single" w:sz="8" w:color="F0FFFF"/>
            </w:tcBorders>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320" w:type="dxa"/>
            <w:vAlign w:val="bottom"/>
            <w:tcBorders>
              <w:right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3,828</w:t>
            </w:r>
          </w:p>
        </w:tc>
        <w:tc>
          <w:tcPr>
            <w:tcW w:w="160" w:type="dxa"/>
            <w:vAlign w:val="bottom"/>
            <w:shd w:val="clear" w:color="auto" w:fill="F0FFFF"/>
          </w:tcPr>
          <w:p>
            <w:pPr>
              <w:spacing w:after="0"/>
              <w:rPr>
                <w:sz w:val="14"/>
                <w:szCs w:val="14"/>
                <w:color w:val="auto"/>
              </w:rPr>
            </w:pPr>
          </w:p>
        </w:tc>
        <w:tc>
          <w:tcPr>
            <w:tcW w:w="7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3,828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gridSpan w:val="2"/>
          </w:tcPr>
          <w:p>
            <w:pPr>
              <w:spacing w:after="0" w:line="130" w:lineRule="exact"/>
              <w:rPr>
                <w:sz w:val="20"/>
                <w:szCs w:val="20"/>
                <w:color w:val="auto"/>
              </w:rPr>
            </w:pPr>
            <w:r>
              <w:rPr>
                <w:rFonts w:ascii="Arial" w:cs="Arial" w:eastAsia="Arial" w:hAnsi="Arial"/>
                <w:sz w:val="14"/>
                <w:szCs w:val="14"/>
                <w:color w:val="auto"/>
                <w:w w:val="99"/>
              </w:rPr>
              <w:t>Redemption of Series</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B preferred</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stock (105,000</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(105,000)</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(105,000)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gridSpan w:val="2"/>
            <w:shd w:val="clear" w:color="auto" w:fill="F0FFFF"/>
          </w:tcPr>
          <w:p>
            <w:pPr>
              <w:spacing w:after="0" w:line="130" w:lineRule="exact"/>
              <w:rPr>
                <w:sz w:val="20"/>
                <w:szCs w:val="20"/>
                <w:color w:val="auto"/>
              </w:rPr>
            </w:pPr>
            <w:r>
              <w:rPr>
                <w:rFonts w:ascii="Arial" w:cs="Arial" w:eastAsia="Arial" w:hAnsi="Arial"/>
                <w:sz w:val="14"/>
                <w:szCs w:val="14"/>
                <w:color w:val="auto"/>
                <w:w w:val="99"/>
              </w:rPr>
              <w:t>Redemption of Series</w:t>
            </w:r>
          </w:p>
        </w:tc>
        <w:tc>
          <w:tcPr>
            <w:tcW w:w="16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10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20" w:type="dxa"/>
            <w:vAlign w:val="bottom"/>
            <w:shd w:val="clear" w:color="auto" w:fill="F0FFFF"/>
          </w:tcPr>
          <w:p>
            <w:pPr>
              <w:spacing w:after="0"/>
              <w:rPr>
                <w:sz w:val="11"/>
                <w:szCs w:val="11"/>
                <w:color w:val="auto"/>
              </w:rPr>
            </w:pPr>
          </w:p>
        </w:tc>
        <w:tc>
          <w:tcPr>
            <w:tcW w:w="100" w:type="dxa"/>
            <w:vAlign w:val="bottom"/>
            <w:tcBorders>
              <w:right w:val="single" w:sz="8" w:color="F0FFFF"/>
            </w:tcBorders>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shd w:val="clear" w:color="auto" w:fill="F0FFFF"/>
          </w:tcPr>
          <w:p>
            <w:pPr>
              <w:ind w:left="140"/>
              <w:spacing w:after="0" w:line="149" w:lineRule="exact"/>
              <w:rPr>
                <w:sz w:val="20"/>
                <w:szCs w:val="20"/>
                <w:color w:val="auto"/>
              </w:rPr>
            </w:pPr>
            <w:r>
              <w:rPr>
                <w:rFonts w:ascii="Arial" w:cs="Arial" w:eastAsia="Arial" w:hAnsi="Arial"/>
                <w:sz w:val="14"/>
                <w:szCs w:val="14"/>
                <w:color w:val="auto"/>
              </w:rPr>
              <w:t>D preferred</w:t>
            </w:r>
          </w:p>
        </w:tc>
        <w:tc>
          <w:tcPr>
            <w:tcW w:w="16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20" w:type="dxa"/>
            <w:vAlign w:val="bottom"/>
            <w:shd w:val="clear" w:color="auto" w:fill="F0FFFF"/>
          </w:tcPr>
          <w:p>
            <w:pPr>
              <w:spacing w:after="0"/>
              <w:rPr>
                <w:sz w:val="12"/>
                <w:szCs w:val="12"/>
                <w:color w:val="auto"/>
              </w:rPr>
            </w:pPr>
          </w:p>
        </w:tc>
        <w:tc>
          <w:tcPr>
            <w:tcW w:w="10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shd w:val="clear" w:color="auto" w:fill="F0FFFF"/>
          </w:tcPr>
          <w:p>
            <w:pPr>
              <w:ind w:left="140"/>
              <w:spacing w:after="0" w:line="149" w:lineRule="exact"/>
              <w:rPr>
                <w:sz w:val="20"/>
                <w:szCs w:val="20"/>
                <w:color w:val="auto"/>
              </w:rPr>
            </w:pPr>
            <w:r>
              <w:rPr>
                <w:rFonts w:ascii="Arial" w:cs="Arial" w:eastAsia="Arial" w:hAnsi="Arial"/>
                <w:sz w:val="14"/>
                <w:szCs w:val="14"/>
                <w:color w:val="auto"/>
              </w:rPr>
              <w:t>stock (16,613</w:t>
            </w:r>
          </w:p>
        </w:tc>
        <w:tc>
          <w:tcPr>
            <w:tcW w:w="16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20" w:type="dxa"/>
            <w:vAlign w:val="bottom"/>
            <w:shd w:val="clear" w:color="auto" w:fill="F0FFFF"/>
          </w:tcPr>
          <w:p>
            <w:pPr>
              <w:spacing w:after="0"/>
              <w:rPr>
                <w:sz w:val="12"/>
                <w:szCs w:val="12"/>
                <w:color w:val="auto"/>
              </w:rPr>
            </w:pPr>
          </w:p>
        </w:tc>
        <w:tc>
          <w:tcPr>
            <w:tcW w:w="10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2"/>
            <w:shd w:val="clear" w:color="auto" w:fill="F0FFFF"/>
          </w:tcPr>
          <w:p>
            <w:pPr>
              <w:ind w:left="140"/>
              <w:spacing w:after="0"/>
              <w:rPr>
                <w:sz w:val="20"/>
                <w:szCs w:val="20"/>
                <w:color w:val="auto"/>
              </w:rPr>
            </w:pPr>
            <w:r>
              <w:rPr>
                <w:rFonts w:ascii="Arial" w:cs="Arial" w:eastAsia="Arial" w:hAnsi="Arial"/>
                <w:sz w:val="14"/>
                <w:szCs w:val="14"/>
                <w:color w:val="auto"/>
              </w:rPr>
              <w:t>shares)</w:t>
            </w:r>
          </w:p>
        </w:tc>
        <w:tc>
          <w:tcPr>
            <w:tcW w:w="160" w:type="dxa"/>
            <w:vAlign w:val="bottom"/>
            <w:shd w:val="clear" w:color="auto" w:fill="F0FFFF"/>
          </w:tcPr>
          <w:p>
            <w:pPr>
              <w:spacing w:after="0"/>
              <w:rPr>
                <w:sz w:val="14"/>
                <w:szCs w:val="14"/>
                <w:color w:val="auto"/>
              </w:rPr>
            </w:pPr>
          </w:p>
        </w:tc>
        <w:tc>
          <w:tcPr>
            <w:tcW w:w="660" w:type="dxa"/>
            <w:vAlign w:val="bottom"/>
            <w:shd w:val="clear" w:color="auto" w:fill="F0FFFF"/>
          </w:tcPr>
          <w:p>
            <w:pPr>
              <w:spacing w:after="0"/>
              <w:rPr>
                <w:sz w:val="14"/>
                <w:szCs w:val="14"/>
                <w:color w:val="auto"/>
              </w:rPr>
            </w:pPr>
          </w:p>
        </w:tc>
        <w:tc>
          <w:tcPr>
            <w:tcW w:w="120" w:type="dxa"/>
            <w:vAlign w:val="bottom"/>
            <w:tcBorders>
              <w:right w:val="single" w:sz="8" w:color="F0FFFF"/>
            </w:tcBorders>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00" w:type="dxa"/>
            <w:vAlign w:val="bottom"/>
            <w:tcBorders>
              <w:right w:val="single" w:sz="8" w:color="F0FFFF"/>
            </w:tcBorders>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(16,613)</w:t>
            </w:r>
          </w:p>
        </w:tc>
        <w:tc>
          <w:tcPr>
            <w:tcW w:w="100" w:type="dxa"/>
            <w:vAlign w:val="bottom"/>
            <w:shd w:val="clear" w:color="auto" w:fill="F0FFFF"/>
          </w:tcPr>
          <w:p>
            <w:pPr>
              <w:spacing w:after="0"/>
              <w:rPr>
                <w:sz w:val="14"/>
                <w:szCs w:val="14"/>
                <w:color w:val="auto"/>
              </w:rPr>
            </w:pPr>
          </w:p>
        </w:tc>
        <w:tc>
          <w:tcPr>
            <w:tcW w:w="4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120" w:type="dxa"/>
            <w:vAlign w:val="bottom"/>
            <w:tcBorders>
              <w:right w:val="single" w:sz="8" w:color="F0FFFF"/>
            </w:tcBorders>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86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1100" w:type="dxa"/>
            <w:vAlign w:val="bottom"/>
            <w:shd w:val="clear" w:color="auto" w:fill="F0FFFF"/>
          </w:tcPr>
          <w:p>
            <w:pPr>
              <w:spacing w:after="0"/>
              <w:rPr>
                <w:sz w:val="14"/>
                <w:szCs w:val="14"/>
                <w:color w:val="auto"/>
              </w:rPr>
            </w:pPr>
          </w:p>
        </w:tc>
        <w:tc>
          <w:tcPr>
            <w:tcW w:w="120" w:type="dxa"/>
            <w:vAlign w:val="bottom"/>
            <w:tcBorders>
              <w:right w:val="single" w:sz="8" w:color="F0FFFF"/>
            </w:tcBorders>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220" w:type="dxa"/>
            <w:vAlign w:val="bottom"/>
            <w:shd w:val="clear" w:color="auto" w:fill="F0FFFF"/>
          </w:tcPr>
          <w:p>
            <w:pPr>
              <w:spacing w:after="0"/>
              <w:rPr>
                <w:sz w:val="14"/>
                <w:szCs w:val="14"/>
                <w:color w:val="auto"/>
              </w:rPr>
            </w:pPr>
          </w:p>
        </w:tc>
        <w:tc>
          <w:tcPr>
            <w:tcW w:w="100" w:type="dxa"/>
            <w:vAlign w:val="bottom"/>
            <w:tcBorders>
              <w:right w:val="single" w:sz="8" w:color="F0FFFF"/>
            </w:tcBorders>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74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(16,613)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gridSpan w:val="2"/>
          </w:tcPr>
          <w:p>
            <w:pPr>
              <w:spacing w:after="0" w:line="130" w:lineRule="exact"/>
              <w:rPr>
                <w:sz w:val="20"/>
                <w:szCs w:val="20"/>
                <w:color w:val="auto"/>
              </w:rPr>
            </w:pPr>
            <w:r>
              <w:rPr>
                <w:rFonts w:ascii="Arial" w:cs="Arial" w:eastAsia="Arial" w:hAnsi="Arial"/>
                <w:sz w:val="14"/>
                <w:szCs w:val="14"/>
                <w:color w:val="auto"/>
              </w:rPr>
              <w:t>Common stock</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issued at market</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color w:val="auto"/>
              </w:rPr>
              <w:t>(640,000 shares)</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640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11,566</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12,206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gridSpan w:val="2"/>
            <w:shd w:val="clear" w:color="auto" w:fill="F0FFFF"/>
          </w:tcPr>
          <w:p>
            <w:pPr>
              <w:spacing w:after="0" w:line="130" w:lineRule="exact"/>
              <w:rPr>
                <w:sz w:val="20"/>
                <w:szCs w:val="20"/>
                <w:color w:val="auto"/>
              </w:rPr>
            </w:pPr>
            <w:r>
              <w:rPr>
                <w:rFonts w:ascii="Arial" w:cs="Arial" w:eastAsia="Arial" w:hAnsi="Arial"/>
                <w:sz w:val="14"/>
                <w:szCs w:val="14"/>
                <w:color w:val="auto"/>
              </w:rPr>
              <w:t>Common stock</w:t>
            </w:r>
          </w:p>
        </w:tc>
        <w:tc>
          <w:tcPr>
            <w:tcW w:w="16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10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20" w:type="dxa"/>
            <w:vAlign w:val="bottom"/>
            <w:shd w:val="clear" w:color="auto" w:fill="F0FFFF"/>
          </w:tcPr>
          <w:p>
            <w:pPr>
              <w:spacing w:after="0"/>
              <w:rPr>
                <w:sz w:val="11"/>
                <w:szCs w:val="11"/>
                <w:color w:val="auto"/>
              </w:rPr>
            </w:pPr>
          </w:p>
        </w:tc>
        <w:tc>
          <w:tcPr>
            <w:tcW w:w="100" w:type="dxa"/>
            <w:vAlign w:val="bottom"/>
            <w:tcBorders>
              <w:right w:val="single" w:sz="8" w:color="F0FFFF"/>
            </w:tcBorders>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shd w:val="clear" w:color="auto" w:fill="F0FFFF"/>
          </w:tcPr>
          <w:p>
            <w:pPr>
              <w:ind w:left="140"/>
              <w:spacing w:after="0" w:line="149" w:lineRule="exact"/>
              <w:rPr>
                <w:sz w:val="20"/>
                <w:szCs w:val="20"/>
                <w:color w:val="auto"/>
              </w:rPr>
            </w:pPr>
            <w:r>
              <w:rPr>
                <w:rFonts w:ascii="Arial" w:cs="Arial" w:eastAsia="Arial" w:hAnsi="Arial"/>
                <w:sz w:val="14"/>
                <w:szCs w:val="14"/>
                <w:color w:val="auto"/>
              </w:rPr>
              <w:t>issued to dividend</w:t>
            </w:r>
          </w:p>
        </w:tc>
        <w:tc>
          <w:tcPr>
            <w:tcW w:w="16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20" w:type="dxa"/>
            <w:vAlign w:val="bottom"/>
            <w:shd w:val="clear" w:color="auto" w:fill="F0FFFF"/>
          </w:tcPr>
          <w:p>
            <w:pPr>
              <w:spacing w:after="0"/>
              <w:rPr>
                <w:sz w:val="12"/>
                <w:szCs w:val="12"/>
                <w:color w:val="auto"/>
              </w:rPr>
            </w:pPr>
          </w:p>
        </w:tc>
        <w:tc>
          <w:tcPr>
            <w:tcW w:w="10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shd w:val="clear" w:color="auto" w:fill="F0FFFF"/>
          </w:tcPr>
          <w:p>
            <w:pPr>
              <w:ind w:left="140"/>
              <w:spacing w:after="0" w:line="149" w:lineRule="exact"/>
              <w:rPr>
                <w:sz w:val="20"/>
                <w:szCs w:val="20"/>
                <w:color w:val="auto"/>
              </w:rPr>
            </w:pPr>
            <w:r>
              <w:rPr>
                <w:rFonts w:ascii="Arial" w:cs="Arial" w:eastAsia="Arial" w:hAnsi="Arial"/>
                <w:sz w:val="14"/>
                <w:szCs w:val="14"/>
                <w:color w:val="auto"/>
              </w:rPr>
              <w:t>reinvestment plan</w:t>
            </w:r>
          </w:p>
        </w:tc>
        <w:tc>
          <w:tcPr>
            <w:tcW w:w="16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20" w:type="dxa"/>
            <w:vAlign w:val="bottom"/>
            <w:shd w:val="clear" w:color="auto" w:fill="F0FFFF"/>
          </w:tcPr>
          <w:p>
            <w:pPr>
              <w:spacing w:after="0"/>
              <w:rPr>
                <w:sz w:val="12"/>
                <w:szCs w:val="12"/>
                <w:color w:val="auto"/>
              </w:rPr>
            </w:pPr>
          </w:p>
        </w:tc>
        <w:tc>
          <w:tcPr>
            <w:tcW w:w="10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shd w:val="clear" w:color="auto" w:fill="F0FFFF"/>
          </w:tcPr>
          <w:p>
            <w:pPr>
              <w:ind w:left="140"/>
              <w:spacing w:after="0" w:line="149" w:lineRule="exact"/>
              <w:rPr>
                <w:sz w:val="20"/>
                <w:szCs w:val="20"/>
                <w:color w:val="auto"/>
              </w:rPr>
            </w:pPr>
            <w:r>
              <w:rPr>
                <w:rFonts w:ascii="Arial" w:cs="Arial" w:eastAsia="Arial" w:hAnsi="Arial"/>
                <w:sz w:val="14"/>
                <w:szCs w:val="14"/>
                <w:color w:val="auto"/>
              </w:rPr>
              <w:t>and employee</w:t>
            </w:r>
          </w:p>
        </w:tc>
        <w:tc>
          <w:tcPr>
            <w:tcW w:w="16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20" w:type="dxa"/>
            <w:vAlign w:val="bottom"/>
            <w:shd w:val="clear" w:color="auto" w:fill="F0FFFF"/>
          </w:tcPr>
          <w:p>
            <w:pPr>
              <w:spacing w:after="0"/>
              <w:rPr>
                <w:sz w:val="12"/>
                <w:szCs w:val="12"/>
                <w:color w:val="auto"/>
              </w:rPr>
            </w:pPr>
          </w:p>
        </w:tc>
        <w:tc>
          <w:tcPr>
            <w:tcW w:w="10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shd w:val="clear" w:color="auto" w:fill="F0FFFF"/>
          </w:tcPr>
          <w:p>
            <w:pPr>
              <w:ind w:left="140"/>
              <w:spacing w:after="0" w:line="149" w:lineRule="exact"/>
              <w:rPr>
                <w:sz w:val="20"/>
                <w:szCs w:val="20"/>
                <w:color w:val="auto"/>
              </w:rPr>
            </w:pPr>
            <w:r>
              <w:rPr>
                <w:rFonts w:ascii="Arial" w:cs="Arial" w:eastAsia="Arial" w:hAnsi="Arial"/>
                <w:sz w:val="14"/>
                <w:szCs w:val="14"/>
                <w:color w:val="auto"/>
              </w:rPr>
              <w:t>benefit</w:t>
            </w:r>
          </w:p>
        </w:tc>
        <w:tc>
          <w:tcPr>
            <w:tcW w:w="16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20" w:type="dxa"/>
            <w:vAlign w:val="bottom"/>
            <w:shd w:val="clear" w:color="auto" w:fill="F0FFFF"/>
          </w:tcPr>
          <w:p>
            <w:pPr>
              <w:spacing w:after="0"/>
              <w:rPr>
                <w:sz w:val="12"/>
                <w:szCs w:val="12"/>
                <w:color w:val="auto"/>
              </w:rPr>
            </w:pPr>
          </w:p>
        </w:tc>
        <w:tc>
          <w:tcPr>
            <w:tcW w:w="10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shd w:val="clear" w:color="auto" w:fill="F0FFFF"/>
          </w:tcPr>
          <w:p>
            <w:pPr>
              <w:ind w:left="140"/>
              <w:spacing w:after="0" w:line="149" w:lineRule="exact"/>
              <w:rPr>
                <w:sz w:val="20"/>
                <w:szCs w:val="20"/>
                <w:color w:val="auto"/>
              </w:rPr>
            </w:pPr>
            <w:r>
              <w:rPr>
                <w:rFonts w:ascii="Arial" w:cs="Arial" w:eastAsia="Arial" w:hAnsi="Arial"/>
                <w:sz w:val="14"/>
                <w:szCs w:val="14"/>
                <w:color w:val="auto"/>
              </w:rPr>
              <w:t>plans(19,299</w:t>
            </w:r>
          </w:p>
        </w:tc>
        <w:tc>
          <w:tcPr>
            <w:tcW w:w="16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20" w:type="dxa"/>
            <w:vAlign w:val="bottom"/>
            <w:shd w:val="clear" w:color="auto" w:fill="F0FFFF"/>
          </w:tcPr>
          <w:p>
            <w:pPr>
              <w:spacing w:after="0"/>
              <w:rPr>
                <w:sz w:val="12"/>
                <w:szCs w:val="12"/>
                <w:color w:val="auto"/>
              </w:rPr>
            </w:pPr>
          </w:p>
        </w:tc>
        <w:tc>
          <w:tcPr>
            <w:tcW w:w="10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2"/>
            <w:shd w:val="clear" w:color="auto" w:fill="F0FFFF"/>
          </w:tcPr>
          <w:p>
            <w:pPr>
              <w:ind w:left="140"/>
              <w:spacing w:after="0"/>
              <w:rPr>
                <w:sz w:val="20"/>
                <w:szCs w:val="20"/>
                <w:color w:val="auto"/>
              </w:rPr>
            </w:pPr>
            <w:r>
              <w:rPr>
                <w:rFonts w:ascii="Arial" w:cs="Arial" w:eastAsia="Arial" w:hAnsi="Arial"/>
                <w:sz w:val="14"/>
                <w:szCs w:val="14"/>
                <w:color w:val="auto"/>
              </w:rPr>
              <w:t>shares)</w:t>
            </w:r>
          </w:p>
        </w:tc>
        <w:tc>
          <w:tcPr>
            <w:tcW w:w="160" w:type="dxa"/>
            <w:vAlign w:val="bottom"/>
            <w:shd w:val="clear" w:color="auto" w:fill="F0FFFF"/>
          </w:tcPr>
          <w:p>
            <w:pPr>
              <w:spacing w:after="0"/>
              <w:rPr>
                <w:sz w:val="14"/>
                <w:szCs w:val="14"/>
                <w:color w:val="auto"/>
              </w:rPr>
            </w:pPr>
          </w:p>
        </w:tc>
        <w:tc>
          <w:tcPr>
            <w:tcW w:w="660" w:type="dxa"/>
            <w:vAlign w:val="bottom"/>
            <w:shd w:val="clear" w:color="auto" w:fill="F0FFFF"/>
          </w:tcPr>
          <w:p>
            <w:pPr>
              <w:spacing w:after="0"/>
              <w:rPr>
                <w:sz w:val="14"/>
                <w:szCs w:val="14"/>
                <w:color w:val="auto"/>
              </w:rPr>
            </w:pPr>
          </w:p>
        </w:tc>
        <w:tc>
          <w:tcPr>
            <w:tcW w:w="120" w:type="dxa"/>
            <w:vAlign w:val="bottom"/>
            <w:tcBorders>
              <w:right w:val="single" w:sz="8" w:color="F0FFFF"/>
            </w:tcBorders>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120" w:type="dxa"/>
            <w:vAlign w:val="bottom"/>
            <w:tcBorders>
              <w:right w:val="single" w:sz="8" w:color="F0FFFF"/>
            </w:tcBorders>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4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120" w:type="dxa"/>
            <w:vAlign w:val="bottom"/>
            <w:tcBorders>
              <w:right w:val="single" w:sz="8" w:color="F0FFFF"/>
            </w:tcBorders>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309</w:t>
            </w:r>
          </w:p>
        </w:tc>
        <w:tc>
          <w:tcPr>
            <w:tcW w:w="140" w:type="dxa"/>
            <w:vAlign w:val="bottom"/>
            <w:shd w:val="clear" w:color="auto" w:fill="F0FFFF"/>
          </w:tcPr>
          <w:p>
            <w:pPr>
              <w:spacing w:after="0"/>
              <w:rPr>
                <w:sz w:val="14"/>
                <w:szCs w:val="14"/>
                <w:color w:val="auto"/>
              </w:rPr>
            </w:pPr>
          </w:p>
        </w:tc>
        <w:tc>
          <w:tcPr>
            <w:tcW w:w="1100" w:type="dxa"/>
            <w:vAlign w:val="bottom"/>
            <w:shd w:val="clear" w:color="auto" w:fill="F0FFFF"/>
          </w:tcPr>
          <w:p>
            <w:pPr>
              <w:spacing w:after="0"/>
              <w:rPr>
                <w:sz w:val="14"/>
                <w:szCs w:val="14"/>
                <w:color w:val="auto"/>
              </w:rPr>
            </w:pPr>
          </w:p>
        </w:tc>
        <w:tc>
          <w:tcPr>
            <w:tcW w:w="120" w:type="dxa"/>
            <w:vAlign w:val="bottom"/>
            <w:tcBorders>
              <w:right w:val="single" w:sz="8" w:color="F0FFFF"/>
            </w:tcBorders>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220" w:type="dxa"/>
            <w:vAlign w:val="bottom"/>
            <w:shd w:val="clear" w:color="auto" w:fill="F0FFFF"/>
          </w:tcPr>
          <w:p>
            <w:pPr>
              <w:spacing w:after="0"/>
              <w:rPr>
                <w:sz w:val="14"/>
                <w:szCs w:val="14"/>
                <w:color w:val="auto"/>
              </w:rPr>
            </w:pPr>
          </w:p>
        </w:tc>
        <w:tc>
          <w:tcPr>
            <w:tcW w:w="100" w:type="dxa"/>
            <w:vAlign w:val="bottom"/>
            <w:tcBorders>
              <w:right w:val="single" w:sz="8" w:color="F0FFFF"/>
            </w:tcBorders>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7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gridSpan w:val="2"/>
          </w:tcPr>
          <w:p>
            <w:pPr>
              <w:spacing w:after="0" w:line="130" w:lineRule="exact"/>
              <w:rPr>
                <w:sz w:val="20"/>
                <w:szCs w:val="20"/>
                <w:color w:val="auto"/>
              </w:rPr>
            </w:pPr>
            <w:r>
              <w:rPr>
                <w:rFonts w:ascii="Arial" w:cs="Arial" w:eastAsia="Arial" w:hAnsi="Arial"/>
                <w:sz w:val="14"/>
                <w:szCs w:val="14"/>
                <w:color w:val="auto"/>
              </w:rPr>
              <w:t>Conversion of non-</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voting common</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stock to voting</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color w:val="auto"/>
              </w:rPr>
              <w:t>(3,107,419 shares)</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3,107</w:t>
            </w:r>
          </w:p>
        </w:tc>
        <w:tc>
          <w:tcPr>
            <w:tcW w:w="1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(3,107)</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gridSpan w:val="2"/>
            <w:shd w:val="clear" w:color="auto" w:fill="F0FFFF"/>
          </w:tcPr>
          <w:p>
            <w:pPr>
              <w:spacing w:after="0" w:line="130" w:lineRule="exact"/>
              <w:rPr>
                <w:sz w:val="20"/>
                <w:szCs w:val="20"/>
                <w:color w:val="auto"/>
              </w:rPr>
            </w:pPr>
            <w:r>
              <w:rPr>
                <w:rFonts w:ascii="Arial" w:cs="Arial" w:eastAsia="Arial" w:hAnsi="Arial"/>
                <w:sz w:val="14"/>
                <w:szCs w:val="14"/>
                <w:color w:val="auto"/>
              </w:rPr>
              <w:t>Amortization of</w:t>
            </w:r>
          </w:p>
        </w:tc>
        <w:tc>
          <w:tcPr>
            <w:tcW w:w="16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10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20" w:type="dxa"/>
            <w:vAlign w:val="bottom"/>
            <w:shd w:val="clear" w:color="auto" w:fill="F0FFFF"/>
          </w:tcPr>
          <w:p>
            <w:pPr>
              <w:spacing w:after="0"/>
              <w:rPr>
                <w:sz w:val="11"/>
                <w:szCs w:val="11"/>
                <w:color w:val="auto"/>
              </w:rPr>
            </w:pPr>
          </w:p>
        </w:tc>
        <w:tc>
          <w:tcPr>
            <w:tcW w:w="100" w:type="dxa"/>
            <w:vAlign w:val="bottom"/>
            <w:tcBorders>
              <w:right w:val="single" w:sz="8" w:color="F0FFFF"/>
            </w:tcBorders>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shd w:val="clear" w:color="auto" w:fill="F0FFFF"/>
          </w:tcPr>
          <w:p>
            <w:pPr>
              <w:ind w:left="140"/>
              <w:spacing w:after="0" w:line="149" w:lineRule="exact"/>
              <w:rPr>
                <w:sz w:val="20"/>
                <w:szCs w:val="20"/>
                <w:color w:val="auto"/>
              </w:rPr>
            </w:pPr>
            <w:r>
              <w:rPr>
                <w:rFonts w:ascii="Arial" w:cs="Arial" w:eastAsia="Arial" w:hAnsi="Arial"/>
                <w:sz w:val="14"/>
                <w:szCs w:val="14"/>
                <w:color w:val="auto"/>
              </w:rPr>
              <w:t>stock option and</w:t>
            </w:r>
          </w:p>
        </w:tc>
        <w:tc>
          <w:tcPr>
            <w:tcW w:w="16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20" w:type="dxa"/>
            <w:vAlign w:val="bottom"/>
            <w:shd w:val="clear" w:color="auto" w:fill="F0FFFF"/>
          </w:tcPr>
          <w:p>
            <w:pPr>
              <w:spacing w:after="0"/>
              <w:rPr>
                <w:sz w:val="12"/>
                <w:szCs w:val="12"/>
                <w:color w:val="auto"/>
              </w:rPr>
            </w:pPr>
          </w:p>
        </w:tc>
        <w:tc>
          <w:tcPr>
            <w:tcW w:w="10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shd w:val="clear" w:color="auto" w:fill="F0FFFF"/>
          </w:tcPr>
          <w:p>
            <w:pPr>
              <w:ind w:left="140"/>
              <w:spacing w:after="0" w:line="149" w:lineRule="exact"/>
              <w:rPr>
                <w:sz w:val="20"/>
                <w:szCs w:val="20"/>
                <w:color w:val="auto"/>
              </w:rPr>
            </w:pPr>
            <w:r>
              <w:rPr>
                <w:rFonts w:ascii="Arial" w:cs="Arial" w:eastAsia="Arial" w:hAnsi="Arial"/>
                <w:sz w:val="14"/>
                <w:szCs w:val="14"/>
                <w:color w:val="auto"/>
              </w:rPr>
              <w:t>restricted stock</w:t>
            </w:r>
          </w:p>
        </w:tc>
        <w:tc>
          <w:tcPr>
            <w:tcW w:w="16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20" w:type="dxa"/>
            <w:vAlign w:val="bottom"/>
            <w:shd w:val="clear" w:color="auto" w:fill="F0FFFF"/>
          </w:tcPr>
          <w:p>
            <w:pPr>
              <w:spacing w:after="0"/>
              <w:rPr>
                <w:sz w:val="12"/>
                <w:szCs w:val="12"/>
                <w:color w:val="auto"/>
              </w:rPr>
            </w:pPr>
          </w:p>
        </w:tc>
        <w:tc>
          <w:tcPr>
            <w:tcW w:w="10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2"/>
            <w:shd w:val="clear" w:color="auto" w:fill="F0FFFF"/>
          </w:tcPr>
          <w:p>
            <w:pPr>
              <w:ind w:left="140"/>
              <w:spacing w:after="0"/>
              <w:rPr>
                <w:sz w:val="20"/>
                <w:szCs w:val="20"/>
                <w:color w:val="auto"/>
              </w:rPr>
            </w:pPr>
            <w:r>
              <w:rPr>
                <w:rFonts w:ascii="Arial" w:cs="Arial" w:eastAsia="Arial" w:hAnsi="Arial"/>
                <w:sz w:val="14"/>
                <w:szCs w:val="14"/>
                <w:color w:val="auto"/>
              </w:rPr>
              <w:t>awards</w:t>
            </w:r>
          </w:p>
        </w:tc>
        <w:tc>
          <w:tcPr>
            <w:tcW w:w="160" w:type="dxa"/>
            <w:vAlign w:val="bottom"/>
            <w:shd w:val="clear" w:color="auto" w:fill="F0FFFF"/>
          </w:tcPr>
          <w:p>
            <w:pPr>
              <w:spacing w:after="0"/>
              <w:rPr>
                <w:sz w:val="14"/>
                <w:szCs w:val="14"/>
                <w:color w:val="auto"/>
              </w:rPr>
            </w:pPr>
          </w:p>
        </w:tc>
        <w:tc>
          <w:tcPr>
            <w:tcW w:w="660" w:type="dxa"/>
            <w:vAlign w:val="bottom"/>
            <w:shd w:val="clear" w:color="auto" w:fill="F0FFFF"/>
          </w:tcPr>
          <w:p>
            <w:pPr>
              <w:spacing w:after="0"/>
              <w:rPr>
                <w:sz w:val="14"/>
                <w:szCs w:val="14"/>
                <w:color w:val="auto"/>
              </w:rPr>
            </w:pPr>
          </w:p>
        </w:tc>
        <w:tc>
          <w:tcPr>
            <w:tcW w:w="120" w:type="dxa"/>
            <w:vAlign w:val="bottom"/>
            <w:tcBorders>
              <w:right w:val="single" w:sz="8" w:color="F0FFFF"/>
            </w:tcBorders>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120" w:type="dxa"/>
            <w:vAlign w:val="bottom"/>
            <w:tcBorders>
              <w:right w:val="single" w:sz="8" w:color="F0FFFF"/>
            </w:tcBorders>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4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120" w:type="dxa"/>
            <w:vAlign w:val="bottom"/>
            <w:tcBorders>
              <w:right w:val="single" w:sz="8" w:color="F0FFFF"/>
            </w:tcBorders>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2,228</w:t>
            </w:r>
          </w:p>
        </w:tc>
        <w:tc>
          <w:tcPr>
            <w:tcW w:w="140" w:type="dxa"/>
            <w:vAlign w:val="bottom"/>
            <w:shd w:val="clear" w:color="auto" w:fill="F0FFFF"/>
          </w:tcPr>
          <w:p>
            <w:pPr>
              <w:spacing w:after="0"/>
              <w:rPr>
                <w:sz w:val="14"/>
                <w:szCs w:val="14"/>
                <w:color w:val="auto"/>
              </w:rPr>
            </w:pPr>
          </w:p>
        </w:tc>
        <w:tc>
          <w:tcPr>
            <w:tcW w:w="1100" w:type="dxa"/>
            <w:vAlign w:val="bottom"/>
            <w:shd w:val="clear" w:color="auto" w:fill="F0FFFF"/>
          </w:tcPr>
          <w:p>
            <w:pPr>
              <w:spacing w:after="0"/>
              <w:rPr>
                <w:sz w:val="14"/>
                <w:szCs w:val="14"/>
                <w:color w:val="auto"/>
              </w:rPr>
            </w:pPr>
          </w:p>
        </w:tc>
        <w:tc>
          <w:tcPr>
            <w:tcW w:w="120" w:type="dxa"/>
            <w:vAlign w:val="bottom"/>
            <w:tcBorders>
              <w:right w:val="single" w:sz="8" w:color="F0FFFF"/>
            </w:tcBorders>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220" w:type="dxa"/>
            <w:vAlign w:val="bottom"/>
            <w:shd w:val="clear" w:color="auto" w:fill="F0FFFF"/>
          </w:tcPr>
          <w:p>
            <w:pPr>
              <w:spacing w:after="0"/>
              <w:rPr>
                <w:sz w:val="14"/>
                <w:szCs w:val="14"/>
                <w:color w:val="auto"/>
              </w:rPr>
            </w:pPr>
          </w:p>
        </w:tc>
        <w:tc>
          <w:tcPr>
            <w:tcW w:w="100" w:type="dxa"/>
            <w:vAlign w:val="bottom"/>
            <w:tcBorders>
              <w:right w:val="single" w:sz="8" w:color="F0FFFF"/>
            </w:tcBorders>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7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2,228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gridSpan w:val="2"/>
          </w:tcPr>
          <w:p>
            <w:pPr>
              <w:spacing w:after="0" w:line="130" w:lineRule="exact"/>
              <w:rPr>
                <w:sz w:val="20"/>
                <w:szCs w:val="20"/>
                <w:color w:val="auto"/>
              </w:rPr>
            </w:pPr>
            <w:r>
              <w:rPr>
                <w:rFonts w:ascii="Arial" w:cs="Arial" w:eastAsia="Arial" w:hAnsi="Arial"/>
                <w:sz w:val="14"/>
                <w:szCs w:val="14"/>
                <w:color w:val="auto"/>
              </w:rPr>
              <w:t>Vesting of restricted</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stock, net of</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8"/>
              </w:rPr>
              <w:t>shares surrendered</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to cover payroll</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taxes (40,751</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shares issued,</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72,797 shares</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color w:val="auto"/>
              </w:rPr>
              <w:t>deferred)</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749</w:t>
            </w:r>
          </w:p>
        </w:tc>
        <w:tc>
          <w:tcPr>
            <w:tcW w:w="16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(1,140)</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gridSpan w:val="2"/>
            <w:shd w:val="clear" w:color="auto" w:fill="F0FFFF"/>
          </w:tcPr>
          <w:p>
            <w:pPr>
              <w:spacing w:after="0" w:line="130" w:lineRule="exact"/>
              <w:rPr>
                <w:sz w:val="20"/>
                <w:szCs w:val="20"/>
                <w:color w:val="auto"/>
              </w:rPr>
            </w:pPr>
            <w:r>
              <w:rPr>
                <w:rFonts w:ascii="Arial" w:cs="Arial" w:eastAsia="Arial" w:hAnsi="Arial"/>
                <w:sz w:val="14"/>
                <w:szCs w:val="14"/>
                <w:color w:val="auto"/>
              </w:rPr>
              <w:t>Deferred</w:t>
            </w:r>
          </w:p>
        </w:tc>
        <w:tc>
          <w:tcPr>
            <w:tcW w:w="16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10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20" w:type="dxa"/>
            <w:vAlign w:val="bottom"/>
            <w:shd w:val="clear" w:color="auto" w:fill="F0FFFF"/>
          </w:tcPr>
          <w:p>
            <w:pPr>
              <w:spacing w:after="0"/>
              <w:rPr>
                <w:sz w:val="11"/>
                <w:szCs w:val="11"/>
                <w:color w:val="auto"/>
              </w:rPr>
            </w:pPr>
          </w:p>
        </w:tc>
        <w:tc>
          <w:tcPr>
            <w:tcW w:w="100" w:type="dxa"/>
            <w:vAlign w:val="bottom"/>
            <w:tcBorders>
              <w:right w:val="single" w:sz="8" w:color="F0FFFF"/>
            </w:tcBorders>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shd w:val="clear" w:color="auto" w:fill="F0FFFF"/>
          </w:tcPr>
          <w:p>
            <w:pPr>
              <w:ind w:left="140"/>
              <w:spacing w:after="0" w:line="149" w:lineRule="exact"/>
              <w:rPr>
                <w:sz w:val="20"/>
                <w:szCs w:val="20"/>
                <w:color w:val="auto"/>
              </w:rPr>
            </w:pPr>
            <w:r>
              <w:rPr>
                <w:rFonts w:ascii="Arial" w:cs="Arial" w:eastAsia="Arial" w:hAnsi="Arial"/>
                <w:sz w:val="14"/>
                <w:szCs w:val="14"/>
                <w:color w:val="auto"/>
              </w:rPr>
              <w:t>compensation</w:t>
            </w:r>
          </w:p>
        </w:tc>
        <w:tc>
          <w:tcPr>
            <w:tcW w:w="16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20" w:type="dxa"/>
            <w:vAlign w:val="bottom"/>
            <w:shd w:val="clear" w:color="auto" w:fill="F0FFFF"/>
          </w:tcPr>
          <w:p>
            <w:pPr>
              <w:spacing w:after="0"/>
              <w:rPr>
                <w:sz w:val="12"/>
                <w:szCs w:val="12"/>
                <w:color w:val="auto"/>
              </w:rPr>
            </w:pPr>
          </w:p>
        </w:tc>
        <w:tc>
          <w:tcPr>
            <w:tcW w:w="10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shd w:val="clear" w:color="auto" w:fill="F0FFFF"/>
          </w:tcPr>
          <w:p>
            <w:pPr>
              <w:ind w:left="140"/>
              <w:spacing w:after="0" w:line="149" w:lineRule="exact"/>
              <w:rPr>
                <w:sz w:val="20"/>
                <w:szCs w:val="20"/>
                <w:color w:val="auto"/>
              </w:rPr>
            </w:pPr>
            <w:r>
              <w:rPr>
                <w:rFonts w:ascii="Arial" w:cs="Arial" w:eastAsia="Arial" w:hAnsi="Arial"/>
                <w:sz w:val="14"/>
                <w:szCs w:val="14"/>
                <w:color w:val="auto"/>
              </w:rPr>
              <w:t>plan, net,</w:t>
            </w:r>
          </w:p>
        </w:tc>
        <w:tc>
          <w:tcPr>
            <w:tcW w:w="16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20" w:type="dxa"/>
            <w:vAlign w:val="bottom"/>
            <w:shd w:val="clear" w:color="auto" w:fill="F0FFFF"/>
          </w:tcPr>
          <w:p>
            <w:pPr>
              <w:spacing w:after="0"/>
              <w:rPr>
                <w:sz w:val="12"/>
                <w:szCs w:val="12"/>
                <w:color w:val="auto"/>
              </w:rPr>
            </w:pPr>
          </w:p>
        </w:tc>
        <w:tc>
          <w:tcPr>
            <w:tcW w:w="10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shd w:val="clear" w:color="auto" w:fill="F0FFFF"/>
          </w:tcPr>
          <w:p>
            <w:pPr>
              <w:ind w:left="140"/>
              <w:spacing w:after="0" w:line="149" w:lineRule="exact"/>
              <w:rPr>
                <w:sz w:val="20"/>
                <w:szCs w:val="20"/>
                <w:color w:val="auto"/>
              </w:rPr>
            </w:pPr>
            <w:r>
              <w:rPr>
                <w:rFonts w:ascii="Arial" w:cs="Arial" w:eastAsia="Arial" w:hAnsi="Arial"/>
                <w:sz w:val="14"/>
                <w:szCs w:val="14"/>
                <w:color w:val="auto"/>
              </w:rPr>
              <w:t>including dividend</w:t>
            </w:r>
          </w:p>
        </w:tc>
        <w:tc>
          <w:tcPr>
            <w:tcW w:w="16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20" w:type="dxa"/>
            <w:vAlign w:val="bottom"/>
            <w:shd w:val="clear" w:color="auto" w:fill="F0FFFF"/>
          </w:tcPr>
          <w:p>
            <w:pPr>
              <w:spacing w:after="0"/>
              <w:rPr>
                <w:sz w:val="12"/>
                <w:szCs w:val="12"/>
                <w:color w:val="auto"/>
              </w:rPr>
            </w:pPr>
          </w:p>
        </w:tc>
        <w:tc>
          <w:tcPr>
            <w:tcW w:w="10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2"/>
            <w:shd w:val="clear" w:color="auto" w:fill="F0FFFF"/>
          </w:tcPr>
          <w:p>
            <w:pPr>
              <w:ind w:left="140"/>
              <w:spacing w:after="0"/>
              <w:rPr>
                <w:sz w:val="20"/>
                <w:szCs w:val="20"/>
                <w:color w:val="auto"/>
              </w:rPr>
            </w:pPr>
            <w:r>
              <w:rPr>
                <w:rFonts w:ascii="Arial" w:cs="Arial" w:eastAsia="Arial" w:hAnsi="Arial"/>
                <w:sz w:val="14"/>
                <w:szCs w:val="14"/>
                <w:color w:val="auto"/>
              </w:rPr>
              <w:t>equivalents</w:t>
            </w:r>
          </w:p>
        </w:tc>
        <w:tc>
          <w:tcPr>
            <w:tcW w:w="160" w:type="dxa"/>
            <w:vAlign w:val="bottom"/>
            <w:shd w:val="clear" w:color="auto" w:fill="F0FFFF"/>
          </w:tcPr>
          <w:p>
            <w:pPr>
              <w:spacing w:after="0"/>
              <w:rPr>
                <w:sz w:val="14"/>
                <w:szCs w:val="14"/>
                <w:color w:val="auto"/>
              </w:rPr>
            </w:pPr>
          </w:p>
        </w:tc>
        <w:tc>
          <w:tcPr>
            <w:tcW w:w="660" w:type="dxa"/>
            <w:vAlign w:val="bottom"/>
            <w:shd w:val="clear" w:color="auto" w:fill="F0FFFF"/>
          </w:tcPr>
          <w:p>
            <w:pPr>
              <w:spacing w:after="0"/>
              <w:rPr>
                <w:sz w:val="14"/>
                <w:szCs w:val="14"/>
                <w:color w:val="auto"/>
              </w:rPr>
            </w:pPr>
          </w:p>
        </w:tc>
        <w:tc>
          <w:tcPr>
            <w:tcW w:w="120" w:type="dxa"/>
            <w:vAlign w:val="bottom"/>
            <w:tcBorders>
              <w:right w:val="single" w:sz="8" w:color="F0FFFF"/>
            </w:tcBorders>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120" w:type="dxa"/>
            <w:vAlign w:val="bottom"/>
            <w:tcBorders>
              <w:right w:val="single" w:sz="8" w:color="F0FFFF"/>
            </w:tcBorders>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4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120" w:type="dxa"/>
            <w:vAlign w:val="bottom"/>
            <w:tcBorders>
              <w:right w:val="single" w:sz="8" w:color="F0FFFF"/>
            </w:tcBorders>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119</w:t>
            </w:r>
          </w:p>
        </w:tc>
        <w:tc>
          <w:tcPr>
            <w:tcW w:w="160" w:type="dxa"/>
            <w:vAlign w:val="bottom"/>
            <w:shd w:val="clear" w:color="auto" w:fill="F0FFFF"/>
          </w:tcPr>
          <w:p>
            <w:pPr>
              <w:spacing w:after="0"/>
              <w:rPr>
                <w:sz w:val="14"/>
                <w:szCs w:val="14"/>
                <w:color w:val="auto"/>
              </w:rPr>
            </w:pPr>
          </w:p>
        </w:tc>
        <w:tc>
          <w:tcPr>
            <w:tcW w:w="86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1100" w:type="dxa"/>
            <w:vAlign w:val="bottom"/>
            <w:shd w:val="clear" w:color="auto" w:fill="F0FFFF"/>
          </w:tcPr>
          <w:p>
            <w:pPr>
              <w:spacing w:after="0"/>
              <w:rPr>
                <w:sz w:val="14"/>
                <w:szCs w:val="14"/>
                <w:color w:val="auto"/>
              </w:rPr>
            </w:pPr>
          </w:p>
        </w:tc>
        <w:tc>
          <w:tcPr>
            <w:tcW w:w="120" w:type="dxa"/>
            <w:vAlign w:val="bottom"/>
            <w:tcBorders>
              <w:right w:val="single" w:sz="8" w:color="F0FFFF"/>
            </w:tcBorders>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220" w:type="dxa"/>
            <w:vAlign w:val="bottom"/>
            <w:shd w:val="clear" w:color="auto" w:fill="F0FFFF"/>
          </w:tcPr>
          <w:p>
            <w:pPr>
              <w:spacing w:after="0"/>
              <w:rPr>
                <w:sz w:val="14"/>
                <w:szCs w:val="14"/>
                <w:color w:val="auto"/>
              </w:rPr>
            </w:pPr>
          </w:p>
        </w:tc>
        <w:tc>
          <w:tcPr>
            <w:tcW w:w="100" w:type="dxa"/>
            <w:vAlign w:val="bottom"/>
            <w:tcBorders>
              <w:right w:val="single" w:sz="8" w:color="F0FFFF"/>
            </w:tcBorders>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7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gridSpan w:val="2"/>
          </w:tcPr>
          <w:p>
            <w:pPr>
              <w:spacing w:after="0" w:line="130" w:lineRule="exact"/>
              <w:rPr>
                <w:sz w:val="20"/>
                <w:szCs w:val="20"/>
                <w:color w:val="auto"/>
              </w:rPr>
            </w:pPr>
            <w:r>
              <w:rPr>
                <w:rFonts w:ascii="Arial" w:cs="Arial" w:eastAsia="Arial" w:hAnsi="Arial"/>
                <w:sz w:val="14"/>
                <w:szCs w:val="14"/>
                <w:color w:val="auto"/>
              </w:rPr>
              <w:t>Shares issued from</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deferred</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compensation plan</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color w:val="auto"/>
              </w:rPr>
              <w:t>(7,481 shares)</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(149)</w:t>
            </w:r>
          </w:p>
        </w:tc>
        <w:tc>
          <w:tcPr>
            <w:tcW w:w="16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141</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gridSpan w:val="2"/>
            <w:shd w:val="clear" w:color="auto" w:fill="F0FFFF"/>
          </w:tcPr>
          <w:p>
            <w:pPr>
              <w:spacing w:after="0" w:line="130" w:lineRule="exact"/>
              <w:rPr>
                <w:sz w:val="20"/>
                <w:szCs w:val="20"/>
                <w:color w:val="auto"/>
              </w:rPr>
            </w:pPr>
            <w:r>
              <w:rPr>
                <w:rFonts w:ascii="Arial" w:cs="Arial" w:eastAsia="Arial" w:hAnsi="Arial"/>
                <w:sz w:val="14"/>
                <w:szCs w:val="14"/>
                <w:color w:val="auto"/>
              </w:rPr>
              <w:t>Common stock</w:t>
            </w:r>
          </w:p>
        </w:tc>
        <w:tc>
          <w:tcPr>
            <w:tcW w:w="16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10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20" w:type="dxa"/>
            <w:vAlign w:val="bottom"/>
            <w:shd w:val="clear" w:color="auto" w:fill="F0FFFF"/>
          </w:tcPr>
          <w:p>
            <w:pPr>
              <w:spacing w:after="0"/>
              <w:rPr>
                <w:sz w:val="11"/>
                <w:szCs w:val="11"/>
                <w:color w:val="auto"/>
              </w:rPr>
            </w:pPr>
          </w:p>
        </w:tc>
        <w:tc>
          <w:tcPr>
            <w:tcW w:w="100" w:type="dxa"/>
            <w:vAlign w:val="bottom"/>
            <w:tcBorders>
              <w:right w:val="single" w:sz="8" w:color="F0FFFF"/>
            </w:tcBorders>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shd w:val="clear" w:color="auto" w:fill="F0FFFF"/>
          </w:tcPr>
          <w:p>
            <w:pPr>
              <w:ind w:left="140"/>
              <w:spacing w:after="0" w:line="149" w:lineRule="exact"/>
              <w:rPr>
                <w:sz w:val="20"/>
                <w:szCs w:val="20"/>
                <w:color w:val="auto"/>
              </w:rPr>
            </w:pPr>
            <w:r>
              <w:rPr>
                <w:rFonts w:ascii="Arial" w:cs="Arial" w:eastAsia="Arial" w:hAnsi="Arial"/>
                <w:sz w:val="14"/>
                <w:szCs w:val="14"/>
                <w:color w:val="auto"/>
              </w:rPr>
              <w:t>dividends ($.03</w:t>
            </w:r>
          </w:p>
        </w:tc>
        <w:tc>
          <w:tcPr>
            <w:tcW w:w="16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20" w:type="dxa"/>
            <w:vAlign w:val="bottom"/>
            <w:shd w:val="clear" w:color="auto" w:fill="F0FFFF"/>
          </w:tcPr>
          <w:p>
            <w:pPr>
              <w:spacing w:after="0"/>
              <w:rPr>
                <w:sz w:val="12"/>
                <w:szCs w:val="12"/>
                <w:color w:val="auto"/>
              </w:rPr>
            </w:pPr>
          </w:p>
        </w:tc>
        <w:tc>
          <w:tcPr>
            <w:tcW w:w="10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2"/>
            <w:shd w:val="clear" w:color="auto" w:fill="F0FFFF"/>
          </w:tcPr>
          <w:p>
            <w:pPr>
              <w:ind w:left="140"/>
              <w:spacing w:after="0"/>
              <w:rPr>
                <w:sz w:val="20"/>
                <w:szCs w:val="20"/>
                <w:color w:val="auto"/>
              </w:rPr>
            </w:pPr>
            <w:r>
              <w:rPr>
                <w:rFonts w:ascii="Arial" w:cs="Arial" w:eastAsia="Arial" w:hAnsi="Arial"/>
                <w:sz w:val="14"/>
                <w:szCs w:val="14"/>
                <w:color w:val="auto"/>
              </w:rPr>
              <w:t>per share)</w:t>
            </w:r>
          </w:p>
        </w:tc>
        <w:tc>
          <w:tcPr>
            <w:tcW w:w="160" w:type="dxa"/>
            <w:vAlign w:val="bottom"/>
            <w:shd w:val="clear" w:color="auto" w:fill="F0FFFF"/>
          </w:tcPr>
          <w:p>
            <w:pPr>
              <w:spacing w:after="0"/>
              <w:rPr>
                <w:sz w:val="14"/>
                <w:szCs w:val="14"/>
                <w:color w:val="auto"/>
              </w:rPr>
            </w:pPr>
          </w:p>
        </w:tc>
        <w:tc>
          <w:tcPr>
            <w:tcW w:w="660" w:type="dxa"/>
            <w:vAlign w:val="bottom"/>
            <w:shd w:val="clear" w:color="auto" w:fill="F0FFFF"/>
          </w:tcPr>
          <w:p>
            <w:pPr>
              <w:spacing w:after="0"/>
              <w:rPr>
                <w:sz w:val="14"/>
                <w:szCs w:val="14"/>
                <w:color w:val="auto"/>
              </w:rPr>
            </w:pPr>
          </w:p>
        </w:tc>
        <w:tc>
          <w:tcPr>
            <w:tcW w:w="120" w:type="dxa"/>
            <w:vAlign w:val="bottom"/>
            <w:tcBorders>
              <w:right w:val="single" w:sz="8" w:color="F0FFFF"/>
            </w:tcBorders>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120" w:type="dxa"/>
            <w:vAlign w:val="bottom"/>
            <w:tcBorders>
              <w:right w:val="single" w:sz="8" w:color="F0FFFF"/>
            </w:tcBorders>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4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120" w:type="dxa"/>
            <w:vAlign w:val="bottom"/>
            <w:tcBorders>
              <w:right w:val="single" w:sz="8" w:color="F0FFFF"/>
            </w:tcBorders>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86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1220" w:type="dxa"/>
            <w:vAlign w:val="bottom"/>
            <w:tcBorders>
              <w:right w:val="single" w:sz="8" w:color="F0FFFF"/>
            </w:tcBorders>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(1,810)</w:t>
            </w:r>
          </w:p>
        </w:tc>
        <w:tc>
          <w:tcPr>
            <w:tcW w:w="120" w:type="dxa"/>
            <w:vAlign w:val="bottom"/>
            <w:shd w:val="clear" w:color="auto" w:fill="F0FFFF"/>
          </w:tcPr>
          <w:p>
            <w:pPr>
              <w:spacing w:after="0"/>
              <w:rPr>
                <w:sz w:val="14"/>
                <w:szCs w:val="14"/>
                <w:color w:val="auto"/>
              </w:rPr>
            </w:pPr>
          </w:p>
        </w:tc>
        <w:tc>
          <w:tcPr>
            <w:tcW w:w="1220" w:type="dxa"/>
            <w:vAlign w:val="bottom"/>
            <w:shd w:val="clear" w:color="auto" w:fill="F0FFFF"/>
          </w:tcPr>
          <w:p>
            <w:pPr>
              <w:spacing w:after="0"/>
              <w:rPr>
                <w:sz w:val="14"/>
                <w:szCs w:val="14"/>
                <w:color w:val="auto"/>
              </w:rPr>
            </w:pPr>
          </w:p>
        </w:tc>
        <w:tc>
          <w:tcPr>
            <w:tcW w:w="100" w:type="dxa"/>
            <w:vAlign w:val="bottom"/>
            <w:tcBorders>
              <w:right w:val="single" w:sz="8" w:color="F0FFFF"/>
            </w:tcBorders>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74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(1,810)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gridSpan w:val="2"/>
          </w:tcPr>
          <w:p>
            <w:pPr>
              <w:spacing w:after="0" w:line="130" w:lineRule="exact"/>
              <w:rPr>
                <w:sz w:val="20"/>
                <w:szCs w:val="20"/>
                <w:color w:val="auto"/>
              </w:rPr>
            </w:pPr>
            <w:r>
              <w:rPr>
                <w:rFonts w:ascii="Arial" w:cs="Arial" w:eastAsia="Arial" w:hAnsi="Arial"/>
                <w:sz w:val="14"/>
                <w:szCs w:val="14"/>
                <w:color w:val="auto"/>
              </w:rPr>
              <w:t>Preferred stock</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color w:val="auto"/>
              </w:rPr>
              <w:t>dividends:</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Series B</w:t>
            </w:r>
          </w:p>
        </w:tc>
        <w:tc>
          <w:tcPr>
            <w:tcW w:w="16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220" w:type="dxa"/>
            <w:vAlign w:val="bottom"/>
            <w:tcBorders>
              <w:right w:val="single" w:sz="8" w:color="F0FFFF"/>
            </w:tcBorders>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auto"/>
              </w:rPr>
              <w:t>(159)</w:t>
            </w:r>
          </w:p>
        </w:tc>
        <w:tc>
          <w:tcPr>
            <w:tcW w:w="120" w:type="dxa"/>
            <w:vAlign w:val="bottom"/>
            <w:shd w:val="clear" w:color="auto" w:fill="F0FFFF"/>
          </w:tcPr>
          <w:p>
            <w:pPr>
              <w:spacing w:after="0"/>
              <w:rPr>
                <w:sz w:val="12"/>
                <w:szCs w:val="12"/>
                <w:color w:val="auto"/>
              </w:rPr>
            </w:pPr>
          </w:p>
        </w:tc>
        <w:tc>
          <w:tcPr>
            <w:tcW w:w="1220" w:type="dxa"/>
            <w:vAlign w:val="bottom"/>
            <w:shd w:val="clear" w:color="auto" w:fill="F0FFFF"/>
          </w:tcPr>
          <w:p>
            <w:pPr>
              <w:spacing w:after="0"/>
              <w:rPr>
                <w:sz w:val="12"/>
                <w:szCs w:val="12"/>
                <w:color w:val="auto"/>
              </w:rPr>
            </w:pPr>
          </w:p>
        </w:tc>
        <w:tc>
          <w:tcPr>
            <w:tcW w:w="10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62"/>
        </w:trPr>
        <w:tc>
          <w:tcPr>
            <w:tcW w:w="1380" w:type="dxa"/>
            <w:vAlign w:val="bottom"/>
            <w:gridSpan w:val="3"/>
          </w:tcPr>
          <w:p>
            <w:pPr>
              <w:spacing w:after="0"/>
              <w:rPr>
                <w:sz w:val="20"/>
                <w:szCs w:val="20"/>
                <w:color w:val="auto"/>
              </w:rPr>
            </w:pPr>
            <w:r>
              <w:rPr>
                <w:rFonts w:ascii="Arial" w:cs="Arial" w:eastAsia="Arial" w:hAnsi="Arial"/>
                <w:sz w:val="14"/>
                <w:szCs w:val="14"/>
                <w:color w:val="auto"/>
              </w:rPr>
              <w:t>Series D</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gridSpan w:val="2"/>
            <w:vMerge w:val="restart"/>
            <w:shd w:val="clear" w:color="auto" w:fill="F0FFFF"/>
          </w:tcPr>
          <w:p>
            <w:pPr>
              <w:spacing w:after="0" w:line="139" w:lineRule="exact"/>
              <w:rPr>
                <w:sz w:val="20"/>
                <w:szCs w:val="20"/>
                <w:color w:val="auto"/>
              </w:rPr>
            </w:pPr>
            <w:r>
              <w:rPr>
                <w:rFonts w:ascii="Arial" w:cs="Arial" w:eastAsia="Arial" w:hAnsi="Arial"/>
                <w:sz w:val="14"/>
                <w:szCs w:val="14"/>
                <w:b w:val="1"/>
                <w:bCs w:val="1"/>
                <w:color w:val="auto"/>
              </w:rPr>
              <w:t>Balance, June 30,</w:t>
            </w: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Borders>
              <w:right w:val="single" w:sz="8" w:color="F0FFFF"/>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Borders>
              <w:right w:val="single" w:sz="8" w:color="F0FFFF"/>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Borders>
              <w:right w:val="single" w:sz="8" w:color="F0FFFF"/>
            </w:tcBorders>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1360" w:type="dxa"/>
            <w:vAlign w:val="bottom"/>
            <w:gridSpan w:val="2"/>
            <w:vMerge w:val="continue"/>
            <w:shd w:val="clear" w:color="auto" w:fill="F0FFFF"/>
          </w:tcPr>
          <w:p>
            <w:pPr>
              <w:spacing w:after="0"/>
              <w:rPr>
                <w:sz w:val="9"/>
                <w:szCs w:val="9"/>
                <w:color w:val="auto"/>
              </w:rPr>
            </w:pPr>
          </w:p>
        </w:tc>
        <w:tc>
          <w:tcPr>
            <w:tcW w:w="160" w:type="dxa"/>
            <w:vAlign w:val="bottom"/>
            <w:vMerge w:val="restart"/>
            <w:shd w:val="clear" w:color="auto" w:fill="F0FF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F0FFFF"/>
            </w:tcBorders>
            <w:vMerge w:val="restart"/>
            <w:shd w:val="clear" w:color="auto" w:fill="F0FFFF"/>
          </w:tcPr>
          <w:p>
            <w:pPr>
              <w:spacing w:after="0"/>
              <w:rPr>
                <w:sz w:val="9"/>
                <w:szCs w:val="9"/>
                <w:color w:val="auto"/>
              </w:rPr>
            </w:pPr>
          </w:p>
        </w:tc>
        <w:tc>
          <w:tcPr>
            <w:tcW w:w="120" w:type="dxa"/>
            <w:vAlign w:val="bottom"/>
            <w:vMerge w:val="restart"/>
            <w:shd w:val="clear" w:color="auto" w:fill="F0FFFF"/>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F0FFFF"/>
            </w:tcBorders>
            <w:gridSpan w:val="2"/>
            <w:vMerge w:val="restart"/>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vMerge w:val="restart"/>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vMerge w:val="restart"/>
            <w:shd w:val="clear" w:color="auto" w:fill="F0FFFF"/>
          </w:tcPr>
          <w:p>
            <w:pPr>
              <w:jc w:val="right"/>
              <w:ind w:right="120"/>
              <w:spacing w:after="0"/>
              <w:rPr>
                <w:sz w:val="20"/>
                <w:szCs w:val="20"/>
                <w:color w:val="auto"/>
              </w:rPr>
            </w:pPr>
            <w:r>
              <w:rPr>
                <w:rFonts w:ascii="Arial" w:cs="Arial" w:eastAsia="Arial" w:hAnsi="Arial"/>
                <w:sz w:val="14"/>
                <w:szCs w:val="14"/>
                <w:color w:val="auto"/>
              </w:rPr>
              <w:t>50,058</w:t>
            </w:r>
          </w:p>
        </w:tc>
        <w:tc>
          <w:tcPr>
            <w:tcW w:w="100" w:type="dxa"/>
            <w:vAlign w:val="bottom"/>
            <w:vMerge w:val="restart"/>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right w:val="single" w:sz="8" w:color="F0FFFF"/>
            </w:tcBorders>
            <w:gridSpan w:val="2"/>
            <w:vMerge w:val="restart"/>
            <w:shd w:val="clear" w:color="auto" w:fill="F0FFFF"/>
          </w:tcPr>
          <w:p>
            <w:pPr>
              <w:jc w:val="right"/>
              <w:ind w:right="120"/>
              <w:spacing w:after="0"/>
              <w:rPr>
                <w:sz w:val="20"/>
                <w:szCs w:val="20"/>
                <w:color w:val="auto"/>
              </w:rPr>
            </w:pPr>
            <w:r>
              <w:rPr>
                <w:rFonts w:ascii="Arial" w:cs="Arial" w:eastAsia="Arial" w:hAnsi="Arial"/>
                <w:sz w:val="14"/>
                <w:szCs w:val="14"/>
                <w:color w:val="auto"/>
              </w:rPr>
              <w:t>10,081</w:t>
            </w:r>
          </w:p>
        </w:tc>
        <w:tc>
          <w:tcPr>
            <w:tcW w:w="100" w:type="dxa"/>
            <w:vAlign w:val="bottom"/>
            <w:vMerge w:val="restart"/>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vMerge w:val="restart"/>
            <w:shd w:val="clear" w:color="auto" w:fill="F0FFFF"/>
          </w:tcPr>
          <w:p>
            <w:pPr>
              <w:jc w:val="right"/>
              <w:ind w:right="100"/>
              <w:spacing w:after="0"/>
              <w:rPr>
                <w:sz w:val="20"/>
                <w:szCs w:val="20"/>
                <w:color w:val="auto"/>
              </w:rPr>
            </w:pPr>
            <w:r>
              <w:rPr>
                <w:rFonts w:ascii="Arial" w:cs="Arial" w:eastAsia="Arial" w:hAnsi="Arial"/>
                <w:sz w:val="14"/>
                <w:szCs w:val="14"/>
                <w:color w:val="auto"/>
              </w:rPr>
              <w:t>4,649</w:t>
            </w:r>
          </w:p>
        </w:tc>
        <w:tc>
          <w:tcPr>
            <w:tcW w:w="160" w:type="dxa"/>
            <w:vAlign w:val="bottom"/>
            <w:vMerge w:val="restart"/>
            <w:shd w:val="clear" w:color="auto" w:fill="F0FFFF"/>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gridSpan w:val="2"/>
            <w:vMerge w:val="restart"/>
            <w:shd w:val="clear" w:color="auto" w:fill="F0FFFF"/>
          </w:tcPr>
          <w:p>
            <w:pPr>
              <w:jc w:val="right"/>
              <w:ind w:right="100"/>
              <w:spacing w:after="0"/>
              <w:rPr>
                <w:sz w:val="20"/>
                <w:szCs w:val="20"/>
                <w:color w:val="auto"/>
              </w:rPr>
            </w:pPr>
            <w:r>
              <w:rPr>
                <w:rFonts w:ascii="Arial" w:cs="Arial" w:eastAsia="Arial" w:hAnsi="Arial"/>
                <w:sz w:val="14"/>
                <w:szCs w:val="14"/>
                <w:color w:val="auto"/>
              </w:rPr>
              <w:t>1,091,780</w:t>
            </w:r>
          </w:p>
        </w:tc>
        <w:tc>
          <w:tcPr>
            <w:tcW w:w="140" w:type="dxa"/>
            <w:vAlign w:val="bottom"/>
            <w:vMerge w:val="restart"/>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right w:val="single" w:sz="8" w:color="F0FFFF"/>
            </w:tcBorders>
            <w:gridSpan w:val="2"/>
            <w:vMerge w:val="restart"/>
            <w:shd w:val="clear" w:color="auto" w:fill="F0FFFF"/>
          </w:tcPr>
          <w:p>
            <w:pPr>
              <w:jc w:val="right"/>
              <w:ind w:right="60"/>
              <w:spacing w:after="0"/>
              <w:rPr>
                <w:sz w:val="20"/>
                <w:szCs w:val="20"/>
                <w:color w:val="auto"/>
              </w:rPr>
            </w:pPr>
            <w:r>
              <w:rPr>
                <w:rFonts w:ascii="Arial" w:cs="Arial" w:eastAsia="Arial" w:hAnsi="Arial"/>
                <w:sz w:val="14"/>
                <w:szCs w:val="14"/>
                <w:color w:val="auto"/>
              </w:rPr>
              <w:t>(418,583)</w:t>
            </w:r>
          </w:p>
        </w:tc>
        <w:tc>
          <w:tcPr>
            <w:tcW w:w="120" w:type="dxa"/>
            <w:vAlign w:val="bottom"/>
            <w:vMerge w:val="restart"/>
            <w:shd w:val="clear" w:color="auto" w:fill="F0FFFF"/>
          </w:tcPr>
          <w:p>
            <w:pPr>
              <w:jc w:val="right"/>
              <w:ind w:right="9"/>
              <w:spacing w:after="0"/>
              <w:rPr>
                <w:sz w:val="20"/>
                <w:szCs w:val="20"/>
                <w:color w:val="auto"/>
              </w:rPr>
            </w:pPr>
            <w:r>
              <w:rPr>
                <w:rFonts w:ascii="Arial" w:cs="Arial" w:eastAsia="Arial" w:hAnsi="Arial"/>
                <w:sz w:val="10"/>
                <w:szCs w:val="10"/>
                <w:color w:val="auto"/>
                <w:w w:val="71"/>
              </w:rPr>
              <w:t>$</w:t>
            </w:r>
          </w:p>
        </w:tc>
        <w:tc>
          <w:tcPr>
            <w:tcW w:w="1320" w:type="dxa"/>
            <w:vAlign w:val="bottom"/>
            <w:tcBorders>
              <w:right w:val="single" w:sz="8" w:color="F0FFFF"/>
            </w:tcBorders>
            <w:gridSpan w:val="2"/>
            <w:vMerge w:val="restart"/>
            <w:shd w:val="clear" w:color="auto" w:fill="F0FFFF"/>
          </w:tcPr>
          <w:p>
            <w:pPr>
              <w:jc w:val="right"/>
              <w:ind w:right="60"/>
              <w:spacing w:after="0"/>
              <w:rPr>
                <w:sz w:val="20"/>
                <w:szCs w:val="20"/>
                <w:color w:val="auto"/>
              </w:rPr>
            </w:pPr>
            <w:r>
              <w:rPr>
                <w:rFonts w:ascii="Arial" w:cs="Arial" w:eastAsia="Arial" w:hAnsi="Arial"/>
                <w:sz w:val="14"/>
                <w:szCs w:val="14"/>
                <w:color w:val="auto"/>
              </w:rPr>
              <w:t>(16,016)</w:t>
            </w:r>
          </w:p>
        </w:tc>
        <w:tc>
          <w:tcPr>
            <w:tcW w:w="160" w:type="dxa"/>
            <w:vAlign w:val="bottom"/>
            <w:vMerge w:val="restart"/>
            <w:shd w:val="clear" w:color="auto" w:fill="F0FFFF"/>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gridSpan w:val="2"/>
            <w:vMerge w:val="restart"/>
            <w:shd w:val="clear" w:color="auto" w:fill="F0FFFF"/>
          </w:tcPr>
          <w:p>
            <w:pPr>
              <w:jc w:val="right"/>
              <w:ind w:right="100"/>
              <w:spacing w:after="0"/>
              <w:rPr>
                <w:sz w:val="20"/>
                <w:szCs w:val="20"/>
                <w:color w:val="auto"/>
              </w:rPr>
            </w:pPr>
            <w:r>
              <w:rPr>
                <w:rFonts w:ascii="Arial" w:cs="Arial" w:eastAsia="Arial" w:hAnsi="Arial"/>
                <w:sz w:val="14"/>
                <w:szCs w:val="14"/>
                <w:color w:val="auto"/>
              </w:rPr>
              <w:t>721,969</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40" w:type="dxa"/>
            <w:vAlign w:val="bottom"/>
            <w:shd w:val="clear" w:color="auto" w:fill="F0FFFF"/>
          </w:tcPr>
          <w:p>
            <w:pPr>
              <w:ind w:left="140"/>
              <w:spacing w:after="0" w:line="125" w:lineRule="exact"/>
              <w:rPr>
                <w:sz w:val="20"/>
                <w:szCs w:val="20"/>
                <w:color w:val="auto"/>
              </w:rPr>
            </w:pPr>
            <w:r>
              <w:rPr>
                <w:rFonts w:ascii="Arial" w:cs="Arial" w:eastAsia="Arial" w:hAnsi="Arial"/>
                <w:sz w:val="14"/>
                <w:szCs w:val="14"/>
                <w:b w:val="1"/>
                <w:bCs w:val="1"/>
                <w:color w:val="auto"/>
              </w:rPr>
              <w:t>2014</w:t>
            </w:r>
          </w:p>
        </w:tc>
        <w:tc>
          <w:tcPr>
            <w:tcW w:w="120" w:type="dxa"/>
            <w:vAlign w:val="bottom"/>
            <w:shd w:val="clear" w:color="auto" w:fill="F0FFFF"/>
          </w:tcPr>
          <w:p>
            <w:pPr>
              <w:spacing w:after="0"/>
              <w:rPr>
                <w:sz w:val="14"/>
                <w:szCs w:val="14"/>
                <w:color w:val="auto"/>
              </w:rPr>
            </w:pPr>
          </w:p>
        </w:tc>
        <w:tc>
          <w:tcPr>
            <w:tcW w:w="160" w:type="dxa"/>
            <w:vAlign w:val="bottom"/>
            <w:vMerge w:val="continue"/>
            <w:shd w:val="clear" w:color="auto" w:fill="F0FFFF"/>
          </w:tcPr>
          <w:p>
            <w:pPr>
              <w:spacing w:after="0"/>
              <w:rPr>
                <w:sz w:val="14"/>
                <w:szCs w:val="14"/>
                <w:color w:val="auto"/>
              </w:rPr>
            </w:pPr>
          </w:p>
        </w:tc>
        <w:tc>
          <w:tcPr>
            <w:tcW w:w="660" w:type="dxa"/>
            <w:vAlign w:val="bottom"/>
            <w:vMerge w:val="continue"/>
            <w:shd w:val="clear" w:color="auto" w:fill="F0FFFF"/>
          </w:tcPr>
          <w:p>
            <w:pPr>
              <w:spacing w:after="0"/>
              <w:rPr>
                <w:sz w:val="14"/>
                <w:szCs w:val="14"/>
                <w:color w:val="auto"/>
              </w:rPr>
            </w:pPr>
          </w:p>
        </w:tc>
        <w:tc>
          <w:tcPr>
            <w:tcW w:w="120" w:type="dxa"/>
            <w:vAlign w:val="bottom"/>
            <w:tcBorders>
              <w:right w:val="single" w:sz="8" w:color="F0FFFF"/>
            </w:tcBorders>
            <w:vMerge w:val="continue"/>
            <w:shd w:val="clear" w:color="auto" w:fill="F0FFFF"/>
          </w:tcPr>
          <w:p>
            <w:pPr>
              <w:spacing w:after="0"/>
              <w:rPr>
                <w:sz w:val="14"/>
                <w:szCs w:val="14"/>
                <w:color w:val="auto"/>
              </w:rPr>
            </w:pPr>
          </w:p>
        </w:tc>
        <w:tc>
          <w:tcPr>
            <w:tcW w:w="120" w:type="dxa"/>
            <w:vAlign w:val="bottom"/>
            <w:vMerge w:val="continue"/>
            <w:shd w:val="clear" w:color="auto" w:fill="F0FFFF"/>
          </w:tcPr>
          <w:p>
            <w:pPr>
              <w:spacing w:after="0"/>
              <w:rPr>
                <w:sz w:val="14"/>
                <w:szCs w:val="14"/>
                <w:color w:val="auto"/>
              </w:rPr>
            </w:pPr>
          </w:p>
        </w:tc>
        <w:tc>
          <w:tcPr>
            <w:tcW w:w="700" w:type="dxa"/>
            <w:vAlign w:val="bottom"/>
            <w:tcBorders>
              <w:right w:val="single" w:sz="8" w:color="F0FFFF"/>
            </w:tcBorders>
            <w:gridSpan w:val="2"/>
            <w:vMerge w:val="continue"/>
            <w:shd w:val="clear" w:color="auto" w:fill="F0FFFF"/>
          </w:tcPr>
          <w:p>
            <w:pPr>
              <w:spacing w:after="0"/>
              <w:rPr>
                <w:sz w:val="14"/>
                <w:szCs w:val="14"/>
                <w:color w:val="auto"/>
              </w:rPr>
            </w:pPr>
          </w:p>
        </w:tc>
        <w:tc>
          <w:tcPr>
            <w:tcW w:w="100" w:type="dxa"/>
            <w:vAlign w:val="bottom"/>
            <w:vMerge w:val="continue"/>
            <w:shd w:val="clear" w:color="auto" w:fill="F0FFFF"/>
          </w:tcPr>
          <w:p>
            <w:pPr>
              <w:spacing w:after="0"/>
              <w:rPr>
                <w:sz w:val="14"/>
                <w:szCs w:val="14"/>
                <w:color w:val="auto"/>
              </w:rPr>
            </w:pPr>
          </w:p>
        </w:tc>
        <w:tc>
          <w:tcPr>
            <w:tcW w:w="600" w:type="dxa"/>
            <w:vAlign w:val="bottom"/>
            <w:gridSpan w:val="2"/>
            <w:vMerge w:val="continue"/>
            <w:shd w:val="clear" w:color="auto" w:fill="F0FFFF"/>
          </w:tcPr>
          <w:p>
            <w:pPr>
              <w:spacing w:after="0"/>
              <w:rPr>
                <w:sz w:val="14"/>
                <w:szCs w:val="14"/>
                <w:color w:val="auto"/>
              </w:rPr>
            </w:pPr>
          </w:p>
        </w:tc>
        <w:tc>
          <w:tcPr>
            <w:tcW w:w="100" w:type="dxa"/>
            <w:vAlign w:val="bottom"/>
            <w:vMerge w:val="continue"/>
            <w:shd w:val="clear" w:color="auto" w:fill="F0FFFF"/>
          </w:tcPr>
          <w:p>
            <w:pPr>
              <w:spacing w:after="0"/>
              <w:rPr>
                <w:sz w:val="14"/>
                <w:szCs w:val="14"/>
                <w:color w:val="auto"/>
              </w:rPr>
            </w:pPr>
          </w:p>
        </w:tc>
        <w:tc>
          <w:tcPr>
            <w:tcW w:w="840" w:type="dxa"/>
            <w:vAlign w:val="bottom"/>
            <w:gridSpan w:val="2"/>
            <w:vMerge w:val="continue"/>
            <w:shd w:val="clear" w:color="auto" w:fill="F0FFFF"/>
          </w:tcPr>
          <w:p>
            <w:pPr>
              <w:spacing w:after="0"/>
              <w:rPr>
                <w:sz w:val="14"/>
                <w:szCs w:val="14"/>
                <w:color w:val="auto"/>
              </w:rPr>
            </w:pPr>
          </w:p>
        </w:tc>
        <w:tc>
          <w:tcPr>
            <w:tcW w:w="100" w:type="dxa"/>
            <w:vAlign w:val="bottom"/>
            <w:vMerge w:val="continue"/>
            <w:shd w:val="clear" w:color="auto" w:fill="F0FFFF"/>
          </w:tcPr>
          <w:p>
            <w:pPr>
              <w:spacing w:after="0"/>
              <w:rPr>
                <w:sz w:val="14"/>
                <w:szCs w:val="14"/>
                <w:color w:val="auto"/>
              </w:rPr>
            </w:pPr>
          </w:p>
        </w:tc>
        <w:tc>
          <w:tcPr>
            <w:tcW w:w="820" w:type="dxa"/>
            <w:vAlign w:val="bottom"/>
            <w:tcBorders>
              <w:right w:val="single" w:sz="8" w:color="F0FFFF"/>
            </w:tcBorders>
            <w:gridSpan w:val="2"/>
            <w:vMerge w:val="continue"/>
            <w:shd w:val="clear" w:color="auto" w:fill="F0FFFF"/>
          </w:tcPr>
          <w:p>
            <w:pPr>
              <w:spacing w:after="0"/>
              <w:rPr>
                <w:sz w:val="14"/>
                <w:szCs w:val="14"/>
                <w:color w:val="auto"/>
              </w:rPr>
            </w:pPr>
          </w:p>
        </w:tc>
        <w:tc>
          <w:tcPr>
            <w:tcW w:w="100" w:type="dxa"/>
            <w:vAlign w:val="bottom"/>
            <w:vMerge w:val="continue"/>
            <w:shd w:val="clear" w:color="auto" w:fill="F0FFFF"/>
          </w:tcPr>
          <w:p>
            <w:pPr>
              <w:spacing w:after="0"/>
              <w:rPr>
                <w:sz w:val="14"/>
                <w:szCs w:val="14"/>
                <w:color w:val="auto"/>
              </w:rPr>
            </w:pPr>
          </w:p>
        </w:tc>
        <w:tc>
          <w:tcPr>
            <w:tcW w:w="800" w:type="dxa"/>
            <w:vAlign w:val="bottom"/>
            <w:gridSpan w:val="2"/>
            <w:vMerge w:val="continue"/>
            <w:shd w:val="clear" w:color="auto" w:fill="F0FFFF"/>
          </w:tcPr>
          <w:p>
            <w:pPr>
              <w:spacing w:after="0"/>
              <w:rPr>
                <w:sz w:val="14"/>
                <w:szCs w:val="14"/>
                <w:color w:val="auto"/>
              </w:rPr>
            </w:pPr>
          </w:p>
        </w:tc>
        <w:tc>
          <w:tcPr>
            <w:tcW w:w="160" w:type="dxa"/>
            <w:vAlign w:val="bottom"/>
            <w:vMerge w:val="continue"/>
            <w:shd w:val="clear" w:color="auto" w:fill="F0FFFF"/>
          </w:tcPr>
          <w:p>
            <w:pPr>
              <w:spacing w:after="0"/>
              <w:rPr>
                <w:sz w:val="14"/>
                <w:szCs w:val="14"/>
                <w:color w:val="auto"/>
              </w:rPr>
            </w:pPr>
          </w:p>
        </w:tc>
        <w:tc>
          <w:tcPr>
            <w:tcW w:w="960" w:type="dxa"/>
            <w:vAlign w:val="bottom"/>
            <w:gridSpan w:val="2"/>
            <w:vMerge w:val="continue"/>
            <w:shd w:val="clear" w:color="auto" w:fill="F0FFFF"/>
          </w:tcPr>
          <w:p>
            <w:pPr>
              <w:spacing w:after="0"/>
              <w:rPr>
                <w:sz w:val="14"/>
                <w:szCs w:val="14"/>
                <w:color w:val="auto"/>
              </w:rPr>
            </w:pPr>
          </w:p>
        </w:tc>
        <w:tc>
          <w:tcPr>
            <w:tcW w:w="140" w:type="dxa"/>
            <w:vAlign w:val="bottom"/>
            <w:vMerge w:val="continue"/>
            <w:shd w:val="clear" w:color="auto" w:fill="F0FFFF"/>
          </w:tcPr>
          <w:p>
            <w:pPr>
              <w:spacing w:after="0"/>
              <w:rPr>
                <w:sz w:val="14"/>
                <w:szCs w:val="14"/>
                <w:color w:val="auto"/>
              </w:rPr>
            </w:pPr>
          </w:p>
        </w:tc>
        <w:tc>
          <w:tcPr>
            <w:tcW w:w="1220" w:type="dxa"/>
            <w:vAlign w:val="bottom"/>
            <w:tcBorders>
              <w:right w:val="single" w:sz="8" w:color="F0FFFF"/>
            </w:tcBorders>
            <w:gridSpan w:val="2"/>
            <w:vMerge w:val="continue"/>
            <w:shd w:val="clear" w:color="auto" w:fill="F0FFFF"/>
          </w:tcPr>
          <w:p>
            <w:pPr>
              <w:spacing w:after="0"/>
              <w:rPr>
                <w:sz w:val="14"/>
                <w:szCs w:val="14"/>
                <w:color w:val="auto"/>
              </w:rPr>
            </w:pPr>
          </w:p>
        </w:tc>
        <w:tc>
          <w:tcPr>
            <w:tcW w:w="120" w:type="dxa"/>
            <w:vAlign w:val="bottom"/>
            <w:vMerge w:val="continue"/>
            <w:shd w:val="clear" w:color="auto" w:fill="F0FFFF"/>
          </w:tcPr>
          <w:p>
            <w:pPr>
              <w:spacing w:after="0"/>
              <w:rPr>
                <w:sz w:val="14"/>
                <w:szCs w:val="14"/>
                <w:color w:val="auto"/>
              </w:rPr>
            </w:pPr>
          </w:p>
        </w:tc>
        <w:tc>
          <w:tcPr>
            <w:tcW w:w="1320" w:type="dxa"/>
            <w:vAlign w:val="bottom"/>
            <w:tcBorders>
              <w:right w:val="single" w:sz="8" w:color="F0FFFF"/>
            </w:tcBorders>
            <w:gridSpan w:val="2"/>
            <w:vMerge w:val="continue"/>
            <w:shd w:val="clear" w:color="auto" w:fill="F0FFFF"/>
          </w:tcPr>
          <w:p>
            <w:pPr>
              <w:spacing w:after="0"/>
              <w:rPr>
                <w:sz w:val="14"/>
                <w:szCs w:val="14"/>
                <w:color w:val="auto"/>
              </w:rPr>
            </w:pPr>
          </w:p>
        </w:tc>
        <w:tc>
          <w:tcPr>
            <w:tcW w:w="160" w:type="dxa"/>
            <w:vAlign w:val="bottom"/>
            <w:vMerge w:val="continue"/>
            <w:shd w:val="clear" w:color="auto" w:fill="F0FFFF"/>
          </w:tcPr>
          <w:p>
            <w:pPr>
              <w:spacing w:after="0"/>
              <w:rPr>
                <w:sz w:val="14"/>
                <w:szCs w:val="14"/>
                <w:color w:val="auto"/>
              </w:rPr>
            </w:pPr>
          </w:p>
        </w:tc>
        <w:tc>
          <w:tcPr>
            <w:tcW w:w="740" w:type="dxa"/>
            <w:vAlign w:val="bottom"/>
            <w:gridSpan w:val="2"/>
            <w:vMerge w:val="continue"/>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top w:val="single" w:sz="8" w:color="F0FFFF"/>
              <w:bottom w:val="single" w:sz="8" w:color="F0FFFF"/>
            </w:tcBorders>
            <w:gridSpan w:val="2"/>
            <w:vMerge w:val="restart"/>
          </w:tcPr>
          <w:p>
            <w:pPr>
              <w:spacing w:after="0" w:line="113" w:lineRule="exact"/>
              <w:rPr>
                <w:sz w:val="20"/>
                <w:szCs w:val="20"/>
                <w:color w:val="auto"/>
              </w:rPr>
            </w:pPr>
            <w:r>
              <w:rPr>
                <w:rFonts w:ascii="Arial" w:cs="Arial" w:eastAsia="Arial" w:hAnsi="Arial"/>
                <w:sz w:val="13"/>
                <w:szCs w:val="13"/>
                <w:b w:val="1"/>
                <w:bCs w:val="1"/>
                <w:color w:val="auto"/>
              </w:rPr>
              <w:t>Balance, December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2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31, 2014</w:t>
            </w:r>
          </w:p>
        </w:tc>
        <w:tc>
          <w:tcPr>
            <w:tcW w:w="12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50,178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10,081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5,168</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1,080,508</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(387,568)</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(18,790)</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739,577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Net income</w:t>
            </w:r>
          </w:p>
        </w:tc>
        <w:tc>
          <w:tcPr>
            <w:tcW w:w="16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220" w:type="dxa"/>
            <w:vAlign w:val="bottom"/>
            <w:tcBorders>
              <w:right w:val="single" w:sz="8" w:color="F0FFFF"/>
            </w:tcBorders>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35,483</w:t>
            </w:r>
          </w:p>
        </w:tc>
        <w:tc>
          <w:tcPr>
            <w:tcW w:w="120" w:type="dxa"/>
            <w:vAlign w:val="bottom"/>
            <w:shd w:val="clear" w:color="auto" w:fill="F0FFFF"/>
          </w:tcPr>
          <w:p>
            <w:pPr>
              <w:spacing w:after="0"/>
              <w:rPr>
                <w:sz w:val="12"/>
                <w:szCs w:val="12"/>
                <w:color w:val="auto"/>
              </w:rPr>
            </w:pPr>
          </w:p>
        </w:tc>
        <w:tc>
          <w:tcPr>
            <w:tcW w:w="1220" w:type="dxa"/>
            <w:vAlign w:val="bottom"/>
            <w:shd w:val="clear" w:color="auto" w:fill="F0FFFF"/>
          </w:tcPr>
          <w:p>
            <w:pPr>
              <w:spacing w:after="0"/>
              <w:rPr>
                <w:sz w:val="12"/>
                <w:szCs w:val="12"/>
                <w:color w:val="auto"/>
              </w:rPr>
            </w:pPr>
          </w:p>
        </w:tc>
        <w:tc>
          <w:tcPr>
            <w:tcW w:w="10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35,483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gridSpan w:val="2"/>
          </w:tcPr>
          <w:p>
            <w:pPr>
              <w:spacing w:after="0" w:line="130" w:lineRule="exact"/>
              <w:rPr>
                <w:sz w:val="20"/>
                <w:szCs w:val="20"/>
                <w:color w:val="auto"/>
              </w:rPr>
            </w:pPr>
            <w:r>
              <w:rPr>
                <w:rFonts w:ascii="Arial" w:cs="Arial" w:eastAsia="Arial" w:hAnsi="Arial"/>
                <w:sz w:val="14"/>
                <w:szCs w:val="14"/>
                <w:color w:val="auto"/>
              </w:rPr>
              <w:t>Other comprehensive</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color w:val="auto"/>
              </w:rPr>
              <w:t>income</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4"/>
                <w:szCs w:val="14"/>
                <w:color w:val="auto"/>
              </w:rPr>
              <w:t>1,822</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1,822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gridSpan w:val="2"/>
            <w:shd w:val="clear" w:color="auto" w:fill="F0FFFF"/>
          </w:tcPr>
          <w:p>
            <w:pPr>
              <w:spacing w:after="0" w:line="130" w:lineRule="exact"/>
              <w:rPr>
                <w:sz w:val="20"/>
                <w:szCs w:val="20"/>
                <w:color w:val="auto"/>
              </w:rPr>
            </w:pPr>
            <w:r>
              <w:rPr>
                <w:rFonts w:ascii="Arial" w:cs="Arial" w:eastAsia="Arial" w:hAnsi="Arial"/>
                <w:sz w:val="14"/>
                <w:szCs w:val="14"/>
                <w:color w:val="auto"/>
              </w:rPr>
              <w:t>Common stock</w:t>
            </w:r>
          </w:p>
        </w:tc>
        <w:tc>
          <w:tcPr>
            <w:tcW w:w="16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10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20" w:type="dxa"/>
            <w:vAlign w:val="bottom"/>
            <w:shd w:val="clear" w:color="auto" w:fill="F0FFFF"/>
          </w:tcPr>
          <w:p>
            <w:pPr>
              <w:spacing w:after="0"/>
              <w:rPr>
                <w:sz w:val="11"/>
                <w:szCs w:val="11"/>
                <w:color w:val="auto"/>
              </w:rPr>
            </w:pPr>
          </w:p>
        </w:tc>
        <w:tc>
          <w:tcPr>
            <w:tcW w:w="100" w:type="dxa"/>
            <w:vAlign w:val="bottom"/>
            <w:tcBorders>
              <w:right w:val="single" w:sz="8" w:color="F0FFFF"/>
            </w:tcBorders>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shd w:val="clear" w:color="auto" w:fill="F0FFFF"/>
          </w:tcPr>
          <w:p>
            <w:pPr>
              <w:ind w:left="140"/>
              <w:spacing w:after="0" w:line="149" w:lineRule="exact"/>
              <w:rPr>
                <w:sz w:val="20"/>
                <w:szCs w:val="20"/>
                <w:color w:val="auto"/>
              </w:rPr>
            </w:pPr>
            <w:r>
              <w:rPr>
                <w:rFonts w:ascii="Arial" w:cs="Arial" w:eastAsia="Arial" w:hAnsi="Arial"/>
                <w:sz w:val="14"/>
                <w:szCs w:val="14"/>
                <w:color w:val="auto"/>
              </w:rPr>
              <w:t>issued to dividend</w:t>
            </w:r>
          </w:p>
        </w:tc>
        <w:tc>
          <w:tcPr>
            <w:tcW w:w="16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20" w:type="dxa"/>
            <w:vAlign w:val="bottom"/>
            <w:shd w:val="clear" w:color="auto" w:fill="F0FFFF"/>
          </w:tcPr>
          <w:p>
            <w:pPr>
              <w:spacing w:after="0"/>
              <w:rPr>
                <w:sz w:val="12"/>
                <w:szCs w:val="12"/>
                <w:color w:val="auto"/>
              </w:rPr>
            </w:pPr>
          </w:p>
        </w:tc>
        <w:tc>
          <w:tcPr>
            <w:tcW w:w="10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shd w:val="clear" w:color="auto" w:fill="F0FFFF"/>
          </w:tcPr>
          <w:p>
            <w:pPr>
              <w:ind w:left="140"/>
              <w:spacing w:after="0" w:line="149" w:lineRule="exact"/>
              <w:rPr>
                <w:sz w:val="20"/>
                <w:szCs w:val="20"/>
                <w:color w:val="auto"/>
              </w:rPr>
            </w:pPr>
            <w:r>
              <w:rPr>
                <w:rFonts w:ascii="Arial" w:cs="Arial" w:eastAsia="Arial" w:hAnsi="Arial"/>
                <w:sz w:val="14"/>
                <w:szCs w:val="14"/>
                <w:color w:val="auto"/>
              </w:rPr>
              <w:t>reinvestment plan</w:t>
            </w:r>
          </w:p>
        </w:tc>
        <w:tc>
          <w:tcPr>
            <w:tcW w:w="16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20" w:type="dxa"/>
            <w:vAlign w:val="bottom"/>
            <w:shd w:val="clear" w:color="auto" w:fill="F0FFFF"/>
          </w:tcPr>
          <w:p>
            <w:pPr>
              <w:spacing w:after="0"/>
              <w:rPr>
                <w:sz w:val="12"/>
                <w:szCs w:val="12"/>
                <w:color w:val="auto"/>
              </w:rPr>
            </w:pPr>
          </w:p>
        </w:tc>
        <w:tc>
          <w:tcPr>
            <w:tcW w:w="10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shd w:val="clear" w:color="auto" w:fill="F0FFFF"/>
          </w:tcPr>
          <w:p>
            <w:pPr>
              <w:ind w:left="140"/>
              <w:spacing w:after="0" w:line="149" w:lineRule="exact"/>
              <w:rPr>
                <w:sz w:val="20"/>
                <w:szCs w:val="20"/>
                <w:color w:val="auto"/>
              </w:rPr>
            </w:pPr>
            <w:r>
              <w:rPr>
                <w:rFonts w:ascii="Arial" w:cs="Arial" w:eastAsia="Arial" w:hAnsi="Arial"/>
                <w:sz w:val="14"/>
                <w:szCs w:val="14"/>
                <w:color w:val="auto"/>
              </w:rPr>
              <w:t>and to employee</w:t>
            </w:r>
          </w:p>
        </w:tc>
        <w:tc>
          <w:tcPr>
            <w:tcW w:w="16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20" w:type="dxa"/>
            <w:vAlign w:val="bottom"/>
            <w:shd w:val="clear" w:color="auto" w:fill="F0FFFF"/>
          </w:tcPr>
          <w:p>
            <w:pPr>
              <w:spacing w:after="0"/>
              <w:rPr>
                <w:sz w:val="12"/>
                <w:szCs w:val="12"/>
                <w:color w:val="auto"/>
              </w:rPr>
            </w:pPr>
          </w:p>
        </w:tc>
        <w:tc>
          <w:tcPr>
            <w:tcW w:w="10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shd w:val="clear" w:color="auto" w:fill="F0FFFF"/>
          </w:tcPr>
          <w:p>
            <w:pPr>
              <w:ind w:left="140"/>
              <w:spacing w:after="0" w:line="149" w:lineRule="exact"/>
              <w:rPr>
                <w:sz w:val="20"/>
                <w:szCs w:val="20"/>
                <w:color w:val="auto"/>
              </w:rPr>
            </w:pPr>
            <w:r>
              <w:rPr>
                <w:rFonts w:ascii="Arial" w:cs="Arial" w:eastAsia="Arial" w:hAnsi="Arial"/>
                <w:sz w:val="14"/>
                <w:szCs w:val="14"/>
                <w:color w:val="auto"/>
              </w:rPr>
              <w:t>benefit plans</w:t>
            </w:r>
          </w:p>
        </w:tc>
        <w:tc>
          <w:tcPr>
            <w:tcW w:w="16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20" w:type="dxa"/>
            <w:vAlign w:val="bottom"/>
            <w:shd w:val="clear" w:color="auto" w:fill="F0FFFF"/>
          </w:tcPr>
          <w:p>
            <w:pPr>
              <w:spacing w:after="0"/>
              <w:rPr>
                <w:sz w:val="12"/>
                <w:szCs w:val="12"/>
                <w:color w:val="auto"/>
              </w:rPr>
            </w:pPr>
          </w:p>
        </w:tc>
        <w:tc>
          <w:tcPr>
            <w:tcW w:w="10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2"/>
            <w:shd w:val="clear" w:color="auto" w:fill="F0FFFF"/>
          </w:tcPr>
          <w:p>
            <w:pPr>
              <w:ind w:left="140"/>
              <w:spacing w:after="0"/>
              <w:rPr>
                <w:sz w:val="20"/>
                <w:szCs w:val="20"/>
                <w:color w:val="auto"/>
              </w:rPr>
            </w:pPr>
            <w:r>
              <w:rPr>
                <w:rFonts w:ascii="Arial" w:cs="Arial" w:eastAsia="Arial" w:hAnsi="Arial"/>
                <w:sz w:val="14"/>
                <w:szCs w:val="14"/>
                <w:color w:val="auto"/>
              </w:rPr>
              <w:t>(7,661 shares)</w:t>
            </w:r>
          </w:p>
        </w:tc>
        <w:tc>
          <w:tcPr>
            <w:tcW w:w="160" w:type="dxa"/>
            <w:vAlign w:val="bottom"/>
            <w:shd w:val="clear" w:color="auto" w:fill="F0FFFF"/>
          </w:tcPr>
          <w:p>
            <w:pPr>
              <w:spacing w:after="0"/>
              <w:rPr>
                <w:sz w:val="14"/>
                <w:szCs w:val="14"/>
                <w:color w:val="auto"/>
              </w:rPr>
            </w:pPr>
          </w:p>
        </w:tc>
        <w:tc>
          <w:tcPr>
            <w:tcW w:w="660" w:type="dxa"/>
            <w:vAlign w:val="bottom"/>
            <w:shd w:val="clear" w:color="auto" w:fill="F0FFFF"/>
          </w:tcPr>
          <w:p>
            <w:pPr>
              <w:spacing w:after="0"/>
              <w:rPr>
                <w:sz w:val="14"/>
                <w:szCs w:val="14"/>
                <w:color w:val="auto"/>
              </w:rPr>
            </w:pPr>
          </w:p>
        </w:tc>
        <w:tc>
          <w:tcPr>
            <w:tcW w:w="120" w:type="dxa"/>
            <w:vAlign w:val="bottom"/>
            <w:tcBorders>
              <w:right w:val="single" w:sz="8" w:color="F0FFFF"/>
            </w:tcBorders>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120" w:type="dxa"/>
            <w:vAlign w:val="bottom"/>
            <w:tcBorders>
              <w:right w:val="single" w:sz="8" w:color="F0FFFF"/>
            </w:tcBorders>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4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120" w:type="dxa"/>
            <w:vAlign w:val="bottom"/>
            <w:tcBorders>
              <w:right w:val="single" w:sz="8" w:color="F0FFFF"/>
            </w:tcBorders>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122</w:t>
            </w:r>
          </w:p>
        </w:tc>
        <w:tc>
          <w:tcPr>
            <w:tcW w:w="140" w:type="dxa"/>
            <w:vAlign w:val="bottom"/>
            <w:shd w:val="clear" w:color="auto" w:fill="F0FFFF"/>
          </w:tcPr>
          <w:p>
            <w:pPr>
              <w:spacing w:after="0"/>
              <w:rPr>
                <w:sz w:val="14"/>
                <w:szCs w:val="14"/>
                <w:color w:val="auto"/>
              </w:rPr>
            </w:pPr>
          </w:p>
        </w:tc>
        <w:tc>
          <w:tcPr>
            <w:tcW w:w="1100" w:type="dxa"/>
            <w:vAlign w:val="bottom"/>
            <w:shd w:val="clear" w:color="auto" w:fill="F0FFFF"/>
          </w:tcPr>
          <w:p>
            <w:pPr>
              <w:spacing w:after="0"/>
              <w:rPr>
                <w:sz w:val="14"/>
                <w:szCs w:val="14"/>
                <w:color w:val="auto"/>
              </w:rPr>
            </w:pPr>
          </w:p>
        </w:tc>
        <w:tc>
          <w:tcPr>
            <w:tcW w:w="120" w:type="dxa"/>
            <w:vAlign w:val="bottom"/>
            <w:tcBorders>
              <w:right w:val="single" w:sz="8" w:color="F0FFFF"/>
            </w:tcBorders>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220" w:type="dxa"/>
            <w:vAlign w:val="bottom"/>
            <w:shd w:val="clear" w:color="auto" w:fill="F0FFFF"/>
          </w:tcPr>
          <w:p>
            <w:pPr>
              <w:spacing w:after="0"/>
              <w:rPr>
                <w:sz w:val="14"/>
                <w:szCs w:val="14"/>
                <w:color w:val="auto"/>
              </w:rPr>
            </w:pPr>
          </w:p>
        </w:tc>
        <w:tc>
          <w:tcPr>
            <w:tcW w:w="100" w:type="dxa"/>
            <w:vAlign w:val="bottom"/>
            <w:tcBorders>
              <w:right w:val="single" w:sz="8" w:color="F0FFFF"/>
            </w:tcBorders>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7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gridSpan w:val="2"/>
          </w:tcPr>
          <w:p>
            <w:pPr>
              <w:spacing w:after="0" w:line="130" w:lineRule="exact"/>
              <w:rPr>
                <w:sz w:val="20"/>
                <w:szCs w:val="20"/>
                <w:color w:val="auto"/>
              </w:rPr>
            </w:pPr>
            <w:r>
              <w:rPr>
                <w:rFonts w:ascii="Arial" w:cs="Arial" w:eastAsia="Arial" w:hAnsi="Arial"/>
                <w:sz w:val="14"/>
                <w:szCs w:val="14"/>
                <w:color w:val="auto"/>
              </w:rPr>
              <w:t>Conversion of non-</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voting common</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stock to voting</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common stock</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color w:val="auto"/>
              </w:rPr>
              <w:t>1,795,271 shares)</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1,795</w:t>
            </w:r>
          </w:p>
        </w:tc>
        <w:tc>
          <w:tcPr>
            <w:tcW w:w="1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(1,795)</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gridSpan w:val="2"/>
            <w:shd w:val="clear" w:color="auto" w:fill="F0FFFF"/>
          </w:tcPr>
          <w:p>
            <w:pPr>
              <w:spacing w:after="0" w:line="130" w:lineRule="exact"/>
              <w:rPr>
                <w:sz w:val="20"/>
                <w:szCs w:val="20"/>
                <w:color w:val="auto"/>
              </w:rPr>
            </w:pPr>
            <w:r>
              <w:rPr>
                <w:rFonts w:ascii="Arial" w:cs="Arial" w:eastAsia="Arial" w:hAnsi="Arial"/>
                <w:sz w:val="14"/>
                <w:szCs w:val="14"/>
                <w:color w:val="auto"/>
              </w:rPr>
              <w:t>Common and</w:t>
            </w:r>
          </w:p>
        </w:tc>
        <w:tc>
          <w:tcPr>
            <w:tcW w:w="16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10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20" w:type="dxa"/>
            <w:vAlign w:val="bottom"/>
            <w:shd w:val="clear" w:color="auto" w:fill="F0FFFF"/>
          </w:tcPr>
          <w:p>
            <w:pPr>
              <w:spacing w:after="0"/>
              <w:rPr>
                <w:sz w:val="11"/>
                <w:szCs w:val="11"/>
                <w:color w:val="auto"/>
              </w:rPr>
            </w:pPr>
          </w:p>
        </w:tc>
        <w:tc>
          <w:tcPr>
            <w:tcW w:w="100" w:type="dxa"/>
            <w:vAlign w:val="bottom"/>
            <w:tcBorders>
              <w:right w:val="single" w:sz="8" w:color="F0FFFF"/>
            </w:tcBorders>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shd w:val="clear" w:color="auto" w:fill="F0FFFF"/>
          </w:tcPr>
          <w:p>
            <w:pPr>
              <w:ind w:left="140"/>
              <w:spacing w:after="0" w:line="149" w:lineRule="exact"/>
              <w:rPr>
                <w:sz w:val="20"/>
                <w:szCs w:val="20"/>
                <w:color w:val="auto"/>
              </w:rPr>
            </w:pPr>
            <w:r>
              <w:rPr>
                <w:rFonts w:ascii="Arial" w:cs="Arial" w:eastAsia="Arial" w:hAnsi="Arial"/>
                <w:sz w:val="14"/>
                <w:szCs w:val="14"/>
                <w:color w:val="auto"/>
              </w:rPr>
              <w:t>preferred stock</w:t>
            </w:r>
          </w:p>
        </w:tc>
        <w:tc>
          <w:tcPr>
            <w:tcW w:w="16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20" w:type="dxa"/>
            <w:vAlign w:val="bottom"/>
            <w:shd w:val="clear" w:color="auto" w:fill="F0FFFF"/>
          </w:tcPr>
          <w:p>
            <w:pPr>
              <w:spacing w:after="0"/>
              <w:rPr>
                <w:sz w:val="12"/>
                <w:szCs w:val="12"/>
                <w:color w:val="auto"/>
              </w:rPr>
            </w:pPr>
          </w:p>
        </w:tc>
        <w:tc>
          <w:tcPr>
            <w:tcW w:w="10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shd w:val="clear" w:color="auto" w:fill="F0FFFF"/>
          </w:tcPr>
          <w:p>
            <w:pPr>
              <w:ind w:left="140"/>
              <w:spacing w:after="0" w:line="149" w:lineRule="exact"/>
              <w:rPr>
                <w:sz w:val="20"/>
                <w:szCs w:val="20"/>
                <w:color w:val="auto"/>
              </w:rPr>
            </w:pPr>
            <w:r>
              <w:rPr>
                <w:rFonts w:ascii="Arial" w:cs="Arial" w:eastAsia="Arial" w:hAnsi="Arial"/>
                <w:sz w:val="14"/>
                <w:szCs w:val="14"/>
                <w:color w:val="auto"/>
              </w:rPr>
              <w:t>issued for</w:t>
            </w:r>
          </w:p>
        </w:tc>
        <w:tc>
          <w:tcPr>
            <w:tcW w:w="16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20" w:type="dxa"/>
            <w:vAlign w:val="bottom"/>
            <w:shd w:val="clear" w:color="auto" w:fill="F0FFFF"/>
          </w:tcPr>
          <w:p>
            <w:pPr>
              <w:spacing w:after="0"/>
              <w:rPr>
                <w:sz w:val="12"/>
                <w:szCs w:val="12"/>
                <w:color w:val="auto"/>
              </w:rPr>
            </w:pPr>
          </w:p>
        </w:tc>
        <w:tc>
          <w:tcPr>
            <w:tcW w:w="10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shd w:val="clear" w:color="auto" w:fill="F0FFFF"/>
          </w:tcPr>
          <w:p>
            <w:pPr>
              <w:ind w:left="140"/>
              <w:spacing w:after="0" w:line="149" w:lineRule="exact"/>
              <w:rPr>
                <w:sz w:val="20"/>
                <w:szCs w:val="20"/>
                <w:color w:val="auto"/>
              </w:rPr>
            </w:pPr>
            <w:r>
              <w:rPr>
                <w:rFonts w:ascii="Arial" w:cs="Arial" w:eastAsia="Arial" w:hAnsi="Arial"/>
                <w:sz w:val="14"/>
                <w:szCs w:val="14"/>
                <w:color w:val="auto"/>
              </w:rPr>
              <w:t>acquisition</w:t>
            </w:r>
          </w:p>
        </w:tc>
        <w:tc>
          <w:tcPr>
            <w:tcW w:w="16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20" w:type="dxa"/>
            <w:vAlign w:val="bottom"/>
            <w:shd w:val="clear" w:color="auto" w:fill="F0FFFF"/>
          </w:tcPr>
          <w:p>
            <w:pPr>
              <w:spacing w:after="0"/>
              <w:rPr>
                <w:sz w:val="12"/>
                <w:szCs w:val="12"/>
                <w:color w:val="auto"/>
              </w:rPr>
            </w:pPr>
          </w:p>
        </w:tc>
        <w:tc>
          <w:tcPr>
            <w:tcW w:w="10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F0FFFF"/>
          </w:tcPr>
          <w:p>
            <w:pPr>
              <w:ind w:left="140"/>
              <w:spacing w:after="0" w:line="149" w:lineRule="exact"/>
              <w:rPr>
                <w:sz w:val="20"/>
                <w:szCs w:val="20"/>
                <w:color w:val="auto"/>
              </w:rPr>
            </w:pPr>
            <w:r>
              <w:rPr>
                <w:rFonts w:ascii="Arial" w:cs="Arial" w:eastAsia="Arial" w:hAnsi="Arial"/>
                <w:sz w:val="14"/>
                <w:szCs w:val="14"/>
                <w:color w:val="auto"/>
              </w:rPr>
              <w:t>(2,358,503</w:t>
            </w:r>
          </w:p>
        </w:tc>
        <w:tc>
          <w:tcPr>
            <w:tcW w:w="1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20" w:type="dxa"/>
            <w:vAlign w:val="bottom"/>
            <w:shd w:val="clear" w:color="auto" w:fill="F0FFFF"/>
          </w:tcPr>
          <w:p>
            <w:pPr>
              <w:spacing w:after="0"/>
              <w:rPr>
                <w:sz w:val="12"/>
                <w:szCs w:val="12"/>
                <w:color w:val="auto"/>
              </w:rPr>
            </w:pPr>
          </w:p>
        </w:tc>
        <w:tc>
          <w:tcPr>
            <w:tcW w:w="10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shd w:val="clear" w:color="auto" w:fill="F0FFFF"/>
          </w:tcPr>
          <w:p>
            <w:pPr>
              <w:ind w:left="140"/>
              <w:spacing w:after="0" w:line="149" w:lineRule="exact"/>
              <w:rPr>
                <w:sz w:val="20"/>
                <w:szCs w:val="20"/>
                <w:color w:val="auto"/>
              </w:rPr>
            </w:pPr>
            <w:r>
              <w:rPr>
                <w:rFonts w:ascii="Arial" w:cs="Arial" w:eastAsia="Arial" w:hAnsi="Arial"/>
                <w:sz w:val="14"/>
                <w:szCs w:val="14"/>
                <w:color w:val="auto"/>
              </w:rPr>
              <w:t>common shares</w:t>
            </w:r>
          </w:p>
        </w:tc>
        <w:tc>
          <w:tcPr>
            <w:tcW w:w="16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20" w:type="dxa"/>
            <w:vAlign w:val="bottom"/>
            <w:shd w:val="clear" w:color="auto" w:fill="F0FFFF"/>
          </w:tcPr>
          <w:p>
            <w:pPr>
              <w:spacing w:after="0"/>
              <w:rPr>
                <w:sz w:val="12"/>
                <w:szCs w:val="12"/>
                <w:color w:val="auto"/>
              </w:rPr>
            </w:pPr>
          </w:p>
        </w:tc>
        <w:tc>
          <w:tcPr>
            <w:tcW w:w="10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shd w:val="clear" w:color="auto" w:fill="F0FFFF"/>
          </w:tcPr>
          <w:p>
            <w:pPr>
              <w:ind w:left="140"/>
              <w:spacing w:after="0" w:line="149" w:lineRule="exact"/>
              <w:rPr>
                <w:sz w:val="20"/>
                <w:szCs w:val="20"/>
                <w:color w:val="auto"/>
              </w:rPr>
            </w:pPr>
            <w:r>
              <w:rPr>
                <w:rFonts w:ascii="Arial" w:cs="Arial" w:eastAsia="Arial" w:hAnsi="Arial"/>
                <w:sz w:val="14"/>
                <w:szCs w:val="14"/>
                <w:color w:val="auto"/>
              </w:rPr>
              <w:t>and 9,992</w:t>
            </w:r>
          </w:p>
        </w:tc>
        <w:tc>
          <w:tcPr>
            <w:tcW w:w="16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20" w:type="dxa"/>
            <w:vAlign w:val="bottom"/>
            <w:shd w:val="clear" w:color="auto" w:fill="F0FFFF"/>
          </w:tcPr>
          <w:p>
            <w:pPr>
              <w:spacing w:after="0"/>
              <w:rPr>
                <w:sz w:val="12"/>
                <w:szCs w:val="12"/>
                <w:color w:val="auto"/>
              </w:rPr>
            </w:pPr>
          </w:p>
        </w:tc>
        <w:tc>
          <w:tcPr>
            <w:tcW w:w="10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2"/>
            <w:shd w:val="clear" w:color="auto" w:fill="F0FFFF"/>
          </w:tcPr>
          <w:p>
            <w:pPr>
              <w:ind w:left="140"/>
              <w:spacing w:after="0"/>
              <w:rPr>
                <w:sz w:val="20"/>
                <w:szCs w:val="20"/>
                <w:color w:val="auto"/>
              </w:rPr>
            </w:pPr>
            <w:r>
              <w:rPr>
                <w:rFonts w:ascii="Arial" w:cs="Arial" w:eastAsia="Arial" w:hAnsi="Arial"/>
                <w:sz w:val="14"/>
                <w:szCs w:val="14"/>
                <w:color w:val="auto"/>
              </w:rPr>
              <w:t>preferred shares)</w:t>
            </w:r>
          </w:p>
        </w:tc>
        <w:tc>
          <w:tcPr>
            <w:tcW w:w="160" w:type="dxa"/>
            <w:vAlign w:val="bottom"/>
            <w:shd w:val="clear" w:color="auto" w:fill="F0FFFF"/>
          </w:tcPr>
          <w:p>
            <w:pPr>
              <w:spacing w:after="0"/>
              <w:rPr>
                <w:sz w:val="14"/>
                <w:szCs w:val="14"/>
                <w:color w:val="auto"/>
              </w:rPr>
            </w:pPr>
          </w:p>
        </w:tc>
        <w:tc>
          <w:tcPr>
            <w:tcW w:w="660" w:type="dxa"/>
            <w:vAlign w:val="bottom"/>
            <w:shd w:val="clear" w:color="auto" w:fill="F0FFFF"/>
          </w:tcPr>
          <w:p>
            <w:pPr>
              <w:spacing w:after="0"/>
              <w:rPr>
                <w:sz w:val="14"/>
                <w:szCs w:val="14"/>
                <w:color w:val="auto"/>
              </w:rPr>
            </w:pPr>
          </w:p>
        </w:tc>
        <w:tc>
          <w:tcPr>
            <w:tcW w:w="120" w:type="dxa"/>
            <w:vAlign w:val="bottom"/>
            <w:tcBorders>
              <w:right w:val="single" w:sz="8" w:color="F0FFFF"/>
            </w:tcBorders>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120" w:type="dxa"/>
            <w:vAlign w:val="bottom"/>
            <w:tcBorders>
              <w:right w:val="single" w:sz="8" w:color="F0FFFF"/>
            </w:tcBorders>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9,992</w:t>
            </w:r>
          </w:p>
        </w:tc>
        <w:tc>
          <w:tcPr>
            <w:tcW w:w="100" w:type="dxa"/>
            <w:vAlign w:val="bottom"/>
            <w:shd w:val="clear" w:color="auto" w:fill="F0FFFF"/>
          </w:tcPr>
          <w:p>
            <w:pPr>
              <w:spacing w:after="0"/>
              <w:rPr>
                <w:sz w:val="14"/>
                <w:szCs w:val="14"/>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2,359</w:t>
            </w:r>
          </w:p>
        </w:tc>
        <w:tc>
          <w:tcPr>
            <w:tcW w:w="10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120" w:type="dxa"/>
            <w:vAlign w:val="bottom"/>
            <w:tcBorders>
              <w:right w:val="single" w:sz="8" w:color="F0FFFF"/>
            </w:tcBorders>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41,533</w:t>
            </w:r>
          </w:p>
        </w:tc>
        <w:tc>
          <w:tcPr>
            <w:tcW w:w="140" w:type="dxa"/>
            <w:vAlign w:val="bottom"/>
            <w:shd w:val="clear" w:color="auto" w:fill="F0FFFF"/>
          </w:tcPr>
          <w:p>
            <w:pPr>
              <w:spacing w:after="0"/>
              <w:rPr>
                <w:sz w:val="14"/>
                <w:szCs w:val="14"/>
                <w:color w:val="auto"/>
              </w:rPr>
            </w:pPr>
          </w:p>
        </w:tc>
        <w:tc>
          <w:tcPr>
            <w:tcW w:w="1100" w:type="dxa"/>
            <w:vAlign w:val="bottom"/>
            <w:shd w:val="clear" w:color="auto" w:fill="F0FFFF"/>
          </w:tcPr>
          <w:p>
            <w:pPr>
              <w:spacing w:after="0"/>
              <w:rPr>
                <w:sz w:val="14"/>
                <w:szCs w:val="14"/>
                <w:color w:val="auto"/>
              </w:rPr>
            </w:pPr>
          </w:p>
        </w:tc>
        <w:tc>
          <w:tcPr>
            <w:tcW w:w="120" w:type="dxa"/>
            <w:vAlign w:val="bottom"/>
            <w:tcBorders>
              <w:right w:val="single" w:sz="8" w:color="F0FFFF"/>
            </w:tcBorders>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220" w:type="dxa"/>
            <w:vAlign w:val="bottom"/>
            <w:shd w:val="clear" w:color="auto" w:fill="F0FFFF"/>
          </w:tcPr>
          <w:p>
            <w:pPr>
              <w:spacing w:after="0"/>
              <w:rPr>
                <w:sz w:val="14"/>
                <w:szCs w:val="14"/>
                <w:color w:val="auto"/>
              </w:rPr>
            </w:pPr>
          </w:p>
        </w:tc>
        <w:tc>
          <w:tcPr>
            <w:tcW w:w="100" w:type="dxa"/>
            <w:vAlign w:val="bottom"/>
            <w:tcBorders>
              <w:right w:val="single" w:sz="8" w:color="F0FFFF"/>
            </w:tcBorders>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7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53,884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gridSpan w:val="2"/>
          </w:tcPr>
          <w:p>
            <w:pPr>
              <w:spacing w:after="0" w:line="130" w:lineRule="exact"/>
              <w:rPr>
                <w:sz w:val="20"/>
                <w:szCs w:val="20"/>
                <w:color w:val="auto"/>
              </w:rPr>
            </w:pPr>
            <w:r>
              <w:rPr>
                <w:rFonts w:ascii="Arial" w:cs="Arial" w:eastAsia="Arial" w:hAnsi="Arial"/>
                <w:sz w:val="14"/>
                <w:szCs w:val="14"/>
                <w:color w:val="auto"/>
              </w:rPr>
              <w:t>Amortization of</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stock option and</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restricted stock</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color w:val="auto"/>
              </w:rPr>
              <w:t>awards</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2,178</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2,178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gridSpan w:val="2"/>
            <w:shd w:val="clear" w:color="auto" w:fill="F0FFFF"/>
          </w:tcPr>
          <w:p>
            <w:pPr>
              <w:spacing w:after="0" w:line="130" w:lineRule="exact"/>
              <w:rPr>
                <w:sz w:val="20"/>
                <w:szCs w:val="20"/>
                <w:color w:val="auto"/>
              </w:rPr>
            </w:pPr>
            <w:r>
              <w:rPr>
                <w:rFonts w:ascii="Arial" w:cs="Arial" w:eastAsia="Arial" w:hAnsi="Arial"/>
                <w:sz w:val="14"/>
                <w:szCs w:val="14"/>
                <w:color w:val="auto"/>
              </w:rPr>
              <w:t>Vesting of restricted</w:t>
            </w:r>
          </w:p>
        </w:tc>
        <w:tc>
          <w:tcPr>
            <w:tcW w:w="16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10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20" w:type="dxa"/>
            <w:vAlign w:val="bottom"/>
            <w:shd w:val="clear" w:color="auto" w:fill="F0FFFF"/>
          </w:tcPr>
          <w:p>
            <w:pPr>
              <w:spacing w:after="0"/>
              <w:rPr>
                <w:sz w:val="11"/>
                <w:szCs w:val="11"/>
                <w:color w:val="auto"/>
              </w:rPr>
            </w:pPr>
          </w:p>
        </w:tc>
        <w:tc>
          <w:tcPr>
            <w:tcW w:w="100" w:type="dxa"/>
            <w:vAlign w:val="bottom"/>
            <w:tcBorders>
              <w:right w:val="single" w:sz="8" w:color="F0FFFF"/>
            </w:tcBorders>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shd w:val="clear" w:color="auto" w:fill="F0FFFF"/>
          </w:tcPr>
          <w:p>
            <w:pPr>
              <w:ind w:left="140"/>
              <w:spacing w:after="0" w:line="149" w:lineRule="exact"/>
              <w:rPr>
                <w:sz w:val="20"/>
                <w:szCs w:val="20"/>
                <w:color w:val="auto"/>
              </w:rPr>
            </w:pPr>
            <w:r>
              <w:rPr>
                <w:rFonts w:ascii="Arial" w:cs="Arial" w:eastAsia="Arial" w:hAnsi="Arial"/>
                <w:sz w:val="14"/>
                <w:szCs w:val="14"/>
                <w:color w:val="auto"/>
              </w:rPr>
              <w:t>stock, net of</w:t>
            </w:r>
          </w:p>
        </w:tc>
        <w:tc>
          <w:tcPr>
            <w:tcW w:w="16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20" w:type="dxa"/>
            <w:vAlign w:val="bottom"/>
            <w:shd w:val="clear" w:color="auto" w:fill="F0FFFF"/>
          </w:tcPr>
          <w:p>
            <w:pPr>
              <w:spacing w:after="0"/>
              <w:rPr>
                <w:sz w:val="12"/>
                <w:szCs w:val="12"/>
                <w:color w:val="auto"/>
              </w:rPr>
            </w:pPr>
          </w:p>
        </w:tc>
        <w:tc>
          <w:tcPr>
            <w:tcW w:w="10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shd w:val="clear" w:color="auto" w:fill="F0FFFF"/>
          </w:tcPr>
          <w:p>
            <w:pPr>
              <w:ind w:left="140"/>
              <w:spacing w:after="0" w:line="149" w:lineRule="exact"/>
              <w:rPr>
                <w:sz w:val="20"/>
                <w:szCs w:val="20"/>
                <w:color w:val="auto"/>
              </w:rPr>
            </w:pPr>
            <w:r>
              <w:rPr>
                <w:rFonts w:ascii="Arial" w:cs="Arial" w:eastAsia="Arial" w:hAnsi="Arial"/>
                <w:sz w:val="14"/>
                <w:szCs w:val="14"/>
                <w:color w:val="auto"/>
                <w:w w:val="98"/>
              </w:rPr>
              <w:t>shares surrendered</w:t>
            </w:r>
          </w:p>
        </w:tc>
        <w:tc>
          <w:tcPr>
            <w:tcW w:w="16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20" w:type="dxa"/>
            <w:vAlign w:val="bottom"/>
            <w:shd w:val="clear" w:color="auto" w:fill="F0FFFF"/>
          </w:tcPr>
          <w:p>
            <w:pPr>
              <w:spacing w:after="0"/>
              <w:rPr>
                <w:sz w:val="12"/>
                <w:szCs w:val="12"/>
                <w:color w:val="auto"/>
              </w:rPr>
            </w:pPr>
          </w:p>
        </w:tc>
        <w:tc>
          <w:tcPr>
            <w:tcW w:w="10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shd w:val="clear" w:color="auto" w:fill="F0FFFF"/>
          </w:tcPr>
          <w:p>
            <w:pPr>
              <w:ind w:left="140"/>
              <w:spacing w:after="0" w:line="149" w:lineRule="exact"/>
              <w:rPr>
                <w:sz w:val="20"/>
                <w:szCs w:val="20"/>
                <w:color w:val="auto"/>
              </w:rPr>
            </w:pPr>
            <w:r>
              <w:rPr>
                <w:rFonts w:ascii="Arial" w:cs="Arial" w:eastAsia="Arial" w:hAnsi="Arial"/>
                <w:sz w:val="14"/>
                <w:szCs w:val="14"/>
                <w:color w:val="auto"/>
              </w:rPr>
              <w:t>to cover payroll</w:t>
            </w:r>
          </w:p>
        </w:tc>
        <w:tc>
          <w:tcPr>
            <w:tcW w:w="16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20" w:type="dxa"/>
            <w:vAlign w:val="bottom"/>
            <w:shd w:val="clear" w:color="auto" w:fill="F0FFFF"/>
          </w:tcPr>
          <w:p>
            <w:pPr>
              <w:spacing w:after="0"/>
              <w:rPr>
                <w:sz w:val="12"/>
                <w:szCs w:val="12"/>
                <w:color w:val="auto"/>
              </w:rPr>
            </w:pPr>
          </w:p>
        </w:tc>
        <w:tc>
          <w:tcPr>
            <w:tcW w:w="10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shd w:val="clear" w:color="auto" w:fill="F0FFFF"/>
          </w:tcPr>
          <w:p>
            <w:pPr>
              <w:ind w:left="140"/>
              <w:spacing w:after="0" w:line="149" w:lineRule="exact"/>
              <w:rPr>
                <w:sz w:val="20"/>
                <w:szCs w:val="20"/>
                <w:color w:val="auto"/>
              </w:rPr>
            </w:pPr>
            <w:r>
              <w:rPr>
                <w:rFonts w:ascii="Arial" w:cs="Arial" w:eastAsia="Arial" w:hAnsi="Arial"/>
                <w:sz w:val="14"/>
                <w:szCs w:val="14"/>
                <w:color w:val="auto"/>
              </w:rPr>
              <w:t>taxes (60,698</w:t>
            </w:r>
          </w:p>
        </w:tc>
        <w:tc>
          <w:tcPr>
            <w:tcW w:w="16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20" w:type="dxa"/>
            <w:vAlign w:val="bottom"/>
            <w:shd w:val="clear" w:color="auto" w:fill="F0FFFF"/>
          </w:tcPr>
          <w:p>
            <w:pPr>
              <w:spacing w:after="0"/>
              <w:rPr>
                <w:sz w:val="12"/>
                <w:szCs w:val="12"/>
                <w:color w:val="auto"/>
              </w:rPr>
            </w:pPr>
          </w:p>
        </w:tc>
        <w:tc>
          <w:tcPr>
            <w:tcW w:w="10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shd w:val="clear" w:color="auto" w:fill="F0FFFF"/>
          </w:tcPr>
          <w:p>
            <w:pPr>
              <w:ind w:left="140"/>
              <w:spacing w:after="0" w:line="149" w:lineRule="exact"/>
              <w:rPr>
                <w:sz w:val="20"/>
                <w:szCs w:val="20"/>
                <w:color w:val="auto"/>
              </w:rPr>
            </w:pPr>
            <w:r>
              <w:rPr>
                <w:rFonts w:ascii="Arial" w:cs="Arial" w:eastAsia="Arial" w:hAnsi="Arial"/>
                <w:sz w:val="14"/>
                <w:szCs w:val="14"/>
                <w:color w:val="auto"/>
              </w:rPr>
              <w:t>shares issued,</w:t>
            </w:r>
          </w:p>
        </w:tc>
        <w:tc>
          <w:tcPr>
            <w:tcW w:w="16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20" w:type="dxa"/>
            <w:vAlign w:val="bottom"/>
            <w:shd w:val="clear" w:color="auto" w:fill="F0FFFF"/>
          </w:tcPr>
          <w:p>
            <w:pPr>
              <w:spacing w:after="0"/>
              <w:rPr>
                <w:sz w:val="12"/>
                <w:szCs w:val="12"/>
                <w:color w:val="auto"/>
              </w:rPr>
            </w:pPr>
          </w:p>
        </w:tc>
        <w:tc>
          <w:tcPr>
            <w:tcW w:w="10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shd w:val="clear" w:color="auto" w:fill="F0FFFF"/>
          </w:tcPr>
          <w:p>
            <w:pPr>
              <w:ind w:left="140"/>
              <w:spacing w:after="0" w:line="149" w:lineRule="exact"/>
              <w:rPr>
                <w:sz w:val="20"/>
                <w:szCs w:val="20"/>
                <w:color w:val="auto"/>
              </w:rPr>
            </w:pPr>
            <w:r>
              <w:rPr>
                <w:rFonts w:ascii="Arial" w:cs="Arial" w:eastAsia="Arial" w:hAnsi="Arial"/>
                <w:sz w:val="14"/>
                <w:szCs w:val="14"/>
                <w:color w:val="auto"/>
              </w:rPr>
              <w:t>59,685 shares</w:t>
            </w:r>
          </w:p>
        </w:tc>
        <w:tc>
          <w:tcPr>
            <w:tcW w:w="16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1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20" w:type="dxa"/>
            <w:vAlign w:val="bottom"/>
            <w:shd w:val="clear" w:color="auto" w:fill="F0FFFF"/>
          </w:tcPr>
          <w:p>
            <w:pPr>
              <w:spacing w:after="0"/>
              <w:rPr>
                <w:sz w:val="12"/>
                <w:szCs w:val="12"/>
                <w:color w:val="auto"/>
              </w:rPr>
            </w:pPr>
          </w:p>
        </w:tc>
        <w:tc>
          <w:tcPr>
            <w:tcW w:w="10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60" w:type="dxa"/>
            <w:vAlign w:val="bottom"/>
            <w:gridSpan w:val="2"/>
            <w:shd w:val="clear" w:color="auto" w:fill="F0FFFF"/>
          </w:tcPr>
          <w:p>
            <w:pPr>
              <w:ind w:left="140"/>
              <w:spacing w:after="0"/>
              <w:rPr>
                <w:sz w:val="20"/>
                <w:szCs w:val="20"/>
                <w:color w:val="auto"/>
              </w:rPr>
            </w:pPr>
            <w:r>
              <w:rPr>
                <w:rFonts w:ascii="Arial" w:cs="Arial" w:eastAsia="Arial" w:hAnsi="Arial"/>
                <w:sz w:val="14"/>
                <w:szCs w:val="14"/>
                <w:color w:val="auto"/>
              </w:rPr>
              <w:t>deferred)</w:t>
            </w:r>
          </w:p>
        </w:tc>
        <w:tc>
          <w:tcPr>
            <w:tcW w:w="160" w:type="dxa"/>
            <w:vAlign w:val="bottom"/>
            <w:shd w:val="clear" w:color="auto" w:fill="F0FFFF"/>
          </w:tcPr>
          <w:p>
            <w:pPr>
              <w:spacing w:after="0"/>
              <w:rPr>
                <w:sz w:val="14"/>
                <w:szCs w:val="14"/>
                <w:color w:val="auto"/>
              </w:rPr>
            </w:pPr>
          </w:p>
        </w:tc>
        <w:tc>
          <w:tcPr>
            <w:tcW w:w="660" w:type="dxa"/>
            <w:vAlign w:val="bottom"/>
            <w:shd w:val="clear" w:color="auto" w:fill="F0FFFF"/>
          </w:tcPr>
          <w:p>
            <w:pPr>
              <w:spacing w:after="0"/>
              <w:rPr>
                <w:sz w:val="14"/>
                <w:szCs w:val="14"/>
                <w:color w:val="auto"/>
              </w:rPr>
            </w:pPr>
          </w:p>
        </w:tc>
        <w:tc>
          <w:tcPr>
            <w:tcW w:w="120" w:type="dxa"/>
            <w:vAlign w:val="bottom"/>
            <w:tcBorders>
              <w:right w:val="single" w:sz="8" w:color="F0FFFF"/>
            </w:tcBorders>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120" w:type="dxa"/>
            <w:vAlign w:val="bottom"/>
            <w:tcBorders>
              <w:right w:val="single" w:sz="8" w:color="F0FFFF"/>
            </w:tcBorders>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4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61</w:t>
            </w: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120" w:type="dxa"/>
            <w:vAlign w:val="bottom"/>
            <w:tcBorders>
              <w:right w:val="single" w:sz="8" w:color="F0FFFF"/>
            </w:tcBorders>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852</w:t>
            </w:r>
          </w:p>
        </w:tc>
        <w:tc>
          <w:tcPr>
            <w:tcW w:w="160" w:type="dxa"/>
            <w:vAlign w:val="bottom"/>
            <w:shd w:val="clear" w:color="auto" w:fill="F0FFFF"/>
          </w:tcPr>
          <w:p>
            <w:pPr>
              <w:spacing w:after="0"/>
              <w:rPr>
                <w:sz w:val="14"/>
                <w:szCs w:val="14"/>
                <w:color w:val="auto"/>
              </w:rPr>
            </w:pPr>
          </w:p>
        </w:tc>
        <w:tc>
          <w:tcPr>
            <w:tcW w:w="96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(1,294)</w:t>
            </w:r>
          </w:p>
        </w:tc>
        <w:tc>
          <w:tcPr>
            <w:tcW w:w="140" w:type="dxa"/>
            <w:vAlign w:val="bottom"/>
            <w:shd w:val="clear" w:color="auto" w:fill="F0FFFF"/>
          </w:tcPr>
          <w:p>
            <w:pPr>
              <w:spacing w:after="0"/>
              <w:rPr>
                <w:sz w:val="14"/>
                <w:szCs w:val="14"/>
                <w:color w:val="auto"/>
              </w:rPr>
            </w:pPr>
          </w:p>
        </w:tc>
        <w:tc>
          <w:tcPr>
            <w:tcW w:w="1100" w:type="dxa"/>
            <w:vAlign w:val="bottom"/>
            <w:shd w:val="clear" w:color="auto" w:fill="F0FFFF"/>
          </w:tcPr>
          <w:p>
            <w:pPr>
              <w:spacing w:after="0"/>
              <w:rPr>
                <w:sz w:val="14"/>
                <w:szCs w:val="14"/>
                <w:color w:val="auto"/>
              </w:rPr>
            </w:pPr>
          </w:p>
        </w:tc>
        <w:tc>
          <w:tcPr>
            <w:tcW w:w="120" w:type="dxa"/>
            <w:vAlign w:val="bottom"/>
            <w:tcBorders>
              <w:right w:val="single" w:sz="8" w:color="F0FFFF"/>
            </w:tcBorders>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220" w:type="dxa"/>
            <w:vAlign w:val="bottom"/>
            <w:shd w:val="clear" w:color="auto" w:fill="F0FFFF"/>
          </w:tcPr>
          <w:p>
            <w:pPr>
              <w:spacing w:after="0"/>
              <w:rPr>
                <w:sz w:val="14"/>
                <w:szCs w:val="14"/>
                <w:color w:val="auto"/>
              </w:rPr>
            </w:pPr>
          </w:p>
        </w:tc>
        <w:tc>
          <w:tcPr>
            <w:tcW w:w="100" w:type="dxa"/>
            <w:vAlign w:val="bottom"/>
            <w:tcBorders>
              <w:right w:val="single" w:sz="8" w:color="F0FFFF"/>
            </w:tcBorders>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74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360" w:type="dxa"/>
            <w:vAlign w:val="bottom"/>
            <w:gridSpan w:val="2"/>
          </w:tcPr>
          <w:p>
            <w:pPr>
              <w:spacing w:after="0" w:line="130" w:lineRule="exact"/>
              <w:rPr>
                <w:sz w:val="20"/>
                <w:szCs w:val="20"/>
                <w:color w:val="auto"/>
              </w:rPr>
            </w:pPr>
            <w:r>
              <w:rPr>
                <w:rFonts w:ascii="Arial" w:cs="Arial" w:eastAsia="Arial" w:hAnsi="Arial"/>
                <w:sz w:val="14"/>
                <w:szCs w:val="14"/>
                <w:color w:val="auto"/>
              </w:rPr>
              <w:t>Deferred</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190</w:t>
            </w:r>
          </w:p>
        </w:tc>
        <w:tc>
          <w:tcPr>
            <w:tcW w:w="160" w:type="dxa"/>
            <w:vAlign w:val="bottom"/>
          </w:tcPr>
          <w:p>
            <w:pPr>
              <w:spacing w:after="0"/>
              <w:rPr>
                <w:sz w:val="11"/>
                <w:szCs w:val="11"/>
                <w:color w:val="auto"/>
              </w:rPr>
            </w:pPr>
          </w:p>
        </w:tc>
        <w:tc>
          <w:tcPr>
            <w:tcW w:w="960" w:type="dxa"/>
            <w:vAlign w:val="bottom"/>
            <w:gridSpan w:val="2"/>
          </w:tcPr>
          <w:p>
            <w:pPr>
              <w:jc w:val="right"/>
              <w:ind w:right="60"/>
              <w:spacing w:after="0" w:line="130"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color w:val="auto"/>
              </w:rPr>
              <w:t>compensation</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ind w:left="160"/>
              <w:spacing w:after="0"/>
              <w:rPr>
                <w:sz w:val="20"/>
                <w:szCs w:val="20"/>
                <w:color w:val="auto"/>
              </w:rPr>
            </w:pPr>
            <w:r>
              <w:rPr>
                <w:rFonts w:ascii="Arial" w:cs="Arial" w:eastAsia="Arial" w:hAnsi="Arial"/>
                <w:sz w:val="14"/>
                <w:szCs w:val="14"/>
                <w:color w:val="auto"/>
              </w:rPr>
              <w:t>plan, net,</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tcPr>
          <w:p>
            <w:pPr>
              <w:ind w:left="160"/>
              <w:spacing w:after="0" w:line="149" w:lineRule="exact"/>
              <w:rPr>
                <w:sz w:val="20"/>
                <w:szCs w:val="20"/>
                <w:color w:val="auto"/>
              </w:rPr>
            </w:pPr>
            <w:r>
              <w:rPr>
                <w:rFonts w:ascii="Arial" w:cs="Arial" w:eastAsia="Arial" w:hAnsi="Arial"/>
                <w:sz w:val="14"/>
                <w:szCs w:val="14"/>
                <w:color w:val="auto"/>
              </w:rPr>
              <w:t>including dividend</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tcPr>
          <w:p>
            <w:pPr>
              <w:ind w:left="160"/>
              <w:spacing w:after="0"/>
              <w:rPr>
                <w:sz w:val="20"/>
                <w:szCs w:val="20"/>
                <w:color w:val="auto"/>
              </w:rPr>
            </w:pPr>
            <w:r>
              <w:rPr>
                <w:rFonts w:ascii="Arial" w:cs="Arial" w:eastAsia="Arial" w:hAnsi="Arial"/>
                <w:sz w:val="14"/>
                <w:szCs w:val="14"/>
                <w:color w:val="auto"/>
              </w:rPr>
              <w:t>equivalents</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8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rPr>
              <w:t>Shares issued from</w:t>
            </w:r>
          </w:p>
        </w:tc>
        <w:tc>
          <w:tcPr>
            <w:tcW w:w="420" w:type="dxa"/>
            <w:vAlign w:val="bottom"/>
            <w:shd w:val="clear" w:color="auto" w:fill="F0FFFF"/>
          </w:tcPr>
          <w:p>
            <w:pPr>
              <w:spacing w:after="0"/>
              <w:rPr>
                <w:sz w:val="11"/>
                <w:szCs w:val="11"/>
                <w:color w:val="auto"/>
              </w:rPr>
            </w:pPr>
          </w:p>
        </w:tc>
        <w:tc>
          <w:tcPr>
            <w:tcW w:w="4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360" w:type="dxa"/>
            <w:vAlign w:val="bottom"/>
            <w:shd w:val="clear" w:color="auto" w:fill="F0FFFF"/>
          </w:tcPr>
          <w:p>
            <w:pPr>
              <w:spacing w:after="0"/>
              <w:rPr>
                <w:sz w:val="11"/>
                <w:szCs w:val="11"/>
                <w:color w:val="auto"/>
              </w:rPr>
            </w:pPr>
          </w:p>
        </w:tc>
        <w:tc>
          <w:tcPr>
            <w:tcW w:w="34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5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5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7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400" w:type="dxa"/>
            <w:vAlign w:val="bottom"/>
            <w:shd w:val="clear" w:color="auto" w:fill="F0FFFF"/>
          </w:tcPr>
          <w:p>
            <w:pPr>
              <w:spacing w:after="0"/>
              <w:rPr>
                <w:sz w:val="11"/>
                <w:szCs w:val="11"/>
                <w:color w:val="auto"/>
              </w:rPr>
            </w:pPr>
          </w:p>
        </w:tc>
        <w:tc>
          <w:tcPr>
            <w:tcW w:w="84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color w:val="auto"/>
              </w:rPr>
              <w:t>deferred</w:t>
            </w:r>
          </w:p>
        </w:tc>
        <w:tc>
          <w:tcPr>
            <w:tcW w:w="420" w:type="dxa"/>
            <w:vAlign w:val="bottom"/>
            <w:shd w:val="clear" w:color="auto" w:fill="F0FFFF"/>
          </w:tcPr>
          <w:p>
            <w:pPr>
              <w:spacing w:after="0"/>
              <w:rPr>
                <w:sz w:val="12"/>
                <w:szCs w:val="12"/>
                <w:color w:val="auto"/>
              </w:rPr>
            </w:pPr>
          </w:p>
        </w:tc>
        <w:tc>
          <w:tcPr>
            <w:tcW w:w="4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3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5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5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0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color w:val="auto"/>
              </w:rPr>
              <w:t>compensation plan</w:t>
            </w:r>
          </w:p>
        </w:tc>
        <w:tc>
          <w:tcPr>
            <w:tcW w:w="420" w:type="dxa"/>
            <w:vAlign w:val="bottom"/>
            <w:shd w:val="clear" w:color="auto" w:fill="F0FFFF"/>
          </w:tcPr>
          <w:p>
            <w:pPr>
              <w:spacing w:after="0"/>
              <w:rPr>
                <w:sz w:val="12"/>
                <w:szCs w:val="12"/>
                <w:color w:val="auto"/>
              </w:rPr>
            </w:pPr>
          </w:p>
        </w:tc>
        <w:tc>
          <w:tcPr>
            <w:tcW w:w="4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3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5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5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0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shd w:val="clear" w:color="auto" w:fill="F0FFFF"/>
          </w:tcPr>
          <w:p>
            <w:pPr>
              <w:ind w:left="160"/>
              <w:spacing w:after="0"/>
              <w:rPr>
                <w:sz w:val="20"/>
                <w:szCs w:val="20"/>
                <w:color w:val="auto"/>
              </w:rPr>
            </w:pPr>
            <w:r>
              <w:rPr>
                <w:rFonts w:ascii="Arial" w:cs="Arial" w:eastAsia="Arial" w:hAnsi="Arial"/>
                <w:sz w:val="14"/>
                <w:szCs w:val="14"/>
                <w:color w:val="auto"/>
              </w:rPr>
              <w:t>(14,125 shares)</w:t>
            </w:r>
          </w:p>
        </w:tc>
        <w:tc>
          <w:tcPr>
            <w:tcW w:w="420" w:type="dxa"/>
            <w:vAlign w:val="bottom"/>
            <w:shd w:val="clear" w:color="auto" w:fill="F0FFFF"/>
          </w:tcPr>
          <w:p>
            <w:pPr>
              <w:spacing w:after="0"/>
              <w:rPr>
                <w:sz w:val="14"/>
                <w:szCs w:val="14"/>
                <w:color w:val="auto"/>
              </w:rPr>
            </w:pPr>
          </w:p>
        </w:tc>
        <w:tc>
          <w:tcPr>
            <w:tcW w:w="4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3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F0FFFF"/>
          </w:tcPr>
          <w:p>
            <w:pPr>
              <w:spacing w:after="0"/>
              <w:rPr>
                <w:sz w:val="14"/>
                <w:szCs w:val="14"/>
                <w:color w:val="auto"/>
              </w:rPr>
            </w:pPr>
          </w:p>
        </w:tc>
        <w:tc>
          <w:tcPr>
            <w:tcW w:w="280" w:type="dxa"/>
            <w:vAlign w:val="bottom"/>
            <w:shd w:val="clear" w:color="auto" w:fill="F0FFFF"/>
          </w:tcPr>
          <w:p>
            <w:pPr>
              <w:spacing w:after="0"/>
              <w:rPr>
                <w:sz w:val="14"/>
                <w:szCs w:val="14"/>
                <w:color w:val="auto"/>
              </w:rPr>
            </w:pPr>
          </w:p>
        </w:tc>
        <w:tc>
          <w:tcPr>
            <w:tcW w:w="52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280" w:type="dxa"/>
            <w:vAlign w:val="bottom"/>
            <w:shd w:val="clear" w:color="auto" w:fill="F0FFFF"/>
          </w:tcPr>
          <w:p>
            <w:pPr>
              <w:spacing w:after="0"/>
              <w:rPr>
                <w:sz w:val="14"/>
                <w:szCs w:val="14"/>
                <w:color w:val="auto"/>
              </w:rPr>
            </w:pPr>
          </w:p>
        </w:tc>
        <w:tc>
          <w:tcPr>
            <w:tcW w:w="62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(139)</w:t>
            </w:r>
          </w:p>
        </w:tc>
        <w:tc>
          <w:tcPr>
            <w:tcW w:w="260" w:type="dxa"/>
            <w:vAlign w:val="bottom"/>
            <w:shd w:val="clear" w:color="auto" w:fill="F0FFFF"/>
          </w:tcPr>
          <w:p>
            <w:pPr>
              <w:spacing w:after="0"/>
              <w:rPr>
                <w:sz w:val="14"/>
                <w:szCs w:val="14"/>
                <w:color w:val="auto"/>
              </w:rPr>
            </w:pP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125</w:t>
            </w:r>
          </w:p>
        </w:tc>
        <w:tc>
          <w:tcPr>
            <w:tcW w:w="400" w:type="dxa"/>
            <w:vAlign w:val="bottom"/>
            <w:shd w:val="clear" w:color="auto" w:fill="F0FFFF"/>
          </w:tcPr>
          <w:p>
            <w:pPr>
              <w:spacing w:after="0"/>
              <w:rPr>
                <w:sz w:val="14"/>
                <w:szCs w:val="14"/>
                <w:color w:val="auto"/>
              </w:rPr>
            </w:pPr>
          </w:p>
        </w:tc>
        <w:tc>
          <w:tcPr>
            <w:tcW w:w="8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480" w:type="dxa"/>
            <w:vAlign w:val="bottom"/>
            <w:shd w:val="clear" w:color="auto" w:fill="F0FFFF"/>
          </w:tcPr>
          <w:p>
            <w:pPr>
              <w:spacing w:after="0"/>
              <w:rPr>
                <w:sz w:val="14"/>
                <w:szCs w:val="14"/>
                <w:color w:val="auto"/>
              </w:rPr>
            </w:pPr>
          </w:p>
        </w:tc>
        <w:tc>
          <w:tcPr>
            <w:tcW w:w="86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6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80" w:type="dxa"/>
            <w:vAlign w:val="bottom"/>
          </w:tcPr>
          <w:p>
            <w:pPr>
              <w:spacing w:after="0" w:line="130" w:lineRule="exact"/>
              <w:rPr>
                <w:sz w:val="20"/>
                <w:szCs w:val="20"/>
                <w:color w:val="auto"/>
              </w:rPr>
            </w:pPr>
            <w:r>
              <w:rPr>
                <w:rFonts w:ascii="Arial" w:cs="Arial" w:eastAsia="Arial" w:hAnsi="Arial"/>
                <w:sz w:val="14"/>
                <w:szCs w:val="14"/>
                <w:color w:val="auto"/>
              </w:rPr>
              <w:t>Common stock</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80" w:type="dxa"/>
            <w:vAlign w:val="bottom"/>
          </w:tcPr>
          <w:p>
            <w:pPr>
              <w:ind w:left="160"/>
              <w:spacing w:after="0" w:line="149" w:lineRule="exact"/>
              <w:rPr>
                <w:sz w:val="20"/>
                <w:szCs w:val="20"/>
                <w:color w:val="auto"/>
              </w:rPr>
            </w:pPr>
            <w:r>
              <w:rPr>
                <w:rFonts w:ascii="Arial" w:cs="Arial" w:eastAsia="Arial" w:hAnsi="Arial"/>
                <w:sz w:val="14"/>
                <w:szCs w:val="14"/>
                <w:color w:val="auto"/>
              </w:rPr>
              <w:t>dividends ($.10</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tcPr>
          <w:p>
            <w:pPr>
              <w:ind w:left="160"/>
              <w:spacing w:after="0"/>
              <w:rPr>
                <w:sz w:val="20"/>
                <w:szCs w:val="20"/>
                <w:color w:val="auto"/>
              </w:rPr>
            </w:pPr>
            <w:r>
              <w:rPr>
                <w:rFonts w:ascii="Arial" w:cs="Arial" w:eastAsia="Arial" w:hAnsi="Arial"/>
                <w:sz w:val="14"/>
                <w:szCs w:val="14"/>
                <w:color w:val="auto"/>
              </w:rPr>
              <w:t>per share)</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(6,192)</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(6,192)</w:t>
            </w:r>
          </w:p>
        </w:tc>
        <w:tc>
          <w:tcPr>
            <w:tcW w:w="0" w:type="dxa"/>
            <w:vAlign w:val="bottom"/>
          </w:tcPr>
          <w:p>
            <w:pPr>
              <w:spacing w:after="0"/>
              <w:rPr>
                <w:sz w:val="1"/>
                <w:szCs w:val="1"/>
                <w:color w:val="auto"/>
              </w:rPr>
            </w:pPr>
          </w:p>
        </w:tc>
      </w:tr>
      <w:tr>
        <w:trPr>
          <w:trHeight w:val="130"/>
        </w:trPr>
        <w:tc>
          <w:tcPr>
            <w:tcW w:w="138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rPr>
              <w:t>Tax on option</w:t>
            </w:r>
          </w:p>
        </w:tc>
        <w:tc>
          <w:tcPr>
            <w:tcW w:w="420" w:type="dxa"/>
            <w:vAlign w:val="bottom"/>
            <w:shd w:val="clear" w:color="auto" w:fill="F0FFFF"/>
          </w:tcPr>
          <w:p>
            <w:pPr>
              <w:spacing w:after="0"/>
              <w:rPr>
                <w:sz w:val="11"/>
                <w:szCs w:val="11"/>
                <w:color w:val="auto"/>
              </w:rPr>
            </w:pPr>
          </w:p>
        </w:tc>
        <w:tc>
          <w:tcPr>
            <w:tcW w:w="4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360" w:type="dxa"/>
            <w:vAlign w:val="bottom"/>
            <w:shd w:val="clear" w:color="auto" w:fill="F0FFFF"/>
          </w:tcPr>
          <w:p>
            <w:pPr>
              <w:spacing w:after="0"/>
              <w:rPr>
                <w:sz w:val="11"/>
                <w:szCs w:val="11"/>
                <w:color w:val="auto"/>
              </w:rPr>
            </w:pPr>
          </w:p>
        </w:tc>
        <w:tc>
          <w:tcPr>
            <w:tcW w:w="34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5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280" w:type="dxa"/>
            <w:vAlign w:val="bottom"/>
            <w:shd w:val="clear" w:color="auto" w:fill="F0FFFF"/>
          </w:tcPr>
          <w:p>
            <w:pPr>
              <w:spacing w:after="0"/>
              <w:rPr>
                <w:sz w:val="11"/>
                <w:szCs w:val="11"/>
                <w:color w:val="auto"/>
              </w:rPr>
            </w:pPr>
          </w:p>
        </w:tc>
        <w:tc>
          <w:tcPr>
            <w:tcW w:w="5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7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400" w:type="dxa"/>
            <w:vAlign w:val="bottom"/>
            <w:shd w:val="clear" w:color="auto" w:fill="F0FFFF"/>
          </w:tcPr>
          <w:p>
            <w:pPr>
              <w:spacing w:after="0"/>
              <w:rPr>
                <w:sz w:val="11"/>
                <w:szCs w:val="11"/>
                <w:color w:val="auto"/>
              </w:rPr>
            </w:pPr>
          </w:p>
        </w:tc>
        <w:tc>
          <w:tcPr>
            <w:tcW w:w="84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color w:val="auto"/>
              </w:rPr>
              <w:t>exercise and</w:t>
            </w:r>
          </w:p>
        </w:tc>
        <w:tc>
          <w:tcPr>
            <w:tcW w:w="420" w:type="dxa"/>
            <w:vAlign w:val="bottom"/>
            <w:shd w:val="clear" w:color="auto" w:fill="F0FFFF"/>
          </w:tcPr>
          <w:p>
            <w:pPr>
              <w:spacing w:after="0"/>
              <w:rPr>
                <w:sz w:val="12"/>
                <w:szCs w:val="12"/>
                <w:color w:val="auto"/>
              </w:rPr>
            </w:pPr>
          </w:p>
        </w:tc>
        <w:tc>
          <w:tcPr>
            <w:tcW w:w="4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3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5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5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0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color w:val="auto"/>
              </w:rPr>
              <w:t>restricted stock</w:t>
            </w:r>
          </w:p>
        </w:tc>
        <w:tc>
          <w:tcPr>
            <w:tcW w:w="420" w:type="dxa"/>
            <w:vAlign w:val="bottom"/>
            <w:shd w:val="clear" w:color="auto" w:fill="F0FFFF"/>
          </w:tcPr>
          <w:p>
            <w:pPr>
              <w:spacing w:after="0"/>
              <w:rPr>
                <w:sz w:val="12"/>
                <w:szCs w:val="12"/>
                <w:color w:val="auto"/>
              </w:rPr>
            </w:pPr>
          </w:p>
        </w:tc>
        <w:tc>
          <w:tcPr>
            <w:tcW w:w="4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3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5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80" w:type="dxa"/>
            <w:vAlign w:val="bottom"/>
            <w:shd w:val="clear" w:color="auto" w:fill="F0FFFF"/>
          </w:tcPr>
          <w:p>
            <w:pPr>
              <w:spacing w:after="0"/>
              <w:rPr>
                <w:sz w:val="12"/>
                <w:szCs w:val="12"/>
                <w:color w:val="auto"/>
              </w:rPr>
            </w:pPr>
          </w:p>
        </w:tc>
        <w:tc>
          <w:tcPr>
            <w:tcW w:w="5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40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shd w:val="clear" w:color="auto" w:fill="F0FFFF"/>
          </w:tcPr>
          <w:p>
            <w:pPr>
              <w:ind w:left="160"/>
              <w:spacing w:after="0"/>
              <w:rPr>
                <w:sz w:val="20"/>
                <w:szCs w:val="20"/>
                <w:color w:val="auto"/>
              </w:rPr>
            </w:pPr>
            <w:r>
              <w:rPr>
                <w:rFonts w:ascii="Arial" w:cs="Arial" w:eastAsia="Arial" w:hAnsi="Arial"/>
                <w:sz w:val="14"/>
                <w:szCs w:val="14"/>
                <w:color w:val="auto"/>
              </w:rPr>
              <w:t>vesting</w:t>
            </w:r>
          </w:p>
        </w:tc>
        <w:tc>
          <w:tcPr>
            <w:tcW w:w="420" w:type="dxa"/>
            <w:vAlign w:val="bottom"/>
            <w:shd w:val="clear" w:color="auto" w:fill="F0FFFF"/>
          </w:tcPr>
          <w:p>
            <w:pPr>
              <w:spacing w:after="0"/>
              <w:rPr>
                <w:sz w:val="14"/>
                <w:szCs w:val="14"/>
                <w:color w:val="auto"/>
              </w:rPr>
            </w:pPr>
          </w:p>
        </w:tc>
        <w:tc>
          <w:tcPr>
            <w:tcW w:w="4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3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280" w:type="dxa"/>
            <w:vAlign w:val="bottom"/>
            <w:shd w:val="clear" w:color="auto" w:fill="F0FFFF"/>
          </w:tcPr>
          <w:p>
            <w:pPr>
              <w:spacing w:after="0"/>
              <w:rPr>
                <w:sz w:val="14"/>
                <w:szCs w:val="14"/>
                <w:color w:val="auto"/>
              </w:rPr>
            </w:pPr>
          </w:p>
        </w:tc>
        <w:tc>
          <w:tcPr>
            <w:tcW w:w="52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280" w:type="dxa"/>
            <w:vAlign w:val="bottom"/>
            <w:shd w:val="clear" w:color="auto" w:fill="F0FFFF"/>
          </w:tcPr>
          <w:p>
            <w:pPr>
              <w:spacing w:after="0"/>
              <w:rPr>
                <w:sz w:val="14"/>
                <w:szCs w:val="14"/>
                <w:color w:val="auto"/>
              </w:rPr>
            </w:pPr>
          </w:p>
        </w:tc>
        <w:tc>
          <w:tcPr>
            <w:tcW w:w="5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559</w:t>
            </w:r>
          </w:p>
        </w:tc>
        <w:tc>
          <w:tcPr>
            <w:tcW w:w="400" w:type="dxa"/>
            <w:vAlign w:val="bottom"/>
            <w:shd w:val="clear" w:color="auto" w:fill="F0FFFF"/>
          </w:tcPr>
          <w:p>
            <w:pPr>
              <w:spacing w:after="0"/>
              <w:rPr>
                <w:sz w:val="14"/>
                <w:szCs w:val="14"/>
                <w:color w:val="auto"/>
              </w:rPr>
            </w:pPr>
          </w:p>
        </w:tc>
        <w:tc>
          <w:tcPr>
            <w:tcW w:w="8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480" w:type="dxa"/>
            <w:vAlign w:val="bottom"/>
            <w:shd w:val="clear" w:color="auto" w:fill="F0FFFF"/>
          </w:tcPr>
          <w:p>
            <w:pPr>
              <w:spacing w:after="0"/>
              <w:rPr>
                <w:sz w:val="14"/>
                <w:szCs w:val="14"/>
                <w:color w:val="auto"/>
              </w:rPr>
            </w:pPr>
          </w:p>
        </w:tc>
        <w:tc>
          <w:tcPr>
            <w:tcW w:w="86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6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559</w:t>
            </w:r>
          </w:p>
        </w:tc>
        <w:tc>
          <w:tcPr>
            <w:tcW w:w="10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80" w:type="dxa"/>
            <w:vAlign w:val="bottom"/>
          </w:tcPr>
          <w:p>
            <w:pPr>
              <w:spacing w:after="0" w:line="130" w:lineRule="exact"/>
              <w:rPr>
                <w:sz w:val="20"/>
                <w:szCs w:val="20"/>
                <w:color w:val="auto"/>
              </w:rPr>
            </w:pPr>
            <w:r>
              <w:rPr>
                <w:rFonts w:ascii="Arial" w:cs="Arial" w:eastAsia="Arial" w:hAnsi="Arial"/>
                <w:sz w:val="14"/>
                <w:szCs w:val="14"/>
                <w:color w:val="auto"/>
              </w:rPr>
              <w:t>Preferred stock</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80" w:type="dxa"/>
            <w:vAlign w:val="bottom"/>
          </w:tcPr>
          <w:p>
            <w:pPr>
              <w:ind w:left="160"/>
              <w:spacing w:after="0"/>
              <w:rPr>
                <w:sz w:val="20"/>
                <w:szCs w:val="20"/>
                <w:color w:val="auto"/>
              </w:rPr>
            </w:pPr>
            <w:r>
              <w:rPr>
                <w:rFonts w:ascii="Arial" w:cs="Arial" w:eastAsia="Arial" w:hAnsi="Arial"/>
                <w:sz w:val="14"/>
                <w:szCs w:val="14"/>
                <w:color w:val="auto"/>
              </w:rPr>
              <w:t>dividends:</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F0FFFF"/>
          </w:tcPr>
          <w:p>
            <w:pPr>
              <w:spacing w:after="0"/>
              <w:rPr>
                <w:sz w:val="20"/>
                <w:szCs w:val="20"/>
                <w:color w:val="auto"/>
              </w:rPr>
            </w:pPr>
            <w:r>
              <w:rPr>
                <w:rFonts w:ascii="Arial" w:cs="Arial" w:eastAsia="Arial" w:hAnsi="Arial"/>
                <w:sz w:val="14"/>
                <w:szCs w:val="14"/>
                <w:color w:val="auto"/>
              </w:rPr>
              <w:t>Series H</w:t>
            </w:r>
          </w:p>
        </w:tc>
        <w:tc>
          <w:tcPr>
            <w:tcW w:w="420" w:type="dxa"/>
            <w:vAlign w:val="bottom"/>
            <w:shd w:val="clear" w:color="auto" w:fill="F0FFFF"/>
          </w:tcPr>
          <w:p>
            <w:pPr>
              <w:spacing w:after="0"/>
              <w:rPr>
                <w:sz w:val="14"/>
                <w:szCs w:val="14"/>
                <w:color w:val="auto"/>
              </w:rPr>
            </w:pPr>
          </w:p>
        </w:tc>
        <w:tc>
          <w:tcPr>
            <w:tcW w:w="4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3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280" w:type="dxa"/>
            <w:vAlign w:val="bottom"/>
            <w:shd w:val="clear" w:color="auto" w:fill="F0FFFF"/>
          </w:tcPr>
          <w:p>
            <w:pPr>
              <w:spacing w:after="0"/>
              <w:rPr>
                <w:sz w:val="14"/>
                <w:szCs w:val="14"/>
                <w:color w:val="auto"/>
              </w:rPr>
            </w:pPr>
          </w:p>
        </w:tc>
        <w:tc>
          <w:tcPr>
            <w:tcW w:w="52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280" w:type="dxa"/>
            <w:vAlign w:val="bottom"/>
            <w:shd w:val="clear" w:color="auto" w:fill="F0FFFF"/>
          </w:tcPr>
          <w:p>
            <w:pPr>
              <w:spacing w:after="0"/>
              <w:rPr>
                <w:sz w:val="14"/>
                <w:szCs w:val="14"/>
                <w:color w:val="auto"/>
              </w:rPr>
            </w:pPr>
          </w:p>
        </w:tc>
        <w:tc>
          <w:tcPr>
            <w:tcW w:w="5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76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400" w:type="dxa"/>
            <w:vAlign w:val="bottom"/>
            <w:shd w:val="clear" w:color="auto" w:fill="F0FFFF"/>
          </w:tcPr>
          <w:p>
            <w:pPr>
              <w:spacing w:after="0"/>
              <w:rPr>
                <w:sz w:val="14"/>
                <w:szCs w:val="14"/>
                <w:color w:val="auto"/>
              </w:rPr>
            </w:pPr>
          </w:p>
        </w:tc>
        <w:tc>
          <w:tcPr>
            <w:tcW w:w="96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(17)</w:t>
            </w:r>
          </w:p>
        </w:tc>
        <w:tc>
          <w:tcPr>
            <w:tcW w:w="480" w:type="dxa"/>
            <w:vAlign w:val="bottom"/>
            <w:shd w:val="clear" w:color="auto" w:fill="F0FFFF"/>
          </w:tcPr>
          <w:p>
            <w:pPr>
              <w:spacing w:after="0"/>
              <w:rPr>
                <w:sz w:val="14"/>
                <w:szCs w:val="14"/>
                <w:color w:val="auto"/>
              </w:rPr>
            </w:pPr>
          </w:p>
        </w:tc>
        <w:tc>
          <w:tcPr>
            <w:tcW w:w="86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70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
        </w:trPr>
        <w:tc>
          <w:tcPr>
            <w:tcW w:w="1380" w:type="dxa"/>
            <w:vAlign w:val="bottom"/>
            <w:tcBorders>
              <w:top w:val="single" w:sz="8" w:color="F0FFFF"/>
            </w:tcBorders>
            <w:vMerge w:val="restart"/>
          </w:tcPr>
          <w:p>
            <w:pPr>
              <w:spacing w:after="0" w:line="119" w:lineRule="exact"/>
              <w:rPr>
                <w:sz w:val="20"/>
                <w:szCs w:val="20"/>
                <w:color w:val="auto"/>
              </w:rPr>
            </w:pPr>
            <w:r>
              <w:rPr>
                <w:rFonts w:ascii="Arial" w:cs="Arial" w:eastAsia="Arial" w:hAnsi="Arial"/>
                <w:sz w:val="13"/>
                <w:szCs w:val="13"/>
                <w:b w:val="1"/>
                <w:bCs w:val="1"/>
                <w:color w:val="auto"/>
              </w:rPr>
              <w:t>Balance, June 30,</w:t>
            </w: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380" w:type="dxa"/>
            <w:vAlign w:val="bottom"/>
            <w:vMerge w:val="continue"/>
          </w:tcPr>
          <w:p>
            <w:pPr>
              <w:spacing w:after="0"/>
              <w:rPr>
                <w:sz w:val="8"/>
                <w:szCs w:val="8"/>
                <w:color w:val="auto"/>
              </w:rPr>
            </w:pPr>
          </w:p>
        </w:tc>
        <w:tc>
          <w:tcPr>
            <w:tcW w:w="420" w:type="dxa"/>
            <w:vAlign w:val="bottom"/>
            <w:vMerge w:val="restart"/>
          </w:tcPr>
          <w:p>
            <w:pPr>
              <w:jc w:val="right"/>
              <w:ind w:right="268"/>
              <w:spacing w:after="0"/>
              <w:rPr>
                <w:sz w:val="20"/>
                <w:szCs w:val="20"/>
                <w:color w:val="auto"/>
              </w:rPr>
            </w:pPr>
            <w:r>
              <w:rPr>
                <w:rFonts w:ascii="Arial" w:cs="Arial" w:eastAsia="Arial" w:hAnsi="Arial"/>
                <w:sz w:val="14"/>
                <w:szCs w:val="14"/>
                <w:color w:val="auto"/>
                <w:w w:val="76"/>
              </w:rPr>
              <w:t>$</w:t>
            </w:r>
          </w:p>
        </w:tc>
        <w:tc>
          <w:tcPr>
            <w:tcW w:w="880" w:type="dxa"/>
            <w:vAlign w:val="bottom"/>
            <w:gridSpan w:val="3"/>
            <w:vMerge w:val="restart"/>
          </w:tcPr>
          <w:p>
            <w:pPr>
              <w:jc w:val="right"/>
              <w:ind w:right="300"/>
              <w:spacing w:after="0"/>
              <w:rPr>
                <w:sz w:val="20"/>
                <w:szCs w:val="20"/>
                <w:color w:val="auto"/>
              </w:rPr>
            </w:pPr>
            <w:r>
              <w:rPr>
                <w:rFonts w:ascii="Arial" w:cs="Arial" w:eastAsia="Arial" w:hAnsi="Arial"/>
                <w:sz w:val="14"/>
                <w:szCs w:val="14"/>
                <w:color w:val="auto"/>
              </w:rPr>
              <w:t>-  $</w:t>
            </w:r>
          </w:p>
        </w:tc>
        <w:tc>
          <w:tcPr>
            <w:tcW w:w="1160" w:type="dxa"/>
            <w:vAlign w:val="bottom"/>
            <w:gridSpan w:val="4"/>
            <w:vMerge w:val="restart"/>
          </w:tcPr>
          <w:p>
            <w:pPr>
              <w:jc w:val="right"/>
              <w:ind w:right="120"/>
              <w:spacing w:after="0"/>
              <w:rPr>
                <w:sz w:val="20"/>
                <w:szCs w:val="20"/>
                <w:color w:val="auto"/>
              </w:rPr>
            </w:pPr>
            <w:r>
              <w:rPr>
                <w:rFonts w:ascii="Arial" w:cs="Arial" w:eastAsia="Arial" w:hAnsi="Arial"/>
                <w:sz w:val="14"/>
                <w:szCs w:val="14"/>
                <w:color w:val="auto"/>
              </w:rPr>
              <w:t>-  $   9,992</w:t>
            </w: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54,415</w:t>
            </w:r>
          </w:p>
        </w:tc>
        <w:tc>
          <w:tcPr>
            <w:tcW w:w="280" w:type="dxa"/>
            <w:vAlign w:val="bottom"/>
            <w:vMerge w:val="restart"/>
          </w:tcPr>
          <w:p>
            <w:pPr>
              <w:jc w:val="right"/>
              <w:ind w:right="169"/>
              <w:spacing w:after="0"/>
              <w:rPr>
                <w:sz w:val="20"/>
                <w:szCs w:val="20"/>
                <w:color w:val="auto"/>
              </w:rPr>
            </w:pPr>
            <w:r>
              <w:rPr>
                <w:rFonts w:ascii="Arial" w:cs="Arial" w:eastAsia="Arial" w:hAnsi="Arial"/>
                <w:sz w:val="10"/>
                <w:szCs w:val="10"/>
                <w:color w:val="auto"/>
                <w:w w:val="71"/>
              </w:rPr>
              <w:t>$</w:t>
            </w: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8,286</w:t>
            </w:r>
          </w:p>
        </w:tc>
        <w:tc>
          <w:tcPr>
            <w:tcW w:w="3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6,071</w:t>
            </w:r>
          </w:p>
        </w:tc>
        <w:tc>
          <w:tcPr>
            <w:tcW w:w="260" w:type="dxa"/>
            <w:vAlign w:val="bottom"/>
            <w:vMerge w:val="restart"/>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1,123,730</w:t>
            </w:r>
          </w:p>
        </w:tc>
        <w:tc>
          <w:tcPr>
            <w:tcW w:w="400" w:type="dxa"/>
            <w:vAlign w:val="bottom"/>
            <w:vMerge w:val="restart"/>
          </w:tcPr>
          <w:p>
            <w:pPr>
              <w:jc w:val="right"/>
              <w:ind w:right="248"/>
              <w:spacing w:after="0"/>
              <w:rPr>
                <w:sz w:val="20"/>
                <w:szCs w:val="20"/>
                <w:color w:val="auto"/>
              </w:rPr>
            </w:pPr>
            <w:r>
              <w:rPr>
                <w:rFonts w:ascii="Arial" w:cs="Arial" w:eastAsia="Arial" w:hAnsi="Arial"/>
                <w:sz w:val="14"/>
                <w:szCs w:val="14"/>
                <w:color w:val="auto"/>
                <w:w w:val="76"/>
              </w:rPr>
              <w:t>$</w:t>
            </w:r>
          </w:p>
        </w:tc>
        <w:tc>
          <w:tcPr>
            <w:tcW w:w="1440" w:type="dxa"/>
            <w:vAlign w:val="bottom"/>
            <w:gridSpan w:val="3"/>
            <w:vMerge w:val="restart"/>
          </w:tcPr>
          <w:p>
            <w:pPr>
              <w:jc w:val="right"/>
              <w:ind w:right="420"/>
              <w:spacing w:after="0" w:line="236" w:lineRule="exact"/>
              <w:rPr>
                <w:sz w:val="20"/>
                <w:szCs w:val="20"/>
                <w:color w:val="auto"/>
              </w:rPr>
            </w:pPr>
            <w:r>
              <w:rPr>
                <w:rFonts w:ascii="Arial" w:cs="Arial" w:eastAsia="Arial" w:hAnsi="Arial"/>
                <w:sz w:val="14"/>
                <w:szCs w:val="14"/>
                <w:color w:val="auto"/>
              </w:rPr>
              <w:t>(358,294</w:t>
            </w:r>
            <w:r>
              <w:rPr>
                <w:rFonts w:ascii="Arial" w:cs="Arial" w:eastAsia="Arial" w:hAnsi="Arial"/>
                <w:sz w:val="27"/>
                <w:szCs w:val="27"/>
                <w:color w:val="auto"/>
                <w:vertAlign w:val="superscript"/>
              </w:rPr>
              <w:t>)</w:t>
            </w:r>
            <w:r>
              <w:rPr>
                <w:rFonts w:ascii="Arial" w:cs="Arial" w:eastAsia="Arial" w:hAnsi="Arial"/>
                <w:sz w:val="14"/>
                <w:szCs w:val="14"/>
                <w:color w:val="auto"/>
              </w:rPr>
              <w:t xml:space="preserve"> $</w:t>
            </w:r>
          </w:p>
        </w:tc>
        <w:tc>
          <w:tcPr>
            <w:tcW w:w="1160" w:type="dxa"/>
            <w:vAlign w:val="bottom"/>
            <w:gridSpan w:val="3"/>
            <w:vMerge w:val="restart"/>
          </w:tcPr>
          <w:p>
            <w:pPr>
              <w:jc w:val="right"/>
              <w:ind w:right="120"/>
              <w:spacing w:after="0" w:line="236" w:lineRule="exact"/>
              <w:rPr>
                <w:sz w:val="20"/>
                <w:szCs w:val="20"/>
                <w:color w:val="auto"/>
              </w:rPr>
            </w:pPr>
            <w:r>
              <w:rPr>
                <w:rFonts w:ascii="Arial" w:cs="Arial" w:eastAsia="Arial" w:hAnsi="Arial"/>
                <w:sz w:val="14"/>
                <w:szCs w:val="14"/>
                <w:color w:val="auto"/>
              </w:rPr>
              <w:t>(16,968</w:t>
            </w:r>
            <w:r>
              <w:rPr>
                <w:rFonts w:ascii="Arial" w:cs="Arial" w:eastAsia="Arial" w:hAnsi="Arial"/>
                <w:sz w:val="27"/>
                <w:szCs w:val="27"/>
                <w:color w:val="auto"/>
                <w:vertAlign w:val="superscript"/>
              </w:rPr>
              <w:t>)</w:t>
            </w:r>
            <w:r>
              <w:rPr>
                <w:rFonts w:ascii="Arial" w:cs="Arial" w:eastAsia="Arial" w:hAnsi="Arial"/>
                <w:sz w:val="14"/>
                <w:szCs w:val="14"/>
                <w:color w:val="auto"/>
              </w:rPr>
              <w:t xml:space="preserve">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827,232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380" w:type="dxa"/>
            <w:vAlign w:val="bottom"/>
          </w:tcPr>
          <w:p>
            <w:pPr>
              <w:ind w:left="160"/>
              <w:spacing w:after="0" w:line="125" w:lineRule="exact"/>
              <w:rPr>
                <w:sz w:val="20"/>
                <w:szCs w:val="20"/>
                <w:color w:val="auto"/>
              </w:rPr>
            </w:pPr>
            <w:r>
              <w:rPr>
                <w:rFonts w:ascii="Arial" w:cs="Arial" w:eastAsia="Arial" w:hAnsi="Arial"/>
                <w:sz w:val="14"/>
                <w:szCs w:val="14"/>
                <w:b w:val="1"/>
                <w:bCs w:val="1"/>
                <w:color w:val="auto"/>
              </w:rPr>
              <w:t>2015</w:t>
            </w:r>
          </w:p>
        </w:tc>
        <w:tc>
          <w:tcPr>
            <w:tcW w:w="420" w:type="dxa"/>
            <w:vAlign w:val="bottom"/>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8" w:name="page9"/>
    <w:bookmarkEnd w:id="8"/>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Cash Flows </w:t>
      </w:r>
      <w:r>
        <w:rPr>
          <w:rFonts w:ascii="Arial" w:cs="Arial" w:eastAsia="Arial" w:hAnsi="Arial"/>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8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81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40" w:type="dxa"/>
            <w:vAlign w:val="bottom"/>
            <w:tcBorders>
              <w:bottom w:val="single" w:sz="8" w:color="F0FF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F0FFFF"/>
            </w:tcBorders>
          </w:tcPr>
          <w:p>
            <w:pPr>
              <w:spacing w:after="0"/>
              <w:rPr>
                <w:sz w:val="20"/>
                <w:szCs w:val="20"/>
                <w:color w:val="auto"/>
              </w:rPr>
            </w:pPr>
          </w:p>
        </w:tc>
        <w:tc>
          <w:tcPr>
            <w:tcW w:w="120" w:type="dxa"/>
            <w:vAlign w:val="bottom"/>
            <w:tcBorders>
              <w:bottom w:val="single" w:sz="8" w:color="F0FF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F0FFFF"/>
            </w:tcBorders>
          </w:tcPr>
          <w:p>
            <w:pPr>
              <w:spacing w:after="0"/>
              <w:rPr>
                <w:sz w:val="20"/>
                <w:szCs w:val="20"/>
                <w:color w:val="auto"/>
              </w:rPr>
            </w:pPr>
          </w:p>
        </w:tc>
      </w:tr>
      <w:tr>
        <w:trPr>
          <w:trHeight w:val="243"/>
        </w:trPr>
        <w:tc>
          <w:tcPr>
            <w:tcW w:w="8460" w:type="dxa"/>
            <w:vAlign w:val="bottom"/>
            <w:gridSpan w:val="2"/>
            <w:shd w:val="clear" w:color="auto" w:fill="F0FFFF"/>
          </w:tcPr>
          <w:p>
            <w:pPr>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shd w:val="clear" w:color="auto" w:fill="F0FFFF"/>
          </w:tcPr>
          <w:p>
            <w:pPr>
              <w:spacing w:after="0"/>
              <w:rPr>
                <w:sz w:val="21"/>
                <w:szCs w:val="21"/>
                <w:color w:val="auto"/>
              </w:rPr>
            </w:pPr>
          </w:p>
        </w:tc>
        <w:tc>
          <w:tcPr>
            <w:tcW w:w="100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9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r>
      <w:tr>
        <w:trPr>
          <w:trHeight w:val="243"/>
        </w:trPr>
        <w:tc>
          <w:tcPr>
            <w:tcW w:w="846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35,483</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31,757</w:t>
            </w:r>
          </w:p>
        </w:tc>
      </w:tr>
      <w:tr>
        <w:trPr>
          <w:trHeight w:val="243"/>
        </w:trPr>
        <w:tc>
          <w:tcPr>
            <w:tcW w:w="846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80" w:type="dxa"/>
            <w:vAlign w:val="bottom"/>
            <w:shd w:val="clear" w:color="auto" w:fill="F0FFFF"/>
          </w:tcPr>
          <w:p>
            <w:pPr>
              <w:spacing w:after="0"/>
              <w:rPr>
                <w:sz w:val="21"/>
                <w:szCs w:val="21"/>
                <w:color w:val="auto"/>
              </w:rPr>
            </w:pPr>
          </w:p>
        </w:tc>
        <w:tc>
          <w:tcPr>
            <w:tcW w:w="100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9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r>
      <w:tr>
        <w:trPr>
          <w:trHeight w:val="243"/>
        </w:trPr>
        <w:tc>
          <w:tcPr>
            <w:tcW w:w="8460" w:type="dxa"/>
            <w:vAlign w:val="bottom"/>
            <w:gridSpan w:val="2"/>
          </w:tcPr>
          <w:p>
            <w:pPr>
              <w:ind w:left="320"/>
              <w:spacing w:after="0"/>
              <w:rPr>
                <w:sz w:val="20"/>
                <w:szCs w:val="20"/>
                <w:color w:val="auto"/>
              </w:rPr>
            </w:pPr>
            <w:r>
              <w:rPr>
                <w:rFonts w:ascii="Arial" w:cs="Arial" w:eastAsia="Arial" w:hAnsi="Arial"/>
                <w:sz w:val="18"/>
                <w:szCs w:val="18"/>
                <w:color w:val="auto"/>
              </w:rPr>
              <w:t>Depreciation, amortization and accretion</w:t>
            </w:r>
          </w:p>
        </w:tc>
        <w:tc>
          <w:tcPr>
            <w:tcW w:w="28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10,896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9,966</w:t>
            </w:r>
          </w:p>
        </w:tc>
      </w:tr>
      <w:tr>
        <w:trPr>
          <w:trHeight w:val="243"/>
        </w:trPr>
        <w:tc>
          <w:tcPr>
            <w:tcW w:w="8460" w:type="dxa"/>
            <w:vAlign w:val="bottom"/>
            <w:gridSpan w:val="2"/>
            <w:shd w:val="clear" w:color="auto" w:fill="F0FFFF"/>
          </w:tcPr>
          <w:p>
            <w:pPr>
              <w:ind w:left="320"/>
              <w:spacing w:after="0"/>
              <w:rPr>
                <w:sz w:val="20"/>
                <w:szCs w:val="20"/>
                <w:color w:val="auto"/>
              </w:rPr>
            </w:pPr>
            <w:r>
              <w:rPr>
                <w:rFonts w:ascii="Arial" w:cs="Arial" w:eastAsia="Arial" w:hAnsi="Arial"/>
                <w:sz w:val="18"/>
                <w:szCs w:val="18"/>
                <w:color w:val="auto"/>
              </w:rPr>
              <w:t>Provision for credit losses</w:t>
            </w:r>
          </w:p>
        </w:tc>
        <w:tc>
          <w:tcPr>
            <w:tcW w:w="280" w:type="dxa"/>
            <w:vAlign w:val="bottom"/>
            <w:shd w:val="clear" w:color="auto" w:fill="F0FFFF"/>
          </w:tcPr>
          <w:p>
            <w:pPr>
              <w:spacing w:after="0"/>
              <w:rPr>
                <w:sz w:val="21"/>
                <w:szCs w:val="21"/>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2,700</w:t>
            </w:r>
          </w:p>
        </w:tc>
        <w:tc>
          <w:tcPr>
            <w:tcW w:w="2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4,700</w:t>
            </w:r>
          </w:p>
        </w:tc>
      </w:tr>
      <w:tr>
        <w:trPr>
          <w:trHeight w:val="243"/>
        </w:trPr>
        <w:tc>
          <w:tcPr>
            <w:tcW w:w="8460" w:type="dxa"/>
            <w:vAlign w:val="bottom"/>
            <w:gridSpan w:val="2"/>
          </w:tcPr>
          <w:p>
            <w:pPr>
              <w:ind w:left="320"/>
              <w:spacing w:after="0"/>
              <w:rPr>
                <w:sz w:val="20"/>
                <w:szCs w:val="20"/>
                <w:color w:val="auto"/>
              </w:rPr>
            </w:pPr>
            <w:r>
              <w:rPr>
                <w:rFonts w:ascii="Arial" w:cs="Arial" w:eastAsia="Arial" w:hAnsi="Arial"/>
                <w:sz w:val="18"/>
                <w:szCs w:val="18"/>
                <w:color w:val="auto"/>
              </w:rPr>
              <w:t>Stock based compensation</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2,178</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2,228</w:t>
            </w:r>
          </w:p>
        </w:tc>
      </w:tr>
      <w:tr>
        <w:trPr>
          <w:trHeight w:val="243"/>
        </w:trPr>
        <w:tc>
          <w:tcPr>
            <w:tcW w:w="8460" w:type="dxa"/>
            <w:vAlign w:val="bottom"/>
            <w:gridSpan w:val="2"/>
            <w:shd w:val="clear" w:color="auto" w:fill="F0FFFF"/>
          </w:tcPr>
          <w:p>
            <w:pPr>
              <w:ind w:left="320"/>
              <w:spacing w:after="0"/>
              <w:rPr>
                <w:sz w:val="20"/>
                <w:szCs w:val="20"/>
                <w:color w:val="auto"/>
              </w:rPr>
            </w:pPr>
            <w:r>
              <w:rPr>
                <w:rFonts w:ascii="Arial" w:cs="Arial" w:eastAsia="Arial" w:hAnsi="Arial"/>
                <w:sz w:val="18"/>
                <w:szCs w:val="18"/>
                <w:color w:val="auto"/>
              </w:rPr>
              <w:t>Deferred income tax benefit</w:t>
            </w:r>
          </w:p>
        </w:tc>
        <w:tc>
          <w:tcPr>
            <w:tcW w:w="28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18,519</w:t>
            </w:r>
          </w:p>
        </w:tc>
        <w:tc>
          <w:tcPr>
            <w:tcW w:w="12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18,716</w:t>
            </w:r>
          </w:p>
        </w:tc>
      </w:tr>
      <w:tr>
        <w:trPr>
          <w:trHeight w:val="243"/>
        </w:trPr>
        <w:tc>
          <w:tcPr>
            <w:tcW w:w="8460" w:type="dxa"/>
            <w:vAlign w:val="bottom"/>
            <w:gridSpan w:val="2"/>
          </w:tcPr>
          <w:p>
            <w:pPr>
              <w:ind w:left="320"/>
              <w:spacing w:after="0"/>
              <w:rPr>
                <w:sz w:val="20"/>
                <w:szCs w:val="20"/>
                <w:color w:val="auto"/>
              </w:rPr>
            </w:pPr>
            <w:r>
              <w:rPr>
                <w:rFonts w:ascii="Arial" w:cs="Arial" w:eastAsia="Arial" w:hAnsi="Arial"/>
                <w:sz w:val="18"/>
                <w:szCs w:val="18"/>
                <w:color w:val="auto"/>
              </w:rPr>
              <w:t>Securities gains, net</w:t>
            </w:r>
          </w:p>
        </w:tc>
        <w:tc>
          <w:tcPr>
            <w:tcW w:w="28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(4,652)</w:t>
            </w:r>
          </w:p>
        </w:tc>
      </w:tr>
      <w:tr>
        <w:trPr>
          <w:trHeight w:val="243"/>
        </w:trPr>
        <w:tc>
          <w:tcPr>
            <w:tcW w:w="8460" w:type="dxa"/>
            <w:vAlign w:val="bottom"/>
            <w:gridSpan w:val="2"/>
            <w:shd w:val="clear" w:color="auto" w:fill="F0FFFF"/>
          </w:tcPr>
          <w:p>
            <w:pPr>
              <w:ind w:left="320"/>
              <w:spacing w:after="0"/>
              <w:rPr>
                <w:sz w:val="20"/>
                <w:szCs w:val="20"/>
                <w:color w:val="auto"/>
              </w:rPr>
            </w:pPr>
            <w:r>
              <w:rPr>
                <w:rFonts w:ascii="Arial" w:cs="Arial" w:eastAsia="Arial" w:hAnsi="Arial"/>
                <w:sz w:val="18"/>
                <w:szCs w:val="18"/>
                <w:color w:val="auto"/>
              </w:rPr>
              <w:t>Gains from sales of government guaranteed loans</w:t>
            </w:r>
          </w:p>
        </w:tc>
        <w:tc>
          <w:tcPr>
            <w:tcW w:w="28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(2,635)</w:t>
            </w:r>
          </w:p>
        </w:tc>
        <w:tc>
          <w:tcPr>
            <w:tcW w:w="12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8460" w:type="dxa"/>
            <w:vAlign w:val="bottom"/>
            <w:gridSpan w:val="2"/>
          </w:tcPr>
          <w:p>
            <w:pPr>
              <w:ind w:left="320"/>
              <w:spacing w:after="0"/>
              <w:rPr>
                <w:sz w:val="20"/>
                <w:szCs w:val="20"/>
                <w:color w:val="auto"/>
              </w:rPr>
            </w:pPr>
            <w:r>
              <w:rPr>
                <w:rFonts w:ascii="Arial" w:cs="Arial" w:eastAsia="Arial" w:hAnsi="Arial"/>
                <w:sz w:val="18"/>
                <w:szCs w:val="18"/>
                <w:color w:val="auto"/>
              </w:rPr>
              <w:t>Net gains on sale of other assets</w:t>
            </w:r>
          </w:p>
        </w:tc>
        <w:tc>
          <w:tcPr>
            <w:tcW w:w="28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8460" w:type="dxa"/>
            <w:vAlign w:val="bottom"/>
            <w:gridSpan w:val="2"/>
            <w:shd w:val="clear" w:color="auto" w:fill="F0FFFF"/>
          </w:tcPr>
          <w:p>
            <w:pPr>
              <w:ind w:left="320"/>
              <w:spacing w:after="0"/>
              <w:rPr>
                <w:sz w:val="20"/>
                <w:szCs w:val="20"/>
                <w:color w:val="auto"/>
              </w:rPr>
            </w:pPr>
            <w:r>
              <w:rPr>
                <w:rFonts w:ascii="Arial" w:cs="Arial" w:eastAsia="Arial" w:hAnsi="Arial"/>
                <w:sz w:val="18"/>
                <w:szCs w:val="18"/>
                <w:color w:val="auto"/>
              </w:rPr>
              <w:t>Net gains and write downs on sales of other real estate owned</w:t>
            </w:r>
          </w:p>
        </w:tc>
        <w:tc>
          <w:tcPr>
            <w:tcW w:w="28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(362)</w:t>
            </w:r>
          </w:p>
        </w:tc>
      </w:tr>
      <w:tr>
        <w:trPr>
          <w:trHeight w:val="243"/>
        </w:trPr>
        <w:tc>
          <w:tcPr>
            <w:tcW w:w="8460" w:type="dxa"/>
            <w:vAlign w:val="bottom"/>
            <w:gridSpan w:val="2"/>
          </w:tcPr>
          <w:p>
            <w:pPr>
              <w:ind w:left="320"/>
              <w:spacing w:after="0"/>
              <w:rPr>
                <w:sz w:val="20"/>
                <w:szCs w:val="20"/>
                <w:color w:val="auto"/>
              </w:rPr>
            </w:pPr>
            <w:r>
              <w:rPr>
                <w:rFonts w:ascii="Arial" w:cs="Arial" w:eastAsia="Arial" w:hAnsi="Arial"/>
                <w:sz w:val="18"/>
                <w:szCs w:val="18"/>
                <w:color w:val="auto"/>
              </w:rPr>
              <w:t>Loss on prepayment of borrowings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1,038</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4,446</w:t>
            </w:r>
          </w:p>
        </w:tc>
      </w:tr>
      <w:tr>
        <w:trPr>
          <w:trHeight w:val="243"/>
        </w:trPr>
        <w:tc>
          <w:tcPr>
            <w:tcW w:w="8460" w:type="dxa"/>
            <w:vAlign w:val="bottom"/>
            <w:gridSpan w:val="2"/>
            <w:shd w:val="clear" w:color="auto" w:fill="F0FFFF"/>
          </w:tcPr>
          <w:p>
            <w:pPr>
              <w:ind w:left="320"/>
              <w:spacing w:after="0"/>
              <w:rPr>
                <w:sz w:val="20"/>
                <w:szCs w:val="20"/>
                <w:color w:val="auto"/>
              </w:rPr>
            </w:pPr>
            <w:r>
              <w:rPr>
                <w:rFonts w:ascii="Arial" w:cs="Arial" w:eastAsia="Arial" w:hAnsi="Arial"/>
                <w:sz w:val="18"/>
                <w:szCs w:val="18"/>
                <w:color w:val="auto"/>
              </w:rPr>
              <w:t>Changes in assets and liabilities:</w:t>
            </w:r>
          </w:p>
        </w:tc>
        <w:tc>
          <w:tcPr>
            <w:tcW w:w="280" w:type="dxa"/>
            <w:vAlign w:val="bottom"/>
            <w:shd w:val="clear" w:color="auto" w:fill="F0FFFF"/>
          </w:tcPr>
          <w:p>
            <w:pPr>
              <w:spacing w:after="0"/>
              <w:rPr>
                <w:sz w:val="21"/>
                <w:szCs w:val="21"/>
                <w:color w:val="auto"/>
              </w:rPr>
            </w:pPr>
          </w:p>
        </w:tc>
        <w:tc>
          <w:tcPr>
            <w:tcW w:w="100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9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r>
      <w:tr>
        <w:trPr>
          <w:trHeight w:val="243"/>
        </w:trPr>
        <w:tc>
          <w:tcPr>
            <w:tcW w:w="8460" w:type="dxa"/>
            <w:vAlign w:val="bottom"/>
            <w:gridSpan w:val="2"/>
          </w:tcPr>
          <w:p>
            <w:pPr>
              <w:ind w:left="480"/>
              <w:spacing w:after="0"/>
              <w:rPr>
                <w:sz w:val="20"/>
                <w:szCs w:val="20"/>
                <w:color w:val="auto"/>
              </w:rPr>
            </w:pPr>
            <w:r>
              <w:rPr>
                <w:rFonts w:ascii="Arial" w:cs="Arial" w:eastAsia="Arial" w:hAnsi="Arial"/>
                <w:sz w:val="18"/>
                <w:szCs w:val="18"/>
                <w:color w:val="auto"/>
              </w:rPr>
              <w:t>Other assets and accrued interest receivable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(2,567)</w:t>
            </w:r>
          </w:p>
        </w:tc>
      </w:tr>
      <w:tr>
        <w:trPr>
          <w:trHeight w:val="243"/>
        </w:trPr>
        <w:tc>
          <w:tcPr>
            <w:tcW w:w="8460" w:type="dxa"/>
            <w:vAlign w:val="bottom"/>
            <w:gridSpan w:val="2"/>
            <w:shd w:val="clear" w:color="auto" w:fill="F0FFFF"/>
          </w:tcPr>
          <w:p>
            <w:pPr>
              <w:ind w:left="48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(2,997)</w:t>
            </w:r>
          </w:p>
        </w:tc>
        <w:tc>
          <w:tcPr>
            <w:tcW w:w="12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(19,691)</w:t>
            </w:r>
          </w:p>
        </w:tc>
      </w:tr>
      <w:tr>
        <w:trPr>
          <w:trHeight w:val="250"/>
        </w:trPr>
        <w:tc>
          <w:tcPr>
            <w:tcW w:w="8460" w:type="dxa"/>
            <w:vAlign w:val="bottom"/>
            <w:gridSpan w:val="2"/>
          </w:tcPr>
          <w:p>
            <w:pPr>
              <w:ind w:left="480"/>
              <w:spacing w:after="0"/>
              <w:rPr>
                <w:sz w:val="20"/>
                <w:szCs w:val="20"/>
                <w:color w:val="auto"/>
              </w:rPr>
            </w:pPr>
            <w:r>
              <w:rPr>
                <w:rFonts w:ascii="Arial" w:cs="Arial" w:eastAsia="Arial" w:hAnsi="Arial"/>
                <w:sz w:val="18"/>
                <w:szCs w:val="18"/>
                <w:color w:val="auto"/>
              </w:rPr>
              <w:t>Mortgage loans held for sale</w:t>
            </w:r>
          </w:p>
        </w:tc>
        <w:tc>
          <w:tcPr>
            <w:tcW w:w="28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(6,924)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(4,599)</w:t>
            </w:r>
          </w:p>
        </w:tc>
      </w:tr>
      <w:tr>
        <w:trPr>
          <w:trHeight w:val="250"/>
        </w:trPr>
        <w:tc>
          <w:tcPr>
            <w:tcW w:w="8460" w:type="dxa"/>
            <w:vAlign w:val="bottom"/>
            <w:tcBorders>
              <w:top w:val="single" w:sz="8" w:color="F0FFFF"/>
              <w:bottom w:val="single" w:sz="8" w:color="F0FFFF"/>
            </w:tcBorders>
            <w:gridSpan w:val="2"/>
            <w:shd w:val="clear" w:color="auto" w:fill="F0FF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top w:val="single" w:sz="8" w:color="auto"/>
              <w:bottom w:val="single" w:sz="8" w:color="auto"/>
            </w:tcBorders>
            <w:shd w:val="clear" w:color="auto" w:fill="F0FFFF"/>
          </w:tcPr>
          <w:p>
            <w:pPr>
              <w:spacing w:after="0"/>
              <w:rPr>
                <w:sz w:val="21"/>
                <w:szCs w:val="21"/>
                <w:color w:val="auto"/>
              </w:rPr>
            </w:pP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56,492</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300" w:type="dxa"/>
            <w:vAlign w:val="bottom"/>
            <w:tcBorders>
              <w:top w:val="single" w:sz="8" w:color="auto"/>
              <w:bottom w:val="single" w:sz="8" w:color="auto"/>
            </w:tcBorders>
            <w:shd w:val="clear" w:color="auto" w:fill="F0FFFF"/>
          </w:tcPr>
          <w:p>
            <w:pPr>
              <w:spacing w:after="0"/>
              <w:rPr>
                <w:sz w:val="21"/>
                <w:szCs w:val="21"/>
                <w:color w:val="auto"/>
              </w:rPr>
            </w:pP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39,942</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r>
      <w:tr>
        <w:trPr>
          <w:trHeight w:val="243"/>
        </w:trPr>
        <w:tc>
          <w:tcPr>
            <w:tcW w:w="8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460" w:type="dxa"/>
            <w:vAlign w:val="bottom"/>
            <w:gridSpan w:val="2"/>
            <w:shd w:val="clear" w:color="auto" w:fill="F0FFFF"/>
          </w:tcPr>
          <w:p>
            <w:pPr>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shd w:val="clear" w:color="auto" w:fill="F0FFFF"/>
          </w:tcPr>
          <w:p>
            <w:pPr>
              <w:spacing w:after="0"/>
              <w:rPr>
                <w:sz w:val="21"/>
                <w:szCs w:val="21"/>
                <w:color w:val="auto"/>
              </w:rPr>
            </w:pPr>
          </w:p>
        </w:tc>
        <w:tc>
          <w:tcPr>
            <w:tcW w:w="100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9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r>
      <w:tr>
        <w:trPr>
          <w:trHeight w:val="243"/>
        </w:trPr>
        <w:tc>
          <w:tcPr>
            <w:tcW w:w="8460" w:type="dxa"/>
            <w:vAlign w:val="bottom"/>
            <w:gridSpan w:val="2"/>
          </w:tcPr>
          <w:p>
            <w:pPr>
              <w:ind w:left="160"/>
              <w:spacing w:after="0"/>
              <w:rPr>
                <w:sz w:val="20"/>
                <w:szCs w:val="20"/>
                <w:color w:val="auto"/>
              </w:rPr>
            </w:pPr>
            <w:r>
              <w:rPr>
                <w:rFonts w:ascii="Arial" w:cs="Arial" w:eastAsia="Arial" w:hAnsi="Arial"/>
                <w:sz w:val="18"/>
                <w:szCs w:val="18"/>
                <w:color w:val="auto"/>
              </w:rPr>
              <w:t>Investment securities held to maturity:</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460" w:type="dxa"/>
            <w:vAlign w:val="bottom"/>
            <w:gridSpan w:val="2"/>
            <w:shd w:val="clear" w:color="auto" w:fill="F0FFFF"/>
          </w:tcPr>
          <w:p>
            <w:pPr>
              <w:ind w:left="320"/>
              <w:spacing w:after="0"/>
              <w:rPr>
                <w:sz w:val="20"/>
                <w:szCs w:val="20"/>
                <w:color w:val="auto"/>
              </w:rPr>
            </w:pPr>
            <w:r>
              <w:rPr>
                <w:rFonts w:ascii="Arial" w:cs="Arial" w:eastAsia="Arial" w:hAnsi="Arial"/>
                <w:sz w:val="18"/>
                <w:szCs w:val="18"/>
                <w:color w:val="auto"/>
              </w:rPr>
              <w:t>Proceeds from maturities and calls of securities held to maturity:</w:t>
            </w:r>
          </w:p>
        </w:tc>
        <w:tc>
          <w:tcPr>
            <w:tcW w:w="28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35,538</w:t>
            </w:r>
          </w:p>
        </w:tc>
        <w:tc>
          <w:tcPr>
            <w:tcW w:w="12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31,159</w:t>
            </w:r>
          </w:p>
        </w:tc>
      </w:tr>
      <w:tr>
        <w:trPr>
          <w:trHeight w:val="243"/>
        </w:trPr>
        <w:tc>
          <w:tcPr>
            <w:tcW w:w="8460" w:type="dxa"/>
            <w:vAlign w:val="bottom"/>
            <w:gridSpan w:val="2"/>
          </w:tcPr>
          <w:p>
            <w:pPr>
              <w:ind w:left="320"/>
              <w:spacing w:after="0"/>
              <w:rPr>
                <w:sz w:val="20"/>
                <w:szCs w:val="20"/>
                <w:color w:val="auto"/>
              </w:rPr>
            </w:pPr>
            <w:r>
              <w:rPr>
                <w:rFonts w:ascii="Arial" w:cs="Arial" w:eastAsia="Arial" w:hAnsi="Arial"/>
                <w:sz w:val="18"/>
                <w:szCs w:val="18"/>
                <w:color w:val="auto"/>
              </w:rPr>
              <w:t>Purchases of securities held to maturity</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r>
      <w:tr>
        <w:trPr>
          <w:trHeight w:val="243"/>
        </w:trPr>
        <w:tc>
          <w:tcPr>
            <w:tcW w:w="846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Investment securities available for sale:</w:t>
            </w:r>
          </w:p>
        </w:tc>
        <w:tc>
          <w:tcPr>
            <w:tcW w:w="280" w:type="dxa"/>
            <w:vAlign w:val="bottom"/>
            <w:shd w:val="clear" w:color="auto" w:fill="F0FFFF"/>
          </w:tcPr>
          <w:p>
            <w:pPr>
              <w:spacing w:after="0"/>
              <w:rPr>
                <w:sz w:val="21"/>
                <w:szCs w:val="21"/>
                <w:color w:val="auto"/>
              </w:rPr>
            </w:pPr>
          </w:p>
        </w:tc>
        <w:tc>
          <w:tcPr>
            <w:tcW w:w="100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9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r>
      <w:tr>
        <w:trPr>
          <w:trHeight w:val="243"/>
        </w:trPr>
        <w:tc>
          <w:tcPr>
            <w:tcW w:w="8460" w:type="dxa"/>
            <w:vAlign w:val="bottom"/>
            <w:gridSpan w:val="2"/>
          </w:tcPr>
          <w:p>
            <w:pPr>
              <w:ind w:left="320"/>
              <w:spacing w:after="0"/>
              <w:rPr>
                <w:sz w:val="20"/>
                <w:szCs w:val="20"/>
                <w:color w:val="auto"/>
              </w:rPr>
            </w:pPr>
            <w:r>
              <w:rPr>
                <w:rFonts w:ascii="Arial" w:cs="Arial" w:eastAsia="Arial" w:hAnsi="Arial"/>
                <w:sz w:val="18"/>
                <w:szCs w:val="18"/>
                <w:color w:val="auto"/>
              </w:rPr>
              <w:t>Proceeds from sales of securities available for sale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136,817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390,227</w:t>
            </w:r>
          </w:p>
        </w:tc>
      </w:tr>
      <w:tr>
        <w:trPr>
          <w:trHeight w:val="243"/>
        </w:trPr>
        <w:tc>
          <w:tcPr>
            <w:tcW w:w="8460" w:type="dxa"/>
            <w:vAlign w:val="bottom"/>
            <w:gridSpan w:val="2"/>
            <w:shd w:val="clear" w:color="auto" w:fill="F0FFFF"/>
          </w:tcPr>
          <w:p>
            <w:pPr>
              <w:ind w:left="320"/>
              <w:spacing w:after="0"/>
              <w:rPr>
                <w:sz w:val="20"/>
                <w:szCs w:val="20"/>
                <w:color w:val="auto"/>
              </w:rPr>
            </w:pPr>
            <w:r>
              <w:rPr>
                <w:rFonts w:ascii="Arial" w:cs="Arial" w:eastAsia="Arial" w:hAnsi="Arial"/>
                <w:sz w:val="18"/>
                <w:szCs w:val="18"/>
                <w:color w:val="auto"/>
              </w:rPr>
              <w:t>Proceeds from maturities and calls of securities available for sale</w:t>
            </w:r>
          </w:p>
        </w:tc>
        <w:tc>
          <w:tcPr>
            <w:tcW w:w="280" w:type="dxa"/>
            <w:vAlign w:val="bottom"/>
            <w:shd w:val="clear" w:color="auto" w:fill="F0FFFF"/>
          </w:tcPr>
          <w:p>
            <w:pPr>
              <w:spacing w:after="0"/>
              <w:rPr>
                <w:sz w:val="21"/>
                <w:szCs w:val="21"/>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134,521</w:t>
            </w:r>
          </w:p>
        </w:tc>
        <w:tc>
          <w:tcPr>
            <w:tcW w:w="2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111,378</w:t>
            </w:r>
          </w:p>
        </w:tc>
      </w:tr>
      <w:tr>
        <w:trPr>
          <w:trHeight w:val="243"/>
        </w:trPr>
        <w:tc>
          <w:tcPr>
            <w:tcW w:w="8460" w:type="dxa"/>
            <w:vAlign w:val="bottom"/>
            <w:gridSpan w:val="2"/>
          </w:tcPr>
          <w:p>
            <w:pPr>
              <w:ind w:left="320"/>
              <w:spacing w:after="0"/>
              <w:rPr>
                <w:sz w:val="20"/>
                <w:szCs w:val="20"/>
                <w:color w:val="auto"/>
              </w:rPr>
            </w:pPr>
            <w:r>
              <w:rPr>
                <w:rFonts w:ascii="Arial" w:cs="Arial" w:eastAsia="Arial" w:hAnsi="Arial"/>
                <w:sz w:val="18"/>
                <w:szCs w:val="18"/>
                <w:color w:val="auto"/>
              </w:rPr>
              <w:t>Purchases of securities available for sale</w:t>
            </w:r>
          </w:p>
        </w:tc>
        <w:tc>
          <w:tcPr>
            <w:tcW w:w="28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(312,357)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(411,443)</w:t>
            </w:r>
          </w:p>
        </w:tc>
      </w:tr>
      <w:tr>
        <w:trPr>
          <w:trHeight w:val="243"/>
        </w:trPr>
        <w:tc>
          <w:tcPr>
            <w:tcW w:w="846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Net increase in loans</w:t>
            </w:r>
          </w:p>
        </w:tc>
        <w:tc>
          <w:tcPr>
            <w:tcW w:w="28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(264,702)</w:t>
            </w:r>
          </w:p>
        </w:tc>
        <w:tc>
          <w:tcPr>
            <w:tcW w:w="12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(55,199)</w:t>
            </w:r>
          </w:p>
        </w:tc>
      </w:tr>
      <w:tr>
        <w:trPr>
          <w:trHeight w:val="243"/>
        </w:trPr>
        <w:tc>
          <w:tcPr>
            <w:tcW w:w="8460" w:type="dxa"/>
            <w:vAlign w:val="bottom"/>
            <w:gridSpan w:val="2"/>
          </w:tcPr>
          <w:p>
            <w:pPr>
              <w:ind w:left="160"/>
              <w:spacing w:after="0"/>
              <w:rPr>
                <w:sz w:val="20"/>
                <w:szCs w:val="20"/>
                <w:color w:val="auto"/>
              </w:rPr>
            </w:pPr>
            <w:r>
              <w:rPr>
                <w:rFonts w:ascii="Arial" w:cs="Arial" w:eastAsia="Arial" w:hAnsi="Arial"/>
                <w:sz w:val="18"/>
                <w:szCs w:val="18"/>
                <w:color w:val="auto"/>
              </w:rPr>
              <w:t>Funds (paid to) collected from FDIC under loss sharing agreements</w:t>
            </w:r>
          </w:p>
        </w:tc>
        <w:tc>
          <w:tcPr>
            <w:tcW w:w="28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2,112</w:t>
            </w:r>
          </w:p>
        </w:tc>
      </w:tr>
      <w:tr>
        <w:trPr>
          <w:trHeight w:val="243"/>
        </w:trPr>
        <w:tc>
          <w:tcPr>
            <w:tcW w:w="846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Proceeds from sales of premises and equipment</w:t>
            </w:r>
          </w:p>
        </w:tc>
        <w:tc>
          <w:tcPr>
            <w:tcW w:w="28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2,392</w:t>
            </w:r>
          </w:p>
        </w:tc>
      </w:tr>
      <w:tr>
        <w:trPr>
          <w:trHeight w:val="243"/>
        </w:trPr>
        <w:tc>
          <w:tcPr>
            <w:tcW w:w="8460" w:type="dxa"/>
            <w:vAlign w:val="bottom"/>
            <w:gridSpan w:val="2"/>
          </w:tcPr>
          <w:p>
            <w:pPr>
              <w:ind w:left="160"/>
              <w:spacing w:after="0"/>
              <w:rPr>
                <w:sz w:val="20"/>
                <w:szCs w:val="20"/>
                <w:color w:val="auto"/>
              </w:rPr>
            </w:pPr>
            <w:r>
              <w:rPr>
                <w:rFonts w:ascii="Arial" w:cs="Arial" w:eastAsia="Arial" w:hAnsi="Arial"/>
                <w:sz w:val="18"/>
                <w:szCs w:val="18"/>
                <w:color w:val="auto"/>
              </w:rPr>
              <w:t>Purchases of premises and equipment</w:t>
            </w:r>
          </w:p>
        </w:tc>
        <w:tc>
          <w:tcPr>
            <w:tcW w:w="28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(5,055)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(1,934)</w:t>
            </w:r>
          </w:p>
        </w:tc>
      </w:tr>
      <w:tr>
        <w:trPr>
          <w:trHeight w:val="243"/>
        </w:trPr>
        <w:tc>
          <w:tcPr>
            <w:tcW w:w="846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Net cash received (paid) for acquisition</w:t>
            </w:r>
          </w:p>
        </w:tc>
        <w:tc>
          <w:tcPr>
            <w:tcW w:w="28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44,594</w:t>
            </w:r>
          </w:p>
        </w:tc>
        <w:tc>
          <w:tcPr>
            <w:tcW w:w="12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(31,243)</w:t>
            </w:r>
          </w:p>
        </w:tc>
      </w:tr>
      <w:tr>
        <w:trPr>
          <w:trHeight w:val="243"/>
        </w:trPr>
        <w:tc>
          <w:tcPr>
            <w:tcW w:w="8460" w:type="dxa"/>
            <w:vAlign w:val="bottom"/>
            <w:gridSpan w:val="2"/>
          </w:tcPr>
          <w:p>
            <w:pPr>
              <w:ind w:left="160"/>
              <w:spacing w:after="0"/>
              <w:rPr>
                <w:sz w:val="20"/>
                <w:szCs w:val="20"/>
                <w:color w:val="auto"/>
              </w:rPr>
            </w:pPr>
            <w:r>
              <w:rPr>
                <w:rFonts w:ascii="Arial" w:cs="Arial" w:eastAsia="Arial" w:hAnsi="Arial"/>
                <w:sz w:val="18"/>
                <w:szCs w:val="18"/>
                <w:color w:val="auto"/>
              </w:rPr>
              <w:t>Proceeds from sale of notes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4,561</w:t>
            </w:r>
          </w:p>
        </w:tc>
      </w:tr>
      <w:tr>
        <w:trPr>
          <w:trHeight w:val="250"/>
        </w:trPr>
        <w:tc>
          <w:tcPr>
            <w:tcW w:w="8460" w:type="dxa"/>
            <w:vAlign w:val="bottom"/>
            <w:tcBorders>
              <w:bottom w:val="single" w:sz="8" w:color="F0FFFF"/>
            </w:tcBorders>
            <w:gridSpan w:val="2"/>
            <w:shd w:val="clear" w:color="auto" w:fill="F0FFFF"/>
          </w:tcPr>
          <w:p>
            <w:pPr>
              <w:ind w:left="160"/>
              <w:spacing w:after="0"/>
              <w:rPr>
                <w:sz w:val="20"/>
                <w:szCs w:val="20"/>
                <w:color w:val="auto"/>
              </w:rPr>
            </w:pPr>
            <w:r>
              <w:rPr>
                <w:rFonts w:ascii="Arial" w:cs="Arial" w:eastAsia="Arial" w:hAnsi="Arial"/>
                <w:sz w:val="18"/>
                <w:szCs w:val="18"/>
                <w:color w:val="auto"/>
              </w:rPr>
              <w:t>Proceeds from sale of other real estate</w:t>
            </w:r>
          </w:p>
        </w:tc>
        <w:tc>
          <w:tcPr>
            <w:tcW w:w="280" w:type="dxa"/>
            <w:vAlign w:val="bottom"/>
            <w:tcBorders>
              <w:bottom w:val="single" w:sz="8" w:color="auto"/>
            </w:tcBorders>
            <w:shd w:val="clear" w:color="auto" w:fill="F0FFFF"/>
          </w:tcPr>
          <w:p>
            <w:pPr>
              <w:spacing w:after="0"/>
              <w:rPr>
                <w:sz w:val="21"/>
                <w:szCs w:val="21"/>
                <w:color w:val="auto"/>
              </w:rPr>
            </w:pPr>
          </w:p>
        </w:tc>
        <w:tc>
          <w:tcPr>
            <w:tcW w:w="10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1,434</w:t>
            </w:r>
          </w:p>
        </w:tc>
        <w:tc>
          <w:tcPr>
            <w:tcW w:w="2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300" w:type="dxa"/>
            <w:vAlign w:val="bottom"/>
            <w:tcBorders>
              <w:bottom w:val="single" w:sz="8" w:color="auto"/>
            </w:tcBorders>
            <w:shd w:val="clear" w:color="auto" w:fill="F0FFFF"/>
          </w:tcPr>
          <w:p>
            <w:pPr>
              <w:spacing w:after="0"/>
              <w:rPr>
                <w:sz w:val="21"/>
                <w:szCs w:val="21"/>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5,877</w:t>
            </w:r>
          </w:p>
        </w:tc>
        <w:tc>
          <w:tcPr>
            <w:tcW w:w="100" w:type="dxa"/>
            <w:vAlign w:val="bottom"/>
            <w:tcBorders>
              <w:bottom w:val="single" w:sz="8" w:color="F0FFFF"/>
            </w:tcBorders>
            <w:shd w:val="clear" w:color="auto" w:fill="F0FFFF"/>
          </w:tcPr>
          <w:p>
            <w:pPr>
              <w:spacing w:after="0"/>
              <w:rPr>
                <w:sz w:val="21"/>
                <w:szCs w:val="21"/>
                <w:color w:val="auto"/>
              </w:rPr>
            </w:pPr>
          </w:p>
        </w:tc>
      </w:tr>
      <w:tr>
        <w:trPr>
          <w:trHeight w:val="250"/>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28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(230,261)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47,714</w:t>
            </w:r>
          </w:p>
        </w:tc>
      </w:tr>
      <w:tr>
        <w:trPr>
          <w:trHeight w:val="243"/>
        </w:trPr>
        <w:tc>
          <w:tcPr>
            <w:tcW w:w="8120" w:type="dxa"/>
            <w:vAlign w:val="bottom"/>
            <w:tcBorders>
              <w:top w:val="single" w:sz="8" w:color="F0FFFF"/>
            </w:tcBorders>
            <w:shd w:val="clear" w:color="auto" w:fill="F0FFFF"/>
          </w:tcPr>
          <w:p>
            <w:pPr>
              <w:spacing w:after="0"/>
              <w:rPr>
                <w:sz w:val="21"/>
                <w:szCs w:val="21"/>
                <w:color w:val="auto"/>
              </w:rPr>
            </w:pPr>
          </w:p>
        </w:tc>
        <w:tc>
          <w:tcPr>
            <w:tcW w:w="340" w:type="dxa"/>
            <w:vAlign w:val="bottom"/>
            <w:tcBorders>
              <w:top w:val="single" w:sz="8" w:color="F0FFFF"/>
            </w:tcBorders>
            <w:shd w:val="clear" w:color="auto" w:fill="F0FFFF"/>
          </w:tcPr>
          <w:p>
            <w:pPr>
              <w:spacing w:after="0"/>
              <w:rPr>
                <w:sz w:val="21"/>
                <w:szCs w:val="21"/>
                <w:color w:val="auto"/>
              </w:rPr>
            </w:pPr>
          </w:p>
        </w:tc>
        <w:tc>
          <w:tcPr>
            <w:tcW w:w="280" w:type="dxa"/>
            <w:vAlign w:val="bottom"/>
            <w:tcBorders>
              <w:top w:val="single" w:sz="8" w:color="auto"/>
            </w:tcBorders>
            <w:shd w:val="clear" w:color="auto" w:fill="F0FFFF"/>
          </w:tcPr>
          <w:p>
            <w:pPr>
              <w:spacing w:after="0"/>
              <w:rPr>
                <w:sz w:val="21"/>
                <w:szCs w:val="21"/>
                <w:color w:val="auto"/>
              </w:rPr>
            </w:pPr>
          </w:p>
        </w:tc>
        <w:tc>
          <w:tcPr>
            <w:tcW w:w="1000" w:type="dxa"/>
            <w:vAlign w:val="bottom"/>
            <w:tcBorders>
              <w:top w:val="single" w:sz="8" w:color="auto"/>
            </w:tcBorders>
            <w:shd w:val="clear" w:color="auto" w:fill="F0FFFF"/>
          </w:tcPr>
          <w:p>
            <w:pPr>
              <w:spacing w:after="0"/>
              <w:rPr>
                <w:sz w:val="21"/>
                <w:szCs w:val="21"/>
                <w:color w:val="auto"/>
              </w:rPr>
            </w:pPr>
          </w:p>
        </w:tc>
        <w:tc>
          <w:tcPr>
            <w:tcW w:w="200" w:type="dxa"/>
            <w:vAlign w:val="bottom"/>
            <w:tcBorders>
              <w:top w:val="single" w:sz="8" w:color="F0FFFF"/>
            </w:tcBorders>
            <w:shd w:val="clear" w:color="auto" w:fill="F0FFFF"/>
          </w:tcPr>
          <w:p>
            <w:pPr>
              <w:spacing w:after="0"/>
              <w:rPr>
                <w:sz w:val="21"/>
                <w:szCs w:val="21"/>
                <w:color w:val="auto"/>
              </w:rPr>
            </w:pPr>
          </w:p>
        </w:tc>
        <w:tc>
          <w:tcPr>
            <w:tcW w:w="120" w:type="dxa"/>
            <w:vAlign w:val="bottom"/>
            <w:tcBorders>
              <w:top w:val="single" w:sz="8" w:color="F0FFFF"/>
            </w:tcBorders>
            <w:shd w:val="clear" w:color="auto" w:fill="F0FFFF"/>
          </w:tcPr>
          <w:p>
            <w:pPr>
              <w:spacing w:after="0"/>
              <w:rPr>
                <w:sz w:val="21"/>
                <w:szCs w:val="21"/>
                <w:color w:val="auto"/>
              </w:rPr>
            </w:pPr>
          </w:p>
        </w:tc>
        <w:tc>
          <w:tcPr>
            <w:tcW w:w="300" w:type="dxa"/>
            <w:vAlign w:val="bottom"/>
            <w:tcBorders>
              <w:top w:val="single" w:sz="8" w:color="auto"/>
            </w:tcBorders>
            <w:shd w:val="clear" w:color="auto" w:fill="F0FFFF"/>
          </w:tcPr>
          <w:p>
            <w:pPr>
              <w:spacing w:after="0"/>
              <w:rPr>
                <w:sz w:val="21"/>
                <w:szCs w:val="21"/>
                <w:color w:val="auto"/>
              </w:rPr>
            </w:pPr>
          </w:p>
        </w:tc>
        <w:tc>
          <w:tcPr>
            <w:tcW w:w="960" w:type="dxa"/>
            <w:vAlign w:val="bottom"/>
            <w:tcBorders>
              <w:top w:val="single" w:sz="8" w:color="auto"/>
            </w:tcBorders>
            <w:shd w:val="clear" w:color="auto" w:fill="F0FFFF"/>
          </w:tcPr>
          <w:p>
            <w:pPr>
              <w:spacing w:after="0"/>
              <w:rPr>
                <w:sz w:val="21"/>
                <w:szCs w:val="21"/>
                <w:color w:val="auto"/>
              </w:rPr>
            </w:pPr>
          </w:p>
        </w:tc>
        <w:tc>
          <w:tcPr>
            <w:tcW w:w="100" w:type="dxa"/>
            <w:vAlign w:val="bottom"/>
            <w:tcBorders>
              <w:top w:val="single" w:sz="8" w:color="F0FFFF"/>
            </w:tcBorders>
            <w:shd w:val="clear" w:color="auto" w:fill="F0FFFF"/>
          </w:tcPr>
          <w:p>
            <w:pPr>
              <w:spacing w:after="0"/>
              <w:rPr>
                <w:sz w:val="21"/>
                <w:szCs w:val="21"/>
                <w:color w:val="auto"/>
              </w:rPr>
            </w:pPr>
          </w:p>
        </w:tc>
      </w:tr>
      <w:tr>
        <w:trPr>
          <w:trHeight w:val="243"/>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46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Net change in deposits</w:t>
            </w:r>
          </w:p>
        </w:tc>
        <w:tc>
          <w:tcPr>
            <w:tcW w:w="28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111,681</w:t>
            </w:r>
          </w:p>
        </w:tc>
        <w:tc>
          <w:tcPr>
            <w:tcW w:w="12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(37,960)</w:t>
            </w:r>
          </w:p>
        </w:tc>
      </w:tr>
      <w:tr>
        <w:trPr>
          <w:trHeight w:val="243"/>
        </w:trPr>
        <w:tc>
          <w:tcPr>
            <w:tcW w:w="8460" w:type="dxa"/>
            <w:vAlign w:val="bottom"/>
            <w:gridSpan w:val="2"/>
          </w:tcPr>
          <w:p>
            <w:pPr>
              <w:ind w:left="160"/>
              <w:spacing w:after="0"/>
              <w:rPr>
                <w:sz w:val="20"/>
                <w:szCs w:val="20"/>
                <w:color w:val="auto"/>
              </w:rPr>
            </w:pPr>
            <w:r>
              <w:rPr>
                <w:rFonts w:ascii="Arial" w:cs="Arial" w:eastAsia="Arial" w:hAnsi="Arial"/>
                <w:sz w:val="18"/>
                <w:szCs w:val="18"/>
                <w:color w:val="auto"/>
              </w:rPr>
              <w:t>Net change in short-term borrowings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3,460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18,569</w:t>
            </w:r>
          </w:p>
        </w:tc>
      </w:tr>
      <w:tr>
        <w:trPr>
          <w:trHeight w:val="243"/>
        </w:trPr>
        <w:tc>
          <w:tcPr>
            <w:tcW w:w="846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Repayments of trust preferred securities</w:t>
            </w:r>
          </w:p>
        </w:tc>
        <w:tc>
          <w:tcPr>
            <w:tcW w:w="28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(15,998)</w:t>
            </w:r>
          </w:p>
        </w:tc>
        <w:tc>
          <w:tcPr>
            <w:tcW w:w="12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8460" w:type="dxa"/>
            <w:vAlign w:val="bottom"/>
            <w:gridSpan w:val="2"/>
          </w:tcPr>
          <w:p>
            <w:pPr>
              <w:ind w:left="160"/>
              <w:spacing w:after="0"/>
              <w:rPr>
                <w:sz w:val="20"/>
                <w:szCs w:val="20"/>
                <w:color w:val="auto"/>
              </w:rPr>
            </w:pPr>
            <w:r>
              <w:rPr>
                <w:rFonts w:ascii="Arial" w:cs="Arial" w:eastAsia="Arial" w:hAnsi="Arial"/>
                <w:sz w:val="18"/>
                <w:szCs w:val="18"/>
                <w:color w:val="auto"/>
              </w:rPr>
              <w:t>Proceeds from FHLB advances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1,060,000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560,000</w:t>
            </w:r>
          </w:p>
        </w:tc>
      </w:tr>
      <w:tr>
        <w:trPr>
          <w:trHeight w:val="243"/>
        </w:trPr>
        <w:tc>
          <w:tcPr>
            <w:tcW w:w="846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Repayments of FHLB advances</w:t>
            </w:r>
          </w:p>
        </w:tc>
        <w:tc>
          <w:tcPr>
            <w:tcW w:w="28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(967,070)</w:t>
            </w:r>
          </w:p>
        </w:tc>
        <w:tc>
          <w:tcPr>
            <w:tcW w:w="12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(505,000)</w:t>
            </w:r>
          </w:p>
        </w:tc>
      </w:tr>
      <w:tr>
        <w:trPr>
          <w:trHeight w:val="243"/>
        </w:trPr>
        <w:tc>
          <w:tcPr>
            <w:tcW w:w="8460" w:type="dxa"/>
            <w:vAlign w:val="bottom"/>
            <w:gridSpan w:val="2"/>
          </w:tcPr>
          <w:p>
            <w:pPr>
              <w:ind w:left="160"/>
              <w:spacing w:after="0"/>
              <w:rPr>
                <w:sz w:val="20"/>
                <w:szCs w:val="20"/>
                <w:color w:val="auto"/>
              </w:rPr>
            </w:pPr>
            <w:r>
              <w:rPr>
                <w:rFonts w:ascii="Arial" w:cs="Arial" w:eastAsia="Arial" w:hAnsi="Arial"/>
                <w:sz w:val="18"/>
                <w:szCs w:val="18"/>
                <w:color w:val="auto"/>
              </w:rPr>
              <w:t>Proceeds from issuance of common stock for dividend reinvestment and employee benefit plans</w:t>
            </w:r>
          </w:p>
        </w:tc>
        <w:tc>
          <w:tcPr>
            <w:tcW w:w="28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r>
      <w:tr>
        <w:trPr>
          <w:trHeight w:val="243"/>
        </w:trPr>
        <w:tc>
          <w:tcPr>
            <w:tcW w:w="846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Proceeds from issuance of common stock, net of issuance costs</w:t>
            </w:r>
          </w:p>
        </w:tc>
        <w:tc>
          <w:tcPr>
            <w:tcW w:w="280" w:type="dxa"/>
            <w:vAlign w:val="bottom"/>
            <w:shd w:val="clear" w:color="auto" w:fill="F0FFFF"/>
          </w:tcPr>
          <w:p>
            <w:pPr>
              <w:spacing w:after="0"/>
              <w:rPr>
                <w:sz w:val="21"/>
                <w:szCs w:val="21"/>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12,206</w:t>
            </w:r>
          </w:p>
        </w:tc>
      </w:tr>
      <w:tr>
        <w:trPr>
          <w:trHeight w:val="243"/>
        </w:trPr>
        <w:tc>
          <w:tcPr>
            <w:tcW w:w="8460" w:type="dxa"/>
            <w:vAlign w:val="bottom"/>
            <w:gridSpan w:val="2"/>
          </w:tcPr>
          <w:p>
            <w:pPr>
              <w:ind w:left="160"/>
              <w:spacing w:after="0"/>
              <w:rPr>
                <w:sz w:val="20"/>
                <w:szCs w:val="20"/>
                <w:color w:val="auto"/>
              </w:rPr>
            </w:pPr>
            <w:r>
              <w:rPr>
                <w:rFonts w:ascii="Arial" w:cs="Arial" w:eastAsia="Arial" w:hAnsi="Arial"/>
                <w:sz w:val="18"/>
                <w:szCs w:val="18"/>
                <w:color w:val="auto"/>
              </w:rPr>
              <w:t>Retirement of preferred stock</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(121,613)</w:t>
            </w:r>
          </w:p>
        </w:tc>
      </w:tr>
      <w:tr>
        <w:trPr>
          <w:trHeight w:val="243"/>
        </w:trPr>
        <w:tc>
          <w:tcPr>
            <w:tcW w:w="846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Cash dividends on common stock</w:t>
            </w:r>
          </w:p>
        </w:tc>
        <w:tc>
          <w:tcPr>
            <w:tcW w:w="28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(6,192)</w:t>
            </w:r>
          </w:p>
        </w:tc>
        <w:tc>
          <w:tcPr>
            <w:tcW w:w="12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(1,810)</w:t>
            </w:r>
          </w:p>
        </w:tc>
      </w:tr>
      <w:tr>
        <w:trPr>
          <w:trHeight w:val="243"/>
        </w:trPr>
        <w:tc>
          <w:tcPr>
            <w:tcW w:w="8460" w:type="dxa"/>
            <w:vAlign w:val="bottom"/>
            <w:gridSpan w:val="2"/>
          </w:tcPr>
          <w:p>
            <w:pPr>
              <w:ind w:left="160"/>
              <w:spacing w:after="0"/>
              <w:rPr>
                <w:sz w:val="20"/>
                <w:szCs w:val="20"/>
                <w:color w:val="auto"/>
              </w:rPr>
            </w:pPr>
            <w:r>
              <w:rPr>
                <w:rFonts w:ascii="Arial" w:cs="Arial" w:eastAsia="Arial" w:hAnsi="Arial"/>
                <w:sz w:val="18"/>
                <w:szCs w:val="18"/>
                <w:color w:val="auto"/>
              </w:rPr>
              <w:t>Cash dividends on preferred stock</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(1,214)</w:t>
            </w:r>
          </w:p>
        </w:tc>
      </w:tr>
      <w:tr>
        <w:trPr>
          <w:trHeight w:val="27"/>
        </w:trPr>
        <w:tc>
          <w:tcPr>
            <w:tcW w:w="8120" w:type="dxa"/>
            <w:vAlign w:val="bottom"/>
            <w:shd w:val="clear" w:color="auto" w:fill="F0FFFF"/>
          </w:tcPr>
          <w:p>
            <w:pPr>
              <w:spacing w:after="0"/>
              <w:rPr>
                <w:sz w:val="2"/>
                <w:szCs w:val="2"/>
                <w:color w:val="auto"/>
              </w:rPr>
            </w:pPr>
          </w:p>
        </w:tc>
        <w:tc>
          <w:tcPr>
            <w:tcW w:w="340" w:type="dxa"/>
            <w:vAlign w:val="bottom"/>
            <w:shd w:val="clear" w:color="auto" w:fill="F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r>
      <w:tr>
        <w:trPr>
          <w:trHeight w:val="250"/>
        </w:trPr>
        <w:tc>
          <w:tcPr>
            <w:tcW w:w="8460" w:type="dxa"/>
            <w:vAlign w:val="bottom"/>
            <w:gridSpan w:val="2"/>
            <w:shd w:val="clear" w:color="auto" w:fill="F0FF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80" w:type="dxa"/>
            <w:vAlign w:val="bottom"/>
            <w:shd w:val="clear" w:color="auto" w:fill="F0FFFF"/>
          </w:tcPr>
          <w:p>
            <w:pPr>
              <w:spacing w:after="0"/>
              <w:rPr>
                <w:sz w:val="21"/>
                <w:szCs w:val="21"/>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186,011</w:t>
            </w:r>
          </w:p>
        </w:tc>
        <w:tc>
          <w:tcPr>
            <w:tcW w:w="2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(76,494)</w:t>
            </w:r>
          </w:p>
        </w:tc>
      </w:tr>
      <w:tr>
        <w:trPr>
          <w:trHeight w:val="243"/>
        </w:trPr>
        <w:tc>
          <w:tcPr>
            <w:tcW w:w="8120" w:type="dxa"/>
            <w:vAlign w:val="bottom"/>
            <w:tcBorders>
              <w:top w:val="single" w:sz="8" w:color="F0FFFF"/>
            </w:tcBorders>
          </w:tcPr>
          <w:p>
            <w:pPr>
              <w:spacing w:after="0"/>
              <w:rPr>
                <w:sz w:val="21"/>
                <w:szCs w:val="21"/>
                <w:color w:val="auto"/>
              </w:rPr>
            </w:pPr>
          </w:p>
        </w:tc>
        <w:tc>
          <w:tcPr>
            <w:tcW w:w="340" w:type="dxa"/>
            <w:vAlign w:val="bottom"/>
            <w:tcBorders>
              <w:top w:val="single" w:sz="8" w:color="F0FFFF"/>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00" w:type="dxa"/>
            <w:vAlign w:val="bottom"/>
            <w:tcBorders>
              <w:top w:val="single" w:sz="8" w:color="F0FFFF"/>
            </w:tcBorders>
          </w:tcPr>
          <w:p>
            <w:pPr>
              <w:spacing w:after="0"/>
              <w:rPr>
                <w:sz w:val="21"/>
                <w:szCs w:val="21"/>
                <w:color w:val="auto"/>
              </w:rPr>
            </w:pPr>
          </w:p>
        </w:tc>
        <w:tc>
          <w:tcPr>
            <w:tcW w:w="120" w:type="dxa"/>
            <w:vAlign w:val="bottom"/>
            <w:tcBorders>
              <w:top w:val="single" w:sz="8" w:color="F0FFFF"/>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F0FFFF"/>
            </w:tcBorders>
          </w:tcPr>
          <w:p>
            <w:pPr>
              <w:spacing w:after="0"/>
              <w:rPr>
                <w:sz w:val="21"/>
                <w:szCs w:val="21"/>
                <w:color w:val="auto"/>
              </w:rPr>
            </w:pPr>
          </w:p>
        </w:tc>
      </w:tr>
      <w:tr>
        <w:trPr>
          <w:trHeight w:val="243"/>
        </w:trPr>
        <w:tc>
          <w:tcPr>
            <w:tcW w:w="8460" w:type="dxa"/>
            <w:vAlign w:val="bottom"/>
            <w:gridSpan w:val="2"/>
            <w:shd w:val="clear" w:color="auto" w:fill="F0FF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28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12,242</w:t>
            </w:r>
          </w:p>
        </w:tc>
        <w:tc>
          <w:tcPr>
            <w:tcW w:w="12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11,162</w:t>
            </w:r>
          </w:p>
        </w:tc>
      </w:tr>
      <w:tr>
        <w:trPr>
          <w:trHeight w:val="243"/>
        </w:trPr>
        <w:tc>
          <w:tcPr>
            <w:tcW w:w="8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46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shd w:val="clear" w:color="auto" w:fill="F0FFFF"/>
          </w:tcPr>
          <w:p>
            <w:pPr>
              <w:spacing w:after="0"/>
              <w:rPr>
                <w:sz w:val="21"/>
                <w:szCs w:val="21"/>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192,655</w:t>
            </w:r>
          </w:p>
        </w:tc>
        <w:tc>
          <w:tcPr>
            <w:tcW w:w="2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228,898</w:t>
            </w: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204,897</w:t>
            </w:r>
          </w:p>
        </w:tc>
        <w:tc>
          <w:tcPr>
            <w:tcW w:w="20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240,060</w:t>
            </w:r>
          </w:p>
        </w:tc>
      </w:tr>
      <w:tr>
        <w:trPr>
          <w:trHeight w:val="20"/>
        </w:trPr>
        <w:tc>
          <w:tcPr>
            <w:tcW w:w="8120" w:type="dxa"/>
            <w:vAlign w:val="bottom"/>
            <w:tcBorders>
              <w:bottom w:val="single" w:sz="8" w:color="F0FFFF"/>
            </w:tcBorders>
          </w:tcPr>
          <w:p>
            <w:pPr>
              <w:spacing w:after="0" w:line="20" w:lineRule="exact"/>
              <w:rPr>
                <w:sz w:val="1"/>
                <w:szCs w:val="1"/>
                <w:color w:val="auto"/>
              </w:rPr>
            </w:pPr>
          </w:p>
        </w:tc>
        <w:tc>
          <w:tcPr>
            <w:tcW w:w="340" w:type="dxa"/>
            <w:vAlign w:val="bottom"/>
            <w:tcBorders>
              <w:bottom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r>
      <w:tr>
        <w:trPr>
          <w:trHeight w:val="237"/>
        </w:trPr>
        <w:tc>
          <w:tcPr>
            <w:tcW w:w="8120" w:type="dxa"/>
            <w:vAlign w:val="bottom"/>
            <w:shd w:val="clear" w:color="auto" w:fill="F0FFFF"/>
          </w:tcPr>
          <w:p>
            <w:pPr>
              <w:spacing w:after="0"/>
              <w:rPr>
                <w:sz w:val="20"/>
                <w:szCs w:val="20"/>
                <w:color w:val="auto"/>
              </w:rPr>
            </w:pPr>
          </w:p>
        </w:tc>
        <w:tc>
          <w:tcPr>
            <w:tcW w:w="34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100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300" w:type="dxa"/>
            <w:vAlign w:val="bottom"/>
            <w:shd w:val="clear" w:color="auto" w:fill="F0FFFF"/>
          </w:tcPr>
          <w:p>
            <w:pPr>
              <w:spacing w:after="0"/>
              <w:rPr>
                <w:sz w:val="20"/>
                <w:szCs w:val="20"/>
                <w:color w:val="auto"/>
              </w:rPr>
            </w:pPr>
          </w:p>
        </w:tc>
        <w:tc>
          <w:tcPr>
            <w:tcW w:w="9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r>
      <w:tr>
        <w:trPr>
          <w:trHeight w:val="243"/>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46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Cash paid during the period for:</w:t>
            </w:r>
          </w:p>
        </w:tc>
        <w:tc>
          <w:tcPr>
            <w:tcW w:w="280" w:type="dxa"/>
            <w:vAlign w:val="bottom"/>
            <w:shd w:val="clear" w:color="auto" w:fill="F0FFFF"/>
          </w:tcPr>
          <w:p>
            <w:pPr>
              <w:spacing w:after="0"/>
              <w:rPr>
                <w:sz w:val="21"/>
                <w:szCs w:val="21"/>
                <w:color w:val="auto"/>
              </w:rPr>
            </w:pPr>
          </w:p>
        </w:tc>
        <w:tc>
          <w:tcPr>
            <w:tcW w:w="100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9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r>
      <w:tr>
        <w:trPr>
          <w:trHeight w:val="243"/>
        </w:trPr>
        <w:tc>
          <w:tcPr>
            <w:tcW w:w="8460" w:type="dxa"/>
            <w:vAlign w:val="bottom"/>
            <w:gridSpan w:val="2"/>
          </w:tcPr>
          <w:p>
            <w:pPr>
              <w:ind w:left="320"/>
              <w:spacing w:after="0"/>
              <w:rPr>
                <w:sz w:val="20"/>
                <w:szCs w:val="20"/>
                <w:color w:val="auto"/>
              </w:rPr>
            </w:pPr>
            <w:r>
              <w:rPr>
                <w:rFonts w:ascii="Arial" w:cs="Arial" w:eastAsia="Arial" w:hAnsi="Arial"/>
                <w:sz w:val="18"/>
                <w:szCs w:val="18"/>
                <w:color w:val="auto"/>
              </w:rPr>
              <w:t>Interest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10,993</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13,558</w:t>
            </w:r>
          </w:p>
        </w:tc>
      </w:tr>
      <w:tr>
        <w:trPr>
          <w:trHeight w:val="243"/>
        </w:trPr>
        <w:tc>
          <w:tcPr>
            <w:tcW w:w="8460" w:type="dxa"/>
            <w:vAlign w:val="bottom"/>
            <w:gridSpan w:val="2"/>
            <w:shd w:val="clear" w:color="auto" w:fill="F0FFFF"/>
          </w:tcPr>
          <w:p>
            <w:pPr>
              <w:ind w:left="320"/>
              <w:spacing w:after="0"/>
              <w:rPr>
                <w:sz w:val="20"/>
                <w:szCs w:val="20"/>
                <w:color w:val="auto"/>
              </w:rPr>
            </w:pPr>
            <w:r>
              <w:rPr>
                <w:rFonts w:ascii="Arial" w:cs="Arial" w:eastAsia="Arial" w:hAnsi="Arial"/>
                <w:sz w:val="18"/>
                <w:szCs w:val="18"/>
                <w:color w:val="auto"/>
              </w:rPr>
              <w:t>Income taxes</w:t>
            </w:r>
          </w:p>
        </w:tc>
        <w:tc>
          <w:tcPr>
            <w:tcW w:w="280" w:type="dxa"/>
            <w:vAlign w:val="bottom"/>
            <w:shd w:val="clear" w:color="auto" w:fill="F0FFFF"/>
          </w:tcPr>
          <w:p>
            <w:pPr>
              <w:spacing w:after="0"/>
              <w:rPr>
                <w:sz w:val="21"/>
                <w:szCs w:val="21"/>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2,791</w:t>
            </w:r>
          </w:p>
        </w:tc>
        <w:tc>
          <w:tcPr>
            <w:tcW w:w="2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2,044</w:t>
            </w:r>
          </w:p>
        </w:tc>
      </w:tr>
      <w:tr>
        <w:trPr>
          <w:trHeight w:val="243"/>
        </w:trPr>
        <w:tc>
          <w:tcPr>
            <w:tcW w:w="8460" w:type="dxa"/>
            <w:vAlign w:val="bottom"/>
            <w:gridSpan w:val="2"/>
          </w:tcPr>
          <w:p>
            <w:pPr>
              <w:ind w:left="160"/>
              <w:spacing w:after="0"/>
              <w:rPr>
                <w:sz w:val="20"/>
                <w:szCs w:val="20"/>
                <w:color w:val="auto"/>
              </w:rPr>
            </w:pPr>
            <w:r>
              <w:rPr>
                <w:rFonts w:ascii="Arial" w:cs="Arial" w:eastAsia="Arial" w:hAnsi="Arial"/>
                <w:sz w:val="18"/>
                <w:szCs w:val="18"/>
                <w:color w:val="auto"/>
              </w:rPr>
              <w:t>Unsettled securities purchases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7,264</w:t>
            </w:r>
          </w:p>
        </w:tc>
      </w:tr>
      <w:tr>
        <w:trPr>
          <w:trHeight w:val="97"/>
        </w:trPr>
        <w:tc>
          <w:tcPr>
            <w:tcW w:w="8120" w:type="dxa"/>
            <w:vAlign w:val="bottom"/>
            <w:shd w:val="clear" w:color="auto" w:fill="F0FFFF"/>
          </w:tcPr>
          <w:p>
            <w:pPr>
              <w:spacing w:after="0"/>
              <w:rPr>
                <w:sz w:val="8"/>
                <w:szCs w:val="8"/>
                <w:color w:val="auto"/>
              </w:rPr>
            </w:pPr>
          </w:p>
        </w:tc>
        <w:tc>
          <w:tcPr>
            <w:tcW w:w="340" w:type="dxa"/>
            <w:vAlign w:val="bottom"/>
            <w:shd w:val="clear" w:color="auto" w:fill="F0FFFF"/>
          </w:tcPr>
          <w:p>
            <w:pPr>
              <w:spacing w:after="0"/>
              <w:rPr>
                <w:sz w:val="8"/>
                <w:szCs w:val="8"/>
                <w:color w:val="auto"/>
              </w:rPr>
            </w:pPr>
          </w:p>
        </w:tc>
        <w:tc>
          <w:tcPr>
            <w:tcW w:w="280" w:type="dxa"/>
            <w:vAlign w:val="bottom"/>
            <w:shd w:val="clear" w:color="auto" w:fill="F0FFFF"/>
          </w:tcPr>
          <w:p>
            <w:pPr>
              <w:spacing w:after="0"/>
              <w:rPr>
                <w:sz w:val="8"/>
                <w:szCs w:val="8"/>
                <w:color w:val="auto"/>
              </w:rPr>
            </w:pPr>
          </w:p>
        </w:tc>
        <w:tc>
          <w:tcPr>
            <w:tcW w:w="1000" w:type="dxa"/>
            <w:vAlign w:val="bottom"/>
            <w:shd w:val="clear" w:color="auto" w:fill="F0FFFF"/>
          </w:tcPr>
          <w:p>
            <w:pPr>
              <w:spacing w:after="0"/>
              <w:rPr>
                <w:sz w:val="8"/>
                <w:szCs w:val="8"/>
                <w:color w:val="auto"/>
              </w:rPr>
            </w:pPr>
          </w:p>
        </w:tc>
        <w:tc>
          <w:tcPr>
            <w:tcW w:w="200" w:type="dxa"/>
            <w:vAlign w:val="bottom"/>
            <w:shd w:val="clear" w:color="auto" w:fill="F0FFFF"/>
          </w:tcPr>
          <w:p>
            <w:pPr>
              <w:spacing w:after="0"/>
              <w:rPr>
                <w:sz w:val="8"/>
                <w:szCs w:val="8"/>
                <w:color w:val="auto"/>
              </w:rPr>
            </w:pPr>
          </w:p>
        </w:tc>
        <w:tc>
          <w:tcPr>
            <w:tcW w:w="120" w:type="dxa"/>
            <w:vAlign w:val="bottom"/>
            <w:shd w:val="clear" w:color="auto" w:fill="F0FFFF"/>
          </w:tcPr>
          <w:p>
            <w:pPr>
              <w:spacing w:after="0"/>
              <w:rPr>
                <w:sz w:val="8"/>
                <w:szCs w:val="8"/>
                <w:color w:val="auto"/>
              </w:rPr>
            </w:pPr>
          </w:p>
        </w:tc>
        <w:tc>
          <w:tcPr>
            <w:tcW w:w="300" w:type="dxa"/>
            <w:vAlign w:val="bottom"/>
            <w:shd w:val="clear" w:color="auto" w:fill="F0FFFF"/>
          </w:tcPr>
          <w:p>
            <w:pPr>
              <w:spacing w:after="0"/>
              <w:rPr>
                <w:sz w:val="8"/>
                <w:szCs w:val="8"/>
                <w:color w:val="auto"/>
              </w:rPr>
            </w:pPr>
          </w:p>
        </w:tc>
        <w:tc>
          <w:tcPr>
            <w:tcW w:w="960" w:type="dxa"/>
            <w:vAlign w:val="bottom"/>
            <w:shd w:val="clear" w:color="auto" w:fill="F0FFFF"/>
          </w:tcPr>
          <w:p>
            <w:pPr>
              <w:spacing w:after="0"/>
              <w:rPr>
                <w:sz w:val="8"/>
                <w:szCs w:val="8"/>
                <w:color w:val="auto"/>
              </w:rPr>
            </w:pPr>
          </w:p>
        </w:tc>
        <w:tc>
          <w:tcPr>
            <w:tcW w:w="100" w:type="dxa"/>
            <w:vAlign w:val="bottom"/>
            <w:shd w:val="clear" w:color="auto" w:fill="F0FFFF"/>
          </w:tcPr>
          <w:p>
            <w:pPr>
              <w:spacing w:after="0"/>
              <w:rPr>
                <w:sz w:val="8"/>
                <w:szCs w:val="8"/>
                <w:color w:val="auto"/>
              </w:rPr>
            </w:pPr>
          </w:p>
        </w:tc>
      </w:tr>
    </w:tbl>
    <w:p>
      <w:pPr>
        <w:sectPr>
          <w:pgSz w:w="11900" w:h="16900" w:orient="portrait"/>
          <w:cols w:equalWidth="0" w:num="1">
            <w:col w:w="11420"/>
          </w:cols>
          <w:pgMar w:left="240" w:top="877"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Unsettled government guaranteed loan sales</w:t>
            </w:r>
          </w:p>
        </w:tc>
        <w:tc>
          <w:tcPr>
            <w:tcW w:w="4040" w:type="dxa"/>
            <w:vAlign w:val="bottom"/>
            <w:shd w:val="clear" w:color="auto" w:fill="F0FFFF"/>
          </w:tcPr>
          <w:p>
            <w:pPr>
              <w:jc w:val="right"/>
              <w:ind w:right="450"/>
              <w:spacing w:after="0"/>
              <w:rPr>
                <w:sz w:val="20"/>
                <w:szCs w:val="20"/>
                <w:color w:val="auto"/>
              </w:rPr>
            </w:pPr>
            <w:r>
              <w:rPr>
                <w:rFonts w:ascii="Arial" w:cs="Arial" w:eastAsia="Arial" w:hAnsi="Arial"/>
                <w:sz w:val="18"/>
                <w:szCs w:val="18"/>
                <w:color w:val="auto"/>
              </w:rPr>
              <w:t>6,013</w:t>
            </w:r>
          </w:p>
        </w:tc>
        <w:tc>
          <w:tcPr>
            <w:tcW w:w="11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240" w:type="dxa"/>
            <w:vAlign w:val="bottom"/>
          </w:tcPr>
          <w:p>
            <w:pPr>
              <w:ind w:left="160"/>
              <w:spacing w:after="0"/>
              <w:rPr>
                <w:sz w:val="20"/>
                <w:szCs w:val="20"/>
                <w:color w:val="auto"/>
              </w:rPr>
            </w:pPr>
            <w:r>
              <w:rPr>
                <w:rFonts w:ascii="Arial" w:cs="Arial" w:eastAsia="Arial" w:hAnsi="Arial"/>
                <w:sz w:val="18"/>
                <w:szCs w:val="18"/>
                <w:color w:val="auto"/>
              </w:rPr>
              <w:t>Transfers of loans to foreclosed properties</w:t>
            </w:r>
          </w:p>
        </w:tc>
        <w:tc>
          <w:tcPr>
            <w:tcW w:w="4040" w:type="dxa"/>
            <w:vAlign w:val="bottom"/>
          </w:tcPr>
          <w:p>
            <w:pPr>
              <w:jc w:val="right"/>
              <w:ind w:right="450"/>
              <w:spacing w:after="0"/>
              <w:rPr>
                <w:sz w:val="20"/>
                <w:szCs w:val="20"/>
                <w:color w:val="auto"/>
              </w:rPr>
            </w:pPr>
            <w:r>
              <w:rPr>
                <w:rFonts w:ascii="Arial" w:cs="Arial" w:eastAsia="Arial" w:hAnsi="Arial"/>
                <w:sz w:val="18"/>
                <w:szCs w:val="18"/>
                <w:color w:val="auto"/>
              </w:rPr>
              <w:t>1,528</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6,054</w:t>
            </w:r>
          </w:p>
        </w:tc>
      </w:tr>
      <w:tr>
        <w:trPr>
          <w:trHeight w:val="216"/>
        </w:trPr>
        <w:tc>
          <w:tcPr>
            <w:tcW w:w="6240" w:type="dxa"/>
            <w:vAlign w:val="bottom"/>
            <w:shd w:val="clear" w:color="auto" w:fill="F0FFFF"/>
          </w:tcPr>
          <w:p>
            <w:pPr>
              <w:spacing w:after="0"/>
              <w:rPr>
                <w:sz w:val="18"/>
                <w:szCs w:val="18"/>
                <w:color w:val="auto"/>
              </w:rPr>
            </w:pPr>
          </w:p>
        </w:tc>
        <w:tc>
          <w:tcPr>
            <w:tcW w:w="404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r>
      <w:tr>
        <w:trPr>
          <w:trHeight w:val="216"/>
        </w:trPr>
        <w:tc>
          <w:tcPr>
            <w:tcW w:w="6240" w:type="dxa"/>
            <w:vAlign w:val="bottom"/>
          </w:tcPr>
          <w:p>
            <w:pPr>
              <w:ind w:left="160"/>
              <w:spacing w:after="0"/>
              <w:rPr>
                <w:sz w:val="20"/>
                <w:szCs w:val="20"/>
                <w:color w:val="auto"/>
              </w:rPr>
            </w:pPr>
            <w:r>
              <w:rPr>
                <w:rFonts w:ascii="Arial" w:cs="Arial" w:eastAsia="Arial" w:hAnsi="Arial"/>
                <w:sz w:val="18"/>
                <w:szCs w:val="18"/>
                <w:color w:val="auto"/>
              </w:rPr>
              <w:t>Acquisitions:</w:t>
            </w:r>
          </w:p>
        </w:tc>
        <w:tc>
          <w:tcPr>
            <w:tcW w:w="40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2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Assets acquired</w:t>
            </w:r>
          </w:p>
        </w:tc>
        <w:tc>
          <w:tcPr>
            <w:tcW w:w="4040" w:type="dxa"/>
            <w:vAlign w:val="bottom"/>
            <w:shd w:val="clear" w:color="auto" w:fill="F0FFFF"/>
          </w:tcPr>
          <w:p>
            <w:pPr>
              <w:jc w:val="right"/>
              <w:ind w:right="450"/>
              <w:spacing w:after="0"/>
              <w:rPr>
                <w:sz w:val="20"/>
                <w:szCs w:val="20"/>
                <w:color w:val="auto"/>
              </w:rPr>
            </w:pPr>
            <w:r>
              <w:rPr>
                <w:rFonts w:ascii="Arial" w:cs="Arial" w:eastAsia="Arial" w:hAnsi="Arial"/>
                <w:sz w:val="18"/>
                <w:szCs w:val="18"/>
                <w:color w:val="auto"/>
              </w:rPr>
              <w:t>474,009</w:t>
            </w:r>
          </w:p>
        </w:tc>
        <w:tc>
          <w:tcPr>
            <w:tcW w:w="11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31,243</w:t>
            </w:r>
          </w:p>
        </w:tc>
      </w:tr>
      <w:tr>
        <w:trPr>
          <w:trHeight w:val="216"/>
        </w:trPr>
        <w:tc>
          <w:tcPr>
            <w:tcW w:w="6240" w:type="dxa"/>
            <w:vAlign w:val="bottom"/>
          </w:tcPr>
          <w:p>
            <w:pPr>
              <w:ind w:left="320"/>
              <w:spacing w:after="0"/>
              <w:rPr>
                <w:sz w:val="20"/>
                <w:szCs w:val="20"/>
                <w:color w:val="auto"/>
              </w:rPr>
            </w:pPr>
            <w:r>
              <w:rPr>
                <w:rFonts w:ascii="Arial" w:cs="Arial" w:eastAsia="Arial" w:hAnsi="Arial"/>
                <w:sz w:val="18"/>
                <w:szCs w:val="18"/>
                <w:color w:val="auto"/>
              </w:rPr>
              <w:t>Liabilities assumed</w:t>
            </w:r>
          </w:p>
        </w:tc>
        <w:tc>
          <w:tcPr>
            <w:tcW w:w="4040" w:type="dxa"/>
            <w:vAlign w:val="bottom"/>
          </w:tcPr>
          <w:p>
            <w:pPr>
              <w:jc w:val="right"/>
              <w:ind w:right="450"/>
              <w:spacing w:after="0"/>
              <w:rPr>
                <w:sz w:val="20"/>
                <w:szCs w:val="20"/>
                <w:color w:val="auto"/>
              </w:rPr>
            </w:pPr>
            <w:r>
              <w:rPr>
                <w:rFonts w:ascii="Arial" w:cs="Arial" w:eastAsia="Arial" w:hAnsi="Arial"/>
                <w:sz w:val="18"/>
                <w:szCs w:val="18"/>
                <w:color w:val="auto"/>
              </w:rPr>
              <w:t>409,426</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Net assets acquired</w:t>
            </w:r>
          </w:p>
        </w:tc>
        <w:tc>
          <w:tcPr>
            <w:tcW w:w="4040" w:type="dxa"/>
            <w:vAlign w:val="bottom"/>
            <w:shd w:val="clear" w:color="auto" w:fill="F0FFFF"/>
          </w:tcPr>
          <w:p>
            <w:pPr>
              <w:jc w:val="right"/>
              <w:ind w:right="450"/>
              <w:spacing w:after="0"/>
              <w:rPr>
                <w:sz w:val="20"/>
                <w:szCs w:val="20"/>
                <w:color w:val="auto"/>
              </w:rPr>
            </w:pPr>
            <w:r>
              <w:rPr>
                <w:rFonts w:ascii="Arial" w:cs="Arial" w:eastAsia="Arial" w:hAnsi="Arial"/>
                <w:sz w:val="18"/>
                <w:szCs w:val="18"/>
                <w:color w:val="auto"/>
              </w:rPr>
              <w:t>64,583</w:t>
            </w:r>
          </w:p>
        </w:tc>
        <w:tc>
          <w:tcPr>
            <w:tcW w:w="11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31,243</w:t>
            </w:r>
          </w:p>
        </w:tc>
      </w:tr>
      <w:tr>
        <w:trPr>
          <w:trHeight w:val="216"/>
        </w:trPr>
        <w:tc>
          <w:tcPr>
            <w:tcW w:w="6240" w:type="dxa"/>
            <w:vAlign w:val="bottom"/>
          </w:tcPr>
          <w:p>
            <w:pPr>
              <w:ind w:left="320"/>
              <w:spacing w:after="0"/>
              <w:rPr>
                <w:sz w:val="20"/>
                <w:szCs w:val="20"/>
                <w:color w:val="auto"/>
              </w:rPr>
            </w:pPr>
            <w:r>
              <w:rPr>
                <w:rFonts w:ascii="Arial" w:cs="Arial" w:eastAsia="Arial" w:hAnsi="Arial"/>
                <w:sz w:val="18"/>
                <w:szCs w:val="18"/>
                <w:color w:val="auto"/>
              </w:rPr>
              <w:t>Common stock issued in acquisition</w:t>
            </w:r>
          </w:p>
        </w:tc>
        <w:tc>
          <w:tcPr>
            <w:tcW w:w="4040" w:type="dxa"/>
            <w:vAlign w:val="bottom"/>
          </w:tcPr>
          <w:p>
            <w:pPr>
              <w:jc w:val="right"/>
              <w:ind w:right="450"/>
              <w:spacing w:after="0"/>
              <w:rPr>
                <w:sz w:val="20"/>
                <w:szCs w:val="20"/>
                <w:color w:val="auto"/>
              </w:rPr>
            </w:pPr>
            <w:r>
              <w:rPr>
                <w:rFonts w:ascii="Arial" w:cs="Arial" w:eastAsia="Arial" w:hAnsi="Arial"/>
                <w:sz w:val="18"/>
                <w:szCs w:val="18"/>
                <w:color w:val="auto"/>
              </w:rPr>
              <w:t>43,892</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Preferred stock issued in acquisition</w:t>
            </w:r>
          </w:p>
        </w:tc>
        <w:tc>
          <w:tcPr>
            <w:tcW w:w="4040" w:type="dxa"/>
            <w:vAlign w:val="bottom"/>
            <w:shd w:val="clear" w:color="auto" w:fill="F0FFFF"/>
          </w:tcPr>
          <w:p>
            <w:pPr>
              <w:jc w:val="right"/>
              <w:ind w:right="450"/>
              <w:spacing w:after="0"/>
              <w:rPr>
                <w:sz w:val="20"/>
                <w:szCs w:val="20"/>
                <w:color w:val="auto"/>
              </w:rPr>
            </w:pPr>
            <w:r>
              <w:rPr>
                <w:rFonts w:ascii="Arial" w:cs="Arial" w:eastAsia="Arial" w:hAnsi="Arial"/>
                <w:sz w:val="18"/>
                <w:szCs w:val="18"/>
                <w:color w:val="auto"/>
              </w:rPr>
              <w:t>9,992</w:t>
            </w:r>
          </w:p>
        </w:tc>
        <w:tc>
          <w:tcPr>
            <w:tcW w:w="114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accounting and financial reporting policies of United Community Banks, Inc. (“United”) and its subsidiaries conform to accounting principles generally accepted in the United States of America (“GAAP”) and general banking industry practices. The accompanying interim consolidated financial statements have not been audited. All material intercompany balances and transactions have been eliminated. A more detailed description of United’s accounting policies is included in its Annual Report on Form 10-K for the year ended December 31, 2014.</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Certain 2014 amounts have been reclassified to conform to the 2015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Accounting Standards Updates and Recently Adopted Standards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February 2015, the Financial Accounting Standards Board (“FASB”) issued Accounting Standards Update (“ASU”) No. 2015-02, </w:t>
      </w:r>
      <w:r>
        <w:rPr>
          <w:rFonts w:ascii="Arial" w:cs="Arial" w:eastAsia="Arial" w:hAnsi="Arial"/>
          <w:sz w:val="18"/>
          <w:szCs w:val="18"/>
          <w:i w:val="1"/>
          <w:iCs w:val="1"/>
          <w:color w:val="auto"/>
        </w:rPr>
        <w:t>Consolidation (Topic</w:t>
      </w:r>
      <w:r>
        <w:rPr>
          <w:rFonts w:ascii="Arial" w:cs="Arial" w:eastAsia="Arial" w:hAnsi="Arial"/>
          <w:sz w:val="18"/>
          <w:szCs w:val="18"/>
          <w:color w:val="auto"/>
        </w:rPr>
        <w:t xml:space="preserve"> </w:t>
      </w:r>
      <w:r>
        <w:rPr>
          <w:rFonts w:ascii="Arial" w:cs="Arial" w:eastAsia="Arial" w:hAnsi="Arial"/>
          <w:sz w:val="18"/>
          <w:szCs w:val="18"/>
          <w:i w:val="1"/>
          <w:iCs w:val="1"/>
          <w:color w:val="auto"/>
        </w:rPr>
        <w:t>810): Amendments to the Consolidation Analysis</w:t>
      </w:r>
      <w:r>
        <w:rPr>
          <w:rFonts w:ascii="Arial" w:cs="Arial" w:eastAsia="Arial" w:hAnsi="Arial"/>
          <w:sz w:val="18"/>
          <w:szCs w:val="18"/>
          <w:color w:val="auto"/>
        </w:rPr>
        <w:t>, effective for fiscal years beginning after December 15, 2015 and interim periods within those years with</w:t>
      </w:r>
      <w:r>
        <w:rPr>
          <w:rFonts w:ascii="Arial" w:cs="Arial" w:eastAsia="Arial" w:hAnsi="Arial"/>
          <w:sz w:val="18"/>
          <w:szCs w:val="18"/>
          <w:i w:val="1"/>
          <w:iCs w:val="1"/>
          <w:color w:val="auto"/>
        </w:rPr>
        <w:t xml:space="preserve"> </w:t>
      </w:r>
      <w:r>
        <w:rPr>
          <w:rFonts w:ascii="Arial" w:cs="Arial" w:eastAsia="Arial" w:hAnsi="Arial"/>
          <w:sz w:val="18"/>
          <w:szCs w:val="18"/>
          <w:color w:val="auto"/>
        </w:rPr>
        <w:t>early adoption permitted. The new standard is intended to improve targeted areas of the consolidation guidance for legal entities such as limited partnerships, limited liability corporations, and securitization structures. The amendments in the ASU affect the consolidation evaluation for reporting organizations. In addition, the amendments in this ASU simplify and improve current GAAP by reducing the number of consolidation models. United is currently evaluating the impact of this guidance on its consolidated financial statements.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April 2015, the FASB issued ASU No. 2015-03, </w:t>
      </w:r>
      <w:r>
        <w:rPr>
          <w:rFonts w:ascii="Arial" w:cs="Arial" w:eastAsia="Arial" w:hAnsi="Arial"/>
          <w:sz w:val="18"/>
          <w:szCs w:val="18"/>
          <w:i w:val="1"/>
          <w:iCs w:val="1"/>
          <w:color w:val="auto"/>
        </w:rPr>
        <w:t>Interest – Imputation of Interest (Subtopic 835-30) Simplifying the Presentation of Debt Issuance Costs</w:t>
      </w:r>
      <w:r>
        <w:rPr>
          <w:rFonts w:ascii="Arial" w:cs="Arial" w:eastAsia="Arial" w:hAnsi="Arial"/>
          <w:sz w:val="18"/>
          <w:szCs w:val="18"/>
          <w:color w:val="auto"/>
        </w:rPr>
        <w:t>. To simplify presentation of debt issuance costs, the amendments in this update require that debt issuance costs related to a recognized debt liability be presented in the balance sheet as a direct deduction from the carrying amount of that debt liability consistent with debt discounts. The standard will be effective for the United’s fiscal year beginning after December 15, 2015 and subsequent interim periods. The adoption of ASU 2015-03 is not expected to have a material effect on the United’s consolidated financial statements.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May 2015, the FASB issued ASU 2015-07, </w:t>
      </w:r>
      <w:r>
        <w:rPr>
          <w:rFonts w:ascii="Arial" w:cs="Arial" w:eastAsia="Arial" w:hAnsi="Arial"/>
          <w:sz w:val="17"/>
          <w:szCs w:val="17"/>
          <w:i w:val="1"/>
          <w:iCs w:val="1"/>
          <w:color w:val="auto"/>
        </w:rPr>
        <w:t>Disclosures for Investments in Certain Entities that Calculate Net Asset Value Per Share (or its Equivalent).</w:t>
      </w:r>
      <w:r>
        <w:rPr>
          <w:rFonts w:ascii="Arial" w:cs="Arial" w:eastAsia="Arial" w:hAnsi="Arial"/>
          <w:sz w:val="17"/>
          <w:szCs w:val="17"/>
          <w:color w:val="auto"/>
        </w:rPr>
        <w:t xml:space="preserve"> ASU 2015-07 removes the requirement to categorize within the fair value hierarchy investments for which fair values are estimated using the net asset value practical expedient provided by ASC 820. Disclosures about investments in certain entities that calculate net asset value per share are limited under ASU 2015-07 to those investments for which the entity has elected to estimate the fair value using the net asset value practical expedient. ASU 2015-07 is effective for fiscal years beginning after December 15, 2015, with retrospective application to all periods presented. Early application is permitted. The adoption of this update is not expected to have a material impact on United’s consolidated financial statements.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June 2015, the FASB issued ASU 2015-10: </w:t>
      </w:r>
      <w:r>
        <w:rPr>
          <w:rFonts w:ascii="Arial" w:cs="Arial" w:eastAsia="Arial" w:hAnsi="Arial"/>
          <w:sz w:val="18"/>
          <w:szCs w:val="18"/>
          <w:i w:val="1"/>
          <w:iCs w:val="1"/>
          <w:color w:val="auto"/>
        </w:rPr>
        <w:t>Technical Corrections and Improvements</w:t>
      </w:r>
      <w:r>
        <w:rPr>
          <w:rFonts w:ascii="Arial" w:cs="Arial" w:eastAsia="Arial" w:hAnsi="Arial"/>
          <w:sz w:val="18"/>
          <w:szCs w:val="18"/>
          <w:color w:val="auto"/>
        </w:rPr>
        <w:t>. The amendments in this Update cover a wide range of topics in the Codification including guidance clarification and reference corrections, simplification and minor improvements. Transition guidance varies based on the amendments. The amendments that require transition guidance are effective for all entities for fiscal years, and interim periods within those fiscal years, beginning after December 15, 2015. Early adoption is permitted, including adoption in an interim period. All other amendments will be effective upon issuance. United retrospectively applied the provisions of ASU 2015-10 during the second quarter of 2015, with no material impact on United’s financial position or results of operations. The adoption of ASU 2015-10 did affect certain disclosures related to nonrecurring fair value measurements as presented in Note 14.</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660): Summary and Amendments that Create 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 (Topic 606) and Other Assets and Deferred Costs—Contracts with Customers (Subtopic 340-40)</w:t>
      </w:r>
      <w:r>
        <w:rPr>
          <w:rFonts w:ascii="Arial" w:cs="Arial" w:eastAsia="Arial" w:hAnsi="Arial"/>
          <w:sz w:val="16"/>
          <w:szCs w:val="16"/>
          <w:color w:val="auto"/>
        </w:rPr>
        <w:t>. The guidance in this update</w:t>
      </w:r>
      <w:r>
        <w:rPr>
          <w:rFonts w:ascii="Arial" w:cs="Arial" w:eastAsia="Arial" w:hAnsi="Arial"/>
          <w:sz w:val="16"/>
          <w:szCs w:val="16"/>
          <w:i w:val="1"/>
          <w:iCs w:val="1"/>
          <w:color w:val="auto"/>
        </w:rPr>
        <w:t xml:space="preserve"> </w:t>
      </w:r>
      <w:r>
        <w:rPr>
          <w:rFonts w:ascii="Arial" w:cs="Arial" w:eastAsia="Arial" w:hAnsi="Arial"/>
          <w:sz w:val="16"/>
          <w:szCs w:val="16"/>
          <w:color w:val="auto"/>
        </w:rPr>
        <w:t>supersedes the revenue recognition requirements in ASC Topic 605, Revenue Recognition, and most industry-specific guidance throughout the industry topics of the codification. For public companies, this update was originally effective for interim and annual periods beginning after December 15, 2016. In July 2015, the FASB voted to delay the effective date of this ASU by one year. United is currently assessing the impact that this guidance will have on its consolidated financial statements, but does not expect the guidance to have a material impact on United’s consolidated financial statements.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MoneyTree Corporation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May 1, 2015, United completed the acquisition of MoneyTree Corporation (“MoneyTree”) and its wholly-owned bank subsidiary, First National Bank (“FNB”). FNB operated ten branches in east Tennessee. In connection with the acquisition, United acquired $461 million of assets and assumed $409 million of liabilities and $9.99 million of preferred stock. Total consideration transferred was $54.6 million of common equity and cash. The fair value of consideration paid exceeded the fair value of the identifiable assets and liabilities acquired and resulted in the establishment of goodwill in the amount of $13.0 million, which consisted largely of the intangible value of FNB’s business and reputation within the market it serves. None of the goodwill recognized is expected to be deductible for income tax purposes. United will amortize the related core deposit intangible of $4.22 million using the sum-of-the-years-digits method over 6.67 years, which represents the expected useful life of the asset. The deposit premium of $917,000 will be amortized using the effective yield method over 5 years, which represents the weighted average maturity of the underlying deposits.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the 2,358,503 common shares issued as part of the consideration paid for MoneyTree was determined on the basis of the closing market price of United’s common shares on the acquisition date. Acquisition-related costs totaled $3.17 million for the three and six months ending June 30, 2015 and were included in operating expenses in the consolidated income statement.</w:t>
      </w:r>
    </w:p>
    <w:p>
      <w:pPr>
        <w:spacing w:after="0" w:line="17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Upon completion of the acquisition, each share of preferred stock issued by MoneyTree as part of the Small Business Lending Fund (“SBLF”) program of the United States Department of Treasury (9,992 shares in the aggregate with a liquidation preference amount of $1,000 per share) was converted automatically into one substantially identical share of preferred stock of the Company. See Note 12 for further detail.</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purchased assets and assumed liabilities were recorded at their acquisition date fair values, and are summarized in the table below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221"/>
        </w:trPr>
        <w:tc>
          <w:tcPr>
            <w:tcW w:w="4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As Recorded by</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Fair Value</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As Recorded by</w:t>
            </w:r>
          </w:p>
        </w:tc>
        <w:tc>
          <w:tcPr>
            <w:tcW w:w="0" w:type="dxa"/>
            <w:vAlign w:val="bottom"/>
          </w:tcPr>
          <w:p>
            <w:pPr>
              <w:spacing w:after="0"/>
              <w:rPr>
                <w:sz w:val="1"/>
                <w:szCs w:val="1"/>
                <w:color w:val="auto"/>
              </w:rPr>
            </w:pPr>
          </w:p>
        </w:tc>
      </w:tr>
      <w:tr>
        <w:trPr>
          <w:trHeight w:val="277"/>
        </w:trPr>
        <w:tc>
          <w:tcPr>
            <w:tcW w:w="4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rPr>
              <w:t>Money Tree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right"/>
              <w:ind w:right="300"/>
              <w:spacing w:after="0" w:line="269" w:lineRule="exact"/>
              <w:rPr>
                <w:sz w:val="20"/>
                <w:szCs w:val="20"/>
                <w:color w:val="auto"/>
              </w:rPr>
            </w:pPr>
            <w:r>
              <w:rPr>
                <w:rFonts w:ascii="Arial" w:cs="Arial" w:eastAsia="Arial" w:hAnsi="Arial"/>
                <w:sz w:val="18"/>
                <w:szCs w:val="18"/>
                <w:b w:val="1"/>
                <w:bCs w:val="1"/>
                <w:color w:val="auto"/>
                <w:w w:val="86"/>
              </w:rPr>
              <w:t xml:space="preserve">Adjustments </w:t>
            </w:r>
            <w:r>
              <w:rPr>
                <w:rFonts w:ascii="Arial" w:cs="Arial" w:eastAsia="Arial" w:hAnsi="Arial"/>
                <w:sz w:val="30"/>
                <w:szCs w:val="30"/>
                <w:b w:val="1"/>
                <w:bCs w:val="1"/>
                <w:color w:val="auto"/>
                <w:w w:val="86"/>
                <w:vertAlign w:val="superscript"/>
              </w:rPr>
              <w:t>(1)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United</w:t>
            </w:r>
          </w:p>
        </w:tc>
        <w:tc>
          <w:tcPr>
            <w:tcW w:w="0" w:type="dxa"/>
            <w:vAlign w:val="bottom"/>
          </w:tcPr>
          <w:p>
            <w:pPr>
              <w:spacing w:after="0"/>
              <w:rPr>
                <w:sz w:val="1"/>
                <w:szCs w:val="1"/>
                <w:color w:val="auto"/>
              </w:rPr>
            </w:pPr>
          </w:p>
        </w:tc>
      </w:tr>
      <w:tr>
        <w:trPr>
          <w:trHeight w:val="243"/>
        </w:trPr>
        <w:tc>
          <w:tcPr>
            <w:tcW w:w="440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b w:val="1"/>
                <w:bCs w:val="1"/>
                <w:color w:val="auto"/>
              </w:rPr>
              <w:t>Assets</w:t>
            </w:r>
          </w:p>
        </w:tc>
        <w:tc>
          <w:tcPr>
            <w:tcW w:w="860" w:type="dxa"/>
            <w:vAlign w:val="bottom"/>
            <w:tcBorders>
              <w:top w:val="single" w:sz="8" w:color="F0FFFF"/>
            </w:tcBorders>
            <w:shd w:val="clear" w:color="auto" w:fill="F0FFFF"/>
          </w:tcPr>
          <w:p>
            <w:pPr>
              <w:spacing w:after="0"/>
              <w:rPr>
                <w:sz w:val="21"/>
                <w:szCs w:val="21"/>
                <w:color w:val="auto"/>
              </w:rPr>
            </w:pPr>
          </w:p>
        </w:tc>
        <w:tc>
          <w:tcPr>
            <w:tcW w:w="100" w:type="dxa"/>
            <w:vAlign w:val="bottom"/>
            <w:tcBorders>
              <w:top w:val="single" w:sz="8" w:color="auto"/>
            </w:tcBorders>
            <w:shd w:val="clear" w:color="auto" w:fill="F0FFFF"/>
          </w:tcPr>
          <w:p>
            <w:pPr>
              <w:spacing w:after="0"/>
              <w:rPr>
                <w:sz w:val="21"/>
                <w:szCs w:val="21"/>
                <w:color w:val="auto"/>
              </w:rPr>
            </w:pPr>
          </w:p>
        </w:tc>
        <w:tc>
          <w:tcPr>
            <w:tcW w:w="1380" w:type="dxa"/>
            <w:vAlign w:val="bottom"/>
            <w:tcBorders>
              <w:top w:val="single" w:sz="8" w:color="auto"/>
            </w:tcBorders>
            <w:shd w:val="clear" w:color="auto" w:fill="F0FFFF"/>
          </w:tcPr>
          <w:p>
            <w:pPr>
              <w:spacing w:after="0"/>
              <w:rPr>
                <w:sz w:val="21"/>
                <w:szCs w:val="21"/>
                <w:color w:val="auto"/>
              </w:rPr>
            </w:pPr>
          </w:p>
        </w:tc>
        <w:tc>
          <w:tcPr>
            <w:tcW w:w="220" w:type="dxa"/>
            <w:vAlign w:val="bottom"/>
            <w:tcBorders>
              <w:top w:val="single" w:sz="8" w:color="F0FFFF"/>
            </w:tcBorders>
            <w:shd w:val="clear" w:color="auto" w:fill="F0FFFF"/>
          </w:tcPr>
          <w:p>
            <w:pPr>
              <w:spacing w:after="0"/>
              <w:rPr>
                <w:sz w:val="21"/>
                <w:szCs w:val="21"/>
                <w:color w:val="auto"/>
              </w:rPr>
            </w:pPr>
          </w:p>
        </w:tc>
        <w:tc>
          <w:tcPr>
            <w:tcW w:w="100" w:type="dxa"/>
            <w:vAlign w:val="bottom"/>
            <w:tcBorders>
              <w:top w:val="single" w:sz="8" w:color="auto"/>
            </w:tcBorders>
            <w:shd w:val="clear" w:color="auto" w:fill="F0FFFF"/>
          </w:tcPr>
          <w:p>
            <w:pPr>
              <w:spacing w:after="0"/>
              <w:rPr>
                <w:sz w:val="21"/>
                <w:szCs w:val="21"/>
                <w:color w:val="auto"/>
              </w:rPr>
            </w:pPr>
          </w:p>
        </w:tc>
        <w:tc>
          <w:tcPr>
            <w:tcW w:w="1380" w:type="dxa"/>
            <w:vAlign w:val="bottom"/>
            <w:tcBorders>
              <w:top w:val="single" w:sz="8" w:color="auto"/>
            </w:tcBorders>
            <w:shd w:val="clear" w:color="auto" w:fill="F0FFFF"/>
          </w:tcPr>
          <w:p>
            <w:pPr>
              <w:spacing w:after="0"/>
              <w:rPr>
                <w:sz w:val="21"/>
                <w:szCs w:val="21"/>
                <w:color w:val="auto"/>
              </w:rPr>
            </w:pPr>
          </w:p>
        </w:tc>
        <w:tc>
          <w:tcPr>
            <w:tcW w:w="140" w:type="dxa"/>
            <w:vAlign w:val="bottom"/>
            <w:tcBorders>
              <w:top w:val="single" w:sz="8" w:color="F0FFFF"/>
            </w:tcBorders>
            <w:shd w:val="clear" w:color="auto" w:fill="F0FFFF"/>
          </w:tcPr>
          <w:p>
            <w:pPr>
              <w:spacing w:after="0"/>
              <w:rPr>
                <w:sz w:val="21"/>
                <w:szCs w:val="21"/>
                <w:color w:val="auto"/>
              </w:rPr>
            </w:pPr>
          </w:p>
        </w:tc>
        <w:tc>
          <w:tcPr>
            <w:tcW w:w="80" w:type="dxa"/>
            <w:vAlign w:val="bottom"/>
            <w:tcBorders>
              <w:top w:val="single" w:sz="8" w:color="F0FFFF"/>
            </w:tcBorders>
            <w:shd w:val="clear" w:color="auto" w:fill="F0FFFF"/>
          </w:tcPr>
          <w:p>
            <w:pPr>
              <w:spacing w:after="0"/>
              <w:rPr>
                <w:sz w:val="21"/>
                <w:szCs w:val="21"/>
                <w:color w:val="auto"/>
              </w:rPr>
            </w:pPr>
          </w:p>
        </w:tc>
        <w:tc>
          <w:tcPr>
            <w:tcW w:w="120" w:type="dxa"/>
            <w:vAlign w:val="bottom"/>
            <w:tcBorders>
              <w:top w:val="single" w:sz="8" w:color="auto"/>
            </w:tcBorders>
            <w:shd w:val="clear" w:color="auto" w:fill="F0FFFF"/>
          </w:tcPr>
          <w:p>
            <w:pPr>
              <w:spacing w:after="0"/>
              <w:rPr>
                <w:sz w:val="21"/>
                <w:szCs w:val="21"/>
                <w:color w:val="auto"/>
              </w:rPr>
            </w:pPr>
          </w:p>
        </w:tc>
        <w:tc>
          <w:tcPr>
            <w:tcW w:w="1380" w:type="dxa"/>
            <w:vAlign w:val="bottom"/>
            <w:tcBorders>
              <w:top w:val="single" w:sz="8" w:color="auto"/>
            </w:tcBorders>
            <w:shd w:val="clear" w:color="auto" w:fill="F0FFFF"/>
          </w:tcPr>
          <w:p>
            <w:pPr>
              <w:spacing w:after="0"/>
              <w:rPr>
                <w:sz w:val="21"/>
                <w:szCs w:val="21"/>
                <w:color w:val="auto"/>
              </w:rPr>
            </w:pPr>
          </w:p>
        </w:tc>
        <w:tc>
          <w:tcPr>
            <w:tcW w:w="120" w:type="dxa"/>
            <w:vAlign w:val="bottom"/>
            <w:tcBorders>
              <w:top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55,293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55,293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F0FFFF"/>
          </w:tcPr>
          <w:p>
            <w:pPr>
              <w:spacing w:after="0"/>
              <w:rPr>
                <w:sz w:val="20"/>
                <w:szCs w:val="20"/>
                <w:color w:val="auto"/>
              </w:rPr>
            </w:pPr>
            <w:r>
              <w:rPr>
                <w:rFonts w:ascii="Arial" w:cs="Arial" w:eastAsia="Arial" w:hAnsi="Arial"/>
                <w:sz w:val="18"/>
                <w:szCs w:val="18"/>
                <w:color w:val="auto"/>
              </w:rPr>
              <w:t>Securities</w:t>
            </w:r>
          </w:p>
        </w:tc>
        <w:tc>
          <w:tcPr>
            <w:tcW w:w="8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3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127,123</w:t>
            </w:r>
          </w:p>
        </w:tc>
        <w:tc>
          <w:tcPr>
            <w:tcW w:w="2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5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(52)</w:t>
            </w:r>
          </w:p>
        </w:tc>
        <w:tc>
          <w:tcPr>
            <w:tcW w:w="8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3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127,071</w:t>
            </w:r>
          </w:p>
        </w:tc>
        <w:tc>
          <w:tcPr>
            <w:tcW w:w="12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Loans held for sale</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1,342</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1,342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F0FFFF"/>
          </w:tcPr>
          <w:p>
            <w:pPr>
              <w:spacing w:after="0"/>
              <w:rPr>
                <w:sz w:val="20"/>
                <w:szCs w:val="20"/>
                <w:color w:val="auto"/>
              </w:rPr>
            </w:pPr>
            <w:r>
              <w:rPr>
                <w:rFonts w:ascii="Arial" w:cs="Arial" w:eastAsia="Arial" w:hAnsi="Arial"/>
                <w:sz w:val="18"/>
                <w:szCs w:val="18"/>
                <w:color w:val="auto"/>
              </w:rPr>
              <w:t>Loans, net</w:t>
            </w:r>
          </w:p>
        </w:tc>
        <w:tc>
          <w:tcPr>
            <w:tcW w:w="8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3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246,816</w:t>
            </w:r>
          </w:p>
        </w:tc>
        <w:tc>
          <w:tcPr>
            <w:tcW w:w="2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5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(2,464)</w:t>
            </w:r>
          </w:p>
        </w:tc>
        <w:tc>
          <w:tcPr>
            <w:tcW w:w="8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3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244,352</w:t>
            </w:r>
          </w:p>
        </w:tc>
        <w:tc>
          <w:tcPr>
            <w:tcW w:w="12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9,497</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3,759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13,256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F0FFFF"/>
          </w:tcPr>
          <w:p>
            <w:pPr>
              <w:spacing w:after="0"/>
              <w:rPr>
                <w:sz w:val="20"/>
                <w:szCs w:val="20"/>
                <w:color w:val="auto"/>
              </w:rPr>
            </w:pPr>
            <w:r>
              <w:rPr>
                <w:rFonts w:ascii="Arial" w:cs="Arial" w:eastAsia="Arial" w:hAnsi="Arial"/>
                <w:sz w:val="18"/>
                <w:szCs w:val="18"/>
                <w:color w:val="auto"/>
              </w:rPr>
              <w:t>Bank owned life insurance</w:t>
            </w:r>
          </w:p>
        </w:tc>
        <w:tc>
          <w:tcPr>
            <w:tcW w:w="8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3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11,194</w:t>
            </w:r>
          </w:p>
        </w:tc>
        <w:tc>
          <w:tcPr>
            <w:tcW w:w="2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3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3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11,194</w:t>
            </w:r>
          </w:p>
        </w:tc>
        <w:tc>
          <w:tcPr>
            <w:tcW w:w="12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Core deposit intangible</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4,220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4,220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400" w:type="dxa"/>
            <w:vAlign w:val="bottom"/>
            <w:shd w:val="clear" w:color="auto" w:fill="F0FFFF"/>
          </w:tcPr>
          <w:p>
            <w:pPr>
              <w:spacing w:after="0"/>
              <w:rPr>
                <w:sz w:val="20"/>
                <w:szCs w:val="20"/>
                <w:color w:val="auto"/>
              </w:rPr>
            </w:pPr>
            <w:r>
              <w:rPr>
                <w:rFonts w:ascii="Arial" w:cs="Arial" w:eastAsia="Arial" w:hAnsi="Arial"/>
                <w:sz w:val="18"/>
                <w:szCs w:val="18"/>
                <w:color w:val="auto"/>
              </w:rPr>
              <w:t>Other assets</w:t>
            </w:r>
          </w:p>
        </w:tc>
        <w:tc>
          <w:tcPr>
            <w:tcW w:w="86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3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5,462</w:t>
            </w:r>
          </w:p>
        </w:tc>
        <w:tc>
          <w:tcPr>
            <w:tcW w:w="22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5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(1,199)</w:t>
            </w:r>
          </w:p>
        </w:tc>
        <w:tc>
          <w:tcPr>
            <w:tcW w:w="8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3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4,263</w:t>
            </w:r>
          </w:p>
        </w:tc>
        <w:tc>
          <w:tcPr>
            <w:tcW w:w="12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400" w:type="dxa"/>
            <w:vAlign w:val="bottom"/>
            <w:tcBorders>
              <w:top w:val="single" w:sz="8" w:color="F0FFFF"/>
            </w:tcBorders>
          </w:tcPr>
          <w:p>
            <w:pPr>
              <w:ind w:left="160"/>
              <w:spacing w:after="0" w:line="203" w:lineRule="exact"/>
              <w:rPr>
                <w:sz w:val="20"/>
                <w:szCs w:val="20"/>
                <w:color w:val="auto"/>
              </w:rPr>
            </w:pPr>
            <w:r>
              <w:rPr>
                <w:rFonts w:ascii="Arial" w:cs="Arial" w:eastAsia="Arial" w:hAnsi="Arial"/>
                <w:sz w:val="18"/>
                <w:szCs w:val="18"/>
                <w:b w:val="1"/>
                <w:bCs w:val="1"/>
                <w:color w:val="auto"/>
              </w:rPr>
              <w:t>Total assets acquired</w:t>
            </w:r>
          </w:p>
        </w:tc>
        <w:tc>
          <w:tcPr>
            <w:tcW w:w="860" w:type="dxa"/>
            <w:vAlign w:val="bottom"/>
            <w:tcBorders>
              <w:top w:val="single" w:sz="8" w:color="F0FF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456,727</w:t>
            </w:r>
          </w:p>
        </w:tc>
        <w:tc>
          <w:tcPr>
            <w:tcW w:w="220" w:type="dxa"/>
            <w:vAlign w:val="bottom"/>
            <w:tcBorders>
              <w:top w:val="single" w:sz="8" w:color="F0FF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4,264</w:t>
            </w: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460,991</w:t>
            </w:r>
          </w:p>
        </w:tc>
        <w:tc>
          <w:tcPr>
            <w:tcW w:w="12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tcBorders>
              <w:bottom w:val="single" w:sz="8" w:color="F0FFFF"/>
            </w:tcBorders>
          </w:tcPr>
          <w:p>
            <w:pPr>
              <w:spacing w:after="0" w:line="20" w:lineRule="exact"/>
              <w:rPr>
                <w:sz w:val="1"/>
                <w:szCs w:val="1"/>
                <w:color w:val="auto"/>
              </w:rPr>
            </w:pPr>
          </w:p>
        </w:tc>
        <w:tc>
          <w:tcPr>
            <w:tcW w:w="8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0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Liabilities</w:t>
            </w:r>
          </w:p>
        </w:tc>
        <w:tc>
          <w:tcPr>
            <w:tcW w:w="8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38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38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3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Deposits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368,833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917</w:t>
            </w:r>
          </w:p>
        </w:tc>
        <w:tc>
          <w:tcPr>
            <w:tcW w:w="14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369,750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F0FFFF"/>
          </w:tcPr>
          <w:p>
            <w:pPr>
              <w:spacing w:after="0"/>
              <w:rPr>
                <w:sz w:val="20"/>
                <w:szCs w:val="20"/>
                <w:color w:val="auto"/>
              </w:rPr>
            </w:pPr>
            <w:r>
              <w:rPr>
                <w:rFonts w:ascii="Arial" w:cs="Arial" w:eastAsia="Arial" w:hAnsi="Arial"/>
                <w:sz w:val="18"/>
                <w:szCs w:val="18"/>
                <w:color w:val="auto"/>
              </w:rPr>
              <w:t>Short-term borrowings</w:t>
            </w:r>
          </w:p>
        </w:tc>
        <w:tc>
          <w:tcPr>
            <w:tcW w:w="8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3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3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3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Federal Home Loan Bank advances</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22,000</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22,070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Other liabilities</w:t>
            </w:r>
          </w:p>
        </w:tc>
        <w:tc>
          <w:tcPr>
            <w:tcW w:w="8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spacing w:after="0"/>
              <w:rPr>
                <w:sz w:val="21"/>
                <w:szCs w:val="21"/>
                <w:color w:val="auto"/>
              </w:rPr>
            </w:pPr>
          </w:p>
        </w:tc>
        <w:tc>
          <w:tcPr>
            <w:tcW w:w="13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864</w:t>
            </w:r>
          </w:p>
        </w:tc>
        <w:tc>
          <w:tcPr>
            <w:tcW w:w="2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spacing w:after="0"/>
              <w:rPr>
                <w:sz w:val="21"/>
                <w:szCs w:val="21"/>
                <w:color w:val="auto"/>
              </w:rPr>
            </w:pPr>
          </w:p>
        </w:tc>
        <w:tc>
          <w:tcPr>
            <w:tcW w:w="13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1,742</w:t>
            </w:r>
          </w:p>
        </w:tc>
        <w:tc>
          <w:tcPr>
            <w:tcW w:w="14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spacing w:after="0"/>
              <w:rPr>
                <w:sz w:val="21"/>
                <w:szCs w:val="21"/>
                <w:color w:val="auto"/>
              </w:rPr>
            </w:pPr>
          </w:p>
        </w:tc>
        <w:tc>
          <w:tcPr>
            <w:tcW w:w="13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2,606</w:t>
            </w:r>
          </w:p>
        </w:tc>
        <w:tc>
          <w:tcPr>
            <w:tcW w:w="12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F0FFFF"/>
            </w:tcBorders>
          </w:tcPr>
          <w:p>
            <w:pPr>
              <w:ind w:left="160"/>
              <w:spacing w:after="0"/>
              <w:rPr>
                <w:sz w:val="20"/>
                <w:szCs w:val="20"/>
                <w:color w:val="auto"/>
              </w:rPr>
            </w:pPr>
            <w:r>
              <w:rPr>
                <w:rFonts w:ascii="Arial" w:cs="Arial" w:eastAsia="Arial" w:hAnsi="Arial"/>
                <w:sz w:val="18"/>
                <w:szCs w:val="18"/>
                <w:b w:val="1"/>
                <w:bCs w:val="1"/>
                <w:color w:val="auto"/>
              </w:rPr>
              <w:t>Total liabilities assumed</w:t>
            </w:r>
          </w:p>
        </w:tc>
        <w:tc>
          <w:tcPr>
            <w:tcW w:w="860" w:type="dxa"/>
            <w:vAlign w:val="bottom"/>
            <w:tcBorders>
              <w:bottom w:val="single" w:sz="8" w:color="F0FF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406,697</w:t>
            </w:r>
          </w:p>
        </w:tc>
        <w:tc>
          <w:tcPr>
            <w:tcW w:w="220" w:type="dxa"/>
            <w:vAlign w:val="bottom"/>
            <w:tcBorders>
              <w:bottom w:val="single" w:sz="8" w:color="F0FF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2,729</w:t>
            </w:r>
          </w:p>
        </w:tc>
        <w:tc>
          <w:tcPr>
            <w:tcW w:w="140" w:type="dxa"/>
            <w:vAlign w:val="bottom"/>
            <w:tcBorders>
              <w:bottom w:val="single" w:sz="8" w:color="F0FFFF"/>
            </w:tcBorders>
          </w:tcPr>
          <w:p>
            <w:pPr>
              <w:spacing w:after="0"/>
              <w:rPr>
                <w:sz w:val="21"/>
                <w:szCs w:val="21"/>
                <w:color w:val="auto"/>
              </w:rPr>
            </w:pPr>
          </w:p>
        </w:tc>
        <w:tc>
          <w:tcPr>
            <w:tcW w:w="80" w:type="dxa"/>
            <w:vAlign w:val="bottom"/>
            <w:tcBorders>
              <w:bottom w:val="single" w:sz="8" w:color="F0FF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409,426</w:t>
            </w:r>
          </w:p>
        </w:tc>
        <w:tc>
          <w:tcPr>
            <w:tcW w:w="120" w:type="dxa"/>
            <w:vAlign w:val="bottom"/>
            <w:tcBorders>
              <w:bottom w:val="single" w:sz="8" w:color="F0FFFF"/>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4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SBLF preferred stock assumed</w:t>
            </w:r>
          </w:p>
        </w:tc>
        <w:tc>
          <w:tcPr>
            <w:tcW w:w="86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auto"/>
            </w:tcBorders>
            <w:shd w:val="clear" w:color="auto" w:fill="F0FFFF"/>
          </w:tcPr>
          <w:p>
            <w:pPr>
              <w:spacing w:after="0"/>
              <w:rPr>
                <w:sz w:val="22"/>
                <w:szCs w:val="22"/>
                <w:color w:val="auto"/>
              </w:rPr>
            </w:pPr>
          </w:p>
        </w:tc>
        <w:tc>
          <w:tcPr>
            <w:tcW w:w="13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9,992</w:t>
            </w:r>
          </w:p>
        </w:tc>
        <w:tc>
          <w:tcPr>
            <w:tcW w:w="22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auto"/>
            </w:tcBorders>
            <w:shd w:val="clear" w:color="auto" w:fill="F0FFFF"/>
          </w:tcPr>
          <w:p>
            <w:pPr>
              <w:spacing w:after="0"/>
              <w:rPr>
                <w:sz w:val="22"/>
                <w:szCs w:val="22"/>
                <w:color w:val="auto"/>
              </w:rPr>
            </w:pPr>
          </w:p>
        </w:tc>
        <w:tc>
          <w:tcPr>
            <w:tcW w:w="13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auto"/>
            </w:tcBorders>
            <w:shd w:val="clear" w:color="auto" w:fill="F0FFFF"/>
          </w:tcPr>
          <w:p>
            <w:pPr>
              <w:spacing w:after="0"/>
              <w:rPr>
                <w:sz w:val="22"/>
                <w:szCs w:val="22"/>
                <w:color w:val="auto"/>
              </w:rPr>
            </w:pPr>
          </w:p>
        </w:tc>
        <w:tc>
          <w:tcPr>
            <w:tcW w:w="13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9,992</w:t>
            </w:r>
          </w:p>
        </w:tc>
        <w:tc>
          <w:tcPr>
            <w:tcW w:w="12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Excess of assets acquired over</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400" w:type="dxa"/>
            <w:vAlign w:val="bottom"/>
            <w:shd w:val="clear" w:color="auto" w:fill="F0FFFF"/>
          </w:tcPr>
          <w:p>
            <w:pPr>
              <w:ind w:left="180"/>
              <w:spacing w:after="0"/>
              <w:rPr>
                <w:sz w:val="20"/>
                <w:szCs w:val="20"/>
                <w:color w:val="auto"/>
              </w:rPr>
            </w:pPr>
            <w:r>
              <w:rPr>
                <w:rFonts w:ascii="Arial" w:cs="Arial" w:eastAsia="Arial" w:hAnsi="Arial"/>
                <w:sz w:val="18"/>
                <w:szCs w:val="18"/>
                <w:color w:val="auto"/>
              </w:rPr>
              <w:t>liabilities and preferred stock assumed</w:t>
            </w:r>
          </w:p>
        </w:tc>
        <w:tc>
          <w:tcPr>
            <w:tcW w:w="9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40,038</w:t>
            </w:r>
          </w:p>
        </w:tc>
        <w:tc>
          <w:tcPr>
            <w:tcW w:w="2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38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3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color w:val="auto"/>
              </w:rPr>
              <w:t>Aggregate fair value adjustments</w:t>
            </w:r>
          </w:p>
        </w:tc>
        <w:tc>
          <w:tcPr>
            <w:tcW w:w="8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F0FFFF"/>
              <w:bottom w:val="single" w:sz="8" w:color="F0FFFF"/>
            </w:tcBorders>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F0FFFF"/>
              <w:bottom w:val="single" w:sz="8" w:color="F0FFFF"/>
            </w:tcBorders>
            <w:vMerge w:val="restart"/>
          </w:tcPr>
          <w:p>
            <w:pPr>
              <w:jc w:val="right"/>
              <w:spacing w:after="0"/>
              <w:rPr>
                <w:sz w:val="20"/>
                <w:szCs w:val="20"/>
                <w:color w:val="auto"/>
              </w:rPr>
            </w:pPr>
            <w:r>
              <w:rPr>
                <w:rFonts w:ascii="Arial" w:cs="Arial" w:eastAsia="Arial" w:hAnsi="Arial"/>
                <w:sz w:val="18"/>
                <w:szCs w:val="18"/>
                <w:color w:val="auto"/>
              </w:rPr>
              <w:t>1,535</w:t>
            </w: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3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0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40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b w:val="1"/>
                <w:bCs w:val="1"/>
                <w:color w:val="auto"/>
              </w:rPr>
              <w:t>Consideration transferred</w:t>
            </w:r>
          </w:p>
        </w:tc>
        <w:tc>
          <w:tcPr>
            <w:tcW w:w="860" w:type="dxa"/>
            <w:vAlign w:val="bottom"/>
            <w:tcBorders>
              <w:top w:val="single" w:sz="8" w:color="F0FFFF"/>
            </w:tcBorders>
            <w:shd w:val="clear" w:color="auto" w:fill="F0FFFF"/>
          </w:tcPr>
          <w:p>
            <w:pPr>
              <w:spacing w:after="0"/>
              <w:rPr>
                <w:sz w:val="21"/>
                <w:szCs w:val="21"/>
                <w:color w:val="auto"/>
              </w:rPr>
            </w:pPr>
          </w:p>
        </w:tc>
        <w:tc>
          <w:tcPr>
            <w:tcW w:w="100" w:type="dxa"/>
            <w:vAlign w:val="bottom"/>
            <w:tcBorders>
              <w:top w:val="single" w:sz="8" w:color="F0FFFF"/>
            </w:tcBorders>
            <w:shd w:val="clear" w:color="auto" w:fill="F0FFFF"/>
          </w:tcPr>
          <w:p>
            <w:pPr>
              <w:spacing w:after="0"/>
              <w:rPr>
                <w:sz w:val="21"/>
                <w:szCs w:val="21"/>
                <w:color w:val="auto"/>
              </w:rPr>
            </w:pPr>
          </w:p>
        </w:tc>
        <w:tc>
          <w:tcPr>
            <w:tcW w:w="1380" w:type="dxa"/>
            <w:vAlign w:val="bottom"/>
            <w:tcBorders>
              <w:top w:val="single" w:sz="8" w:color="F0FFFF"/>
            </w:tcBorders>
            <w:shd w:val="clear" w:color="auto" w:fill="F0FFFF"/>
          </w:tcPr>
          <w:p>
            <w:pPr>
              <w:spacing w:after="0"/>
              <w:rPr>
                <w:sz w:val="21"/>
                <w:szCs w:val="21"/>
                <w:color w:val="auto"/>
              </w:rPr>
            </w:pPr>
          </w:p>
        </w:tc>
        <w:tc>
          <w:tcPr>
            <w:tcW w:w="220" w:type="dxa"/>
            <w:vAlign w:val="bottom"/>
            <w:tcBorders>
              <w:top w:val="single" w:sz="8" w:color="F0FFFF"/>
            </w:tcBorders>
            <w:shd w:val="clear" w:color="auto" w:fill="F0FFFF"/>
          </w:tcPr>
          <w:p>
            <w:pPr>
              <w:spacing w:after="0"/>
              <w:rPr>
                <w:sz w:val="21"/>
                <w:szCs w:val="21"/>
                <w:color w:val="auto"/>
              </w:rPr>
            </w:pPr>
          </w:p>
        </w:tc>
        <w:tc>
          <w:tcPr>
            <w:tcW w:w="100" w:type="dxa"/>
            <w:vAlign w:val="bottom"/>
            <w:tcBorders>
              <w:top w:val="single" w:sz="8" w:color="auto"/>
            </w:tcBorders>
            <w:shd w:val="clear" w:color="auto" w:fill="F0FFFF"/>
          </w:tcPr>
          <w:p>
            <w:pPr>
              <w:spacing w:after="0"/>
              <w:rPr>
                <w:sz w:val="21"/>
                <w:szCs w:val="21"/>
                <w:color w:val="auto"/>
              </w:rPr>
            </w:pPr>
          </w:p>
        </w:tc>
        <w:tc>
          <w:tcPr>
            <w:tcW w:w="1380" w:type="dxa"/>
            <w:vAlign w:val="bottom"/>
            <w:tcBorders>
              <w:top w:val="single" w:sz="8" w:color="auto"/>
            </w:tcBorders>
            <w:shd w:val="clear" w:color="auto" w:fill="F0FFFF"/>
          </w:tcPr>
          <w:p>
            <w:pPr>
              <w:spacing w:after="0"/>
              <w:rPr>
                <w:sz w:val="21"/>
                <w:szCs w:val="21"/>
                <w:color w:val="auto"/>
              </w:rPr>
            </w:pPr>
          </w:p>
        </w:tc>
        <w:tc>
          <w:tcPr>
            <w:tcW w:w="140" w:type="dxa"/>
            <w:vAlign w:val="bottom"/>
            <w:tcBorders>
              <w:top w:val="single" w:sz="8" w:color="F0FFFF"/>
            </w:tcBorders>
            <w:shd w:val="clear" w:color="auto" w:fill="F0FFFF"/>
          </w:tcPr>
          <w:p>
            <w:pPr>
              <w:spacing w:after="0"/>
              <w:rPr>
                <w:sz w:val="21"/>
                <w:szCs w:val="21"/>
                <w:color w:val="auto"/>
              </w:rPr>
            </w:pPr>
          </w:p>
        </w:tc>
        <w:tc>
          <w:tcPr>
            <w:tcW w:w="80" w:type="dxa"/>
            <w:vAlign w:val="bottom"/>
            <w:tcBorders>
              <w:top w:val="single" w:sz="8" w:color="F0FFFF"/>
            </w:tcBorders>
            <w:shd w:val="clear" w:color="auto" w:fill="F0FFFF"/>
          </w:tcPr>
          <w:p>
            <w:pPr>
              <w:spacing w:after="0"/>
              <w:rPr>
                <w:sz w:val="21"/>
                <w:szCs w:val="21"/>
                <w:color w:val="auto"/>
              </w:rPr>
            </w:pPr>
          </w:p>
        </w:tc>
        <w:tc>
          <w:tcPr>
            <w:tcW w:w="120" w:type="dxa"/>
            <w:vAlign w:val="bottom"/>
            <w:tcBorders>
              <w:top w:val="single" w:sz="8" w:color="F0FFFF"/>
            </w:tcBorders>
            <w:shd w:val="clear" w:color="auto" w:fill="F0FFFF"/>
          </w:tcPr>
          <w:p>
            <w:pPr>
              <w:spacing w:after="0"/>
              <w:rPr>
                <w:sz w:val="21"/>
                <w:szCs w:val="21"/>
                <w:color w:val="auto"/>
              </w:rPr>
            </w:pPr>
          </w:p>
        </w:tc>
        <w:tc>
          <w:tcPr>
            <w:tcW w:w="1380" w:type="dxa"/>
            <w:vAlign w:val="bottom"/>
            <w:tcBorders>
              <w:top w:val="single" w:sz="8" w:color="F0FFFF"/>
            </w:tcBorders>
            <w:shd w:val="clear" w:color="auto" w:fill="F0FFFF"/>
          </w:tcPr>
          <w:p>
            <w:pPr>
              <w:spacing w:after="0"/>
              <w:rPr>
                <w:sz w:val="21"/>
                <w:szCs w:val="21"/>
                <w:color w:val="auto"/>
              </w:rPr>
            </w:pPr>
          </w:p>
        </w:tc>
        <w:tc>
          <w:tcPr>
            <w:tcW w:w="120" w:type="dxa"/>
            <w:vAlign w:val="bottom"/>
            <w:tcBorders>
              <w:top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Cash</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10,699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Common stock issued (2,358,503 shares)</w:t>
            </w:r>
          </w:p>
        </w:tc>
        <w:tc>
          <w:tcPr>
            <w:tcW w:w="8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38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38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spacing w:after="0"/>
              <w:rPr>
                <w:sz w:val="21"/>
                <w:szCs w:val="21"/>
                <w:color w:val="auto"/>
              </w:rPr>
            </w:pPr>
          </w:p>
        </w:tc>
        <w:tc>
          <w:tcPr>
            <w:tcW w:w="13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43,892</w:t>
            </w:r>
          </w:p>
        </w:tc>
        <w:tc>
          <w:tcPr>
            <w:tcW w:w="12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F0FFFF"/>
            </w:tcBorders>
          </w:tcPr>
          <w:p>
            <w:pPr>
              <w:ind w:left="160"/>
              <w:spacing w:after="0"/>
              <w:rPr>
                <w:sz w:val="20"/>
                <w:szCs w:val="20"/>
                <w:color w:val="auto"/>
              </w:rPr>
            </w:pPr>
            <w:r>
              <w:rPr>
                <w:rFonts w:ascii="Arial" w:cs="Arial" w:eastAsia="Arial" w:hAnsi="Arial"/>
                <w:sz w:val="18"/>
                <w:szCs w:val="18"/>
                <w:b w:val="1"/>
                <w:bCs w:val="1"/>
                <w:color w:val="auto"/>
              </w:rPr>
              <w:t>Total fair value of consideration transferred</w:t>
            </w:r>
          </w:p>
        </w:tc>
        <w:tc>
          <w:tcPr>
            <w:tcW w:w="860" w:type="dxa"/>
            <w:vAlign w:val="bottom"/>
            <w:tcBorders>
              <w:bottom w:val="single" w:sz="8" w:color="F0FFFF"/>
            </w:tcBorders>
          </w:tcPr>
          <w:p>
            <w:pPr>
              <w:spacing w:after="0"/>
              <w:rPr>
                <w:sz w:val="21"/>
                <w:szCs w:val="21"/>
                <w:color w:val="auto"/>
              </w:rPr>
            </w:pPr>
          </w:p>
        </w:tc>
        <w:tc>
          <w:tcPr>
            <w:tcW w:w="100" w:type="dxa"/>
            <w:vAlign w:val="bottom"/>
            <w:tcBorders>
              <w:bottom w:val="single" w:sz="8" w:color="F0FFFF"/>
            </w:tcBorders>
          </w:tcPr>
          <w:p>
            <w:pPr>
              <w:spacing w:after="0"/>
              <w:rPr>
                <w:sz w:val="21"/>
                <w:szCs w:val="21"/>
                <w:color w:val="auto"/>
              </w:rPr>
            </w:pPr>
          </w:p>
        </w:tc>
        <w:tc>
          <w:tcPr>
            <w:tcW w:w="1380" w:type="dxa"/>
            <w:vAlign w:val="bottom"/>
            <w:tcBorders>
              <w:bottom w:val="single" w:sz="8" w:color="F0FFFF"/>
            </w:tcBorders>
          </w:tcPr>
          <w:p>
            <w:pPr>
              <w:spacing w:after="0"/>
              <w:rPr>
                <w:sz w:val="21"/>
                <w:szCs w:val="21"/>
                <w:color w:val="auto"/>
              </w:rPr>
            </w:pPr>
          </w:p>
        </w:tc>
        <w:tc>
          <w:tcPr>
            <w:tcW w:w="220" w:type="dxa"/>
            <w:vAlign w:val="bottom"/>
            <w:tcBorders>
              <w:bottom w:val="single" w:sz="8" w:color="F0FFFF"/>
            </w:tcBorders>
          </w:tcPr>
          <w:p>
            <w:pPr>
              <w:spacing w:after="0"/>
              <w:rPr>
                <w:sz w:val="21"/>
                <w:szCs w:val="21"/>
                <w:color w:val="auto"/>
              </w:rPr>
            </w:pPr>
          </w:p>
        </w:tc>
        <w:tc>
          <w:tcPr>
            <w:tcW w:w="100" w:type="dxa"/>
            <w:vAlign w:val="bottom"/>
            <w:tcBorders>
              <w:bottom w:val="single" w:sz="8" w:color="F0FFFF"/>
            </w:tcBorders>
          </w:tcPr>
          <w:p>
            <w:pPr>
              <w:spacing w:after="0"/>
              <w:rPr>
                <w:sz w:val="21"/>
                <w:szCs w:val="21"/>
                <w:color w:val="auto"/>
              </w:rPr>
            </w:pPr>
          </w:p>
        </w:tc>
        <w:tc>
          <w:tcPr>
            <w:tcW w:w="1380" w:type="dxa"/>
            <w:vAlign w:val="bottom"/>
            <w:tcBorders>
              <w:bottom w:val="single" w:sz="8" w:color="F0FFFF"/>
            </w:tcBorders>
          </w:tcPr>
          <w:p>
            <w:pPr>
              <w:spacing w:after="0"/>
              <w:rPr>
                <w:sz w:val="21"/>
                <w:szCs w:val="21"/>
                <w:color w:val="auto"/>
              </w:rPr>
            </w:pPr>
          </w:p>
        </w:tc>
        <w:tc>
          <w:tcPr>
            <w:tcW w:w="140" w:type="dxa"/>
            <w:vAlign w:val="bottom"/>
            <w:tcBorders>
              <w:bottom w:val="single" w:sz="8" w:color="F0FFFF"/>
            </w:tcBorders>
          </w:tcPr>
          <w:p>
            <w:pPr>
              <w:spacing w:after="0"/>
              <w:rPr>
                <w:sz w:val="21"/>
                <w:szCs w:val="21"/>
                <w:color w:val="auto"/>
              </w:rPr>
            </w:pPr>
          </w:p>
        </w:tc>
        <w:tc>
          <w:tcPr>
            <w:tcW w:w="80" w:type="dxa"/>
            <w:vAlign w:val="bottom"/>
            <w:tcBorders>
              <w:bottom w:val="single" w:sz="8" w:color="F0FF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54,591</w:t>
            </w:r>
          </w:p>
        </w:tc>
        <w:tc>
          <w:tcPr>
            <w:tcW w:w="120" w:type="dxa"/>
            <w:vAlign w:val="bottom"/>
            <w:tcBorders>
              <w:bottom w:val="single" w:sz="8" w:color="F0FFFF"/>
            </w:tcBorders>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4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Goodwill</w:t>
            </w:r>
          </w:p>
        </w:tc>
        <w:tc>
          <w:tcPr>
            <w:tcW w:w="86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138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138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13,018</w:t>
            </w:r>
          </w:p>
        </w:tc>
        <w:tc>
          <w:tcPr>
            <w:tcW w:w="12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F0FFFF"/>
            </w:tcBorders>
          </w:tcPr>
          <w:p>
            <w:pPr>
              <w:spacing w:after="0" w:line="20" w:lineRule="exact"/>
              <w:rPr>
                <w:sz w:val="1"/>
                <w:szCs w:val="1"/>
                <w:color w:val="auto"/>
              </w:rPr>
            </w:pPr>
          </w:p>
        </w:tc>
        <w:tc>
          <w:tcPr>
            <w:tcW w:w="8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3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3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3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80" w:right="1000" w:firstLine="2"/>
        <w:spacing w:after="0" w:line="221" w:lineRule="auto"/>
        <w:tabs>
          <w:tab w:leader="none" w:pos="800" w:val="left"/>
        </w:tabs>
        <w:numPr>
          <w:ilvl w:val="0"/>
          <w:numId w:val="3"/>
        </w:numPr>
        <w:rPr>
          <w:rFonts w:ascii="Arial" w:cs="Arial" w:eastAsia="Arial" w:hAnsi="Arial"/>
          <w:sz w:val="26"/>
          <w:szCs w:val="26"/>
          <w:color w:val="auto"/>
          <w:vertAlign w:val="superscript"/>
        </w:rPr>
      </w:pPr>
      <w:r>
        <w:rPr>
          <w:rFonts w:ascii="Arial" w:cs="Arial" w:eastAsia="Arial" w:hAnsi="Arial"/>
          <w:sz w:val="16"/>
          <w:szCs w:val="16"/>
          <w:color w:val="auto"/>
        </w:rPr>
        <w:t>Fair values are preliminary and are subject to refinement for a period not to exceed one year after the closing date of an acquisition as information relative to closing date fair values becomes available.</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Purchased loans that show evidence of credit deterioration since origination are accounted for pursuant to Accounting Standards Codification (“ASC”) Topic 310-30, </w:t>
      </w:r>
      <w:r>
        <w:rPr>
          <w:rFonts w:ascii="Arial" w:cs="Arial" w:eastAsia="Arial" w:hAnsi="Arial"/>
          <w:sz w:val="18"/>
          <w:szCs w:val="18"/>
          <w:i w:val="1"/>
          <w:iCs w:val="1"/>
          <w:color w:val="auto"/>
        </w:rPr>
        <w:t>Loans and Debt Securities Acquired with Deteriorated Credit Quality.</w:t>
      </w:r>
      <w:r>
        <w:rPr>
          <w:rFonts w:ascii="Arial" w:cs="Arial" w:eastAsia="Arial" w:hAnsi="Arial"/>
          <w:sz w:val="18"/>
          <w:szCs w:val="18"/>
          <w:color w:val="auto"/>
        </w:rPr>
        <w:t xml:space="preserve"> The following table presents additional information related to the acquired loan portfolio at acquisition date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gridSpan w:val="2"/>
          </w:tcPr>
          <w:p>
            <w:pPr>
              <w:ind w:left="180"/>
              <w:spacing w:after="0"/>
              <w:rPr>
                <w:sz w:val="20"/>
                <w:szCs w:val="20"/>
                <w:color w:val="auto"/>
              </w:rPr>
            </w:pPr>
            <w:r>
              <w:rPr>
                <w:rFonts w:ascii="Arial" w:cs="Arial" w:eastAsia="Arial" w:hAnsi="Arial"/>
                <w:sz w:val="18"/>
                <w:szCs w:val="18"/>
                <w:b w:val="1"/>
                <w:bCs w:val="1"/>
                <w:color w:val="auto"/>
              </w:rPr>
              <w:t>May 1, 2015</w:t>
            </w:r>
          </w:p>
        </w:tc>
      </w:tr>
      <w:tr>
        <w:trPr>
          <w:trHeight w:val="243"/>
        </w:trPr>
        <w:tc>
          <w:tcPr>
            <w:tcW w:w="20" w:type="dxa"/>
            <w:vAlign w:val="bottom"/>
          </w:tcPr>
          <w:p>
            <w:pPr>
              <w:spacing w:after="0"/>
              <w:rPr>
                <w:sz w:val="21"/>
                <w:szCs w:val="21"/>
                <w:color w:val="auto"/>
              </w:rPr>
            </w:pPr>
          </w:p>
        </w:tc>
        <w:tc>
          <w:tcPr>
            <w:tcW w:w="584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b w:val="1"/>
                <w:bCs w:val="1"/>
                <w:color w:val="auto"/>
              </w:rPr>
              <w:t>Accounted for pursuant to ASC 310-30:</w:t>
            </w:r>
          </w:p>
        </w:tc>
        <w:tc>
          <w:tcPr>
            <w:tcW w:w="1340" w:type="dxa"/>
            <w:vAlign w:val="bottom"/>
            <w:tcBorders>
              <w:top w:val="single" w:sz="8" w:color="F0FFFF"/>
            </w:tcBorders>
            <w:shd w:val="clear" w:color="auto" w:fill="F0FFFF"/>
          </w:tcPr>
          <w:p>
            <w:pPr>
              <w:spacing w:after="0"/>
              <w:rPr>
                <w:sz w:val="21"/>
                <w:szCs w:val="21"/>
                <w:color w:val="auto"/>
              </w:rPr>
            </w:pPr>
          </w:p>
        </w:tc>
        <w:tc>
          <w:tcPr>
            <w:tcW w:w="260" w:type="dxa"/>
            <w:vAlign w:val="bottom"/>
            <w:tcBorders>
              <w:top w:val="single" w:sz="8" w:color="auto"/>
            </w:tcBorders>
            <w:shd w:val="clear" w:color="auto" w:fill="F0FFFF"/>
          </w:tcPr>
          <w:p>
            <w:pPr>
              <w:spacing w:after="0"/>
              <w:rPr>
                <w:sz w:val="21"/>
                <w:szCs w:val="21"/>
                <w:color w:val="auto"/>
              </w:rPr>
            </w:pPr>
          </w:p>
        </w:tc>
        <w:tc>
          <w:tcPr>
            <w:tcW w:w="1580" w:type="dxa"/>
            <w:vAlign w:val="bottom"/>
            <w:tcBorders>
              <w:top w:val="single" w:sz="8" w:color="auto"/>
            </w:tcBorders>
            <w:shd w:val="clear" w:color="auto" w:fill="F0FFFF"/>
          </w:tcPr>
          <w:p>
            <w:pPr>
              <w:spacing w:after="0"/>
              <w:rPr>
                <w:sz w:val="21"/>
                <w:szCs w:val="21"/>
                <w:color w:val="auto"/>
              </w:rPr>
            </w:pPr>
          </w:p>
        </w:tc>
        <w:tc>
          <w:tcPr>
            <w:tcW w:w="100" w:type="dxa"/>
            <w:vAlign w:val="bottom"/>
            <w:tcBorders>
              <w:top w:val="single" w:sz="8" w:color="F0FFFF"/>
            </w:tcBorders>
            <w:shd w:val="clear" w:color="auto" w:fill="F0FFFF"/>
          </w:tcPr>
          <w:p>
            <w:pPr>
              <w:spacing w:after="0"/>
              <w:rPr>
                <w:sz w:val="21"/>
                <w:szCs w:val="21"/>
                <w:color w:val="auto"/>
              </w:rPr>
            </w:pPr>
          </w:p>
        </w:tc>
      </w:tr>
      <w:tr>
        <w:trPr>
          <w:trHeight w:val="243"/>
        </w:trPr>
        <w:tc>
          <w:tcPr>
            <w:tcW w:w="5860" w:type="dxa"/>
            <w:vAlign w:val="bottom"/>
            <w:gridSpan w:val="2"/>
          </w:tcPr>
          <w:p>
            <w:pPr>
              <w:spacing w:after="0"/>
              <w:rPr>
                <w:sz w:val="20"/>
                <w:szCs w:val="20"/>
                <w:color w:val="auto"/>
              </w:rPr>
            </w:pPr>
            <w:r>
              <w:rPr>
                <w:rFonts w:ascii="Arial" w:cs="Arial" w:eastAsia="Arial" w:hAnsi="Arial"/>
                <w:sz w:val="18"/>
                <w:szCs w:val="18"/>
                <w:color w:val="auto"/>
              </w:rPr>
              <w:t>Contractually required principal and interest</w:t>
            </w:r>
          </w:p>
        </w:tc>
        <w:tc>
          <w:tcPr>
            <w:tcW w:w="16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15,152</w:t>
            </w:r>
          </w:p>
        </w:tc>
        <w:tc>
          <w:tcPr>
            <w:tcW w:w="10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5840" w:type="dxa"/>
            <w:vAlign w:val="bottom"/>
            <w:shd w:val="clear" w:color="auto" w:fill="F0FFFF"/>
          </w:tcPr>
          <w:p>
            <w:pPr>
              <w:spacing w:after="0"/>
              <w:rPr>
                <w:sz w:val="20"/>
                <w:szCs w:val="20"/>
                <w:color w:val="auto"/>
              </w:rPr>
            </w:pPr>
            <w:r>
              <w:rPr>
                <w:rFonts w:ascii="Arial" w:cs="Arial" w:eastAsia="Arial" w:hAnsi="Arial"/>
                <w:sz w:val="18"/>
                <w:szCs w:val="18"/>
                <w:color w:val="auto"/>
              </w:rPr>
              <w:t>Non-accretable difference</w:t>
            </w:r>
          </w:p>
        </w:tc>
        <w:tc>
          <w:tcPr>
            <w:tcW w:w="134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auto"/>
            </w:tcBorders>
            <w:shd w:val="clear" w:color="auto" w:fill="F0FFFF"/>
          </w:tcPr>
          <w:p>
            <w:pPr>
              <w:spacing w:after="0"/>
              <w:rPr>
                <w:sz w:val="21"/>
                <w:szCs w:val="21"/>
                <w:color w:val="auto"/>
              </w:rPr>
            </w:pPr>
          </w:p>
        </w:tc>
        <w:tc>
          <w:tcPr>
            <w:tcW w:w="15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3,677</w:t>
            </w:r>
          </w:p>
        </w:tc>
        <w:tc>
          <w:tcPr>
            <w:tcW w:w="100" w:type="dxa"/>
            <w:vAlign w:val="bottom"/>
            <w:tcBorders>
              <w:bottom w:val="single" w:sz="8" w:color="F0FFFF"/>
            </w:tcBorders>
            <w:shd w:val="clear" w:color="auto" w:fill="F0FFFF"/>
          </w:tcPr>
          <w:p>
            <w:pPr>
              <w:spacing w:after="0"/>
              <w:rPr>
                <w:sz w:val="21"/>
                <w:szCs w:val="21"/>
                <w:color w:val="auto"/>
              </w:rPr>
            </w:pPr>
          </w:p>
        </w:tc>
      </w:tr>
      <w:tr>
        <w:trPr>
          <w:trHeight w:val="243"/>
        </w:trPr>
        <w:tc>
          <w:tcPr>
            <w:tcW w:w="5860" w:type="dxa"/>
            <w:vAlign w:val="bottom"/>
            <w:gridSpan w:val="2"/>
          </w:tcPr>
          <w:p>
            <w:pPr>
              <w:spacing w:after="0"/>
              <w:rPr>
                <w:sz w:val="20"/>
                <w:szCs w:val="20"/>
                <w:color w:val="auto"/>
              </w:rPr>
            </w:pPr>
            <w:r>
              <w:rPr>
                <w:rFonts w:ascii="Arial" w:cs="Arial" w:eastAsia="Arial" w:hAnsi="Arial"/>
                <w:sz w:val="18"/>
                <w:szCs w:val="18"/>
                <w:color w:val="auto"/>
              </w:rPr>
              <w:t>Cash flows expected to be collected</w:t>
            </w: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11,475</w:t>
            </w:r>
          </w:p>
        </w:tc>
        <w:tc>
          <w:tcPr>
            <w:tcW w:w="100" w:type="dxa"/>
            <w:vAlign w:val="bottom"/>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58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Accretable yield</w:t>
            </w:r>
          </w:p>
        </w:tc>
        <w:tc>
          <w:tcPr>
            <w:tcW w:w="1340" w:type="dxa"/>
            <w:vAlign w:val="bottom"/>
            <w:tcBorders>
              <w:bottom w:val="single" w:sz="8" w:color="F0FFFF"/>
            </w:tcBorders>
            <w:shd w:val="clear" w:color="auto" w:fill="F0FFFF"/>
          </w:tcPr>
          <w:p>
            <w:pPr>
              <w:spacing w:after="0"/>
              <w:rPr>
                <w:sz w:val="22"/>
                <w:szCs w:val="22"/>
                <w:color w:val="auto"/>
              </w:rPr>
            </w:pPr>
          </w:p>
        </w:tc>
        <w:tc>
          <w:tcPr>
            <w:tcW w:w="260" w:type="dxa"/>
            <w:vAlign w:val="bottom"/>
            <w:tcBorders>
              <w:bottom w:val="single" w:sz="8" w:color="auto"/>
            </w:tcBorders>
            <w:shd w:val="clear" w:color="auto" w:fill="F0FFFF"/>
          </w:tcPr>
          <w:p>
            <w:pPr>
              <w:spacing w:after="0"/>
              <w:rPr>
                <w:sz w:val="22"/>
                <w:szCs w:val="22"/>
                <w:color w:val="auto"/>
              </w:rPr>
            </w:pPr>
          </w:p>
        </w:tc>
        <w:tc>
          <w:tcPr>
            <w:tcW w:w="15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F0FFFF"/>
            </w:tcBorders>
            <w:shd w:val="clear" w:color="auto" w:fill="F0FFFF"/>
          </w:tcPr>
          <w:p>
            <w:pPr>
              <w:spacing w:after="0"/>
              <w:rPr>
                <w:sz w:val="22"/>
                <w:szCs w:val="22"/>
                <w:color w:val="auto"/>
              </w:rPr>
            </w:pPr>
          </w:p>
        </w:tc>
      </w:tr>
      <w:tr>
        <w:trPr>
          <w:trHeight w:val="203"/>
        </w:trPr>
        <w:tc>
          <w:tcPr>
            <w:tcW w:w="5860" w:type="dxa"/>
            <w:vAlign w:val="bottom"/>
            <w:gridSpan w:val="2"/>
          </w:tcPr>
          <w:p>
            <w:pPr>
              <w:spacing w:after="0" w:line="203" w:lineRule="exact"/>
              <w:rPr>
                <w:sz w:val="20"/>
                <w:szCs w:val="20"/>
                <w:color w:val="auto"/>
              </w:rPr>
            </w:pPr>
            <w:r>
              <w:rPr>
                <w:rFonts w:ascii="Arial" w:cs="Arial" w:eastAsia="Arial" w:hAnsi="Arial"/>
                <w:sz w:val="18"/>
                <w:szCs w:val="18"/>
                <w:color w:val="auto"/>
              </w:rPr>
              <w:t>Fair value</w:t>
            </w:r>
          </w:p>
        </w:tc>
        <w:tc>
          <w:tcPr>
            <w:tcW w:w="1340" w:type="dxa"/>
            <w:vAlign w:val="bottom"/>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10,446</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Borders>
              <w:bottom w:val="single" w:sz="8" w:color="F0FFFF"/>
            </w:tcBorders>
          </w:tcPr>
          <w:p>
            <w:pPr>
              <w:spacing w:after="0" w:line="20" w:lineRule="exact"/>
              <w:rPr>
                <w:sz w:val="1"/>
                <w:szCs w:val="1"/>
                <w:color w:val="auto"/>
              </w:rPr>
            </w:pPr>
          </w:p>
        </w:tc>
        <w:tc>
          <w:tcPr>
            <w:tcW w:w="134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840" w:type="dxa"/>
            <w:vAlign w:val="bottom"/>
            <w:shd w:val="clear" w:color="auto" w:fill="F0FFFF"/>
          </w:tcPr>
          <w:p>
            <w:pPr>
              <w:spacing w:after="0"/>
              <w:rPr>
                <w:sz w:val="20"/>
                <w:szCs w:val="20"/>
                <w:color w:val="auto"/>
              </w:rPr>
            </w:pPr>
          </w:p>
        </w:tc>
        <w:tc>
          <w:tcPr>
            <w:tcW w:w="134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158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r>
      <w:tr>
        <w:trPr>
          <w:trHeight w:val="243"/>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Excluded from ASC 310-30:</w:t>
            </w: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840" w:type="dxa"/>
            <w:vAlign w:val="bottom"/>
            <w:shd w:val="clear" w:color="auto" w:fill="F0FFFF"/>
          </w:tcPr>
          <w:p>
            <w:pPr>
              <w:spacing w:after="0"/>
              <w:rPr>
                <w:sz w:val="20"/>
                <w:szCs w:val="20"/>
                <w:color w:val="auto"/>
              </w:rPr>
            </w:pPr>
            <w:r>
              <w:rPr>
                <w:rFonts w:ascii="Arial" w:cs="Arial" w:eastAsia="Arial" w:hAnsi="Arial"/>
                <w:sz w:val="18"/>
                <w:szCs w:val="18"/>
                <w:color w:val="auto"/>
              </w:rPr>
              <w:t>Fair value</w:t>
            </w:r>
          </w:p>
        </w:tc>
        <w:tc>
          <w:tcPr>
            <w:tcW w:w="1600" w:type="dxa"/>
            <w:vAlign w:val="bottom"/>
            <w:gridSpan w:val="2"/>
            <w:shd w:val="clear" w:color="auto" w:fill="F0FFFF"/>
          </w:tcPr>
          <w:p>
            <w:pPr>
              <w:jc w:val="right"/>
              <w:ind w:right="105"/>
              <w:spacing w:after="0"/>
              <w:rPr>
                <w:sz w:val="20"/>
                <w:szCs w:val="20"/>
                <w:color w:val="auto"/>
              </w:rPr>
            </w:pPr>
            <w:r>
              <w:rPr>
                <w:rFonts w:ascii="Arial" w:cs="Arial" w:eastAsia="Arial" w:hAnsi="Arial"/>
                <w:sz w:val="18"/>
                <w:szCs w:val="18"/>
                <w:color w:val="auto"/>
              </w:rPr>
              <w:t>$</w:t>
            </w:r>
          </w:p>
        </w:tc>
        <w:tc>
          <w:tcPr>
            <w:tcW w:w="15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233,906</w:t>
            </w:r>
          </w:p>
        </w:tc>
        <w:tc>
          <w:tcPr>
            <w:tcW w:w="100" w:type="dxa"/>
            <w:vAlign w:val="bottom"/>
            <w:shd w:val="clear" w:color="auto" w:fill="F0FFFF"/>
          </w:tcPr>
          <w:p>
            <w:pPr>
              <w:spacing w:after="0"/>
              <w:rPr>
                <w:sz w:val="21"/>
                <w:szCs w:val="21"/>
                <w:color w:val="auto"/>
              </w:rPr>
            </w:pPr>
          </w:p>
        </w:tc>
      </w:tr>
      <w:tr>
        <w:trPr>
          <w:trHeight w:val="243"/>
        </w:trPr>
        <w:tc>
          <w:tcPr>
            <w:tcW w:w="5860" w:type="dxa"/>
            <w:vAlign w:val="bottom"/>
            <w:gridSpan w:val="2"/>
          </w:tcPr>
          <w:p>
            <w:pPr>
              <w:spacing w:after="0"/>
              <w:rPr>
                <w:sz w:val="20"/>
                <w:szCs w:val="20"/>
                <w:color w:val="auto"/>
              </w:rPr>
            </w:pPr>
            <w:r>
              <w:rPr>
                <w:rFonts w:ascii="Arial" w:cs="Arial" w:eastAsia="Arial" w:hAnsi="Arial"/>
                <w:sz w:val="18"/>
                <w:szCs w:val="18"/>
                <w:color w:val="auto"/>
              </w:rPr>
              <w:t>Gross contractual amounts receivable</w:t>
            </w: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258,931</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840" w:type="dxa"/>
            <w:vAlign w:val="bottom"/>
            <w:shd w:val="clear" w:color="auto" w:fill="F0FFFF"/>
          </w:tcPr>
          <w:p>
            <w:pPr>
              <w:spacing w:after="0"/>
              <w:rPr>
                <w:sz w:val="20"/>
                <w:szCs w:val="20"/>
                <w:color w:val="auto"/>
              </w:rPr>
            </w:pPr>
            <w:r>
              <w:rPr>
                <w:rFonts w:ascii="Arial" w:cs="Arial" w:eastAsia="Arial" w:hAnsi="Arial"/>
                <w:sz w:val="18"/>
                <w:szCs w:val="18"/>
                <w:color w:val="auto"/>
              </w:rPr>
              <w:t>Estimate of contractual cash flows not expected to be collected</w:t>
            </w:r>
          </w:p>
        </w:tc>
        <w:tc>
          <w:tcPr>
            <w:tcW w:w="134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5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1,231</w:t>
            </w:r>
          </w:p>
        </w:tc>
        <w:tc>
          <w:tcPr>
            <w:tcW w:w="100" w:type="dxa"/>
            <w:vAlign w:val="bottom"/>
            <w:shd w:val="clear" w:color="auto" w:fill="F0FFFF"/>
          </w:tcPr>
          <w:p>
            <w:pPr>
              <w:spacing w:after="0"/>
              <w:rPr>
                <w:sz w:val="21"/>
                <w:szCs w:val="2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United’s operating results for the six months ended June 30, 2015 include the operating results of the acquired assets and assumed liabilities for the 61 days subsequent to the acquisition date of May 1, 2015. Merger-related charges of $3.17 million are recorded in the consolidated statement of income and include incremental costs related to closing the acquisition, including severance, conversion costs and legal and professional fees.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140" w:gutter="0" w:footer="0" w:header="0"/>
        </w:sectPr>
      </w:pPr>
    </w:p>
    <w:bookmarkStart w:id="13" w:name="page14"/>
    <w:bookmarkEnd w:id="13"/>
    <w:p>
      <w:pPr>
        <w:jc w:val="center"/>
        <w:ind w:right="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 discloses the impact of the merger with MoneyTree (excluding the impact of merger-related expenses) since the acquisition on May 1, 2015 through June 30, 2015. The table also presents certain pro forma information as if MoneyTree had been acquired on January 1, 2014. These results combine the historical results of MoneyTree in United’s consolidated statement of income and, while certain adjustments were made for the estimated impact of certain fair value adjustments and other acquisition-related activity, they are not necessarily indicative of what would have occurred had the acquisition taken place on January 1, 2014.</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Merger-related costs of $3.17 million from the MoneyTree acquisition have been excluded from the 2015 pro forma information presented below and included in the 2014 pro forma information presented below. Furthermore, no adjustments have been made to the pro forma information to eliminate the pre-acquisition provision for loan losses for the six months ended June 30, 2015 or 2014 of MoneyTree in the amount of $7,000 and $96,000, respectively. No adjustments have been made to reduce the impact of any OREO write downs recognized by MoneyTree in either the six months ended June 30, 2015 or 2014. In addition, expenses related to systems conversions and other costs of integration are expected to be recorded during the second half of 2015. United expects to achieve further operating cost savings and other business synergies as a result of the acquisition which are not reflected in the pro forma amounts below. The actual results and pro forma information were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241"/>
        </w:trPr>
        <w:tc>
          <w:tcPr>
            <w:tcW w:w="7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Revenue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b w:val="1"/>
                <w:bCs w:val="1"/>
                <w:color w:val="auto"/>
              </w:rPr>
              <w:t>Net Income</w:t>
            </w:r>
          </w:p>
        </w:tc>
      </w:tr>
      <w:tr>
        <w:trPr>
          <w:trHeight w:val="230"/>
        </w:trPr>
        <w:tc>
          <w:tcPr>
            <w:tcW w:w="752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Actual MoneyTree from May 1, 2015 - June 30, 2015</w:t>
            </w:r>
          </w:p>
        </w:tc>
        <w:tc>
          <w:tcPr>
            <w:tcW w:w="240" w:type="dxa"/>
            <w:vAlign w:val="bottom"/>
            <w:tcBorders>
              <w:top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2,284</w:t>
            </w:r>
          </w:p>
        </w:tc>
        <w:tc>
          <w:tcPr>
            <w:tcW w:w="220" w:type="dxa"/>
            <w:vAlign w:val="bottom"/>
            <w:tcBorders>
              <w:top w:val="single" w:sz="8" w:color="F0FFFF"/>
            </w:tcBorders>
            <w:shd w:val="clear" w:color="auto" w:fill="F0FFFF"/>
          </w:tcPr>
          <w:p>
            <w:pPr>
              <w:spacing w:after="0"/>
              <w:rPr>
                <w:sz w:val="19"/>
                <w:szCs w:val="19"/>
                <w:color w:val="auto"/>
              </w:rPr>
            </w:pPr>
          </w:p>
        </w:tc>
        <w:tc>
          <w:tcPr>
            <w:tcW w:w="200" w:type="dxa"/>
            <w:vAlign w:val="bottom"/>
            <w:tcBorders>
              <w:top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Borders>
              <w:top w:val="single" w:sz="8" w:color="F0FFFF"/>
            </w:tcBorders>
            <w:shd w:val="clear" w:color="auto" w:fill="F0FFFF"/>
          </w:tcPr>
          <w:p>
            <w:pPr>
              <w:spacing w:after="0"/>
              <w:rPr>
                <w:sz w:val="19"/>
                <w:szCs w:val="19"/>
                <w:color w:val="auto"/>
              </w:rPr>
            </w:pPr>
          </w:p>
        </w:tc>
      </w:tr>
      <w:tr>
        <w:trPr>
          <w:trHeight w:val="243"/>
        </w:trPr>
        <w:tc>
          <w:tcPr>
            <w:tcW w:w="7520" w:type="dxa"/>
            <w:vAlign w:val="bottom"/>
          </w:tcPr>
          <w:p>
            <w:pPr>
              <w:spacing w:after="0"/>
              <w:rPr>
                <w:sz w:val="20"/>
                <w:szCs w:val="20"/>
                <w:color w:val="auto"/>
              </w:rPr>
            </w:pPr>
            <w:r>
              <w:rPr>
                <w:rFonts w:ascii="Arial" w:cs="Arial" w:eastAsia="Arial" w:hAnsi="Arial"/>
                <w:sz w:val="18"/>
                <w:szCs w:val="18"/>
                <w:color w:val="auto"/>
              </w:rPr>
              <w:t>2015 supplemental consolidated pro forma from January 1, 2015 - June 30, 2015</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153,322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38,294</w:t>
            </w:r>
          </w:p>
        </w:tc>
        <w:tc>
          <w:tcPr>
            <w:tcW w:w="120" w:type="dxa"/>
            <w:vAlign w:val="bottom"/>
          </w:tcPr>
          <w:p>
            <w:pPr>
              <w:spacing w:after="0"/>
              <w:rPr>
                <w:sz w:val="21"/>
                <w:szCs w:val="21"/>
                <w:color w:val="auto"/>
              </w:rPr>
            </w:pPr>
          </w:p>
        </w:tc>
      </w:tr>
      <w:tr>
        <w:trPr>
          <w:trHeight w:val="243"/>
        </w:trPr>
        <w:tc>
          <w:tcPr>
            <w:tcW w:w="7520" w:type="dxa"/>
            <w:vAlign w:val="bottom"/>
            <w:shd w:val="clear" w:color="auto" w:fill="F0FFFF"/>
          </w:tcPr>
          <w:p>
            <w:pPr>
              <w:spacing w:after="0"/>
              <w:rPr>
                <w:sz w:val="20"/>
                <w:szCs w:val="20"/>
                <w:color w:val="auto"/>
              </w:rPr>
            </w:pPr>
            <w:r>
              <w:rPr>
                <w:rFonts w:ascii="Arial" w:cs="Arial" w:eastAsia="Arial" w:hAnsi="Arial"/>
                <w:sz w:val="18"/>
                <w:szCs w:val="18"/>
                <w:color w:val="auto"/>
              </w:rPr>
              <w:t>2014 supplemental consolidated pro forma from January 1, 2014 - June 30, 2014</w:t>
            </w:r>
          </w:p>
        </w:tc>
        <w:tc>
          <w:tcPr>
            <w:tcW w:w="240" w:type="dxa"/>
            <w:vAlign w:val="bottom"/>
            <w:shd w:val="clear" w:color="auto" w:fill="F0FFFF"/>
          </w:tcPr>
          <w:p>
            <w:pPr>
              <w:spacing w:after="0"/>
              <w:rPr>
                <w:sz w:val="21"/>
                <w:szCs w:val="21"/>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137,809</w:t>
            </w:r>
          </w:p>
        </w:tc>
        <w:tc>
          <w:tcPr>
            <w:tcW w:w="22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3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31,080</w:t>
            </w:r>
          </w:p>
        </w:tc>
        <w:tc>
          <w:tcPr>
            <w:tcW w:w="120" w:type="dxa"/>
            <w:vAlign w:val="bottom"/>
            <w:shd w:val="clear" w:color="auto" w:fill="F0FF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Palmetto Bancshares, Inc.</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22, 2015, United announced that it had reached a definitive agreement to acquire Palmetto Bancshares, Inc. (“Palmetto”) and its wholly-owned bank subsidiary The Palmetto Bank. The Palmetto Bank is the third largest banking institution headquartered in South Carolina with total assets of $1.16 billion, loans of $824 million and deposits of $977 million as of June 30, 2015. It is a 108-year old community bank that serves Upstate South Carolina through 25 branch locations in nine counties along the Interstate 85 corridor. The Palmetto Bank will merge into and operate under the brand of United Community Bank.</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Under the terms of the agreement, which has been unanimously approved by the Boards of Directors of both companies, Palmetto shareholders will have the right to receive $19.25 in cash or 0.97 shares of United common stock, or any combination thereof, for each share of Palmetto common stock. The cash and stock elections are subject to proration to ensure that 30% of the outstanding shares of Palmetto common stock will be exchanged for cash and 70% of the outstanding shares of Palmetto common stock will be exchanged for shares of United common stock in the merger. Based on United’s ten-day average closing price of $21.21 per share as of July 31, 2015 the aggregate deal value was approximately $262 million.</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merger is expected to close on September 1, 2015, subject to the approval of the shareholders of Palmetto at a special meeting to be held on August 12, 2015 and other customary conditions. All required regulatory approvals have been received.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Business Carolina, Inc.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26, 2014, United completed the acquisition of substantially all of the assets of Business Carolina, Inc., a specialty Small Business Administration (“SBA”) / United States Department of Agriculture (“USDA”) lender headquartered in Columbia, South Carolina. On the closing date, United paid $31.3 million in cash for loans having a fair value on the purchase date of $24.8 million, accrued interest of $83,000, servicing rights with a fair value on the purchase date of $2.13 million, premises and equipment with a fair value on the purchase date of $2.60 million and goodwill in the amount of $1.51 million representing the premium paid over the fair value of the separately identifiable assets and liabilities acquired. The gross contractual amount of loans receivable was $28.0 million as of the acquisition date. United has not identified any material separately identifiable intangible assets resulting from the acquisition.</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loans and servicing assets that were acquired in this transaction were valued by a third party vendor that specializes in the valuations of these government guaranteed related assets. These assets are very illiquid and United does not have the same level of visibility into the inputs that the valuation vendor has. Therefore, United considers those inputs to be level 3 in the ASC 820 hierarchy. For the loans, the valuations were derived by estimating the expected cash flows using a combination of prepayment speed and default estimates. The cash flows are then discounted using the rates implied by observed transactions in the market place.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Balance Sheet Offsetting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United enters into reverse repurchase agreements in order to invest short-term funds. In addition, United enters into repurchase agreements and reverse repurchase agreements with the same counterparty in transactions commonly referred to as collateral swaps that are subject to master netting agreements under which the balances are netted in the balance sheet in accordance with ASC 210-20, </w:t>
      </w:r>
      <w:r>
        <w:rPr>
          <w:rFonts w:ascii="Arial" w:cs="Arial" w:eastAsia="Arial" w:hAnsi="Arial"/>
          <w:sz w:val="18"/>
          <w:szCs w:val="18"/>
          <w:i w:val="1"/>
          <w:iCs w:val="1"/>
          <w:color w:val="auto"/>
        </w:rPr>
        <w:t>Offsetting.</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The following table presents a summary of amounts outstanding under reverse repurchase agreements and derivative financial instruments including those entered into in connection with the same counterparty under master netting agreements as of June 30, 2015, December 31, 2014 and June 30, 2014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5"/>
            <w:vMerge w:val="restart"/>
          </w:tcPr>
          <w:p>
            <w:pPr>
              <w:jc w:val="right"/>
              <w:ind w:right="210"/>
              <w:spacing w:after="0"/>
              <w:rPr>
                <w:sz w:val="20"/>
                <w:szCs w:val="20"/>
                <w:color w:val="auto"/>
              </w:rPr>
            </w:pPr>
            <w:r>
              <w:rPr>
                <w:rFonts w:ascii="Arial" w:cs="Arial" w:eastAsia="Arial" w:hAnsi="Arial"/>
                <w:sz w:val="18"/>
                <w:szCs w:val="18"/>
                <w:b w:val="1"/>
                <w:bCs w:val="1"/>
                <w:color w:val="auto"/>
              </w:rPr>
              <w:t>Gross Amounts not Offset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right"/>
              <w:ind w:right="720"/>
              <w:spacing w:after="0" w:line="189" w:lineRule="exact"/>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16"/>
                <w:szCs w:val="16"/>
                <w:color w:val="auto"/>
              </w:rPr>
            </w:pPr>
          </w:p>
        </w:tc>
        <w:tc>
          <w:tcPr>
            <w:tcW w:w="1180" w:type="dxa"/>
            <w:vAlign w:val="bottom"/>
          </w:tcPr>
          <w:p>
            <w:pPr>
              <w:jc w:val="center"/>
              <w:ind w:right="70"/>
              <w:spacing w:after="0" w:line="189" w:lineRule="exact"/>
              <w:rPr>
                <w:sz w:val="20"/>
                <w:szCs w:val="20"/>
                <w:color w:val="auto"/>
              </w:rPr>
            </w:pPr>
            <w:r>
              <w:rPr>
                <w:rFonts w:ascii="Arial" w:cs="Arial" w:eastAsia="Arial" w:hAnsi="Arial"/>
                <w:sz w:val="18"/>
                <w:szCs w:val="18"/>
                <w:b w:val="1"/>
                <w:bCs w:val="1"/>
                <w:color w:val="auto"/>
                <w:w w:val="89"/>
              </w:rPr>
              <w:t>Amounts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5"/>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5"/>
              </w:rPr>
              <w:t>Amounts of</w:t>
            </w:r>
          </w:p>
        </w:tc>
        <w:tc>
          <w:tcPr>
            <w:tcW w:w="100" w:type="dxa"/>
            <w:vAlign w:val="bottom"/>
          </w:tcPr>
          <w:p>
            <w:pPr>
              <w:spacing w:after="0"/>
              <w:rPr>
                <w:sz w:val="20"/>
                <w:szCs w:val="20"/>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Offset on the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right"/>
              <w:ind w:right="430"/>
              <w:spacing w:after="0"/>
              <w:rPr>
                <w:sz w:val="20"/>
                <w:szCs w:val="20"/>
                <w:color w:val="auto"/>
              </w:rPr>
            </w:pPr>
            <w:r>
              <w:rPr>
                <w:rFonts w:ascii="Arial" w:cs="Arial" w:eastAsia="Arial" w:hAnsi="Arial"/>
                <w:sz w:val="18"/>
                <w:szCs w:val="18"/>
                <w:b w:val="1"/>
                <w:bCs w:val="1"/>
                <w:color w:val="auto"/>
              </w:rPr>
              <w:t>in the Balance Sheet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87"/>
              </w:rPr>
              <w:t>Recognized</w:t>
            </w:r>
          </w:p>
        </w:tc>
        <w:tc>
          <w:tcPr>
            <w:tcW w:w="100" w:type="dxa"/>
            <w:vAlign w:val="bottom"/>
          </w:tcPr>
          <w:p>
            <w:pPr>
              <w:spacing w:after="0"/>
              <w:rPr>
                <w:sz w:val="17"/>
                <w:szCs w:val="17"/>
                <w:color w:val="auto"/>
              </w:rPr>
            </w:pPr>
          </w:p>
        </w:tc>
        <w:tc>
          <w:tcPr>
            <w:tcW w:w="118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86"/>
              </w:rPr>
              <w:t>Balance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w w:val="93"/>
              </w:rPr>
              <w:t>Net Asset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92"/>
              </w:rPr>
              <w:t>Financial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70"/>
              <w:spacing w:after="0" w:line="198" w:lineRule="exact"/>
              <w:rPr>
                <w:sz w:val="20"/>
                <w:szCs w:val="20"/>
                <w:color w:val="auto"/>
              </w:rPr>
            </w:pPr>
            <w:r>
              <w:rPr>
                <w:rFonts w:ascii="Arial" w:cs="Arial" w:eastAsia="Arial" w:hAnsi="Arial"/>
                <w:sz w:val="18"/>
                <w:szCs w:val="18"/>
                <w:b w:val="1"/>
                <w:bCs w:val="1"/>
                <w:color w:val="auto"/>
                <w:w w:val="95"/>
              </w:rPr>
              <w:t>Collateral</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540" w:type="dxa"/>
            <w:vAlign w:val="bottom"/>
            <w:gridSpan w:val="3"/>
          </w:tcPr>
          <w:p>
            <w:pPr>
              <w:spacing w:after="0"/>
              <w:rPr>
                <w:sz w:val="20"/>
                <w:szCs w:val="20"/>
                <w:color w:val="auto"/>
              </w:rPr>
            </w:pPr>
            <w:r>
              <w:rPr>
                <w:rFonts w:ascii="Arial" w:cs="Arial" w:eastAsia="Arial" w:hAnsi="Arial"/>
                <w:sz w:val="18"/>
                <w:szCs w:val="18"/>
                <w:b w:val="1"/>
                <w:bCs w:val="1"/>
                <w:color w:val="auto"/>
              </w:rPr>
              <w:t>June 30, 2015</w:t>
            </w:r>
          </w:p>
        </w:tc>
        <w:tc>
          <w:tcPr>
            <w:tcW w:w="140" w:type="dxa"/>
            <w:vAlign w:val="bottom"/>
          </w:tcPr>
          <w:p>
            <w:pPr>
              <w:spacing w:after="0"/>
              <w:rPr>
                <w:sz w:val="20"/>
                <w:szCs w:val="20"/>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1"/>
              </w:rPr>
              <w:t>Assets</w:t>
            </w:r>
          </w:p>
        </w:tc>
        <w:tc>
          <w:tcPr>
            <w:tcW w:w="100" w:type="dxa"/>
            <w:vAlign w:val="bottom"/>
          </w:tcPr>
          <w:p>
            <w:pPr>
              <w:spacing w:after="0"/>
              <w:rPr>
                <w:sz w:val="20"/>
                <w:szCs w:val="20"/>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Sheet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Instruments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Received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Amount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20" w:type="dxa"/>
            <w:vAlign w:val="bottom"/>
            <w:gridSpan w:val="2"/>
            <w:shd w:val="clear" w:color="auto" w:fill="F0FFFF"/>
          </w:tcPr>
          <w:p>
            <w:pPr>
              <w:spacing w:after="0" w:line="201" w:lineRule="exact"/>
              <w:rPr>
                <w:sz w:val="20"/>
                <w:szCs w:val="20"/>
                <w:color w:val="auto"/>
              </w:rPr>
            </w:pPr>
            <w:r>
              <w:rPr>
                <w:rFonts w:ascii="Arial" w:cs="Arial" w:eastAsia="Arial" w:hAnsi="Arial"/>
                <w:sz w:val="18"/>
                <w:szCs w:val="18"/>
                <w:color w:val="auto"/>
                <w:w w:val="91"/>
              </w:rPr>
              <w:t>Repurchase agreements / reverse</w:t>
            </w:r>
          </w:p>
        </w:tc>
        <w:tc>
          <w:tcPr>
            <w:tcW w:w="140" w:type="dxa"/>
            <w:vAlign w:val="bottom"/>
            <w:shd w:val="clear" w:color="auto" w:fill="F0FFFF"/>
          </w:tcPr>
          <w:p>
            <w:pPr>
              <w:spacing w:after="0"/>
              <w:rPr>
                <w:sz w:val="17"/>
                <w:szCs w:val="17"/>
                <w:color w:val="auto"/>
              </w:rPr>
            </w:pPr>
          </w:p>
        </w:tc>
        <w:tc>
          <w:tcPr>
            <w:tcW w:w="1240" w:type="dxa"/>
            <w:vAlign w:val="bottom"/>
            <w:shd w:val="clear" w:color="auto" w:fill="F0FFFF"/>
          </w:tcPr>
          <w:p>
            <w:pPr>
              <w:spacing w:after="0"/>
              <w:rPr>
                <w:sz w:val="17"/>
                <w:szCs w:val="17"/>
                <w:color w:val="auto"/>
              </w:rPr>
            </w:pPr>
          </w:p>
        </w:tc>
        <w:tc>
          <w:tcPr>
            <w:tcW w:w="220" w:type="dxa"/>
            <w:vAlign w:val="bottom"/>
            <w:tcBorders>
              <w:righ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1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200" w:type="dxa"/>
            <w:vAlign w:val="bottom"/>
            <w:tcBorders>
              <w:righ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repurchase agreements</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330,000</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(300,000)</w:t>
            </w:r>
          </w:p>
        </w:tc>
        <w:tc>
          <w:tcPr>
            <w:tcW w:w="30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30,000</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0"/>
                <w:szCs w:val="20"/>
                <w:color w:val="auto"/>
              </w:rPr>
            </w:pP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F0FFFF"/>
            </w:tcBorders>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(31,679)</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40" w:type="dxa"/>
            <w:vAlign w:val="bottom"/>
            <w:gridSpan w:val="3"/>
          </w:tcPr>
          <w:p>
            <w:pPr>
              <w:spacing w:after="0"/>
              <w:rPr>
                <w:sz w:val="20"/>
                <w:szCs w:val="20"/>
                <w:color w:val="auto"/>
              </w:rPr>
            </w:pPr>
            <w:r>
              <w:rPr>
                <w:rFonts w:ascii="Arial" w:cs="Arial" w:eastAsia="Arial" w:hAnsi="Arial"/>
                <w:sz w:val="18"/>
                <w:szCs w:val="18"/>
                <w:color w:val="auto"/>
              </w:rPr>
              <w:t>Derivatives</w:t>
            </w:r>
          </w:p>
        </w:tc>
        <w:tc>
          <w:tcPr>
            <w:tcW w:w="1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21,728</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21,728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(1,881)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(3,978)</w:t>
            </w: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15,869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20" w:type="dxa"/>
            <w:vAlign w:val="bottom"/>
            <w:gridSpan w:val="2"/>
            <w:vMerge w:val="restart"/>
            <w:shd w:val="clear" w:color="auto" w:fill="F0FF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Borders>
              <w:right w:val="single" w:sz="8" w:color="F0FFFF"/>
            </w:tcBorders>
            <w:vMerge w:val="restart"/>
            <w:shd w:val="clear" w:color="auto" w:fill="F0FF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2520" w:type="dxa"/>
            <w:vAlign w:val="bottom"/>
            <w:gridSpan w:val="2"/>
            <w:vMerge w:val="continue"/>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351,728</w:t>
            </w:r>
          </w:p>
        </w:tc>
        <w:tc>
          <w:tcPr>
            <w:tcW w:w="220" w:type="dxa"/>
            <w:vAlign w:val="bottom"/>
            <w:tcBorders>
              <w:right w:val="single" w:sz="8" w:color="F0FFFF"/>
            </w:tcBorders>
            <w:shd w:val="clear" w:color="auto" w:fill="F0FFFF"/>
          </w:tcPr>
          <w:p>
            <w:pPr>
              <w:spacing w:after="0"/>
              <w:rPr>
                <w:sz w:val="24"/>
                <w:szCs w:val="24"/>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vMerge w:val="continue"/>
            <w:shd w:val="clear" w:color="auto" w:fill="F0FFFF"/>
          </w:tcPr>
          <w:p>
            <w:pPr>
              <w:spacing w:after="0"/>
              <w:rPr>
                <w:sz w:val="24"/>
                <w:szCs w:val="24"/>
                <w:color w:val="auto"/>
              </w:rPr>
            </w:pPr>
          </w:p>
        </w:tc>
        <w:tc>
          <w:tcPr>
            <w:tcW w:w="30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51,728</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(1,881</w:t>
            </w:r>
          </w:p>
        </w:tc>
        <w:tc>
          <w:tcPr>
            <w:tcW w:w="140" w:type="dxa"/>
            <w:vAlign w:val="bottom"/>
            <w:vMerge w:val="continue"/>
            <w:shd w:val="clear" w:color="auto" w:fill="F0FFFF"/>
          </w:tcPr>
          <w:p>
            <w:pPr>
              <w:spacing w:after="0"/>
              <w:rPr>
                <w:sz w:val="24"/>
                <w:szCs w:val="24"/>
                <w:color w:val="auto"/>
              </w:rPr>
            </w:pP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(35,657</w:t>
            </w:r>
          </w:p>
        </w:tc>
        <w:tc>
          <w:tcPr>
            <w:tcW w:w="200" w:type="dxa"/>
            <w:vAlign w:val="bottom"/>
            <w:tcBorders>
              <w:right w:val="single" w:sz="8" w:color="F0FFFF"/>
            </w:tcBorders>
            <w:vMerge w:val="continue"/>
            <w:shd w:val="clear" w:color="auto" w:fill="F0FFFF"/>
          </w:tcPr>
          <w:p>
            <w:pPr>
              <w:spacing w:after="0"/>
              <w:rPr>
                <w:sz w:val="24"/>
                <w:szCs w:val="24"/>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15,869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F0FFFF"/>
              <w:bottom w:val="single" w:sz="8" w:color="F0FFFF"/>
            </w:tcBorders>
            <w:gridSpan w:val="2"/>
            <w:vMerge w:val="restart"/>
          </w:tcPr>
          <w:p>
            <w:pPr>
              <w:spacing w:after="0" w:line="189" w:lineRule="exact"/>
              <w:rPr>
                <w:sz w:val="20"/>
                <w:szCs w:val="20"/>
                <w:color w:val="auto"/>
              </w:rPr>
            </w:pPr>
            <w:r>
              <w:rPr>
                <w:rFonts w:ascii="Arial" w:cs="Arial" w:eastAsia="Arial" w:hAnsi="Arial"/>
                <w:sz w:val="18"/>
                <w:szCs w:val="18"/>
                <w:color w:val="auto"/>
                <w:w w:val="93"/>
              </w:rPr>
              <w:t>Weighted average interest rate of</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tcPr>
          <w:p>
            <w:pPr>
              <w:ind w:left="140"/>
              <w:spacing w:after="0"/>
              <w:rPr>
                <w:sz w:val="20"/>
                <w:szCs w:val="20"/>
                <w:color w:val="auto"/>
              </w:rPr>
            </w:pPr>
            <w:r>
              <w:rPr>
                <w:rFonts w:ascii="Arial" w:cs="Arial" w:eastAsia="Arial" w:hAnsi="Arial"/>
                <w:sz w:val="18"/>
                <w:szCs w:val="18"/>
                <w:color w:val="auto"/>
                <w:w w:val="92"/>
              </w:rPr>
              <w:t>reverse repurchase agreements</w:t>
            </w:r>
          </w:p>
        </w:tc>
        <w:tc>
          <w:tcPr>
            <w:tcW w:w="14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5"/>
            <w:vMerge w:val="restart"/>
          </w:tcPr>
          <w:p>
            <w:pPr>
              <w:jc w:val="center"/>
              <w:ind w:right="30"/>
              <w:spacing w:after="0"/>
              <w:rPr>
                <w:sz w:val="20"/>
                <w:szCs w:val="20"/>
                <w:color w:val="auto"/>
              </w:rPr>
            </w:pPr>
            <w:r>
              <w:rPr>
                <w:rFonts w:ascii="Arial" w:cs="Arial" w:eastAsia="Arial" w:hAnsi="Arial"/>
                <w:sz w:val="18"/>
                <w:szCs w:val="18"/>
                <w:b w:val="1"/>
                <w:bCs w:val="1"/>
                <w:color w:val="auto"/>
                <w:w w:val="88"/>
              </w:rPr>
              <w:t>Gross Amounts not Offset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380"/>
              <w:spacing w:after="0" w:line="189"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c>
          <w:tcPr>
            <w:tcW w:w="1180" w:type="dxa"/>
            <w:vAlign w:val="bottom"/>
          </w:tcPr>
          <w:p>
            <w:pPr>
              <w:jc w:val="center"/>
              <w:ind w:right="30"/>
              <w:spacing w:after="0" w:line="189" w:lineRule="exact"/>
              <w:rPr>
                <w:sz w:val="20"/>
                <w:szCs w:val="20"/>
                <w:color w:val="auto"/>
              </w:rPr>
            </w:pPr>
            <w:r>
              <w:rPr>
                <w:rFonts w:ascii="Arial" w:cs="Arial" w:eastAsia="Arial" w:hAnsi="Arial"/>
                <w:sz w:val="18"/>
                <w:szCs w:val="18"/>
                <w:b w:val="1"/>
                <w:bCs w:val="1"/>
                <w:color w:val="auto"/>
                <w:w w:val="89"/>
              </w:rPr>
              <w:t>Amounts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5"/>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Amounts of</w:t>
            </w:r>
          </w:p>
        </w:tc>
        <w:tc>
          <w:tcPr>
            <w:tcW w:w="100" w:type="dxa"/>
            <w:vAlign w:val="bottom"/>
          </w:tcPr>
          <w:p>
            <w:pPr>
              <w:spacing w:after="0"/>
              <w:rPr>
                <w:sz w:val="20"/>
                <w:szCs w:val="20"/>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Offset on the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Net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8"/>
                <w:szCs w:val="18"/>
                <w:b w:val="1"/>
                <w:bCs w:val="1"/>
                <w:color w:val="auto"/>
                <w:w w:val="88"/>
              </w:rPr>
              <w:t>in the Balance Sheet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420"/>
              <w:spacing w:after="0" w:line="198" w:lineRule="exact"/>
              <w:rPr>
                <w:sz w:val="20"/>
                <w:szCs w:val="20"/>
                <w:color w:val="auto"/>
              </w:rPr>
            </w:pPr>
            <w:r>
              <w:rPr>
                <w:rFonts w:ascii="Arial" w:cs="Arial" w:eastAsia="Arial" w:hAnsi="Arial"/>
                <w:sz w:val="18"/>
                <w:szCs w:val="18"/>
                <w:b w:val="1"/>
                <w:bCs w:val="1"/>
                <w:color w:val="auto"/>
                <w:w w:val="87"/>
              </w:rPr>
              <w:t>Recognized</w:t>
            </w:r>
          </w:p>
        </w:tc>
        <w:tc>
          <w:tcPr>
            <w:tcW w:w="100" w:type="dxa"/>
            <w:vAlign w:val="bottom"/>
          </w:tcPr>
          <w:p>
            <w:pPr>
              <w:spacing w:after="0"/>
              <w:rPr>
                <w:sz w:val="17"/>
                <w:szCs w:val="17"/>
                <w:color w:val="auto"/>
              </w:rPr>
            </w:pPr>
          </w:p>
        </w:tc>
        <w:tc>
          <w:tcPr>
            <w:tcW w:w="1180" w:type="dxa"/>
            <w:vAlign w:val="bottom"/>
          </w:tcPr>
          <w:p>
            <w:pPr>
              <w:jc w:val="center"/>
              <w:ind w:right="70"/>
              <w:spacing w:after="0" w:line="198" w:lineRule="exact"/>
              <w:rPr>
                <w:sz w:val="20"/>
                <w:szCs w:val="20"/>
                <w:color w:val="auto"/>
              </w:rPr>
            </w:pPr>
            <w:r>
              <w:rPr>
                <w:rFonts w:ascii="Arial" w:cs="Arial" w:eastAsia="Arial" w:hAnsi="Arial"/>
                <w:sz w:val="18"/>
                <w:szCs w:val="18"/>
                <w:b w:val="1"/>
                <w:bCs w:val="1"/>
                <w:color w:val="auto"/>
                <w:w w:val="89"/>
              </w:rPr>
              <w:t>Balance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rPr>
              <w:t>Liability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92"/>
              </w:rPr>
              <w:t>Financial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110"/>
              <w:spacing w:after="0" w:line="198" w:lineRule="exact"/>
              <w:rPr>
                <w:sz w:val="20"/>
                <w:szCs w:val="20"/>
                <w:color w:val="auto"/>
              </w:rPr>
            </w:pPr>
            <w:r>
              <w:rPr>
                <w:rFonts w:ascii="Arial" w:cs="Arial" w:eastAsia="Arial" w:hAnsi="Arial"/>
                <w:sz w:val="18"/>
                <w:szCs w:val="18"/>
                <w:b w:val="1"/>
                <w:bCs w:val="1"/>
                <w:color w:val="auto"/>
                <w:w w:val="95"/>
              </w:rPr>
              <w:t>Collateral</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Liabilities</w:t>
            </w:r>
          </w:p>
        </w:tc>
        <w:tc>
          <w:tcPr>
            <w:tcW w:w="100" w:type="dxa"/>
            <w:vAlign w:val="bottom"/>
          </w:tcPr>
          <w:p>
            <w:pPr>
              <w:spacing w:after="0"/>
              <w:rPr>
                <w:sz w:val="20"/>
                <w:szCs w:val="20"/>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Sheet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Instruments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Pledged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Amount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520" w:type="dxa"/>
            <w:vAlign w:val="bottom"/>
            <w:tcBorders>
              <w:top w:val="single" w:sz="8" w:color="F0FFFF"/>
            </w:tcBorders>
            <w:gridSpan w:val="2"/>
            <w:shd w:val="clear" w:color="auto" w:fill="F0FFFF"/>
          </w:tcPr>
          <w:p>
            <w:pPr>
              <w:spacing w:after="0" w:line="189" w:lineRule="exact"/>
              <w:rPr>
                <w:sz w:val="20"/>
                <w:szCs w:val="20"/>
                <w:color w:val="auto"/>
              </w:rPr>
            </w:pPr>
            <w:r>
              <w:rPr>
                <w:rFonts w:ascii="Arial" w:cs="Arial" w:eastAsia="Arial" w:hAnsi="Arial"/>
                <w:sz w:val="18"/>
                <w:szCs w:val="18"/>
                <w:color w:val="auto"/>
                <w:w w:val="91"/>
              </w:rPr>
              <w:t>Repurchase agreements / reverse</w:t>
            </w:r>
          </w:p>
        </w:tc>
        <w:tc>
          <w:tcPr>
            <w:tcW w:w="140" w:type="dxa"/>
            <w:vAlign w:val="bottom"/>
            <w:tcBorders>
              <w:top w:val="single" w:sz="8" w:color="auto"/>
            </w:tcBorders>
            <w:shd w:val="clear" w:color="auto" w:fill="F0FFFF"/>
          </w:tcPr>
          <w:p>
            <w:pPr>
              <w:spacing w:after="0"/>
              <w:rPr>
                <w:sz w:val="16"/>
                <w:szCs w:val="16"/>
                <w:color w:val="auto"/>
              </w:rPr>
            </w:pPr>
          </w:p>
        </w:tc>
        <w:tc>
          <w:tcPr>
            <w:tcW w:w="1240" w:type="dxa"/>
            <w:vAlign w:val="bottom"/>
            <w:tcBorders>
              <w:top w:val="single" w:sz="8" w:color="auto"/>
            </w:tcBorders>
            <w:shd w:val="clear" w:color="auto" w:fill="F0FFFF"/>
          </w:tcPr>
          <w:p>
            <w:pPr>
              <w:spacing w:after="0"/>
              <w:rPr>
                <w:sz w:val="16"/>
                <w:szCs w:val="16"/>
                <w:color w:val="auto"/>
              </w:rPr>
            </w:pPr>
          </w:p>
        </w:tc>
        <w:tc>
          <w:tcPr>
            <w:tcW w:w="220" w:type="dxa"/>
            <w:vAlign w:val="bottom"/>
            <w:tcBorders>
              <w:top w:val="single" w:sz="8" w:color="F0FFFF"/>
              <w:right w:val="single" w:sz="8" w:color="F0FFFF"/>
            </w:tcBorders>
            <w:shd w:val="clear" w:color="auto" w:fill="F0FFFF"/>
          </w:tcPr>
          <w:p>
            <w:pPr>
              <w:spacing w:after="0"/>
              <w:rPr>
                <w:sz w:val="16"/>
                <w:szCs w:val="16"/>
                <w:color w:val="auto"/>
              </w:rPr>
            </w:pPr>
          </w:p>
        </w:tc>
        <w:tc>
          <w:tcPr>
            <w:tcW w:w="100" w:type="dxa"/>
            <w:vAlign w:val="bottom"/>
            <w:tcBorders>
              <w:top w:val="single" w:sz="8" w:color="auto"/>
            </w:tcBorders>
            <w:shd w:val="clear" w:color="auto" w:fill="F0FFFF"/>
          </w:tcPr>
          <w:p>
            <w:pPr>
              <w:spacing w:after="0"/>
              <w:rPr>
                <w:sz w:val="16"/>
                <w:szCs w:val="16"/>
                <w:color w:val="auto"/>
              </w:rPr>
            </w:pPr>
          </w:p>
        </w:tc>
        <w:tc>
          <w:tcPr>
            <w:tcW w:w="1180" w:type="dxa"/>
            <w:vAlign w:val="bottom"/>
            <w:tcBorders>
              <w:top w:val="single" w:sz="8" w:color="auto"/>
            </w:tcBorders>
            <w:shd w:val="clear" w:color="auto" w:fill="F0FFFF"/>
          </w:tcPr>
          <w:p>
            <w:pPr>
              <w:spacing w:after="0"/>
              <w:rPr>
                <w:sz w:val="16"/>
                <w:szCs w:val="16"/>
                <w:color w:val="auto"/>
              </w:rPr>
            </w:pPr>
          </w:p>
        </w:tc>
        <w:tc>
          <w:tcPr>
            <w:tcW w:w="120" w:type="dxa"/>
            <w:vAlign w:val="bottom"/>
            <w:tcBorders>
              <w:top w:val="single" w:sz="8" w:color="F0FFFF"/>
            </w:tcBorders>
            <w:shd w:val="clear" w:color="auto" w:fill="F0FFFF"/>
          </w:tcPr>
          <w:p>
            <w:pPr>
              <w:spacing w:after="0"/>
              <w:rPr>
                <w:sz w:val="16"/>
                <w:szCs w:val="16"/>
                <w:color w:val="auto"/>
              </w:rPr>
            </w:pPr>
          </w:p>
        </w:tc>
        <w:tc>
          <w:tcPr>
            <w:tcW w:w="100" w:type="dxa"/>
            <w:vAlign w:val="bottom"/>
            <w:tcBorders>
              <w:top w:val="single" w:sz="8" w:color="F0FFFF"/>
            </w:tcBorders>
            <w:shd w:val="clear" w:color="auto" w:fill="F0FFFF"/>
          </w:tcPr>
          <w:p>
            <w:pPr>
              <w:spacing w:after="0"/>
              <w:rPr>
                <w:sz w:val="16"/>
                <w:szCs w:val="16"/>
                <w:color w:val="auto"/>
              </w:rPr>
            </w:pPr>
          </w:p>
        </w:tc>
        <w:tc>
          <w:tcPr>
            <w:tcW w:w="200" w:type="dxa"/>
            <w:vAlign w:val="bottom"/>
            <w:tcBorders>
              <w:top w:val="single" w:sz="8" w:color="auto"/>
            </w:tcBorders>
            <w:shd w:val="clear" w:color="auto" w:fill="F0FFFF"/>
          </w:tcPr>
          <w:p>
            <w:pPr>
              <w:spacing w:after="0"/>
              <w:rPr>
                <w:sz w:val="16"/>
                <w:szCs w:val="16"/>
                <w:color w:val="auto"/>
              </w:rPr>
            </w:pPr>
          </w:p>
        </w:tc>
        <w:tc>
          <w:tcPr>
            <w:tcW w:w="1060" w:type="dxa"/>
            <w:vAlign w:val="bottom"/>
            <w:tcBorders>
              <w:top w:val="single" w:sz="8" w:color="auto"/>
            </w:tcBorders>
            <w:shd w:val="clear" w:color="auto" w:fill="F0FFFF"/>
          </w:tcPr>
          <w:p>
            <w:pPr>
              <w:spacing w:after="0"/>
              <w:rPr>
                <w:sz w:val="16"/>
                <w:szCs w:val="16"/>
                <w:color w:val="auto"/>
              </w:rPr>
            </w:pPr>
          </w:p>
        </w:tc>
        <w:tc>
          <w:tcPr>
            <w:tcW w:w="120" w:type="dxa"/>
            <w:vAlign w:val="bottom"/>
            <w:tcBorders>
              <w:top w:val="single" w:sz="8" w:color="F0FFFF"/>
            </w:tcBorders>
            <w:shd w:val="clear" w:color="auto" w:fill="F0FFFF"/>
          </w:tcPr>
          <w:p>
            <w:pPr>
              <w:spacing w:after="0"/>
              <w:rPr>
                <w:sz w:val="16"/>
                <w:szCs w:val="16"/>
                <w:color w:val="auto"/>
              </w:rPr>
            </w:pPr>
          </w:p>
        </w:tc>
        <w:tc>
          <w:tcPr>
            <w:tcW w:w="120" w:type="dxa"/>
            <w:vAlign w:val="bottom"/>
            <w:tcBorders>
              <w:top w:val="single" w:sz="8" w:color="F0FFFF"/>
            </w:tcBorders>
            <w:shd w:val="clear" w:color="auto" w:fill="F0FFFF"/>
          </w:tcPr>
          <w:p>
            <w:pPr>
              <w:spacing w:after="0"/>
              <w:rPr>
                <w:sz w:val="16"/>
                <w:szCs w:val="16"/>
                <w:color w:val="auto"/>
              </w:rPr>
            </w:pPr>
          </w:p>
        </w:tc>
        <w:tc>
          <w:tcPr>
            <w:tcW w:w="120" w:type="dxa"/>
            <w:vAlign w:val="bottom"/>
            <w:tcBorders>
              <w:top w:val="single" w:sz="8" w:color="auto"/>
            </w:tcBorders>
            <w:shd w:val="clear" w:color="auto" w:fill="F0FFFF"/>
          </w:tcPr>
          <w:p>
            <w:pPr>
              <w:spacing w:after="0"/>
              <w:rPr>
                <w:sz w:val="16"/>
                <w:szCs w:val="16"/>
                <w:color w:val="auto"/>
              </w:rPr>
            </w:pPr>
          </w:p>
        </w:tc>
        <w:tc>
          <w:tcPr>
            <w:tcW w:w="1140" w:type="dxa"/>
            <w:vAlign w:val="bottom"/>
            <w:tcBorders>
              <w:top w:val="single" w:sz="8" w:color="auto"/>
            </w:tcBorders>
            <w:shd w:val="clear" w:color="auto" w:fill="F0FFFF"/>
          </w:tcPr>
          <w:p>
            <w:pPr>
              <w:spacing w:after="0"/>
              <w:rPr>
                <w:sz w:val="16"/>
                <w:szCs w:val="16"/>
                <w:color w:val="auto"/>
              </w:rPr>
            </w:pPr>
          </w:p>
        </w:tc>
        <w:tc>
          <w:tcPr>
            <w:tcW w:w="140" w:type="dxa"/>
            <w:vAlign w:val="bottom"/>
            <w:tcBorders>
              <w:top w:val="single" w:sz="8" w:color="F0FFFF"/>
            </w:tcBorders>
            <w:shd w:val="clear" w:color="auto" w:fill="F0FFFF"/>
          </w:tcPr>
          <w:p>
            <w:pPr>
              <w:spacing w:after="0"/>
              <w:rPr>
                <w:sz w:val="16"/>
                <w:szCs w:val="16"/>
                <w:color w:val="auto"/>
              </w:rPr>
            </w:pPr>
          </w:p>
        </w:tc>
        <w:tc>
          <w:tcPr>
            <w:tcW w:w="80" w:type="dxa"/>
            <w:vAlign w:val="bottom"/>
            <w:tcBorders>
              <w:top w:val="single" w:sz="8" w:color="F0FFFF"/>
            </w:tcBorders>
            <w:shd w:val="clear" w:color="auto" w:fill="F0FFFF"/>
          </w:tcPr>
          <w:p>
            <w:pPr>
              <w:spacing w:after="0"/>
              <w:rPr>
                <w:sz w:val="16"/>
                <w:szCs w:val="16"/>
                <w:color w:val="auto"/>
              </w:rPr>
            </w:pPr>
          </w:p>
        </w:tc>
        <w:tc>
          <w:tcPr>
            <w:tcW w:w="140" w:type="dxa"/>
            <w:vAlign w:val="bottom"/>
            <w:tcBorders>
              <w:top w:val="single" w:sz="8" w:color="auto"/>
            </w:tcBorders>
            <w:shd w:val="clear" w:color="auto" w:fill="F0FFFF"/>
          </w:tcPr>
          <w:p>
            <w:pPr>
              <w:spacing w:after="0"/>
              <w:rPr>
                <w:sz w:val="16"/>
                <w:szCs w:val="16"/>
                <w:color w:val="auto"/>
              </w:rPr>
            </w:pPr>
          </w:p>
        </w:tc>
        <w:tc>
          <w:tcPr>
            <w:tcW w:w="1100" w:type="dxa"/>
            <w:vAlign w:val="bottom"/>
            <w:tcBorders>
              <w:top w:val="single" w:sz="8" w:color="auto"/>
            </w:tcBorders>
            <w:shd w:val="clear" w:color="auto" w:fill="F0FFFF"/>
          </w:tcPr>
          <w:p>
            <w:pPr>
              <w:spacing w:after="0"/>
              <w:rPr>
                <w:sz w:val="16"/>
                <w:szCs w:val="16"/>
                <w:color w:val="auto"/>
              </w:rPr>
            </w:pPr>
          </w:p>
        </w:tc>
        <w:tc>
          <w:tcPr>
            <w:tcW w:w="200" w:type="dxa"/>
            <w:vAlign w:val="bottom"/>
            <w:tcBorders>
              <w:top w:val="single" w:sz="8" w:color="F0FFFF"/>
              <w:right w:val="single" w:sz="8" w:color="F0FFFF"/>
            </w:tcBorders>
            <w:shd w:val="clear" w:color="auto" w:fill="F0FFFF"/>
          </w:tcPr>
          <w:p>
            <w:pPr>
              <w:spacing w:after="0"/>
              <w:rPr>
                <w:sz w:val="16"/>
                <w:szCs w:val="16"/>
                <w:color w:val="auto"/>
              </w:rPr>
            </w:pPr>
          </w:p>
        </w:tc>
        <w:tc>
          <w:tcPr>
            <w:tcW w:w="120" w:type="dxa"/>
            <w:vAlign w:val="bottom"/>
            <w:tcBorders>
              <w:top w:val="single" w:sz="8" w:color="auto"/>
            </w:tcBorders>
            <w:shd w:val="clear" w:color="auto" w:fill="F0FFFF"/>
          </w:tcPr>
          <w:p>
            <w:pPr>
              <w:spacing w:after="0"/>
              <w:rPr>
                <w:sz w:val="16"/>
                <w:szCs w:val="16"/>
                <w:color w:val="auto"/>
              </w:rPr>
            </w:pPr>
          </w:p>
        </w:tc>
        <w:tc>
          <w:tcPr>
            <w:tcW w:w="1140" w:type="dxa"/>
            <w:vAlign w:val="bottom"/>
            <w:tcBorders>
              <w:top w:val="single" w:sz="8" w:color="auto"/>
            </w:tcBorders>
            <w:shd w:val="clear" w:color="auto" w:fill="F0FFFF"/>
          </w:tcPr>
          <w:p>
            <w:pPr>
              <w:spacing w:after="0"/>
              <w:rPr>
                <w:sz w:val="16"/>
                <w:szCs w:val="16"/>
                <w:color w:val="auto"/>
              </w:rPr>
            </w:pPr>
          </w:p>
        </w:tc>
        <w:tc>
          <w:tcPr>
            <w:tcW w:w="100" w:type="dxa"/>
            <w:vAlign w:val="bottom"/>
            <w:tcBorders>
              <w:top w:val="single" w:sz="8" w:color="F0FFFF"/>
            </w:tcBorders>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repurchase agreements</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(300,000)</w:t>
            </w:r>
          </w:p>
        </w:tc>
        <w:tc>
          <w:tcPr>
            <w:tcW w:w="30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0"/>
                <w:szCs w:val="20"/>
                <w:color w:val="auto"/>
              </w:rPr>
            </w:pP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0"/>
                <w:szCs w:val="20"/>
                <w:color w:val="auto"/>
              </w:rPr>
            </w:pP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F0FFFF"/>
            </w:tcBorders>
            <w:shd w:val="clear" w:color="auto" w:fill="F0FFFF"/>
          </w:tcPr>
          <w:p>
            <w:pPr>
              <w:spacing w:after="0"/>
              <w:rPr>
                <w:sz w:val="20"/>
                <w:szCs w:val="20"/>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540" w:type="dxa"/>
            <w:vAlign w:val="bottom"/>
            <w:gridSpan w:val="3"/>
            <w:vMerge w:val="restart"/>
          </w:tcPr>
          <w:p>
            <w:pPr>
              <w:spacing w:after="0"/>
              <w:rPr>
                <w:sz w:val="20"/>
                <w:szCs w:val="20"/>
                <w:color w:val="auto"/>
              </w:rPr>
            </w:pPr>
            <w:r>
              <w:rPr>
                <w:rFonts w:ascii="Arial" w:cs="Arial" w:eastAsia="Arial" w:hAnsi="Arial"/>
                <w:sz w:val="18"/>
                <w:szCs w:val="18"/>
                <w:color w:val="auto"/>
              </w:rPr>
              <w:t>Derivatives</w:t>
            </w:r>
          </w:p>
        </w:tc>
        <w:tc>
          <w:tcPr>
            <w:tcW w:w="140" w:type="dxa"/>
            <w:vAlign w:val="bottom"/>
          </w:tcPr>
          <w:p>
            <w:pPr>
              <w:spacing w:after="0"/>
              <w:rPr>
                <w:sz w:val="16"/>
                <w:szCs w:val="16"/>
                <w:color w:val="auto"/>
              </w:rPr>
            </w:pPr>
          </w:p>
        </w:tc>
        <w:tc>
          <w:tcPr>
            <w:tcW w:w="14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32,374</w:t>
            </w:r>
          </w:p>
        </w:tc>
        <w:tc>
          <w:tcPr>
            <w:tcW w:w="10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32,374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(1,881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(35,509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6"/>
                <w:szCs w:val="16"/>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254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14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Borders>
              <w:right w:val="single" w:sz="8" w:color="F0FFFF"/>
            </w:tcBorders>
            <w:vMerge w:val="restart"/>
            <w:shd w:val="clear" w:color="auto" w:fill="F0FF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2"/>
            <w:vMerge w:val="restart"/>
            <w:shd w:val="clear" w:color="auto" w:fill="F0FF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vMerge w:val="restart"/>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vMerge w:val="restart"/>
            <w:shd w:val="clear" w:color="auto" w:fill="F0FFFF"/>
          </w:tcPr>
          <w:p>
            <w:pPr>
              <w:jc w:val="right"/>
              <w:spacing w:after="0"/>
              <w:rPr>
                <w:sz w:val="20"/>
                <w:szCs w:val="20"/>
                <w:color w:val="auto"/>
              </w:rPr>
            </w:pPr>
            <w:r>
              <w:rPr>
                <w:rFonts w:ascii="Arial" w:cs="Arial" w:eastAsia="Arial" w:hAnsi="Arial"/>
                <w:sz w:val="18"/>
                <w:szCs w:val="18"/>
                <w:color w:val="auto"/>
              </w:rPr>
              <w:t>332,374</w:t>
            </w:r>
          </w:p>
        </w:tc>
        <w:tc>
          <w:tcPr>
            <w:tcW w:w="220" w:type="dxa"/>
            <w:vAlign w:val="bottom"/>
            <w:tcBorders>
              <w:right w:val="single" w:sz="8" w:color="F0FFFF"/>
            </w:tcBorders>
            <w:vMerge w:val="restart"/>
            <w:shd w:val="clear" w:color="auto" w:fill="F0FFFF"/>
          </w:tcPr>
          <w:p>
            <w:pPr>
              <w:spacing w:after="0"/>
              <w:rPr>
                <w:sz w:val="15"/>
                <w:szCs w:val="15"/>
                <w:color w:val="auto"/>
              </w:rPr>
            </w:pPr>
          </w:p>
        </w:tc>
        <w:tc>
          <w:tcPr>
            <w:tcW w:w="100" w:type="dxa"/>
            <w:vAlign w:val="bottom"/>
            <w:vMerge w:val="restart"/>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F0FF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vMerge w:val="continue"/>
            <w:shd w:val="clear" w:color="auto" w:fill="F0FFFF"/>
          </w:tcPr>
          <w:p>
            <w:pPr>
              <w:spacing w:after="0"/>
              <w:rPr>
                <w:sz w:val="15"/>
                <w:szCs w:val="15"/>
                <w:color w:val="auto"/>
              </w:rPr>
            </w:pPr>
          </w:p>
        </w:tc>
        <w:tc>
          <w:tcPr>
            <w:tcW w:w="300" w:type="dxa"/>
            <w:vAlign w:val="bottom"/>
            <w:gridSpan w:val="2"/>
            <w:vMerge w:val="restart"/>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F0FFFF"/>
          </w:tcPr>
          <w:p>
            <w:pPr>
              <w:jc w:val="right"/>
              <w:ind w:right="120"/>
              <w:spacing w:after="0"/>
              <w:rPr>
                <w:sz w:val="20"/>
                <w:szCs w:val="20"/>
                <w:color w:val="auto"/>
              </w:rPr>
            </w:pPr>
            <w:r>
              <w:rPr>
                <w:rFonts w:ascii="Arial" w:cs="Arial" w:eastAsia="Arial" w:hAnsi="Arial"/>
                <w:sz w:val="18"/>
                <w:szCs w:val="18"/>
                <w:color w:val="auto"/>
              </w:rPr>
              <w:t>32,374</w:t>
            </w:r>
          </w:p>
        </w:tc>
        <w:tc>
          <w:tcPr>
            <w:tcW w:w="240" w:type="dxa"/>
            <w:vAlign w:val="bottom"/>
            <w:gridSpan w:val="2"/>
            <w:vMerge w:val="restart"/>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F0FFFF"/>
          </w:tcPr>
          <w:p>
            <w:pPr>
              <w:jc w:val="right"/>
              <w:spacing w:after="0"/>
              <w:rPr>
                <w:sz w:val="20"/>
                <w:szCs w:val="20"/>
                <w:color w:val="auto"/>
              </w:rPr>
            </w:pPr>
            <w:r>
              <w:rPr>
                <w:rFonts w:ascii="Arial" w:cs="Arial" w:eastAsia="Arial" w:hAnsi="Arial"/>
                <w:sz w:val="18"/>
                <w:szCs w:val="18"/>
                <w:color w:val="auto"/>
              </w:rPr>
              <w:t>(1,881</w:t>
            </w:r>
          </w:p>
        </w:tc>
        <w:tc>
          <w:tcPr>
            <w:tcW w:w="140" w:type="dxa"/>
            <w:vAlign w:val="bottom"/>
            <w:vMerge w:val="continue"/>
            <w:shd w:val="clear" w:color="auto" w:fill="F0FFFF"/>
          </w:tcPr>
          <w:p>
            <w:pPr>
              <w:spacing w:after="0"/>
              <w:rPr>
                <w:sz w:val="15"/>
                <w:szCs w:val="15"/>
                <w:color w:val="auto"/>
              </w:rPr>
            </w:pPr>
          </w:p>
        </w:tc>
        <w:tc>
          <w:tcPr>
            <w:tcW w:w="220" w:type="dxa"/>
            <w:vAlign w:val="bottom"/>
            <w:gridSpan w:val="2"/>
            <w:vMerge w:val="restart"/>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F0FFFF"/>
          </w:tcPr>
          <w:p>
            <w:pPr>
              <w:jc w:val="right"/>
              <w:spacing w:after="0"/>
              <w:rPr>
                <w:sz w:val="20"/>
                <w:szCs w:val="20"/>
                <w:color w:val="auto"/>
              </w:rPr>
            </w:pPr>
            <w:r>
              <w:rPr>
                <w:rFonts w:ascii="Arial" w:cs="Arial" w:eastAsia="Arial" w:hAnsi="Arial"/>
                <w:sz w:val="18"/>
                <w:szCs w:val="18"/>
                <w:color w:val="auto"/>
              </w:rPr>
              <w:t>(35,509</w:t>
            </w:r>
          </w:p>
        </w:tc>
        <w:tc>
          <w:tcPr>
            <w:tcW w:w="200" w:type="dxa"/>
            <w:vAlign w:val="bottom"/>
            <w:tcBorders>
              <w:right w:val="single" w:sz="8" w:color="F0FFFF"/>
            </w:tcBorders>
            <w:vMerge w:val="continue"/>
            <w:shd w:val="clear" w:color="auto" w:fill="F0FFFF"/>
          </w:tcPr>
          <w:p>
            <w:pPr>
              <w:spacing w:after="0"/>
              <w:rPr>
                <w:sz w:val="15"/>
                <w:szCs w:val="15"/>
                <w:color w:val="auto"/>
              </w:rPr>
            </w:pPr>
          </w:p>
        </w:tc>
        <w:tc>
          <w:tcPr>
            <w:tcW w:w="120" w:type="dxa"/>
            <w:vAlign w:val="bottom"/>
            <w:vMerge w:val="restart"/>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vMerge w:val="restart"/>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20" w:type="dxa"/>
            <w:vAlign w:val="bottom"/>
            <w:gridSpan w:val="2"/>
            <w:vMerge w:val="continue"/>
            <w:shd w:val="clear" w:color="auto" w:fill="F0FFFF"/>
          </w:tcPr>
          <w:p>
            <w:pPr>
              <w:spacing w:after="0"/>
              <w:rPr>
                <w:sz w:val="3"/>
                <w:szCs w:val="3"/>
                <w:color w:val="auto"/>
              </w:rPr>
            </w:pPr>
          </w:p>
        </w:tc>
        <w:tc>
          <w:tcPr>
            <w:tcW w:w="140" w:type="dxa"/>
            <w:vAlign w:val="bottom"/>
            <w:vMerge w:val="continue"/>
            <w:shd w:val="clear" w:color="auto" w:fill="F0FFFF"/>
          </w:tcPr>
          <w:p>
            <w:pPr>
              <w:spacing w:after="0"/>
              <w:rPr>
                <w:sz w:val="3"/>
                <w:szCs w:val="3"/>
                <w:color w:val="auto"/>
              </w:rPr>
            </w:pPr>
          </w:p>
        </w:tc>
        <w:tc>
          <w:tcPr>
            <w:tcW w:w="1240" w:type="dxa"/>
            <w:vAlign w:val="bottom"/>
            <w:vMerge w:val="continue"/>
            <w:shd w:val="clear" w:color="auto" w:fill="F0FFFF"/>
          </w:tcPr>
          <w:p>
            <w:pPr>
              <w:spacing w:after="0"/>
              <w:rPr>
                <w:sz w:val="3"/>
                <w:szCs w:val="3"/>
                <w:color w:val="auto"/>
              </w:rPr>
            </w:pPr>
          </w:p>
        </w:tc>
        <w:tc>
          <w:tcPr>
            <w:tcW w:w="220" w:type="dxa"/>
            <w:vAlign w:val="bottom"/>
            <w:tcBorders>
              <w:right w:val="single" w:sz="8" w:color="F0FFFF"/>
            </w:tcBorders>
            <w:vMerge w:val="continue"/>
            <w:shd w:val="clear" w:color="auto" w:fill="F0FFFF"/>
          </w:tcPr>
          <w:p>
            <w:pPr>
              <w:spacing w:after="0"/>
              <w:rPr>
                <w:sz w:val="3"/>
                <w:szCs w:val="3"/>
                <w:color w:val="auto"/>
              </w:rPr>
            </w:pPr>
          </w:p>
        </w:tc>
        <w:tc>
          <w:tcPr>
            <w:tcW w:w="100" w:type="dxa"/>
            <w:vAlign w:val="bottom"/>
            <w:vMerge w:val="continue"/>
            <w:shd w:val="clear" w:color="auto" w:fill="F0FFFF"/>
          </w:tcPr>
          <w:p>
            <w:pPr>
              <w:spacing w:after="0"/>
              <w:rPr>
                <w:sz w:val="3"/>
                <w:szCs w:val="3"/>
                <w:color w:val="auto"/>
              </w:rPr>
            </w:pPr>
          </w:p>
        </w:tc>
        <w:tc>
          <w:tcPr>
            <w:tcW w:w="1180" w:type="dxa"/>
            <w:vAlign w:val="bottom"/>
            <w:vMerge w:val="continue"/>
            <w:shd w:val="clear" w:color="auto" w:fill="F0FFFF"/>
          </w:tcPr>
          <w:p>
            <w:pPr>
              <w:spacing w:after="0"/>
              <w:rPr>
                <w:sz w:val="3"/>
                <w:szCs w:val="3"/>
                <w:color w:val="auto"/>
              </w:rPr>
            </w:pPr>
          </w:p>
        </w:tc>
        <w:tc>
          <w:tcPr>
            <w:tcW w:w="120" w:type="dxa"/>
            <w:vAlign w:val="bottom"/>
            <w:shd w:val="clear" w:color="auto" w:fill="F0FFFF"/>
          </w:tcPr>
          <w:p>
            <w:pPr>
              <w:spacing w:after="0"/>
              <w:rPr>
                <w:sz w:val="3"/>
                <w:szCs w:val="3"/>
                <w:color w:val="auto"/>
              </w:rPr>
            </w:pPr>
          </w:p>
        </w:tc>
        <w:tc>
          <w:tcPr>
            <w:tcW w:w="300" w:type="dxa"/>
            <w:vAlign w:val="bottom"/>
            <w:gridSpan w:val="2"/>
            <w:vMerge w:val="continue"/>
            <w:shd w:val="clear" w:color="auto" w:fill="F0FFFF"/>
          </w:tcPr>
          <w:p>
            <w:pPr>
              <w:spacing w:after="0"/>
              <w:rPr>
                <w:sz w:val="3"/>
                <w:szCs w:val="3"/>
                <w:color w:val="auto"/>
              </w:rPr>
            </w:pPr>
          </w:p>
        </w:tc>
        <w:tc>
          <w:tcPr>
            <w:tcW w:w="1180" w:type="dxa"/>
            <w:vAlign w:val="bottom"/>
            <w:gridSpan w:val="2"/>
            <w:vMerge w:val="continue"/>
            <w:shd w:val="clear" w:color="auto" w:fill="F0FFFF"/>
          </w:tcPr>
          <w:p>
            <w:pPr>
              <w:spacing w:after="0"/>
              <w:rPr>
                <w:sz w:val="3"/>
                <w:szCs w:val="3"/>
                <w:color w:val="auto"/>
              </w:rPr>
            </w:pPr>
          </w:p>
        </w:tc>
        <w:tc>
          <w:tcPr>
            <w:tcW w:w="240" w:type="dxa"/>
            <w:vAlign w:val="bottom"/>
            <w:gridSpan w:val="2"/>
            <w:vMerge w:val="continue"/>
            <w:shd w:val="clear" w:color="auto" w:fill="F0FFFF"/>
          </w:tcPr>
          <w:p>
            <w:pPr>
              <w:spacing w:after="0"/>
              <w:rPr>
                <w:sz w:val="3"/>
                <w:szCs w:val="3"/>
                <w:color w:val="auto"/>
              </w:rPr>
            </w:pPr>
          </w:p>
        </w:tc>
        <w:tc>
          <w:tcPr>
            <w:tcW w:w="1140" w:type="dxa"/>
            <w:vAlign w:val="bottom"/>
            <w:vMerge w:val="continue"/>
            <w:shd w:val="clear" w:color="auto" w:fill="F0FFFF"/>
          </w:tcPr>
          <w:p>
            <w:pPr>
              <w:spacing w:after="0"/>
              <w:rPr>
                <w:sz w:val="3"/>
                <w:szCs w:val="3"/>
                <w:color w:val="auto"/>
              </w:rPr>
            </w:pPr>
          </w:p>
        </w:tc>
        <w:tc>
          <w:tcPr>
            <w:tcW w:w="140" w:type="dxa"/>
            <w:vAlign w:val="bottom"/>
            <w:shd w:val="clear" w:color="auto" w:fill="F0FFFF"/>
          </w:tcPr>
          <w:p>
            <w:pPr>
              <w:spacing w:after="0"/>
              <w:rPr>
                <w:sz w:val="3"/>
                <w:szCs w:val="3"/>
                <w:color w:val="auto"/>
              </w:rPr>
            </w:pPr>
          </w:p>
        </w:tc>
        <w:tc>
          <w:tcPr>
            <w:tcW w:w="220" w:type="dxa"/>
            <w:vAlign w:val="bottom"/>
            <w:gridSpan w:val="2"/>
            <w:vMerge w:val="continue"/>
            <w:shd w:val="clear" w:color="auto" w:fill="F0FFFF"/>
          </w:tcPr>
          <w:p>
            <w:pPr>
              <w:spacing w:after="0"/>
              <w:rPr>
                <w:sz w:val="3"/>
                <w:szCs w:val="3"/>
                <w:color w:val="auto"/>
              </w:rPr>
            </w:pPr>
          </w:p>
        </w:tc>
        <w:tc>
          <w:tcPr>
            <w:tcW w:w="1100" w:type="dxa"/>
            <w:vAlign w:val="bottom"/>
            <w:vMerge w:val="continue"/>
            <w:shd w:val="clear" w:color="auto" w:fill="F0FFFF"/>
          </w:tcPr>
          <w:p>
            <w:pPr>
              <w:spacing w:after="0"/>
              <w:rPr>
                <w:sz w:val="3"/>
                <w:szCs w:val="3"/>
                <w:color w:val="auto"/>
              </w:rPr>
            </w:pPr>
          </w:p>
        </w:tc>
        <w:tc>
          <w:tcPr>
            <w:tcW w:w="200" w:type="dxa"/>
            <w:vAlign w:val="bottom"/>
            <w:tcBorders>
              <w:right w:val="single" w:sz="8" w:color="F0FFFF"/>
            </w:tcBorders>
            <w:shd w:val="clear" w:color="auto" w:fill="F0FFFF"/>
          </w:tcPr>
          <w:p>
            <w:pPr>
              <w:spacing w:after="0"/>
              <w:rPr>
                <w:sz w:val="3"/>
                <w:szCs w:val="3"/>
                <w:color w:val="auto"/>
              </w:rPr>
            </w:pPr>
          </w:p>
        </w:tc>
        <w:tc>
          <w:tcPr>
            <w:tcW w:w="120" w:type="dxa"/>
            <w:vAlign w:val="bottom"/>
            <w:vMerge w:val="continue"/>
            <w:shd w:val="clear" w:color="auto" w:fill="F0FFFF"/>
          </w:tcPr>
          <w:p>
            <w:pPr>
              <w:spacing w:after="0"/>
              <w:rPr>
                <w:sz w:val="3"/>
                <w:szCs w:val="3"/>
                <w:color w:val="auto"/>
              </w:rPr>
            </w:pPr>
          </w:p>
        </w:tc>
        <w:tc>
          <w:tcPr>
            <w:tcW w:w="1240" w:type="dxa"/>
            <w:vAlign w:val="bottom"/>
            <w:gridSpan w:val="2"/>
            <w:vMerge w:val="continue"/>
            <w:shd w:val="clear" w:color="auto" w:fill="F0FFFF"/>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F0FFFF"/>
              <w:bottom w:val="single" w:sz="8" w:color="F0FFFF"/>
            </w:tcBorders>
            <w:gridSpan w:val="2"/>
            <w:vMerge w:val="restart"/>
          </w:tcPr>
          <w:p>
            <w:pPr>
              <w:spacing w:after="0" w:line="195" w:lineRule="exact"/>
              <w:rPr>
                <w:sz w:val="20"/>
                <w:szCs w:val="20"/>
                <w:color w:val="auto"/>
              </w:rPr>
            </w:pPr>
            <w:r>
              <w:rPr>
                <w:rFonts w:ascii="Arial" w:cs="Arial" w:eastAsia="Arial" w:hAnsi="Arial"/>
                <w:sz w:val="18"/>
                <w:szCs w:val="18"/>
                <w:color w:val="auto"/>
                <w:w w:val="93"/>
              </w:rPr>
              <w:t>Weighted average interest rate of</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5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tcPr>
          <w:p>
            <w:pPr>
              <w:ind w:left="140"/>
              <w:spacing w:after="0"/>
              <w:rPr>
                <w:sz w:val="20"/>
                <w:szCs w:val="20"/>
                <w:color w:val="auto"/>
              </w:rPr>
            </w:pPr>
            <w:r>
              <w:rPr>
                <w:rFonts w:ascii="Arial" w:cs="Arial" w:eastAsia="Arial" w:hAnsi="Arial"/>
                <w:sz w:val="18"/>
                <w:szCs w:val="18"/>
                <w:color w:val="auto"/>
              </w:rPr>
              <w:t>repurchase agreements</w:t>
            </w:r>
          </w:p>
        </w:tc>
        <w:tc>
          <w:tcPr>
            <w:tcW w:w="14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5"/>
            <w:vMerge w:val="restart"/>
          </w:tcPr>
          <w:p>
            <w:pPr>
              <w:jc w:val="center"/>
              <w:ind w:right="30"/>
              <w:spacing w:after="0"/>
              <w:rPr>
                <w:sz w:val="20"/>
                <w:szCs w:val="20"/>
                <w:color w:val="auto"/>
              </w:rPr>
            </w:pPr>
            <w:r>
              <w:rPr>
                <w:rFonts w:ascii="Arial" w:cs="Arial" w:eastAsia="Arial" w:hAnsi="Arial"/>
                <w:sz w:val="18"/>
                <w:szCs w:val="18"/>
                <w:b w:val="1"/>
                <w:bCs w:val="1"/>
                <w:color w:val="auto"/>
                <w:w w:val="88"/>
              </w:rPr>
              <w:t>Gross Amounts not Offset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420"/>
              <w:spacing w:after="0" w:line="189"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c>
          <w:tcPr>
            <w:tcW w:w="1180" w:type="dxa"/>
            <w:vAlign w:val="bottom"/>
          </w:tcPr>
          <w:p>
            <w:pPr>
              <w:jc w:val="center"/>
              <w:ind w:right="70"/>
              <w:spacing w:after="0" w:line="189" w:lineRule="exact"/>
              <w:rPr>
                <w:sz w:val="20"/>
                <w:szCs w:val="20"/>
                <w:color w:val="auto"/>
              </w:rPr>
            </w:pPr>
            <w:r>
              <w:rPr>
                <w:rFonts w:ascii="Arial" w:cs="Arial" w:eastAsia="Arial" w:hAnsi="Arial"/>
                <w:sz w:val="18"/>
                <w:szCs w:val="18"/>
                <w:b w:val="1"/>
                <w:bCs w:val="1"/>
                <w:color w:val="auto"/>
                <w:w w:val="89"/>
              </w:rPr>
              <w:t>Amounts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5"/>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Amounts of</w:t>
            </w:r>
          </w:p>
        </w:tc>
        <w:tc>
          <w:tcPr>
            <w:tcW w:w="100" w:type="dxa"/>
            <w:vAlign w:val="bottom"/>
          </w:tcPr>
          <w:p>
            <w:pPr>
              <w:spacing w:after="0"/>
              <w:rPr>
                <w:sz w:val="20"/>
                <w:szCs w:val="20"/>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Offset on the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8"/>
                <w:szCs w:val="18"/>
                <w:b w:val="1"/>
                <w:bCs w:val="1"/>
                <w:color w:val="auto"/>
                <w:w w:val="88"/>
              </w:rPr>
              <w:t>in the Balance Sheet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420"/>
              <w:spacing w:after="0" w:line="198" w:lineRule="exact"/>
              <w:rPr>
                <w:sz w:val="20"/>
                <w:szCs w:val="20"/>
                <w:color w:val="auto"/>
              </w:rPr>
            </w:pPr>
            <w:r>
              <w:rPr>
                <w:rFonts w:ascii="Arial" w:cs="Arial" w:eastAsia="Arial" w:hAnsi="Arial"/>
                <w:sz w:val="18"/>
                <w:szCs w:val="18"/>
                <w:b w:val="1"/>
                <w:bCs w:val="1"/>
                <w:color w:val="auto"/>
                <w:w w:val="87"/>
              </w:rPr>
              <w:t>Recognized</w:t>
            </w:r>
          </w:p>
        </w:tc>
        <w:tc>
          <w:tcPr>
            <w:tcW w:w="100" w:type="dxa"/>
            <w:vAlign w:val="bottom"/>
          </w:tcPr>
          <w:p>
            <w:pPr>
              <w:spacing w:after="0"/>
              <w:rPr>
                <w:sz w:val="17"/>
                <w:szCs w:val="17"/>
                <w:color w:val="auto"/>
              </w:rPr>
            </w:pPr>
          </w:p>
        </w:tc>
        <w:tc>
          <w:tcPr>
            <w:tcW w:w="118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86"/>
              </w:rPr>
              <w:t>Balance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89"/>
              </w:rPr>
              <w:t>Net Asset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92"/>
              </w:rPr>
              <w:t>Financial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110"/>
              <w:spacing w:after="0" w:line="198" w:lineRule="exact"/>
              <w:rPr>
                <w:sz w:val="20"/>
                <w:szCs w:val="20"/>
                <w:color w:val="auto"/>
              </w:rPr>
            </w:pPr>
            <w:r>
              <w:rPr>
                <w:rFonts w:ascii="Arial" w:cs="Arial" w:eastAsia="Arial" w:hAnsi="Arial"/>
                <w:sz w:val="18"/>
                <w:szCs w:val="18"/>
                <w:b w:val="1"/>
                <w:bCs w:val="1"/>
                <w:color w:val="auto"/>
                <w:w w:val="95"/>
              </w:rPr>
              <w:t>Collateral</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540" w:type="dxa"/>
            <w:vAlign w:val="bottom"/>
            <w:gridSpan w:val="3"/>
          </w:tcPr>
          <w:p>
            <w:pPr>
              <w:spacing w:after="0"/>
              <w:rPr>
                <w:sz w:val="20"/>
                <w:szCs w:val="20"/>
                <w:color w:val="auto"/>
              </w:rPr>
            </w:pPr>
            <w:r>
              <w:rPr>
                <w:rFonts w:ascii="Arial" w:cs="Arial" w:eastAsia="Arial" w:hAnsi="Arial"/>
                <w:sz w:val="18"/>
                <w:szCs w:val="18"/>
                <w:b w:val="1"/>
                <w:bCs w:val="1"/>
                <w:color w:val="auto"/>
              </w:rPr>
              <w:t>December 31, 2014</w:t>
            </w:r>
          </w:p>
        </w:tc>
        <w:tc>
          <w:tcPr>
            <w:tcW w:w="140" w:type="dxa"/>
            <w:vAlign w:val="bottom"/>
          </w:tcPr>
          <w:p>
            <w:pPr>
              <w:spacing w:after="0"/>
              <w:rPr>
                <w:sz w:val="20"/>
                <w:szCs w:val="20"/>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1"/>
              </w:rPr>
              <w:t>Assets</w:t>
            </w:r>
          </w:p>
        </w:tc>
        <w:tc>
          <w:tcPr>
            <w:tcW w:w="100" w:type="dxa"/>
            <w:vAlign w:val="bottom"/>
          </w:tcPr>
          <w:p>
            <w:pPr>
              <w:spacing w:after="0"/>
              <w:rPr>
                <w:sz w:val="20"/>
                <w:szCs w:val="20"/>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Sheet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Instruments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Received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Amount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20" w:type="dxa"/>
            <w:vAlign w:val="bottom"/>
            <w:gridSpan w:val="2"/>
            <w:shd w:val="clear" w:color="auto" w:fill="F0FFFF"/>
          </w:tcPr>
          <w:p>
            <w:pPr>
              <w:spacing w:after="0" w:line="201" w:lineRule="exact"/>
              <w:rPr>
                <w:sz w:val="20"/>
                <w:szCs w:val="20"/>
                <w:color w:val="auto"/>
              </w:rPr>
            </w:pPr>
            <w:r>
              <w:rPr>
                <w:rFonts w:ascii="Arial" w:cs="Arial" w:eastAsia="Arial" w:hAnsi="Arial"/>
                <w:sz w:val="18"/>
                <w:szCs w:val="18"/>
                <w:color w:val="auto"/>
                <w:w w:val="91"/>
              </w:rPr>
              <w:t>Repurchase agreements / reverse</w:t>
            </w:r>
          </w:p>
        </w:tc>
        <w:tc>
          <w:tcPr>
            <w:tcW w:w="140" w:type="dxa"/>
            <w:vAlign w:val="bottom"/>
            <w:shd w:val="clear" w:color="auto" w:fill="F0FFFF"/>
          </w:tcPr>
          <w:p>
            <w:pPr>
              <w:spacing w:after="0"/>
              <w:rPr>
                <w:sz w:val="17"/>
                <w:szCs w:val="17"/>
                <w:color w:val="auto"/>
              </w:rPr>
            </w:pPr>
          </w:p>
        </w:tc>
        <w:tc>
          <w:tcPr>
            <w:tcW w:w="1240" w:type="dxa"/>
            <w:vAlign w:val="bottom"/>
            <w:shd w:val="clear" w:color="auto" w:fill="F0FFFF"/>
          </w:tcPr>
          <w:p>
            <w:pPr>
              <w:spacing w:after="0"/>
              <w:rPr>
                <w:sz w:val="17"/>
                <w:szCs w:val="17"/>
                <w:color w:val="auto"/>
              </w:rPr>
            </w:pPr>
          </w:p>
        </w:tc>
        <w:tc>
          <w:tcPr>
            <w:tcW w:w="220" w:type="dxa"/>
            <w:vAlign w:val="bottom"/>
            <w:tcBorders>
              <w:righ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1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200" w:type="dxa"/>
            <w:vAlign w:val="bottom"/>
            <w:tcBorders>
              <w:righ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repurchase agreements</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395,000</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(375,000)</w:t>
            </w:r>
          </w:p>
        </w:tc>
        <w:tc>
          <w:tcPr>
            <w:tcW w:w="30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20,000</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0"/>
                <w:szCs w:val="20"/>
                <w:color w:val="auto"/>
              </w:rPr>
            </w:pP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F0FFFF"/>
            </w:tcBorders>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(20,302)</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540" w:type="dxa"/>
            <w:vAlign w:val="bottom"/>
            <w:gridSpan w:val="3"/>
            <w:vMerge w:val="restart"/>
          </w:tcPr>
          <w:p>
            <w:pPr>
              <w:spacing w:after="0"/>
              <w:rPr>
                <w:sz w:val="20"/>
                <w:szCs w:val="20"/>
                <w:color w:val="auto"/>
              </w:rPr>
            </w:pPr>
            <w:r>
              <w:rPr>
                <w:rFonts w:ascii="Arial" w:cs="Arial" w:eastAsia="Arial" w:hAnsi="Arial"/>
                <w:sz w:val="18"/>
                <w:szCs w:val="18"/>
                <w:color w:val="auto"/>
              </w:rPr>
              <w:t>Derivatives</w:t>
            </w:r>
          </w:p>
        </w:tc>
        <w:tc>
          <w:tcPr>
            <w:tcW w:w="140" w:type="dxa"/>
            <w:vAlign w:val="bottom"/>
          </w:tcPr>
          <w:p>
            <w:pPr>
              <w:spacing w:after="0"/>
              <w:rPr>
                <w:sz w:val="16"/>
                <w:szCs w:val="16"/>
                <w:color w:val="auto"/>
              </w:rPr>
            </w:pPr>
          </w:p>
        </w:tc>
        <w:tc>
          <w:tcPr>
            <w:tcW w:w="14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20,599</w:t>
            </w:r>
          </w:p>
        </w:tc>
        <w:tc>
          <w:tcPr>
            <w:tcW w:w="10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20,599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(869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(3,716</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6"/>
                <w:szCs w:val="16"/>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16,014</w:t>
            </w:r>
          </w:p>
        </w:tc>
        <w:tc>
          <w:tcPr>
            <w:tcW w:w="0" w:type="dxa"/>
            <w:vAlign w:val="bottom"/>
          </w:tcPr>
          <w:p>
            <w:pPr>
              <w:spacing w:after="0"/>
              <w:rPr>
                <w:sz w:val="1"/>
                <w:szCs w:val="1"/>
                <w:color w:val="auto"/>
              </w:rPr>
            </w:pPr>
          </w:p>
        </w:tc>
      </w:tr>
      <w:tr>
        <w:trPr>
          <w:trHeight w:val="41"/>
        </w:trPr>
        <w:tc>
          <w:tcPr>
            <w:tcW w:w="254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14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20" w:type="dxa"/>
            <w:vAlign w:val="bottom"/>
            <w:gridSpan w:val="2"/>
            <w:vMerge w:val="restart"/>
            <w:shd w:val="clear" w:color="auto" w:fill="F0FF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Borders>
              <w:right w:val="single" w:sz="8" w:color="F0FFFF"/>
            </w:tcBorders>
            <w:vMerge w:val="restart"/>
            <w:shd w:val="clear" w:color="auto" w:fill="F0FF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2520" w:type="dxa"/>
            <w:vAlign w:val="bottom"/>
            <w:gridSpan w:val="2"/>
            <w:vMerge w:val="continue"/>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415,599</w:t>
            </w:r>
          </w:p>
        </w:tc>
        <w:tc>
          <w:tcPr>
            <w:tcW w:w="220" w:type="dxa"/>
            <w:vAlign w:val="bottom"/>
            <w:tcBorders>
              <w:right w:val="single" w:sz="8" w:color="F0FFFF"/>
            </w:tcBorders>
            <w:shd w:val="clear" w:color="auto" w:fill="F0FFFF"/>
          </w:tcPr>
          <w:p>
            <w:pPr>
              <w:spacing w:after="0"/>
              <w:rPr>
                <w:sz w:val="24"/>
                <w:szCs w:val="24"/>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(375,000</w:t>
            </w:r>
          </w:p>
        </w:tc>
        <w:tc>
          <w:tcPr>
            <w:tcW w:w="120" w:type="dxa"/>
            <w:vAlign w:val="bottom"/>
            <w:vMerge w:val="continue"/>
            <w:shd w:val="clear" w:color="auto" w:fill="F0FFFF"/>
          </w:tcPr>
          <w:p>
            <w:pPr>
              <w:spacing w:after="0"/>
              <w:rPr>
                <w:sz w:val="24"/>
                <w:szCs w:val="24"/>
                <w:color w:val="auto"/>
              </w:rPr>
            </w:pPr>
          </w:p>
        </w:tc>
        <w:tc>
          <w:tcPr>
            <w:tcW w:w="30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40,599</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(869</w:t>
            </w:r>
          </w:p>
        </w:tc>
        <w:tc>
          <w:tcPr>
            <w:tcW w:w="140" w:type="dxa"/>
            <w:vAlign w:val="bottom"/>
            <w:vMerge w:val="continue"/>
            <w:shd w:val="clear" w:color="auto" w:fill="F0FFFF"/>
          </w:tcPr>
          <w:p>
            <w:pPr>
              <w:spacing w:after="0"/>
              <w:rPr>
                <w:sz w:val="24"/>
                <w:szCs w:val="24"/>
                <w:color w:val="auto"/>
              </w:rPr>
            </w:pP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(24,018</w:t>
            </w:r>
          </w:p>
        </w:tc>
        <w:tc>
          <w:tcPr>
            <w:tcW w:w="200" w:type="dxa"/>
            <w:vAlign w:val="bottom"/>
            <w:tcBorders>
              <w:right w:val="single" w:sz="8" w:color="F0FFFF"/>
            </w:tcBorders>
            <w:vMerge w:val="continue"/>
            <w:shd w:val="clear" w:color="auto" w:fill="F0FFFF"/>
          </w:tcPr>
          <w:p>
            <w:pPr>
              <w:spacing w:after="0"/>
              <w:rPr>
                <w:sz w:val="24"/>
                <w:szCs w:val="24"/>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F0FFFF"/>
              <w:bottom w:val="single" w:sz="8" w:color="F0FFFF"/>
            </w:tcBorders>
            <w:gridSpan w:val="2"/>
            <w:vMerge w:val="restart"/>
          </w:tcPr>
          <w:p>
            <w:pPr>
              <w:spacing w:after="0" w:line="189" w:lineRule="exact"/>
              <w:rPr>
                <w:sz w:val="20"/>
                <w:szCs w:val="20"/>
                <w:color w:val="auto"/>
              </w:rPr>
            </w:pPr>
            <w:r>
              <w:rPr>
                <w:rFonts w:ascii="Arial" w:cs="Arial" w:eastAsia="Arial" w:hAnsi="Arial"/>
                <w:sz w:val="18"/>
                <w:szCs w:val="18"/>
                <w:color w:val="auto"/>
                <w:w w:val="93"/>
              </w:rPr>
              <w:t>Weighted average interest rate of</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tcPr>
          <w:p>
            <w:pPr>
              <w:ind w:left="140"/>
              <w:spacing w:after="0"/>
              <w:rPr>
                <w:sz w:val="20"/>
                <w:szCs w:val="20"/>
                <w:color w:val="auto"/>
              </w:rPr>
            </w:pPr>
            <w:r>
              <w:rPr>
                <w:rFonts w:ascii="Arial" w:cs="Arial" w:eastAsia="Arial" w:hAnsi="Arial"/>
                <w:sz w:val="18"/>
                <w:szCs w:val="18"/>
                <w:color w:val="auto"/>
                <w:w w:val="92"/>
              </w:rPr>
              <w:t>reverse repurchase agreements</w:t>
            </w:r>
          </w:p>
        </w:tc>
        <w:tc>
          <w:tcPr>
            <w:tcW w:w="14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5"/>
            <w:vMerge w:val="restart"/>
          </w:tcPr>
          <w:p>
            <w:pPr>
              <w:jc w:val="center"/>
              <w:ind w:right="30"/>
              <w:spacing w:after="0"/>
              <w:rPr>
                <w:sz w:val="20"/>
                <w:szCs w:val="20"/>
                <w:color w:val="auto"/>
              </w:rPr>
            </w:pPr>
            <w:r>
              <w:rPr>
                <w:rFonts w:ascii="Arial" w:cs="Arial" w:eastAsia="Arial" w:hAnsi="Arial"/>
                <w:sz w:val="18"/>
                <w:szCs w:val="18"/>
                <w:b w:val="1"/>
                <w:bCs w:val="1"/>
                <w:color w:val="auto"/>
                <w:w w:val="88"/>
              </w:rPr>
              <w:t>Gross Amounts not Offset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380"/>
              <w:spacing w:after="0" w:line="189"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c>
          <w:tcPr>
            <w:tcW w:w="1180" w:type="dxa"/>
            <w:vAlign w:val="bottom"/>
          </w:tcPr>
          <w:p>
            <w:pPr>
              <w:jc w:val="center"/>
              <w:ind w:right="70"/>
              <w:spacing w:after="0" w:line="189" w:lineRule="exact"/>
              <w:rPr>
                <w:sz w:val="20"/>
                <w:szCs w:val="20"/>
                <w:color w:val="auto"/>
              </w:rPr>
            </w:pPr>
            <w:r>
              <w:rPr>
                <w:rFonts w:ascii="Arial" w:cs="Arial" w:eastAsia="Arial" w:hAnsi="Arial"/>
                <w:sz w:val="18"/>
                <w:szCs w:val="18"/>
                <w:b w:val="1"/>
                <w:bCs w:val="1"/>
                <w:color w:val="auto"/>
                <w:w w:val="89"/>
              </w:rPr>
              <w:t>Amounts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5"/>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Amounts of</w:t>
            </w:r>
          </w:p>
        </w:tc>
        <w:tc>
          <w:tcPr>
            <w:tcW w:w="100" w:type="dxa"/>
            <w:vAlign w:val="bottom"/>
          </w:tcPr>
          <w:p>
            <w:pPr>
              <w:spacing w:after="0"/>
              <w:rPr>
                <w:sz w:val="20"/>
                <w:szCs w:val="20"/>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Offset on the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Net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center"/>
              <w:ind w:right="30"/>
              <w:spacing w:after="0"/>
              <w:rPr>
                <w:sz w:val="20"/>
                <w:szCs w:val="20"/>
                <w:color w:val="auto"/>
              </w:rPr>
            </w:pPr>
            <w:r>
              <w:rPr>
                <w:rFonts w:ascii="Arial" w:cs="Arial" w:eastAsia="Arial" w:hAnsi="Arial"/>
                <w:sz w:val="18"/>
                <w:szCs w:val="18"/>
                <w:b w:val="1"/>
                <w:bCs w:val="1"/>
                <w:color w:val="auto"/>
                <w:w w:val="88"/>
              </w:rPr>
              <w:t>in the Balance Sheet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420"/>
              <w:spacing w:after="0" w:line="198" w:lineRule="exact"/>
              <w:rPr>
                <w:sz w:val="20"/>
                <w:szCs w:val="20"/>
                <w:color w:val="auto"/>
              </w:rPr>
            </w:pPr>
            <w:r>
              <w:rPr>
                <w:rFonts w:ascii="Arial" w:cs="Arial" w:eastAsia="Arial" w:hAnsi="Arial"/>
                <w:sz w:val="18"/>
                <w:szCs w:val="18"/>
                <w:b w:val="1"/>
                <w:bCs w:val="1"/>
                <w:color w:val="auto"/>
                <w:w w:val="87"/>
              </w:rPr>
              <w:t>Recognized</w:t>
            </w:r>
          </w:p>
        </w:tc>
        <w:tc>
          <w:tcPr>
            <w:tcW w:w="100" w:type="dxa"/>
            <w:vAlign w:val="bottom"/>
          </w:tcPr>
          <w:p>
            <w:pPr>
              <w:spacing w:after="0"/>
              <w:rPr>
                <w:sz w:val="17"/>
                <w:szCs w:val="17"/>
                <w:color w:val="auto"/>
              </w:rPr>
            </w:pPr>
          </w:p>
        </w:tc>
        <w:tc>
          <w:tcPr>
            <w:tcW w:w="118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86"/>
              </w:rPr>
              <w:t>Balance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rPr>
              <w:t>Liability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92"/>
              </w:rPr>
              <w:t>Financial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110"/>
              <w:spacing w:after="0" w:line="198" w:lineRule="exact"/>
              <w:rPr>
                <w:sz w:val="20"/>
                <w:szCs w:val="20"/>
                <w:color w:val="auto"/>
              </w:rPr>
            </w:pPr>
            <w:r>
              <w:rPr>
                <w:rFonts w:ascii="Arial" w:cs="Arial" w:eastAsia="Arial" w:hAnsi="Arial"/>
                <w:sz w:val="18"/>
                <w:szCs w:val="18"/>
                <w:b w:val="1"/>
                <w:bCs w:val="1"/>
                <w:color w:val="auto"/>
                <w:w w:val="95"/>
              </w:rPr>
              <w:t>Collateral</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Liabilities</w:t>
            </w:r>
          </w:p>
        </w:tc>
        <w:tc>
          <w:tcPr>
            <w:tcW w:w="100" w:type="dxa"/>
            <w:vAlign w:val="bottom"/>
          </w:tcPr>
          <w:p>
            <w:pPr>
              <w:spacing w:after="0"/>
              <w:rPr>
                <w:sz w:val="20"/>
                <w:szCs w:val="20"/>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Sheet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Instruments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Pledged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Amount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20" w:type="dxa"/>
            <w:vAlign w:val="bottom"/>
            <w:gridSpan w:val="2"/>
            <w:shd w:val="clear" w:color="auto" w:fill="F0FFFF"/>
          </w:tcPr>
          <w:p>
            <w:pPr>
              <w:spacing w:after="0" w:line="201" w:lineRule="exact"/>
              <w:rPr>
                <w:sz w:val="20"/>
                <w:szCs w:val="20"/>
                <w:color w:val="auto"/>
              </w:rPr>
            </w:pPr>
            <w:r>
              <w:rPr>
                <w:rFonts w:ascii="Arial" w:cs="Arial" w:eastAsia="Arial" w:hAnsi="Arial"/>
                <w:sz w:val="18"/>
                <w:szCs w:val="18"/>
                <w:color w:val="auto"/>
                <w:w w:val="91"/>
              </w:rPr>
              <w:t>Repurchase agreements / reverse</w:t>
            </w:r>
          </w:p>
        </w:tc>
        <w:tc>
          <w:tcPr>
            <w:tcW w:w="140" w:type="dxa"/>
            <w:vAlign w:val="bottom"/>
            <w:shd w:val="clear" w:color="auto" w:fill="F0FFFF"/>
          </w:tcPr>
          <w:p>
            <w:pPr>
              <w:spacing w:after="0"/>
              <w:rPr>
                <w:sz w:val="17"/>
                <w:szCs w:val="17"/>
                <w:color w:val="auto"/>
              </w:rPr>
            </w:pPr>
          </w:p>
        </w:tc>
        <w:tc>
          <w:tcPr>
            <w:tcW w:w="1240" w:type="dxa"/>
            <w:vAlign w:val="bottom"/>
            <w:shd w:val="clear" w:color="auto" w:fill="F0FFFF"/>
          </w:tcPr>
          <w:p>
            <w:pPr>
              <w:spacing w:after="0"/>
              <w:rPr>
                <w:sz w:val="17"/>
                <w:szCs w:val="17"/>
                <w:color w:val="auto"/>
              </w:rPr>
            </w:pPr>
          </w:p>
        </w:tc>
        <w:tc>
          <w:tcPr>
            <w:tcW w:w="220" w:type="dxa"/>
            <w:vAlign w:val="bottom"/>
            <w:tcBorders>
              <w:righ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1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200" w:type="dxa"/>
            <w:vAlign w:val="bottom"/>
            <w:tcBorders>
              <w:righ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repurchase agreements</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375,000</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(375,000)</w:t>
            </w:r>
          </w:p>
        </w:tc>
        <w:tc>
          <w:tcPr>
            <w:tcW w:w="30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0"/>
                <w:szCs w:val="20"/>
                <w:color w:val="auto"/>
              </w:rPr>
            </w:pP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0"/>
                <w:szCs w:val="20"/>
                <w:color w:val="auto"/>
              </w:rPr>
            </w:pP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F0FFFF"/>
            </w:tcBorders>
            <w:shd w:val="clear" w:color="auto" w:fill="F0FFFF"/>
          </w:tcPr>
          <w:p>
            <w:pPr>
              <w:spacing w:after="0"/>
              <w:rPr>
                <w:sz w:val="20"/>
                <w:szCs w:val="20"/>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540" w:type="dxa"/>
            <w:vAlign w:val="bottom"/>
            <w:gridSpan w:val="3"/>
            <w:vMerge w:val="restart"/>
          </w:tcPr>
          <w:p>
            <w:pPr>
              <w:spacing w:after="0"/>
              <w:rPr>
                <w:sz w:val="20"/>
                <w:szCs w:val="20"/>
                <w:color w:val="auto"/>
              </w:rPr>
            </w:pPr>
            <w:r>
              <w:rPr>
                <w:rFonts w:ascii="Arial" w:cs="Arial" w:eastAsia="Arial" w:hAnsi="Arial"/>
                <w:sz w:val="18"/>
                <w:szCs w:val="18"/>
                <w:color w:val="auto"/>
              </w:rPr>
              <w:t>Derivatives</w:t>
            </w:r>
          </w:p>
        </w:tc>
        <w:tc>
          <w:tcPr>
            <w:tcW w:w="140" w:type="dxa"/>
            <w:vAlign w:val="bottom"/>
          </w:tcPr>
          <w:p>
            <w:pPr>
              <w:spacing w:after="0"/>
              <w:rPr>
                <w:sz w:val="16"/>
                <w:szCs w:val="16"/>
                <w:color w:val="auto"/>
              </w:rPr>
            </w:pPr>
          </w:p>
        </w:tc>
        <w:tc>
          <w:tcPr>
            <w:tcW w:w="14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31,997</w:t>
            </w:r>
          </w:p>
        </w:tc>
        <w:tc>
          <w:tcPr>
            <w:tcW w:w="10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31,997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(869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(32,792</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6"/>
                <w:szCs w:val="16"/>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
        </w:trPr>
        <w:tc>
          <w:tcPr>
            <w:tcW w:w="254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14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20" w:type="dxa"/>
            <w:vAlign w:val="bottom"/>
            <w:gridSpan w:val="2"/>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Borders>
              <w:right w:val="single" w:sz="8" w:color="F0FFFF"/>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vMerge w:val="restart"/>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252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406,997</w:t>
            </w:r>
          </w:p>
        </w:tc>
        <w:tc>
          <w:tcPr>
            <w:tcW w:w="220" w:type="dxa"/>
            <w:vAlign w:val="bottom"/>
            <w:tcBorders>
              <w:right w:val="single" w:sz="8" w:color="F0FFFF"/>
            </w:tcBorders>
            <w:shd w:val="clear" w:color="auto" w:fill="F0FFFF"/>
          </w:tcPr>
          <w:p>
            <w:pPr>
              <w:spacing w:after="0"/>
              <w:rPr>
                <w:sz w:val="24"/>
                <w:szCs w:val="24"/>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(375,000)</w:t>
            </w:r>
          </w:p>
        </w:tc>
        <w:tc>
          <w:tcPr>
            <w:tcW w:w="30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31,997</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(869)</w:t>
            </w: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F0FFFF"/>
            </w:tcBorders>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(32,792)</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F0FFFF"/>
              <w:bottom w:val="single" w:sz="8" w:color="F0FFFF"/>
            </w:tcBorders>
            <w:gridSpan w:val="2"/>
            <w:vMerge w:val="restart"/>
          </w:tcPr>
          <w:p>
            <w:pPr>
              <w:spacing w:after="0" w:line="189" w:lineRule="exact"/>
              <w:rPr>
                <w:sz w:val="20"/>
                <w:szCs w:val="20"/>
                <w:color w:val="auto"/>
              </w:rPr>
            </w:pPr>
            <w:r>
              <w:rPr>
                <w:rFonts w:ascii="Arial" w:cs="Arial" w:eastAsia="Arial" w:hAnsi="Arial"/>
                <w:sz w:val="18"/>
                <w:szCs w:val="18"/>
                <w:color w:val="auto"/>
                <w:w w:val="93"/>
              </w:rPr>
              <w:t>Weighted average interest rate of</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tcPr>
          <w:p>
            <w:pPr>
              <w:ind w:left="140"/>
              <w:spacing w:after="0"/>
              <w:rPr>
                <w:sz w:val="20"/>
                <w:szCs w:val="20"/>
                <w:color w:val="auto"/>
              </w:rPr>
            </w:pPr>
            <w:r>
              <w:rPr>
                <w:rFonts w:ascii="Arial" w:cs="Arial" w:eastAsia="Arial" w:hAnsi="Arial"/>
                <w:sz w:val="18"/>
                <w:szCs w:val="18"/>
                <w:color w:val="auto"/>
              </w:rPr>
              <w:t>repurchase agreements</w:t>
            </w:r>
          </w:p>
        </w:tc>
        <w:tc>
          <w:tcPr>
            <w:tcW w:w="14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24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24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1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gridSpan w:val="2"/>
          </w:tcPr>
          <w:p>
            <w:pPr>
              <w:ind w:left="80"/>
              <w:spacing w:after="0"/>
              <w:rPr>
                <w:sz w:val="20"/>
                <w:szCs w:val="20"/>
                <w:color w:val="auto"/>
              </w:rPr>
            </w:pPr>
            <w:r>
              <w:rPr>
                <w:rFonts w:ascii="Arial" w:cs="Arial" w:eastAsia="Arial" w:hAnsi="Arial"/>
                <w:sz w:val="18"/>
                <w:szCs w:val="18"/>
                <w:color w:val="auto"/>
                <w:w w:val="99"/>
              </w:rPr>
              <w:t>12</w:t>
            </w:r>
          </w:p>
        </w:tc>
        <w:tc>
          <w:tcPr>
            <w:tcW w:w="10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1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873"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gridSpan w:val="6"/>
            <w:vMerge w:val="restart"/>
          </w:tcPr>
          <w:p>
            <w:pPr>
              <w:jc w:val="center"/>
              <w:ind w:right="220"/>
              <w:spacing w:after="0"/>
              <w:rPr>
                <w:sz w:val="20"/>
                <w:szCs w:val="20"/>
                <w:color w:val="auto"/>
              </w:rPr>
            </w:pPr>
            <w:r>
              <w:rPr>
                <w:rFonts w:ascii="Arial" w:cs="Arial" w:eastAsia="Arial" w:hAnsi="Arial"/>
                <w:sz w:val="18"/>
                <w:szCs w:val="18"/>
                <w:b w:val="1"/>
                <w:bCs w:val="1"/>
                <w:color w:val="auto"/>
                <w:w w:val="89"/>
              </w:rPr>
              <w:t>Gross Amounts not Offset in the</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420"/>
              <w:spacing w:after="0" w:line="189"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c>
          <w:tcPr>
            <w:tcW w:w="1400" w:type="dxa"/>
            <w:vAlign w:val="bottom"/>
            <w:gridSpan w:val="2"/>
          </w:tcPr>
          <w:p>
            <w:pPr>
              <w:jc w:val="center"/>
              <w:ind w:right="300"/>
              <w:spacing w:after="0" w:line="189" w:lineRule="exact"/>
              <w:rPr>
                <w:sz w:val="20"/>
                <w:szCs w:val="20"/>
                <w:color w:val="auto"/>
              </w:rPr>
            </w:pPr>
            <w:r>
              <w:rPr>
                <w:rFonts w:ascii="Arial" w:cs="Arial" w:eastAsia="Arial" w:hAnsi="Arial"/>
                <w:sz w:val="18"/>
                <w:szCs w:val="18"/>
                <w:b w:val="1"/>
                <w:bCs w:val="1"/>
                <w:color w:val="auto"/>
                <w:w w:val="89"/>
              </w:rPr>
              <w:t>Amounts</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6"/>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Amounts of</w:t>
            </w:r>
          </w:p>
        </w:tc>
        <w:tc>
          <w:tcPr>
            <w:tcW w:w="10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Offset on the</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7"/>
              </w:rPr>
              <w:t>Balance Sheet</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420"/>
              <w:spacing w:after="0" w:line="198" w:lineRule="exact"/>
              <w:rPr>
                <w:sz w:val="20"/>
                <w:szCs w:val="20"/>
                <w:color w:val="auto"/>
              </w:rPr>
            </w:pPr>
            <w:r>
              <w:rPr>
                <w:rFonts w:ascii="Arial" w:cs="Arial" w:eastAsia="Arial" w:hAnsi="Arial"/>
                <w:sz w:val="18"/>
                <w:szCs w:val="18"/>
                <w:b w:val="1"/>
                <w:bCs w:val="1"/>
                <w:color w:val="auto"/>
                <w:w w:val="87"/>
              </w:rPr>
              <w:t>Recognized</w:t>
            </w:r>
          </w:p>
        </w:tc>
        <w:tc>
          <w:tcPr>
            <w:tcW w:w="100" w:type="dxa"/>
            <w:vAlign w:val="bottom"/>
          </w:tcPr>
          <w:p>
            <w:pPr>
              <w:spacing w:after="0"/>
              <w:rPr>
                <w:sz w:val="17"/>
                <w:szCs w:val="17"/>
                <w:color w:val="auto"/>
              </w:rPr>
            </w:pPr>
          </w:p>
        </w:tc>
        <w:tc>
          <w:tcPr>
            <w:tcW w:w="140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9"/>
              </w:rPr>
              <w:t>Balance</w:t>
            </w:r>
          </w:p>
        </w:tc>
        <w:tc>
          <w:tcPr>
            <w:tcW w:w="160" w:type="dxa"/>
            <w:vAlign w:val="bottom"/>
          </w:tcPr>
          <w:p>
            <w:pPr>
              <w:spacing w:after="0"/>
              <w:rPr>
                <w:sz w:val="17"/>
                <w:szCs w:val="17"/>
                <w:color w:val="auto"/>
              </w:rPr>
            </w:pPr>
          </w:p>
        </w:tc>
        <w:tc>
          <w:tcPr>
            <w:tcW w:w="1220" w:type="dxa"/>
            <w:vAlign w:val="bottom"/>
            <w:gridSpan w:val="2"/>
          </w:tcPr>
          <w:p>
            <w:pPr>
              <w:jc w:val="right"/>
              <w:ind w:right="400"/>
              <w:spacing w:after="0" w:line="198" w:lineRule="exact"/>
              <w:rPr>
                <w:sz w:val="20"/>
                <w:szCs w:val="20"/>
                <w:color w:val="auto"/>
              </w:rPr>
            </w:pPr>
            <w:r>
              <w:rPr>
                <w:rFonts w:ascii="Arial" w:cs="Arial" w:eastAsia="Arial" w:hAnsi="Arial"/>
                <w:sz w:val="18"/>
                <w:szCs w:val="18"/>
                <w:b w:val="1"/>
                <w:bCs w:val="1"/>
                <w:color w:val="auto"/>
                <w:w w:val="96"/>
              </w:rPr>
              <w:t>Net Asset</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92"/>
              </w:rPr>
              <w:t>Financial</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9"/>
              </w:rPr>
              <w:t>Collateral</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540" w:type="dxa"/>
            <w:vAlign w:val="bottom"/>
            <w:gridSpan w:val="3"/>
          </w:tcPr>
          <w:p>
            <w:pPr>
              <w:spacing w:after="0"/>
              <w:rPr>
                <w:sz w:val="20"/>
                <w:szCs w:val="20"/>
                <w:color w:val="auto"/>
              </w:rPr>
            </w:pPr>
            <w:r>
              <w:rPr>
                <w:rFonts w:ascii="Arial" w:cs="Arial" w:eastAsia="Arial" w:hAnsi="Arial"/>
                <w:sz w:val="18"/>
                <w:szCs w:val="18"/>
                <w:b w:val="1"/>
                <w:bCs w:val="1"/>
                <w:color w:val="auto"/>
              </w:rPr>
              <w:t>June 30, 2014</w:t>
            </w:r>
          </w:p>
        </w:tc>
        <w:tc>
          <w:tcPr>
            <w:tcW w:w="140" w:type="dxa"/>
            <w:vAlign w:val="bottom"/>
          </w:tcPr>
          <w:p>
            <w:pPr>
              <w:spacing w:after="0"/>
              <w:rPr>
                <w:sz w:val="20"/>
                <w:szCs w:val="20"/>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Sheet</w:t>
            </w:r>
          </w:p>
        </w:tc>
        <w:tc>
          <w:tcPr>
            <w:tcW w:w="16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Instruments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Received</w:t>
            </w:r>
          </w:p>
        </w:tc>
        <w:tc>
          <w:tcPr>
            <w:tcW w:w="12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Amount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20" w:type="dxa"/>
            <w:vAlign w:val="bottom"/>
            <w:gridSpan w:val="2"/>
            <w:shd w:val="clear" w:color="auto" w:fill="F0FFFF"/>
          </w:tcPr>
          <w:p>
            <w:pPr>
              <w:spacing w:after="0" w:line="201" w:lineRule="exact"/>
              <w:rPr>
                <w:sz w:val="20"/>
                <w:szCs w:val="20"/>
                <w:color w:val="auto"/>
              </w:rPr>
            </w:pPr>
            <w:r>
              <w:rPr>
                <w:rFonts w:ascii="Arial" w:cs="Arial" w:eastAsia="Arial" w:hAnsi="Arial"/>
                <w:sz w:val="18"/>
                <w:szCs w:val="18"/>
                <w:color w:val="auto"/>
                <w:w w:val="91"/>
              </w:rPr>
              <w:t>Repurchase agreements / reverse</w:t>
            </w:r>
          </w:p>
        </w:tc>
        <w:tc>
          <w:tcPr>
            <w:tcW w:w="140" w:type="dxa"/>
            <w:vAlign w:val="bottom"/>
            <w:shd w:val="clear" w:color="auto" w:fill="F0FFFF"/>
          </w:tcPr>
          <w:p>
            <w:pPr>
              <w:spacing w:after="0"/>
              <w:rPr>
                <w:sz w:val="17"/>
                <w:szCs w:val="17"/>
                <w:color w:val="auto"/>
              </w:rPr>
            </w:pPr>
          </w:p>
        </w:tc>
        <w:tc>
          <w:tcPr>
            <w:tcW w:w="1240" w:type="dxa"/>
            <w:vAlign w:val="bottom"/>
            <w:shd w:val="clear" w:color="auto" w:fill="F0FFFF"/>
          </w:tcPr>
          <w:p>
            <w:pPr>
              <w:spacing w:after="0"/>
              <w:rPr>
                <w:sz w:val="17"/>
                <w:szCs w:val="17"/>
                <w:color w:val="auto"/>
              </w:rPr>
            </w:pPr>
          </w:p>
        </w:tc>
        <w:tc>
          <w:tcPr>
            <w:tcW w:w="220" w:type="dxa"/>
            <w:vAlign w:val="bottom"/>
            <w:tcBorders>
              <w:righ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1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1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200" w:type="dxa"/>
            <w:vAlign w:val="bottom"/>
            <w:tcBorders>
              <w:righ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repurchase agreements</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420,000</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(375,000)</w:t>
            </w: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45,000</w:t>
            </w: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F0FFFF"/>
            </w:tcBorders>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(48,933)</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Derivatives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22,024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22,024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19,900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20" w:type="dxa"/>
            <w:vAlign w:val="bottom"/>
            <w:gridSpan w:val="2"/>
            <w:vMerge w:val="restart"/>
            <w:shd w:val="clear" w:color="auto" w:fill="F0FF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vMerge w:val="restart"/>
            <w:shd w:val="clear" w:color="auto" w:fill="F0FFFF"/>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Borders>
              <w:right w:val="single" w:sz="8" w:color="F0FFFF"/>
            </w:tcBorders>
            <w:vMerge w:val="restart"/>
            <w:shd w:val="clear" w:color="auto" w:fill="F0FF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2520" w:type="dxa"/>
            <w:vAlign w:val="bottom"/>
            <w:gridSpan w:val="2"/>
            <w:vMerge w:val="continue"/>
            <w:shd w:val="clear" w:color="auto" w:fill="F0FFFF"/>
          </w:tcPr>
          <w:p>
            <w:pPr>
              <w:spacing w:after="0"/>
              <w:rPr>
                <w:sz w:val="24"/>
                <w:szCs w:val="24"/>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442,024</w:t>
            </w:r>
          </w:p>
        </w:tc>
        <w:tc>
          <w:tcPr>
            <w:tcW w:w="220" w:type="dxa"/>
            <w:vAlign w:val="bottom"/>
            <w:tcBorders>
              <w:right w:val="single" w:sz="8" w:color="F0FFFF"/>
            </w:tcBorders>
            <w:shd w:val="clear" w:color="auto" w:fill="F0FFFF"/>
          </w:tcPr>
          <w:p>
            <w:pPr>
              <w:spacing w:after="0"/>
              <w:rPr>
                <w:sz w:val="24"/>
                <w:szCs w:val="24"/>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(375,000</w:t>
            </w:r>
          </w:p>
        </w:tc>
        <w:tc>
          <w:tcPr>
            <w:tcW w:w="220" w:type="dxa"/>
            <w:vAlign w:val="bottom"/>
            <w:vMerge w:val="continue"/>
            <w:shd w:val="clear" w:color="auto" w:fill="F0FFFF"/>
          </w:tcPr>
          <w:p>
            <w:pPr>
              <w:spacing w:after="0"/>
              <w:rPr>
                <w:sz w:val="24"/>
                <w:szCs w:val="24"/>
                <w:color w:val="auto"/>
              </w:rPr>
            </w:pP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67,024</w:t>
            </w: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(1,962</w:t>
            </w:r>
          </w:p>
        </w:tc>
        <w:tc>
          <w:tcPr>
            <w:tcW w:w="140" w:type="dxa"/>
            <w:vAlign w:val="bottom"/>
            <w:vMerge w:val="continue"/>
            <w:shd w:val="clear" w:color="auto" w:fill="F0FFFF"/>
          </w:tcPr>
          <w:p>
            <w:pPr>
              <w:spacing w:after="0"/>
              <w:rPr>
                <w:sz w:val="24"/>
                <w:szCs w:val="24"/>
                <w:color w:val="auto"/>
              </w:rPr>
            </w:pP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(49,095</w:t>
            </w:r>
          </w:p>
        </w:tc>
        <w:tc>
          <w:tcPr>
            <w:tcW w:w="200" w:type="dxa"/>
            <w:vAlign w:val="bottom"/>
            <w:tcBorders>
              <w:right w:val="single" w:sz="8" w:color="F0FFFF"/>
            </w:tcBorders>
            <w:vMerge w:val="continue"/>
            <w:shd w:val="clear" w:color="auto" w:fill="F0FFFF"/>
          </w:tcPr>
          <w:p>
            <w:pPr>
              <w:spacing w:after="0"/>
              <w:rPr>
                <w:sz w:val="24"/>
                <w:szCs w:val="24"/>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F0FFFF"/>
              <w:bottom w:val="single" w:sz="8" w:color="F0FFFF"/>
            </w:tcBorders>
            <w:gridSpan w:val="2"/>
            <w:vMerge w:val="restart"/>
          </w:tcPr>
          <w:p>
            <w:pPr>
              <w:spacing w:after="0" w:line="189" w:lineRule="exact"/>
              <w:rPr>
                <w:sz w:val="20"/>
                <w:szCs w:val="20"/>
                <w:color w:val="auto"/>
              </w:rPr>
            </w:pPr>
            <w:r>
              <w:rPr>
                <w:rFonts w:ascii="Arial" w:cs="Arial" w:eastAsia="Arial" w:hAnsi="Arial"/>
                <w:sz w:val="18"/>
                <w:szCs w:val="18"/>
                <w:color w:val="auto"/>
                <w:w w:val="93"/>
              </w:rPr>
              <w:t>Weighted average interest rate of</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tcPr>
          <w:p>
            <w:pPr>
              <w:ind w:left="140"/>
              <w:spacing w:after="0"/>
              <w:rPr>
                <w:sz w:val="20"/>
                <w:szCs w:val="20"/>
                <w:color w:val="auto"/>
              </w:rPr>
            </w:pPr>
            <w:r>
              <w:rPr>
                <w:rFonts w:ascii="Arial" w:cs="Arial" w:eastAsia="Arial" w:hAnsi="Arial"/>
                <w:sz w:val="18"/>
                <w:szCs w:val="18"/>
                <w:color w:val="auto"/>
                <w:w w:val="92"/>
              </w:rPr>
              <w:t>reverse repurchase agreements</w:t>
            </w:r>
          </w:p>
        </w:tc>
        <w:tc>
          <w:tcPr>
            <w:tcW w:w="14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Gross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6"/>
            <w:vMerge w:val="restart"/>
          </w:tcPr>
          <w:p>
            <w:pPr>
              <w:jc w:val="center"/>
              <w:ind w:right="220"/>
              <w:spacing w:after="0"/>
              <w:rPr>
                <w:sz w:val="20"/>
                <w:szCs w:val="20"/>
                <w:color w:val="auto"/>
              </w:rPr>
            </w:pPr>
            <w:r>
              <w:rPr>
                <w:rFonts w:ascii="Arial" w:cs="Arial" w:eastAsia="Arial" w:hAnsi="Arial"/>
                <w:sz w:val="18"/>
                <w:szCs w:val="18"/>
                <w:b w:val="1"/>
                <w:bCs w:val="1"/>
                <w:color w:val="auto"/>
                <w:w w:val="89"/>
              </w:rPr>
              <w:t>Gross Amounts not Offset in the</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420"/>
              <w:spacing w:after="0" w:line="189"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c>
          <w:tcPr>
            <w:tcW w:w="1400" w:type="dxa"/>
            <w:vAlign w:val="bottom"/>
            <w:gridSpan w:val="2"/>
          </w:tcPr>
          <w:p>
            <w:pPr>
              <w:jc w:val="center"/>
              <w:ind w:right="300"/>
              <w:spacing w:after="0" w:line="189" w:lineRule="exact"/>
              <w:rPr>
                <w:sz w:val="20"/>
                <w:szCs w:val="20"/>
                <w:color w:val="auto"/>
              </w:rPr>
            </w:pPr>
            <w:r>
              <w:rPr>
                <w:rFonts w:ascii="Arial" w:cs="Arial" w:eastAsia="Arial" w:hAnsi="Arial"/>
                <w:sz w:val="18"/>
                <w:szCs w:val="18"/>
                <w:b w:val="1"/>
                <w:bCs w:val="1"/>
                <w:color w:val="auto"/>
                <w:w w:val="89"/>
              </w:rPr>
              <w:t>Amounts</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6"/>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Amounts of</w:t>
            </w:r>
          </w:p>
        </w:tc>
        <w:tc>
          <w:tcPr>
            <w:tcW w:w="10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Offset on the</w:t>
            </w:r>
          </w:p>
        </w:tc>
        <w:tc>
          <w:tcPr>
            <w:tcW w:w="160" w:type="dxa"/>
            <w:vAlign w:val="bottom"/>
          </w:tcPr>
          <w:p>
            <w:pPr>
              <w:spacing w:after="0"/>
              <w:rPr>
                <w:sz w:val="20"/>
                <w:szCs w:val="20"/>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Net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7"/>
              </w:rPr>
              <w:t>Balance Sheet</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420"/>
              <w:spacing w:after="0" w:line="198" w:lineRule="exact"/>
              <w:rPr>
                <w:sz w:val="20"/>
                <w:szCs w:val="20"/>
                <w:color w:val="auto"/>
              </w:rPr>
            </w:pPr>
            <w:r>
              <w:rPr>
                <w:rFonts w:ascii="Arial" w:cs="Arial" w:eastAsia="Arial" w:hAnsi="Arial"/>
                <w:sz w:val="18"/>
                <w:szCs w:val="18"/>
                <w:b w:val="1"/>
                <w:bCs w:val="1"/>
                <w:color w:val="auto"/>
                <w:w w:val="87"/>
              </w:rPr>
              <w:t>Recognized</w:t>
            </w:r>
          </w:p>
        </w:tc>
        <w:tc>
          <w:tcPr>
            <w:tcW w:w="100" w:type="dxa"/>
            <w:vAlign w:val="bottom"/>
          </w:tcPr>
          <w:p>
            <w:pPr>
              <w:spacing w:after="0"/>
              <w:rPr>
                <w:sz w:val="17"/>
                <w:szCs w:val="17"/>
                <w:color w:val="auto"/>
              </w:rPr>
            </w:pPr>
          </w:p>
        </w:tc>
        <w:tc>
          <w:tcPr>
            <w:tcW w:w="140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9"/>
              </w:rPr>
              <w:t>Balance</w:t>
            </w:r>
          </w:p>
        </w:tc>
        <w:tc>
          <w:tcPr>
            <w:tcW w:w="160" w:type="dxa"/>
            <w:vAlign w:val="bottom"/>
          </w:tcPr>
          <w:p>
            <w:pPr>
              <w:spacing w:after="0"/>
              <w:rPr>
                <w:sz w:val="17"/>
                <w:szCs w:val="17"/>
                <w:color w:val="auto"/>
              </w:rPr>
            </w:pPr>
          </w:p>
        </w:tc>
        <w:tc>
          <w:tcPr>
            <w:tcW w:w="1220" w:type="dxa"/>
            <w:vAlign w:val="bottom"/>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rPr>
              <w:t>Liability</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92"/>
              </w:rPr>
              <w:t>Financial</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9"/>
              </w:rPr>
              <w:t>Collateral</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Liabilities</w:t>
            </w:r>
          </w:p>
        </w:tc>
        <w:tc>
          <w:tcPr>
            <w:tcW w:w="10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Sheet</w:t>
            </w:r>
          </w:p>
        </w:tc>
        <w:tc>
          <w:tcPr>
            <w:tcW w:w="16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Instruments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Pledged</w:t>
            </w:r>
          </w:p>
        </w:tc>
        <w:tc>
          <w:tcPr>
            <w:tcW w:w="12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Amount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20" w:type="dxa"/>
            <w:vAlign w:val="bottom"/>
            <w:gridSpan w:val="2"/>
            <w:shd w:val="clear" w:color="auto" w:fill="F0FFFF"/>
          </w:tcPr>
          <w:p>
            <w:pPr>
              <w:spacing w:after="0" w:line="201" w:lineRule="exact"/>
              <w:rPr>
                <w:sz w:val="20"/>
                <w:szCs w:val="20"/>
                <w:color w:val="auto"/>
              </w:rPr>
            </w:pPr>
            <w:r>
              <w:rPr>
                <w:rFonts w:ascii="Arial" w:cs="Arial" w:eastAsia="Arial" w:hAnsi="Arial"/>
                <w:sz w:val="18"/>
                <w:szCs w:val="18"/>
                <w:color w:val="auto"/>
                <w:w w:val="91"/>
              </w:rPr>
              <w:t>Repurchase agreements / reverse</w:t>
            </w:r>
          </w:p>
        </w:tc>
        <w:tc>
          <w:tcPr>
            <w:tcW w:w="140" w:type="dxa"/>
            <w:vAlign w:val="bottom"/>
            <w:shd w:val="clear" w:color="auto" w:fill="F0FFFF"/>
          </w:tcPr>
          <w:p>
            <w:pPr>
              <w:spacing w:after="0"/>
              <w:rPr>
                <w:sz w:val="17"/>
                <w:szCs w:val="17"/>
                <w:color w:val="auto"/>
              </w:rPr>
            </w:pPr>
          </w:p>
        </w:tc>
        <w:tc>
          <w:tcPr>
            <w:tcW w:w="1240" w:type="dxa"/>
            <w:vAlign w:val="bottom"/>
            <w:shd w:val="clear" w:color="auto" w:fill="F0FFFF"/>
          </w:tcPr>
          <w:p>
            <w:pPr>
              <w:spacing w:after="0"/>
              <w:rPr>
                <w:sz w:val="17"/>
                <w:szCs w:val="17"/>
                <w:color w:val="auto"/>
              </w:rPr>
            </w:pPr>
          </w:p>
        </w:tc>
        <w:tc>
          <w:tcPr>
            <w:tcW w:w="220" w:type="dxa"/>
            <w:vAlign w:val="bottom"/>
            <w:tcBorders>
              <w:righ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1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1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200" w:type="dxa"/>
            <w:vAlign w:val="bottom"/>
            <w:tcBorders>
              <w:righ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repurchase agreements</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375,000</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(375,000)</w:t>
            </w: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0"/>
                <w:szCs w:val="20"/>
                <w:color w:val="auto"/>
              </w:rPr>
            </w:pP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Derivatives</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36,545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36,545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(1,962)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(35,245)</w:t>
            </w: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20" w:type="dxa"/>
            <w:vAlign w:val="bottom"/>
            <w:gridSpan w:val="2"/>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Borders>
              <w:right w:val="single" w:sz="8" w:color="F0FFFF"/>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vMerge w:val="restart"/>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252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411,545</w:t>
            </w:r>
          </w:p>
        </w:tc>
        <w:tc>
          <w:tcPr>
            <w:tcW w:w="220" w:type="dxa"/>
            <w:vAlign w:val="bottom"/>
            <w:tcBorders>
              <w:right w:val="single" w:sz="8" w:color="F0FFFF"/>
            </w:tcBorders>
            <w:shd w:val="clear" w:color="auto" w:fill="F0FFFF"/>
          </w:tcPr>
          <w:p>
            <w:pPr>
              <w:spacing w:after="0"/>
              <w:rPr>
                <w:sz w:val="24"/>
                <w:szCs w:val="24"/>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(375,000)</w:t>
            </w: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36,545</w:t>
            </w: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(1,962)</w:t>
            </w: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F0FFFF"/>
            </w:tcBorders>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(35,245)</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F0FFFF"/>
              <w:bottom w:val="single" w:sz="8" w:color="F0FFFF"/>
            </w:tcBorders>
            <w:gridSpan w:val="2"/>
            <w:vMerge w:val="restart"/>
          </w:tcPr>
          <w:p>
            <w:pPr>
              <w:spacing w:after="0" w:line="189" w:lineRule="exact"/>
              <w:rPr>
                <w:sz w:val="20"/>
                <w:szCs w:val="20"/>
                <w:color w:val="auto"/>
              </w:rPr>
            </w:pPr>
            <w:r>
              <w:rPr>
                <w:rFonts w:ascii="Arial" w:cs="Arial" w:eastAsia="Arial" w:hAnsi="Arial"/>
                <w:sz w:val="18"/>
                <w:szCs w:val="18"/>
                <w:color w:val="auto"/>
                <w:w w:val="93"/>
              </w:rPr>
              <w:t>Weighted average interest rate of</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2"/>
          </w:tcPr>
          <w:p>
            <w:pPr>
              <w:ind w:left="140"/>
              <w:spacing w:after="0"/>
              <w:rPr>
                <w:sz w:val="20"/>
                <w:szCs w:val="20"/>
                <w:color w:val="auto"/>
              </w:rPr>
            </w:pPr>
            <w:r>
              <w:rPr>
                <w:rFonts w:ascii="Arial" w:cs="Arial" w:eastAsia="Arial" w:hAnsi="Arial"/>
                <w:sz w:val="18"/>
                <w:szCs w:val="18"/>
                <w:color w:val="auto"/>
              </w:rPr>
              <w:t>repurchase agreements</w:t>
            </w:r>
          </w:p>
        </w:tc>
        <w:tc>
          <w:tcPr>
            <w:tcW w:w="140" w:type="dxa"/>
            <w:vAlign w:val="bottom"/>
          </w:tcPr>
          <w:p>
            <w:pPr>
              <w:spacing w:after="0"/>
              <w:rPr>
                <w:sz w:val="20"/>
                <w:szCs w:val="20"/>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amortized cost basis, gross unrealized gains and losses and fair value of securities held-to-maturity at June 30, 2015, December 31, 2014 and June 30, 2014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0"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Gross</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4"/>
              </w:rPr>
              <w:t>Gross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Amortized</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w w:val="96"/>
              </w:rPr>
              <w:t>Unrealized</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Unrealized</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Fair</w:t>
            </w:r>
          </w:p>
        </w:tc>
      </w:tr>
      <w:tr>
        <w:trPr>
          <w:trHeight w:val="207"/>
        </w:trPr>
        <w:tc>
          <w:tcPr>
            <w:tcW w:w="3640" w:type="dxa"/>
            <w:vAlign w:val="bottom"/>
            <w:gridSpan w:val="5"/>
          </w:tcPr>
          <w:p>
            <w:pPr>
              <w:spacing w:after="0"/>
              <w:rPr>
                <w:sz w:val="20"/>
                <w:szCs w:val="20"/>
                <w:color w:val="auto"/>
              </w:rPr>
            </w:pPr>
            <w:r>
              <w:rPr>
                <w:rFonts w:ascii="Arial" w:cs="Arial" w:eastAsia="Arial" w:hAnsi="Arial"/>
                <w:sz w:val="18"/>
                <w:szCs w:val="18"/>
                <w:color w:val="auto"/>
              </w:rPr>
              <w:t>As of June 30, 2015</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Cost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Gains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180"/>
              <w:spacing w:after="0"/>
              <w:rPr>
                <w:sz w:val="20"/>
                <w:szCs w:val="20"/>
                <w:color w:val="auto"/>
              </w:rPr>
            </w:pPr>
            <w:r>
              <w:rPr>
                <w:rFonts w:ascii="Arial" w:cs="Arial" w:eastAsia="Arial" w:hAnsi="Arial"/>
                <w:sz w:val="18"/>
                <w:szCs w:val="18"/>
                <w:b w:val="1"/>
                <w:bCs w:val="1"/>
                <w:color w:val="auto"/>
              </w:rPr>
              <w:t>Losses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Value</w:t>
            </w:r>
          </w:p>
        </w:tc>
      </w:tr>
      <w:tr>
        <w:trPr>
          <w:trHeight w:val="20"/>
        </w:trPr>
        <w:tc>
          <w:tcPr>
            <w:tcW w:w="20" w:type="dxa"/>
            <w:vAlign w:val="bottom"/>
            <w:tcBorders>
              <w:top w:val="single" w:sz="8" w:color="auto"/>
              <w:bottom w:val="single" w:sz="8" w:color="F0FFFF"/>
            </w:tcBorders>
          </w:tcPr>
          <w:p>
            <w:pPr>
              <w:spacing w:after="0" w:line="20" w:lineRule="exact"/>
              <w:rPr>
                <w:sz w:val="1"/>
                <w:szCs w:val="1"/>
                <w:color w:val="auto"/>
              </w:rPr>
            </w:pPr>
          </w:p>
        </w:tc>
        <w:tc>
          <w:tcPr>
            <w:tcW w:w="1420" w:type="dxa"/>
            <w:vAlign w:val="bottom"/>
            <w:tcBorders>
              <w:top w:val="single" w:sz="8" w:color="auto"/>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400" w:type="dxa"/>
            <w:vAlign w:val="bottom"/>
            <w:tcBorders>
              <w:bottom w:val="single" w:sz="8" w:color="F0FFFF"/>
            </w:tcBorders>
          </w:tcPr>
          <w:p>
            <w:pPr>
              <w:spacing w:after="0" w:line="20" w:lineRule="exact"/>
              <w:rPr>
                <w:sz w:val="1"/>
                <w:szCs w:val="1"/>
                <w:color w:val="auto"/>
              </w:rPr>
            </w:pPr>
          </w:p>
        </w:tc>
        <w:tc>
          <w:tcPr>
            <w:tcW w:w="1780" w:type="dxa"/>
            <w:vAlign w:val="bottom"/>
            <w:tcBorders>
              <w:bottom w:val="single" w:sz="8" w:color="F0FFFF"/>
            </w:tcBorders>
          </w:tcPr>
          <w:p>
            <w:pPr>
              <w:spacing w:after="0" w:line="20" w:lineRule="exact"/>
              <w:rPr>
                <w:sz w:val="1"/>
                <w:szCs w:val="1"/>
                <w:color w:val="auto"/>
              </w:rPr>
            </w:pPr>
          </w:p>
        </w:tc>
        <w:tc>
          <w:tcPr>
            <w:tcW w:w="104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r>
      <w:tr>
        <w:trPr>
          <w:trHeight w:val="210"/>
        </w:trPr>
        <w:tc>
          <w:tcPr>
            <w:tcW w:w="20" w:type="dxa"/>
            <w:vAlign w:val="bottom"/>
            <w:shd w:val="clear" w:color="auto" w:fill="F0FFFF"/>
          </w:tcPr>
          <w:p>
            <w:pPr>
              <w:spacing w:after="0"/>
              <w:rPr>
                <w:sz w:val="18"/>
                <w:szCs w:val="18"/>
                <w:color w:val="auto"/>
              </w:rPr>
            </w:pPr>
          </w:p>
        </w:tc>
        <w:tc>
          <w:tcPr>
            <w:tcW w:w="3620" w:type="dxa"/>
            <w:vAlign w:val="bottom"/>
            <w:gridSpan w:val="4"/>
            <w:shd w:val="clear" w:color="auto" w:fill="F0FFFF"/>
          </w:tcPr>
          <w:p>
            <w:pPr>
              <w:ind w:left="360"/>
              <w:spacing w:after="0"/>
              <w:rPr>
                <w:sz w:val="20"/>
                <w:szCs w:val="20"/>
                <w:color w:val="auto"/>
              </w:rPr>
            </w:pPr>
            <w:r>
              <w:rPr>
                <w:rFonts w:ascii="Arial" w:cs="Arial" w:eastAsia="Arial" w:hAnsi="Arial"/>
                <w:sz w:val="18"/>
                <w:szCs w:val="18"/>
                <w:color w:val="auto"/>
              </w:rPr>
              <w:t>State and political subdivisions</w:t>
            </w:r>
          </w:p>
        </w:tc>
        <w:tc>
          <w:tcPr>
            <w:tcW w:w="1040" w:type="dxa"/>
            <w:vAlign w:val="bottom"/>
            <w:shd w:val="clear" w:color="auto" w:fill="F0FFFF"/>
          </w:tcPr>
          <w:p>
            <w:pPr>
              <w:spacing w:after="0"/>
              <w:rPr>
                <w:sz w:val="18"/>
                <w:szCs w:val="18"/>
                <w:color w:val="auto"/>
              </w:rPr>
            </w:pP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47,116</w:t>
            </w:r>
          </w:p>
        </w:tc>
        <w:tc>
          <w:tcPr>
            <w:tcW w:w="440" w:type="dxa"/>
            <w:vAlign w:val="bottom"/>
            <w:shd w:val="clear" w:color="auto" w:fill="F0FFFF"/>
          </w:tcPr>
          <w:p>
            <w:pPr>
              <w:spacing w:after="0"/>
              <w:rPr>
                <w:sz w:val="18"/>
                <w:szCs w:val="18"/>
                <w:color w:val="auto"/>
              </w:rPr>
            </w:pP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3,103</w:t>
            </w:r>
          </w:p>
        </w:tc>
        <w:tc>
          <w:tcPr>
            <w:tcW w:w="440" w:type="dxa"/>
            <w:vAlign w:val="bottom"/>
            <w:shd w:val="clear" w:color="auto" w:fill="F0FFFF"/>
          </w:tcPr>
          <w:p>
            <w:pPr>
              <w:spacing w:after="0"/>
              <w:rPr>
                <w:sz w:val="18"/>
                <w:szCs w:val="18"/>
                <w:color w:val="auto"/>
              </w:rPr>
            </w:pP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50,219</w:t>
            </w:r>
          </w:p>
        </w:tc>
        <w:tc>
          <w:tcPr>
            <w:tcW w:w="120" w:type="dxa"/>
            <w:vAlign w:val="bottom"/>
            <w:shd w:val="clear" w:color="auto" w:fill="F0FFFF"/>
          </w:tcPr>
          <w:p>
            <w:pPr>
              <w:spacing w:after="0"/>
              <w:rPr>
                <w:sz w:val="18"/>
                <w:szCs w:val="18"/>
                <w:color w:val="auto"/>
              </w:rPr>
            </w:pPr>
          </w:p>
        </w:tc>
      </w:tr>
      <w:tr>
        <w:trPr>
          <w:trHeight w:val="264"/>
        </w:trPr>
        <w:tc>
          <w:tcPr>
            <w:tcW w:w="20" w:type="dxa"/>
            <w:vAlign w:val="bottom"/>
            <w:tcBorders>
              <w:bottom w:val="single" w:sz="8" w:color="F0FFFF"/>
            </w:tcBorders>
          </w:tcPr>
          <w:p>
            <w:pPr>
              <w:spacing w:after="0"/>
              <w:rPr>
                <w:sz w:val="22"/>
                <w:szCs w:val="22"/>
                <w:color w:val="auto"/>
              </w:rPr>
            </w:pPr>
          </w:p>
        </w:tc>
        <w:tc>
          <w:tcPr>
            <w:tcW w:w="3620" w:type="dxa"/>
            <w:vAlign w:val="bottom"/>
            <w:tcBorders>
              <w:bottom w:val="single" w:sz="8" w:color="F0FFFF"/>
            </w:tcBorders>
            <w:gridSpan w:val="4"/>
          </w:tcPr>
          <w:p>
            <w:pPr>
              <w:ind w:left="360"/>
              <w:spacing w:after="0" w:line="25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9"/>
                <w:szCs w:val="29"/>
                <w:color w:val="auto"/>
                <w:vertAlign w:val="superscript"/>
              </w:rPr>
              <w:t>(1)</w:t>
            </w:r>
          </w:p>
        </w:tc>
        <w:tc>
          <w:tcPr>
            <w:tcW w:w="1040" w:type="dxa"/>
            <w:vAlign w:val="bottom"/>
            <w:tcBorders>
              <w:bottom w:val="single" w:sz="8" w:color="F0FF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332,641</w:t>
            </w:r>
          </w:p>
        </w:tc>
        <w:tc>
          <w:tcPr>
            <w:tcW w:w="440" w:type="dxa"/>
            <w:vAlign w:val="bottom"/>
            <w:tcBorders>
              <w:bottom w:val="single" w:sz="8" w:color="F0FF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6,899</w:t>
            </w:r>
          </w:p>
        </w:tc>
        <w:tc>
          <w:tcPr>
            <w:tcW w:w="440" w:type="dxa"/>
            <w:vAlign w:val="bottom"/>
            <w:tcBorders>
              <w:bottom w:val="single" w:sz="8" w:color="F0FF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440" w:type="dxa"/>
            <w:vAlign w:val="bottom"/>
            <w:tcBorders>
              <w:bottom w:val="single" w:sz="8" w:color="F0FFFF"/>
            </w:tcBorders>
          </w:tcPr>
          <w:p>
            <w:pPr>
              <w:spacing w:after="0"/>
              <w:rPr>
                <w:sz w:val="22"/>
                <w:szCs w:val="22"/>
                <w:color w:val="auto"/>
              </w:rPr>
            </w:pPr>
          </w:p>
        </w:tc>
        <w:tc>
          <w:tcPr>
            <w:tcW w:w="20" w:type="dxa"/>
            <w:vAlign w:val="bottom"/>
            <w:tcBorders>
              <w:bottom w:val="single" w:sz="8" w:color="F0FF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337,847</w:t>
            </w:r>
          </w:p>
        </w:tc>
        <w:tc>
          <w:tcPr>
            <w:tcW w:w="120" w:type="dxa"/>
            <w:vAlign w:val="bottom"/>
            <w:tcBorders>
              <w:bottom w:val="single" w:sz="8" w:color="F0FFFF"/>
            </w:tcBorders>
          </w:tcPr>
          <w:p>
            <w:pPr>
              <w:spacing w:after="0"/>
              <w:rPr>
                <w:sz w:val="22"/>
                <w:szCs w:val="22"/>
                <w:color w:val="auto"/>
              </w:rPr>
            </w:pPr>
          </w:p>
        </w:tc>
      </w:tr>
      <w:tr>
        <w:trPr>
          <w:trHeight w:val="243"/>
        </w:trPr>
        <w:tc>
          <w:tcPr>
            <w:tcW w:w="20" w:type="dxa"/>
            <w:vAlign w:val="bottom"/>
            <w:shd w:val="clear" w:color="auto" w:fill="F0FFFF"/>
          </w:tcPr>
          <w:p>
            <w:pPr>
              <w:spacing w:after="0"/>
              <w:rPr>
                <w:sz w:val="21"/>
                <w:szCs w:val="21"/>
                <w:color w:val="auto"/>
              </w:rPr>
            </w:pPr>
          </w:p>
        </w:tc>
        <w:tc>
          <w:tcPr>
            <w:tcW w:w="1420" w:type="dxa"/>
            <w:vAlign w:val="bottom"/>
            <w:shd w:val="clear" w:color="auto" w:fill="F0FFFF"/>
          </w:tcPr>
          <w:p>
            <w:pPr>
              <w:spacing w:after="0"/>
              <w:rPr>
                <w:sz w:val="21"/>
                <w:szCs w:val="21"/>
                <w:color w:val="auto"/>
              </w:rPr>
            </w:pPr>
          </w:p>
        </w:tc>
        <w:tc>
          <w:tcPr>
            <w:tcW w:w="20" w:type="dxa"/>
            <w:vAlign w:val="bottom"/>
            <w:shd w:val="clear" w:color="auto" w:fill="F0FFFF"/>
          </w:tcPr>
          <w:p>
            <w:pPr>
              <w:spacing w:after="0"/>
              <w:rPr>
                <w:sz w:val="21"/>
                <w:szCs w:val="21"/>
                <w:color w:val="auto"/>
              </w:rPr>
            </w:pPr>
          </w:p>
        </w:tc>
        <w:tc>
          <w:tcPr>
            <w:tcW w:w="400" w:type="dxa"/>
            <w:vAlign w:val="bottom"/>
            <w:shd w:val="clear" w:color="auto" w:fill="F0FFFF"/>
          </w:tcPr>
          <w:p>
            <w:pPr>
              <w:spacing w:after="0"/>
              <w:rPr>
                <w:sz w:val="21"/>
                <w:szCs w:val="21"/>
                <w:color w:val="auto"/>
              </w:rPr>
            </w:pPr>
          </w:p>
        </w:tc>
        <w:tc>
          <w:tcPr>
            <w:tcW w:w="1780" w:type="dxa"/>
            <w:vAlign w:val="bottom"/>
            <w:shd w:val="clear" w:color="auto" w:fill="F0FFFF"/>
          </w:tcPr>
          <w:p>
            <w:pPr>
              <w:spacing w:after="0"/>
              <w:rPr>
                <w:sz w:val="21"/>
                <w:szCs w:val="21"/>
                <w:color w:val="auto"/>
              </w:rPr>
            </w:pPr>
          </w:p>
        </w:tc>
        <w:tc>
          <w:tcPr>
            <w:tcW w:w="104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020" w:type="dxa"/>
            <w:vAlign w:val="bottom"/>
            <w:shd w:val="clear" w:color="auto" w:fill="F0FFFF"/>
          </w:tcPr>
          <w:p>
            <w:pPr>
              <w:spacing w:after="0"/>
              <w:rPr>
                <w:sz w:val="21"/>
                <w:szCs w:val="21"/>
                <w:color w:val="auto"/>
              </w:rPr>
            </w:pPr>
          </w:p>
        </w:tc>
        <w:tc>
          <w:tcPr>
            <w:tcW w:w="44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020" w:type="dxa"/>
            <w:vAlign w:val="bottom"/>
            <w:shd w:val="clear" w:color="auto" w:fill="F0FFFF"/>
          </w:tcPr>
          <w:p>
            <w:pPr>
              <w:spacing w:after="0"/>
              <w:rPr>
                <w:sz w:val="21"/>
                <w:szCs w:val="21"/>
                <w:color w:val="auto"/>
              </w:rPr>
            </w:pPr>
          </w:p>
        </w:tc>
        <w:tc>
          <w:tcPr>
            <w:tcW w:w="44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020" w:type="dxa"/>
            <w:vAlign w:val="bottom"/>
            <w:shd w:val="clear" w:color="auto" w:fill="F0FFFF"/>
          </w:tcPr>
          <w:p>
            <w:pPr>
              <w:spacing w:after="0"/>
              <w:rPr>
                <w:sz w:val="21"/>
                <w:szCs w:val="21"/>
                <w:color w:val="auto"/>
              </w:rPr>
            </w:pPr>
          </w:p>
        </w:tc>
        <w:tc>
          <w:tcPr>
            <w:tcW w:w="440" w:type="dxa"/>
            <w:vAlign w:val="bottom"/>
            <w:shd w:val="clear" w:color="auto" w:fill="F0FFFF"/>
          </w:tcPr>
          <w:p>
            <w:pPr>
              <w:spacing w:after="0"/>
              <w:rPr>
                <w:sz w:val="21"/>
                <w:szCs w:val="21"/>
                <w:color w:val="auto"/>
              </w:rPr>
            </w:pPr>
          </w:p>
        </w:tc>
        <w:tc>
          <w:tcPr>
            <w:tcW w:w="2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96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3620" w:type="dxa"/>
            <w:vAlign w:val="bottom"/>
            <w:gridSpan w:val="4"/>
          </w:tcPr>
          <w:p>
            <w:pPr>
              <w:ind w:left="480"/>
              <w:spacing w:after="0"/>
              <w:rPr>
                <w:sz w:val="20"/>
                <w:szCs w:val="20"/>
                <w:color w:val="auto"/>
              </w:rPr>
            </w:pPr>
            <w:r>
              <w:rPr>
                <w:rFonts w:ascii="Arial" w:cs="Arial" w:eastAsia="Arial" w:hAnsi="Arial"/>
                <w:sz w:val="18"/>
                <w:szCs w:val="18"/>
                <w:color w:val="auto"/>
              </w:rPr>
              <w:t>Total</w:t>
            </w:r>
          </w:p>
        </w:tc>
        <w:tc>
          <w:tcPr>
            <w:tcW w:w="12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379,757</w:t>
            </w:r>
          </w:p>
        </w:tc>
        <w:tc>
          <w:tcPr>
            <w:tcW w:w="6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10,002</w:t>
            </w:r>
          </w:p>
        </w:tc>
        <w:tc>
          <w:tcPr>
            <w:tcW w:w="6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1,693</w:t>
            </w:r>
          </w:p>
        </w:tc>
        <w:tc>
          <w:tcPr>
            <w:tcW w:w="44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388,066</w:t>
            </w:r>
          </w:p>
        </w:tc>
        <w:tc>
          <w:tcPr>
            <w:tcW w:w="120" w:type="dxa"/>
            <w:vAlign w:val="bottom"/>
          </w:tcPr>
          <w:p>
            <w:pPr>
              <w:spacing w:after="0"/>
              <w:rPr>
                <w:sz w:val="19"/>
                <w:szCs w:val="19"/>
                <w:color w:val="auto"/>
              </w:rPr>
            </w:pPr>
          </w:p>
        </w:tc>
      </w:tr>
      <w:tr>
        <w:trPr>
          <w:trHeight w:val="20"/>
        </w:trPr>
        <w:tc>
          <w:tcPr>
            <w:tcW w:w="20" w:type="dxa"/>
            <w:vAlign w:val="bottom"/>
            <w:tcBorders>
              <w:bottom w:val="single" w:sz="8" w:color="F0FFFF"/>
            </w:tcBorders>
          </w:tcPr>
          <w:p>
            <w:pPr>
              <w:spacing w:after="0" w:line="20" w:lineRule="exact"/>
              <w:rPr>
                <w:sz w:val="1"/>
                <w:szCs w:val="1"/>
                <w:color w:val="auto"/>
              </w:rPr>
            </w:pPr>
          </w:p>
        </w:tc>
        <w:tc>
          <w:tcPr>
            <w:tcW w:w="142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400" w:type="dxa"/>
            <w:vAlign w:val="bottom"/>
            <w:tcBorders>
              <w:bottom w:val="single" w:sz="8" w:color="F0FFFF"/>
            </w:tcBorders>
          </w:tcPr>
          <w:p>
            <w:pPr>
              <w:spacing w:after="0" w:line="20" w:lineRule="exact"/>
              <w:rPr>
                <w:sz w:val="1"/>
                <w:szCs w:val="1"/>
                <w:color w:val="auto"/>
              </w:rPr>
            </w:pPr>
          </w:p>
        </w:tc>
        <w:tc>
          <w:tcPr>
            <w:tcW w:w="1780" w:type="dxa"/>
            <w:vAlign w:val="bottom"/>
            <w:tcBorders>
              <w:bottom w:val="single" w:sz="8" w:color="F0FFFF"/>
            </w:tcBorders>
          </w:tcPr>
          <w:p>
            <w:pPr>
              <w:spacing w:after="0" w:line="20" w:lineRule="exact"/>
              <w:rPr>
                <w:sz w:val="1"/>
                <w:szCs w:val="1"/>
                <w:color w:val="auto"/>
              </w:rPr>
            </w:pPr>
          </w:p>
        </w:tc>
        <w:tc>
          <w:tcPr>
            <w:tcW w:w="1040" w:type="dxa"/>
            <w:vAlign w:val="bottom"/>
            <w:tcBorders>
              <w:bottom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r>
      <w:tr>
        <w:trPr>
          <w:trHeight w:val="237"/>
        </w:trPr>
        <w:tc>
          <w:tcPr>
            <w:tcW w:w="20" w:type="dxa"/>
            <w:vAlign w:val="bottom"/>
            <w:shd w:val="clear" w:color="auto" w:fill="F0FFFF"/>
          </w:tcPr>
          <w:p>
            <w:pPr>
              <w:spacing w:after="0"/>
              <w:rPr>
                <w:sz w:val="20"/>
                <w:szCs w:val="20"/>
                <w:color w:val="auto"/>
              </w:rPr>
            </w:pPr>
          </w:p>
        </w:tc>
        <w:tc>
          <w:tcPr>
            <w:tcW w:w="1420" w:type="dxa"/>
            <w:vAlign w:val="bottom"/>
            <w:shd w:val="clear" w:color="auto" w:fill="F0FFFF"/>
          </w:tcPr>
          <w:p>
            <w:pPr>
              <w:spacing w:after="0"/>
              <w:rPr>
                <w:sz w:val="20"/>
                <w:szCs w:val="20"/>
                <w:color w:val="auto"/>
              </w:rPr>
            </w:pPr>
          </w:p>
        </w:tc>
        <w:tc>
          <w:tcPr>
            <w:tcW w:w="20" w:type="dxa"/>
            <w:vAlign w:val="bottom"/>
            <w:shd w:val="clear" w:color="auto" w:fill="F0FFFF"/>
          </w:tcPr>
          <w:p>
            <w:pPr>
              <w:spacing w:after="0"/>
              <w:rPr>
                <w:sz w:val="20"/>
                <w:szCs w:val="20"/>
                <w:color w:val="auto"/>
              </w:rPr>
            </w:pPr>
          </w:p>
        </w:tc>
        <w:tc>
          <w:tcPr>
            <w:tcW w:w="400" w:type="dxa"/>
            <w:vAlign w:val="bottom"/>
            <w:shd w:val="clear" w:color="auto" w:fill="F0FFFF"/>
          </w:tcPr>
          <w:p>
            <w:pPr>
              <w:spacing w:after="0"/>
              <w:rPr>
                <w:sz w:val="20"/>
                <w:szCs w:val="20"/>
                <w:color w:val="auto"/>
              </w:rPr>
            </w:pPr>
          </w:p>
        </w:tc>
        <w:tc>
          <w:tcPr>
            <w:tcW w:w="1780" w:type="dxa"/>
            <w:vAlign w:val="bottom"/>
            <w:shd w:val="clear" w:color="auto" w:fill="F0FFFF"/>
          </w:tcPr>
          <w:p>
            <w:pPr>
              <w:spacing w:after="0"/>
              <w:rPr>
                <w:sz w:val="20"/>
                <w:szCs w:val="20"/>
                <w:color w:val="auto"/>
              </w:rPr>
            </w:pPr>
          </w:p>
        </w:tc>
        <w:tc>
          <w:tcPr>
            <w:tcW w:w="104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44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44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440" w:type="dxa"/>
            <w:vAlign w:val="bottom"/>
            <w:shd w:val="clear" w:color="auto" w:fill="F0FFFF"/>
          </w:tcPr>
          <w:p>
            <w:pPr>
              <w:spacing w:after="0"/>
              <w:rPr>
                <w:sz w:val="20"/>
                <w:szCs w:val="20"/>
                <w:color w:val="auto"/>
              </w:rPr>
            </w:pPr>
          </w:p>
        </w:tc>
        <w:tc>
          <w:tcPr>
            <w:tcW w:w="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96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3620" w:type="dxa"/>
            <w:vAlign w:val="bottom"/>
            <w:gridSpan w:val="4"/>
          </w:tcPr>
          <w:p>
            <w:pPr>
              <w:spacing w:after="0" w:line="202" w:lineRule="exact"/>
              <w:rPr>
                <w:sz w:val="20"/>
                <w:szCs w:val="20"/>
                <w:color w:val="auto"/>
              </w:rPr>
            </w:pPr>
            <w:r>
              <w:rPr>
                <w:rFonts w:ascii="Arial" w:cs="Arial" w:eastAsia="Arial" w:hAnsi="Arial"/>
                <w:sz w:val="18"/>
                <w:szCs w:val="18"/>
                <w:color w:val="auto"/>
              </w:rPr>
              <w:t>As of December 31, 2014</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20" w:type="dxa"/>
            <w:vAlign w:val="bottom"/>
            <w:shd w:val="clear" w:color="auto" w:fill="F0FFFF"/>
          </w:tcPr>
          <w:p>
            <w:pPr>
              <w:spacing w:after="0"/>
              <w:rPr>
                <w:sz w:val="18"/>
                <w:szCs w:val="18"/>
                <w:color w:val="auto"/>
              </w:rPr>
            </w:pPr>
          </w:p>
        </w:tc>
        <w:tc>
          <w:tcPr>
            <w:tcW w:w="3620" w:type="dxa"/>
            <w:vAlign w:val="bottom"/>
            <w:gridSpan w:val="4"/>
            <w:shd w:val="clear" w:color="auto" w:fill="F0FFFF"/>
          </w:tcPr>
          <w:p>
            <w:pPr>
              <w:ind w:left="360"/>
              <w:spacing w:after="0"/>
              <w:rPr>
                <w:sz w:val="20"/>
                <w:szCs w:val="20"/>
                <w:color w:val="auto"/>
              </w:rPr>
            </w:pPr>
            <w:r>
              <w:rPr>
                <w:rFonts w:ascii="Arial" w:cs="Arial" w:eastAsia="Arial" w:hAnsi="Arial"/>
                <w:sz w:val="18"/>
                <w:szCs w:val="18"/>
                <w:color w:val="auto"/>
              </w:rPr>
              <w:t>State and political subdivisions</w:t>
            </w:r>
          </w:p>
        </w:tc>
        <w:tc>
          <w:tcPr>
            <w:tcW w:w="120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48,157</w:t>
            </w:r>
          </w:p>
        </w:tc>
        <w:tc>
          <w:tcPr>
            <w:tcW w:w="60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3,504</w:t>
            </w:r>
          </w:p>
        </w:tc>
        <w:tc>
          <w:tcPr>
            <w:tcW w:w="60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F0FFFF"/>
          </w:tcPr>
          <w:p>
            <w:pPr>
              <w:spacing w:after="0"/>
              <w:rPr>
                <w:sz w:val="18"/>
                <w:szCs w:val="18"/>
                <w:color w:val="auto"/>
              </w:rPr>
            </w:pPr>
          </w:p>
        </w:tc>
        <w:tc>
          <w:tcPr>
            <w:tcW w:w="220" w:type="dxa"/>
            <w:vAlign w:val="bottom"/>
            <w:gridSpan w:val="2"/>
            <w:shd w:val="clear" w:color="auto" w:fill="F0FFFF"/>
          </w:tcPr>
          <w:p>
            <w:pPr>
              <w:jc w:val="right"/>
              <w:ind w:right="9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51,661</w:t>
            </w:r>
          </w:p>
        </w:tc>
        <w:tc>
          <w:tcPr>
            <w:tcW w:w="120" w:type="dxa"/>
            <w:vAlign w:val="bottom"/>
            <w:shd w:val="clear" w:color="auto" w:fill="F0FFFF"/>
          </w:tcPr>
          <w:p>
            <w:pPr>
              <w:spacing w:after="0"/>
              <w:rPr>
                <w:sz w:val="18"/>
                <w:szCs w:val="18"/>
                <w:color w:val="auto"/>
              </w:rPr>
            </w:pPr>
          </w:p>
        </w:tc>
      </w:tr>
      <w:tr>
        <w:trPr>
          <w:trHeight w:val="264"/>
        </w:trPr>
        <w:tc>
          <w:tcPr>
            <w:tcW w:w="20" w:type="dxa"/>
            <w:vAlign w:val="bottom"/>
            <w:tcBorders>
              <w:bottom w:val="single" w:sz="8" w:color="F0FFFF"/>
            </w:tcBorders>
          </w:tcPr>
          <w:p>
            <w:pPr>
              <w:spacing w:after="0"/>
              <w:rPr>
                <w:sz w:val="22"/>
                <w:szCs w:val="22"/>
                <w:color w:val="auto"/>
              </w:rPr>
            </w:pPr>
          </w:p>
        </w:tc>
        <w:tc>
          <w:tcPr>
            <w:tcW w:w="3620" w:type="dxa"/>
            <w:vAlign w:val="bottom"/>
            <w:tcBorders>
              <w:bottom w:val="single" w:sz="8" w:color="F0FFFF"/>
            </w:tcBorders>
            <w:gridSpan w:val="4"/>
          </w:tcPr>
          <w:p>
            <w:pPr>
              <w:ind w:left="360"/>
              <w:spacing w:after="0" w:line="25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9"/>
                <w:szCs w:val="29"/>
                <w:color w:val="auto"/>
                <w:vertAlign w:val="superscript"/>
              </w:rPr>
              <w:t>(1)</w:t>
            </w:r>
          </w:p>
        </w:tc>
        <w:tc>
          <w:tcPr>
            <w:tcW w:w="1040" w:type="dxa"/>
            <w:vAlign w:val="bottom"/>
            <w:tcBorders>
              <w:bottom w:val="single" w:sz="8" w:color="F0FF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367,110</w:t>
            </w:r>
          </w:p>
        </w:tc>
        <w:tc>
          <w:tcPr>
            <w:tcW w:w="440" w:type="dxa"/>
            <w:vAlign w:val="bottom"/>
            <w:tcBorders>
              <w:bottom w:val="single" w:sz="8" w:color="F0FF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7,716</w:t>
            </w:r>
          </w:p>
        </w:tc>
        <w:tc>
          <w:tcPr>
            <w:tcW w:w="440" w:type="dxa"/>
            <w:vAlign w:val="bottom"/>
            <w:tcBorders>
              <w:bottom w:val="single" w:sz="8" w:color="F0FF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w:t>
            </w:r>
          </w:p>
        </w:tc>
        <w:tc>
          <w:tcPr>
            <w:tcW w:w="440" w:type="dxa"/>
            <w:vAlign w:val="bottom"/>
            <w:tcBorders>
              <w:bottom w:val="single" w:sz="8" w:color="F0FFFF"/>
            </w:tcBorders>
          </w:tcPr>
          <w:p>
            <w:pPr>
              <w:spacing w:after="0"/>
              <w:rPr>
                <w:sz w:val="22"/>
                <w:szCs w:val="22"/>
                <w:color w:val="auto"/>
              </w:rPr>
            </w:pPr>
          </w:p>
        </w:tc>
        <w:tc>
          <w:tcPr>
            <w:tcW w:w="20" w:type="dxa"/>
            <w:vAlign w:val="bottom"/>
            <w:tcBorders>
              <w:bottom w:val="single" w:sz="8" w:color="F0FF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373,572</w:t>
            </w:r>
          </w:p>
        </w:tc>
        <w:tc>
          <w:tcPr>
            <w:tcW w:w="120" w:type="dxa"/>
            <w:vAlign w:val="bottom"/>
            <w:tcBorders>
              <w:bottom w:val="single" w:sz="8" w:color="F0FFFF"/>
            </w:tcBorders>
          </w:tcPr>
          <w:p>
            <w:pPr>
              <w:spacing w:after="0"/>
              <w:rPr>
                <w:sz w:val="22"/>
                <w:szCs w:val="22"/>
                <w:color w:val="auto"/>
              </w:rPr>
            </w:pPr>
          </w:p>
        </w:tc>
      </w:tr>
      <w:tr>
        <w:trPr>
          <w:trHeight w:val="230"/>
        </w:trPr>
        <w:tc>
          <w:tcPr>
            <w:tcW w:w="20" w:type="dxa"/>
            <w:vAlign w:val="bottom"/>
            <w:shd w:val="clear" w:color="auto" w:fill="F0FFFF"/>
          </w:tcPr>
          <w:p>
            <w:pPr>
              <w:spacing w:after="0"/>
              <w:rPr>
                <w:sz w:val="19"/>
                <w:szCs w:val="19"/>
                <w:color w:val="auto"/>
              </w:rPr>
            </w:pPr>
          </w:p>
        </w:tc>
        <w:tc>
          <w:tcPr>
            <w:tcW w:w="1420" w:type="dxa"/>
            <w:vAlign w:val="bottom"/>
            <w:shd w:val="clear" w:color="auto" w:fill="F0FFFF"/>
          </w:tcPr>
          <w:p>
            <w:pPr>
              <w:spacing w:after="0"/>
              <w:rPr>
                <w:sz w:val="19"/>
                <w:szCs w:val="19"/>
                <w:color w:val="auto"/>
              </w:rPr>
            </w:pPr>
          </w:p>
        </w:tc>
        <w:tc>
          <w:tcPr>
            <w:tcW w:w="20" w:type="dxa"/>
            <w:vAlign w:val="bottom"/>
            <w:shd w:val="clear" w:color="auto" w:fill="F0FFFF"/>
          </w:tcPr>
          <w:p>
            <w:pPr>
              <w:spacing w:after="0"/>
              <w:rPr>
                <w:sz w:val="19"/>
                <w:szCs w:val="19"/>
                <w:color w:val="auto"/>
              </w:rPr>
            </w:pPr>
          </w:p>
        </w:tc>
        <w:tc>
          <w:tcPr>
            <w:tcW w:w="400" w:type="dxa"/>
            <w:vAlign w:val="bottom"/>
            <w:shd w:val="clear" w:color="auto" w:fill="F0FFFF"/>
          </w:tcPr>
          <w:p>
            <w:pPr>
              <w:spacing w:after="0"/>
              <w:rPr>
                <w:sz w:val="19"/>
                <w:szCs w:val="19"/>
                <w:color w:val="auto"/>
              </w:rPr>
            </w:pPr>
          </w:p>
        </w:tc>
        <w:tc>
          <w:tcPr>
            <w:tcW w:w="1780" w:type="dxa"/>
            <w:vAlign w:val="bottom"/>
            <w:shd w:val="clear" w:color="auto" w:fill="F0FFFF"/>
          </w:tcPr>
          <w:p>
            <w:pPr>
              <w:spacing w:after="0"/>
              <w:rPr>
                <w:sz w:val="19"/>
                <w:szCs w:val="19"/>
                <w:color w:val="auto"/>
              </w:rPr>
            </w:pPr>
          </w:p>
        </w:tc>
        <w:tc>
          <w:tcPr>
            <w:tcW w:w="104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1020" w:type="dxa"/>
            <w:vAlign w:val="bottom"/>
            <w:shd w:val="clear" w:color="auto" w:fill="F0FFFF"/>
          </w:tcPr>
          <w:p>
            <w:pPr>
              <w:spacing w:after="0"/>
              <w:rPr>
                <w:sz w:val="19"/>
                <w:szCs w:val="19"/>
                <w:color w:val="auto"/>
              </w:rPr>
            </w:pPr>
          </w:p>
        </w:tc>
        <w:tc>
          <w:tcPr>
            <w:tcW w:w="44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1020" w:type="dxa"/>
            <w:vAlign w:val="bottom"/>
            <w:shd w:val="clear" w:color="auto" w:fill="F0FFFF"/>
          </w:tcPr>
          <w:p>
            <w:pPr>
              <w:spacing w:after="0"/>
              <w:rPr>
                <w:sz w:val="19"/>
                <w:szCs w:val="19"/>
                <w:color w:val="auto"/>
              </w:rPr>
            </w:pPr>
          </w:p>
        </w:tc>
        <w:tc>
          <w:tcPr>
            <w:tcW w:w="44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1020" w:type="dxa"/>
            <w:vAlign w:val="bottom"/>
            <w:shd w:val="clear" w:color="auto" w:fill="F0FFFF"/>
          </w:tcPr>
          <w:p>
            <w:pPr>
              <w:spacing w:after="0"/>
              <w:rPr>
                <w:sz w:val="19"/>
                <w:szCs w:val="19"/>
                <w:color w:val="auto"/>
              </w:rPr>
            </w:pPr>
          </w:p>
        </w:tc>
        <w:tc>
          <w:tcPr>
            <w:tcW w:w="440" w:type="dxa"/>
            <w:vAlign w:val="bottom"/>
            <w:shd w:val="clear" w:color="auto" w:fill="F0FFFF"/>
          </w:tcPr>
          <w:p>
            <w:pPr>
              <w:spacing w:after="0"/>
              <w:rPr>
                <w:sz w:val="19"/>
                <w:szCs w:val="19"/>
                <w:color w:val="auto"/>
              </w:rPr>
            </w:pPr>
          </w:p>
        </w:tc>
        <w:tc>
          <w:tcPr>
            <w:tcW w:w="2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96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20" w:type="dxa"/>
            <w:vAlign w:val="bottom"/>
            <w:gridSpan w:val="4"/>
          </w:tcPr>
          <w:p>
            <w:pPr>
              <w:ind w:left="480"/>
              <w:spacing w:after="0"/>
              <w:rPr>
                <w:sz w:val="20"/>
                <w:szCs w:val="20"/>
                <w:color w:val="auto"/>
              </w:rPr>
            </w:pPr>
            <w:r>
              <w:rPr>
                <w:rFonts w:ascii="Arial" w:cs="Arial" w:eastAsia="Arial" w:hAnsi="Arial"/>
                <w:sz w:val="18"/>
                <w:szCs w:val="18"/>
                <w:color w:val="auto"/>
              </w:rPr>
              <w:t>Total</w:t>
            </w:r>
          </w:p>
        </w:tc>
        <w:tc>
          <w:tcPr>
            <w:tcW w:w="12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415,267</w:t>
            </w:r>
          </w:p>
        </w:tc>
        <w:tc>
          <w:tcPr>
            <w:tcW w:w="6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11,220</w:t>
            </w:r>
          </w:p>
        </w:tc>
        <w:tc>
          <w:tcPr>
            <w:tcW w:w="6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1,254</w:t>
            </w:r>
          </w:p>
        </w:tc>
        <w:tc>
          <w:tcPr>
            <w:tcW w:w="44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425,233</w:t>
            </w:r>
          </w:p>
        </w:tc>
        <w:tc>
          <w:tcPr>
            <w:tcW w:w="120" w:type="dxa"/>
            <w:vAlign w:val="bottom"/>
          </w:tcPr>
          <w:p>
            <w:pPr>
              <w:spacing w:after="0"/>
              <w:rPr>
                <w:sz w:val="19"/>
                <w:szCs w:val="19"/>
                <w:color w:val="auto"/>
              </w:rPr>
            </w:pPr>
          </w:p>
        </w:tc>
      </w:tr>
      <w:tr>
        <w:trPr>
          <w:trHeight w:val="20"/>
        </w:trPr>
        <w:tc>
          <w:tcPr>
            <w:tcW w:w="20" w:type="dxa"/>
            <w:vAlign w:val="bottom"/>
            <w:tcBorders>
              <w:bottom w:val="single" w:sz="8" w:color="F0FFFF"/>
            </w:tcBorders>
          </w:tcPr>
          <w:p>
            <w:pPr>
              <w:spacing w:after="0" w:line="20" w:lineRule="exact"/>
              <w:rPr>
                <w:sz w:val="1"/>
                <w:szCs w:val="1"/>
                <w:color w:val="auto"/>
              </w:rPr>
            </w:pPr>
          </w:p>
        </w:tc>
        <w:tc>
          <w:tcPr>
            <w:tcW w:w="142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400" w:type="dxa"/>
            <w:vAlign w:val="bottom"/>
            <w:tcBorders>
              <w:bottom w:val="single" w:sz="8" w:color="F0FFFF"/>
            </w:tcBorders>
          </w:tcPr>
          <w:p>
            <w:pPr>
              <w:spacing w:after="0" w:line="20" w:lineRule="exact"/>
              <w:rPr>
                <w:sz w:val="1"/>
                <w:szCs w:val="1"/>
                <w:color w:val="auto"/>
              </w:rPr>
            </w:pPr>
          </w:p>
        </w:tc>
        <w:tc>
          <w:tcPr>
            <w:tcW w:w="1780" w:type="dxa"/>
            <w:vAlign w:val="bottom"/>
            <w:tcBorders>
              <w:bottom w:val="single" w:sz="8" w:color="F0FFFF"/>
            </w:tcBorders>
          </w:tcPr>
          <w:p>
            <w:pPr>
              <w:spacing w:after="0" w:line="20" w:lineRule="exact"/>
              <w:rPr>
                <w:sz w:val="1"/>
                <w:szCs w:val="1"/>
                <w:color w:val="auto"/>
              </w:rPr>
            </w:pPr>
          </w:p>
        </w:tc>
        <w:tc>
          <w:tcPr>
            <w:tcW w:w="1040" w:type="dxa"/>
            <w:vAlign w:val="bottom"/>
            <w:tcBorders>
              <w:bottom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r>
      <w:tr>
        <w:trPr>
          <w:trHeight w:val="237"/>
        </w:trPr>
        <w:tc>
          <w:tcPr>
            <w:tcW w:w="20" w:type="dxa"/>
            <w:vAlign w:val="bottom"/>
            <w:shd w:val="clear" w:color="auto" w:fill="F0FFFF"/>
          </w:tcPr>
          <w:p>
            <w:pPr>
              <w:spacing w:after="0"/>
              <w:rPr>
                <w:sz w:val="20"/>
                <w:szCs w:val="20"/>
                <w:color w:val="auto"/>
              </w:rPr>
            </w:pPr>
          </w:p>
        </w:tc>
        <w:tc>
          <w:tcPr>
            <w:tcW w:w="1420" w:type="dxa"/>
            <w:vAlign w:val="bottom"/>
            <w:shd w:val="clear" w:color="auto" w:fill="F0FFFF"/>
          </w:tcPr>
          <w:p>
            <w:pPr>
              <w:spacing w:after="0"/>
              <w:rPr>
                <w:sz w:val="20"/>
                <w:szCs w:val="20"/>
                <w:color w:val="auto"/>
              </w:rPr>
            </w:pPr>
          </w:p>
        </w:tc>
        <w:tc>
          <w:tcPr>
            <w:tcW w:w="20" w:type="dxa"/>
            <w:vAlign w:val="bottom"/>
            <w:shd w:val="clear" w:color="auto" w:fill="F0FFFF"/>
          </w:tcPr>
          <w:p>
            <w:pPr>
              <w:spacing w:after="0"/>
              <w:rPr>
                <w:sz w:val="20"/>
                <w:szCs w:val="20"/>
                <w:color w:val="auto"/>
              </w:rPr>
            </w:pPr>
          </w:p>
        </w:tc>
        <w:tc>
          <w:tcPr>
            <w:tcW w:w="400" w:type="dxa"/>
            <w:vAlign w:val="bottom"/>
            <w:shd w:val="clear" w:color="auto" w:fill="F0FFFF"/>
          </w:tcPr>
          <w:p>
            <w:pPr>
              <w:spacing w:after="0"/>
              <w:rPr>
                <w:sz w:val="20"/>
                <w:szCs w:val="20"/>
                <w:color w:val="auto"/>
              </w:rPr>
            </w:pPr>
          </w:p>
        </w:tc>
        <w:tc>
          <w:tcPr>
            <w:tcW w:w="1780" w:type="dxa"/>
            <w:vAlign w:val="bottom"/>
            <w:shd w:val="clear" w:color="auto" w:fill="F0FFFF"/>
          </w:tcPr>
          <w:p>
            <w:pPr>
              <w:spacing w:after="0"/>
              <w:rPr>
                <w:sz w:val="20"/>
                <w:szCs w:val="20"/>
                <w:color w:val="auto"/>
              </w:rPr>
            </w:pPr>
          </w:p>
        </w:tc>
        <w:tc>
          <w:tcPr>
            <w:tcW w:w="104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44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44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440" w:type="dxa"/>
            <w:vAlign w:val="bottom"/>
            <w:shd w:val="clear" w:color="auto" w:fill="F0FFFF"/>
          </w:tcPr>
          <w:p>
            <w:pPr>
              <w:spacing w:after="0"/>
              <w:rPr>
                <w:sz w:val="20"/>
                <w:szCs w:val="20"/>
                <w:color w:val="auto"/>
              </w:rPr>
            </w:pPr>
          </w:p>
        </w:tc>
        <w:tc>
          <w:tcPr>
            <w:tcW w:w="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96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3620" w:type="dxa"/>
            <w:vAlign w:val="bottom"/>
            <w:gridSpan w:val="4"/>
          </w:tcPr>
          <w:p>
            <w:pPr>
              <w:spacing w:after="0" w:line="202" w:lineRule="exact"/>
              <w:rPr>
                <w:sz w:val="20"/>
                <w:szCs w:val="20"/>
                <w:color w:val="auto"/>
              </w:rPr>
            </w:pPr>
            <w:r>
              <w:rPr>
                <w:rFonts w:ascii="Arial" w:cs="Arial" w:eastAsia="Arial" w:hAnsi="Arial"/>
                <w:sz w:val="18"/>
                <w:szCs w:val="18"/>
                <w:color w:val="auto"/>
              </w:rPr>
              <w:t>As of June 30, 2014</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20" w:type="dxa"/>
            <w:vAlign w:val="bottom"/>
            <w:shd w:val="clear" w:color="auto" w:fill="F0FFFF"/>
          </w:tcPr>
          <w:p>
            <w:pPr>
              <w:spacing w:after="0"/>
              <w:rPr>
                <w:sz w:val="18"/>
                <w:szCs w:val="18"/>
                <w:color w:val="auto"/>
              </w:rPr>
            </w:pPr>
          </w:p>
        </w:tc>
        <w:tc>
          <w:tcPr>
            <w:tcW w:w="3620" w:type="dxa"/>
            <w:vAlign w:val="bottom"/>
            <w:gridSpan w:val="4"/>
            <w:shd w:val="clear" w:color="auto" w:fill="F0FFFF"/>
          </w:tcPr>
          <w:p>
            <w:pPr>
              <w:ind w:left="360"/>
              <w:spacing w:after="0"/>
              <w:rPr>
                <w:sz w:val="20"/>
                <w:szCs w:val="20"/>
                <w:color w:val="auto"/>
              </w:rPr>
            </w:pPr>
            <w:r>
              <w:rPr>
                <w:rFonts w:ascii="Arial" w:cs="Arial" w:eastAsia="Arial" w:hAnsi="Arial"/>
                <w:sz w:val="18"/>
                <w:szCs w:val="18"/>
                <w:color w:val="auto"/>
              </w:rPr>
              <w:t>State and political subdivisions</w:t>
            </w:r>
          </w:p>
        </w:tc>
        <w:tc>
          <w:tcPr>
            <w:tcW w:w="120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50,669</w:t>
            </w:r>
          </w:p>
        </w:tc>
        <w:tc>
          <w:tcPr>
            <w:tcW w:w="60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3,872</w:t>
            </w:r>
          </w:p>
        </w:tc>
        <w:tc>
          <w:tcPr>
            <w:tcW w:w="600" w:type="dxa"/>
            <w:vAlign w:val="bottom"/>
            <w:gridSpan w:val="2"/>
            <w:shd w:val="clear" w:color="auto" w:fill="F0FFFF"/>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F0FFFF"/>
          </w:tcPr>
          <w:p>
            <w:pPr>
              <w:spacing w:after="0"/>
              <w:rPr>
                <w:sz w:val="18"/>
                <w:szCs w:val="18"/>
                <w:color w:val="auto"/>
              </w:rPr>
            </w:pPr>
          </w:p>
        </w:tc>
        <w:tc>
          <w:tcPr>
            <w:tcW w:w="220" w:type="dxa"/>
            <w:vAlign w:val="bottom"/>
            <w:gridSpan w:val="2"/>
            <w:shd w:val="clear" w:color="auto" w:fill="F0FFFF"/>
          </w:tcPr>
          <w:p>
            <w:pPr>
              <w:jc w:val="right"/>
              <w:ind w:right="9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54,541</w:t>
            </w:r>
          </w:p>
        </w:tc>
        <w:tc>
          <w:tcPr>
            <w:tcW w:w="120" w:type="dxa"/>
            <w:vAlign w:val="bottom"/>
            <w:shd w:val="clear" w:color="auto" w:fill="F0FFFF"/>
          </w:tcPr>
          <w:p>
            <w:pPr>
              <w:spacing w:after="0"/>
              <w:rPr>
                <w:sz w:val="18"/>
                <w:szCs w:val="18"/>
                <w:color w:val="auto"/>
              </w:rPr>
            </w:pPr>
          </w:p>
        </w:tc>
      </w:tr>
      <w:tr>
        <w:trPr>
          <w:trHeight w:val="264"/>
        </w:trPr>
        <w:tc>
          <w:tcPr>
            <w:tcW w:w="20" w:type="dxa"/>
            <w:vAlign w:val="bottom"/>
            <w:tcBorders>
              <w:bottom w:val="single" w:sz="8" w:color="F0FFFF"/>
            </w:tcBorders>
          </w:tcPr>
          <w:p>
            <w:pPr>
              <w:spacing w:after="0"/>
              <w:rPr>
                <w:sz w:val="22"/>
                <w:szCs w:val="22"/>
                <w:color w:val="auto"/>
              </w:rPr>
            </w:pPr>
          </w:p>
        </w:tc>
        <w:tc>
          <w:tcPr>
            <w:tcW w:w="3620" w:type="dxa"/>
            <w:vAlign w:val="bottom"/>
            <w:tcBorders>
              <w:bottom w:val="single" w:sz="8" w:color="F0FFFF"/>
            </w:tcBorders>
            <w:gridSpan w:val="4"/>
          </w:tcPr>
          <w:p>
            <w:pPr>
              <w:ind w:left="360"/>
              <w:spacing w:after="0" w:line="25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9"/>
                <w:szCs w:val="29"/>
                <w:color w:val="auto"/>
                <w:vertAlign w:val="superscript"/>
              </w:rPr>
              <w:t>(1)</w:t>
            </w:r>
          </w:p>
        </w:tc>
        <w:tc>
          <w:tcPr>
            <w:tcW w:w="1040" w:type="dxa"/>
            <w:vAlign w:val="bottom"/>
            <w:tcBorders>
              <w:bottom w:val="single" w:sz="8" w:color="F0FF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398,083</w:t>
            </w:r>
          </w:p>
        </w:tc>
        <w:tc>
          <w:tcPr>
            <w:tcW w:w="440" w:type="dxa"/>
            <w:vAlign w:val="bottom"/>
            <w:tcBorders>
              <w:bottom w:val="single" w:sz="8" w:color="F0FF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8,257</w:t>
            </w:r>
          </w:p>
        </w:tc>
        <w:tc>
          <w:tcPr>
            <w:tcW w:w="440" w:type="dxa"/>
            <w:vAlign w:val="bottom"/>
            <w:tcBorders>
              <w:bottom w:val="single" w:sz="8" w:color="F0FF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440" w:type="dxa"/>
            <w:vAlign w:val="bottom"/>
            <w:tcBorders>
              <w:bottom w:val="single" w:sz="8" w:color="F0FFFF"/>
            </w:tcBorders>
          </w:tcPr>
          <w:p>
            <w:pPr>
              <w:spacing w:after="0"/>
              <w:rPr>
                <w:sz w:val="22"/>
                <w:szCs w:val="22"/>
                <w:color w:val="auto"/>
              </w:rPr>
            </w:pPr>
          </w:p>
        </w:tc>
        <w:tc>
          <w:tcPr>
            <w:tcW w:w="20" w:type="dxa"/>
            <w:vAlign w:val="bottom"/>
            <w:tcBorders>
              <w:bottom w:val="single" w:sz="8" w:color="F0FF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404,323</w:t>
            </w:r>
          </w:p>
        </w:tc>
        <w:tc>
          <w:tcPr>
            <w:tcW w:w="120" w:type="dxa"/>
            <w:vAlign w:val="bottom"/>
            <w:tcBorders>
              <w:bottom w:val="single" w:sz="8" w:color="F0FFFF"/>
            </w:tcBorders>
          </w:tcPr>
          <w:p>
            <w:pPr>
              <w:spacing w:after="0"/>
              <w:rPr>
                <w:sz w:val="22"/>
                <w:szCs w:val="22"/>
                <w:color w:val="auto"/>
              </w:rPr>
            </w:pPr>
          </w:p>
        </w:tc>
      </w:tr>
      <w:tr>
        <w:trPr>
          <w:trHeight w:val="243"/>
        </w:trPr>
        <w:tc>
          <w:tcPr>
            <w:tcW w:w="20" w:type="dxa"/>
            <w:vAlign w:val="bottom"/>
            <w:shd w:val="clear" w:color="auto" w:fill="F0FFFF"/>
          </w:tcPr>
          <w:p>
            <w:pPr>
              <w:spacing w:after="0"/>
              <w:rPr>
                <w:sz w:val="21"/>
                <w:szCs w:val="21"/>
                <w:color w:val="auto"/>
              </w:rPr>
            </w:pPr>
          </w:p>
        </w:tc>
        <w:tc>
          <w:tcPr>
            <w:tcW w:w="1420" w:type="dxa"/>
            <w:vAlign w:val="bottom"/>
            <w:shd w:val="clear" w:color="auto" w:fill="F0FFFF"/>
          </w:tcPr>
          <w:p>
            <w:pPr>
              <w:spacing w:after="0"/>
              <w:rPr>
                <w:sz w:val="21"/>
                <w:szCs w:val="21"/>
                <w:color w:val="auto"/>
              </w:rPr>
            </w:pPr>
          </w:p>
        </w:tc>
        <w:tc>
          <w:tcPr>
            <w:tcW w:w="20" w:type="dxa"/>
            <w:vAlign w:val="bottom"/>
            <w:shd w:val="clear" w:color="auto" w:fill="F0FFFF"/>
          </w:tcPr>
          <w:p>
            <w:pPr>
              <w:spacing w:after="0"/>
              <w:rPr>
                <w:sz w:val="21"/>
                <w:szCs w:val="21"/>
                <w:color w:val="auto"/>
              </w:rPr>
            </w:pPr>
          </w:p>
        </w:tc>
        <w:tc>
          <w:tcPr>
            <w:tcW w:w="400" w:type="dxa"/>
            <w:vAlign w:val="bottom"/>
            <w:shd w:val="clear" w:color="auto" w:fill="F0FFFF"/>
          </w:tcPr>
          <w:p>
            <w:pPr>
              <w:spacing w:after="0"/>
              <w:rPr>
                <w:sz w:val="21"/>
                <w:szCs w:val="21"/>
                <w:color w:val="auto"/>
              </w:rPr>
            </w:pPr>
          </w:p>
        </w:tc>
        <w:tc>
          <w:tcPr>
            <w:tcW w:w="1780" w:type="dxa"/>
            <w:vAlign w:val="bottom"/>
            <w:shd w:val="clear" w:color="auto" w:fill="F0FFFF"/>
          </w:tcPr>
          <w:p>
            <w:pPr>
              <w:spacing w:after="0"/>
              <w:rPr>
                <w:sz w:val="21"/>
                <w:szCs w:val="21"/>
                <w:color w:val="auto"/>
              </w:rPr>
            </w:pPr>
          </w:p>
        </w:tc>
        <w:tc>
          <w:tcPr>
            <w:tcW w:w="104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020" w:type="dxa"/>
            <w:vAlign w:val="bottom"/>
            <w:shd w:val="clear" w:color="auto" w:fill="F0FFFF"/>
          </w:tcPr>
          <w:p>
            <w:pPr>
              <w:spacing w:after="0"/>
              <w:rPr>
                <w:sz w:val="21"/>
                <w:szCs w:val="21"/>
                <w:color w:val="auto"/>
              </w:rPr>
            </w:pPr>
          </w:p>
        </w:tc>
        <w:tc>
          <w:tcPr>
            <w:tcW w:w="44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020" w:type="dxa"/>
            <w:vAlign w:val="bottom"/>
            <w:shd w:val="clear" w:color="auto" w:fill="F0FFFF"/>
          </w:tcPr>
          <w:p>
            <w:pPr>
              <w:spacing w:after="0"/>
              <w:rPr>
                <w:sz w:val="21"/>
                <w:szCs w:val="21"/>
                <w:color w:val="auto"/>
              </w:rPr>
            </w:pPr>
          </w:p>
        </w:tc>
        <w:tc>
          <w:tcPr>
            <w:tcW w:w="44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020" w:type="dxa"/>
            <w:vAlign w:val="bottom"/>
            <w:shd w:val="clear" w:color="auto" w:fill="F0FFFF"/>
          </w:tcPr>
          <w:p>
            <w:pPr>
              <w:spacing w:after="0"/>
              <w:rPr>
                <w:sz w:val="21"/>
                <w:szCs w:val="21"/>
                <w:color w:val="auto"/>
              </w:rPr>
            </w:pPr>
          </w:p>
        </w:tc>
        <w:tc>
          <w:tcPr>
            <w:tcW w:w="440" w:type="dxa"/>
            <w:vAlign w:val="bottom"/>
            <w:shd w:val="clear" w:color="auto" w:fill="F0FFFF"/>
          </w:tcPr>
          <w:p>
            <w:pPr>
              <w:spacing w:after="0"/>
              <w:rPr>
                <w:sz w:val="21"/>
                <w:szCs w:val="21"/>
                <w:color w:val="auto"/>
              </w:rPr>
            </w:pPr>
          </w:p>
        </w:tc>
        <w:tc>
          <w:tcPr>
            <w:tcW w:w="2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96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3620" w:type="dxa"/>
            <w:vAlign w:val="bottom"/>
            <w:gridSpan w:val="4"/>
          </w:tcPr>
          <w:p>
            <w:pPr>
              <w:ind w:left="480"/>
              <w:spacing w:after="0"/>
              <w:rPr>
                <w:sz w:val="20"/>
                <w:szCs w:val="20"/>
                <w:color w:val="auto"/>
              </w:rPr>
            </w:pPr>
            <w:r>
              <w:rPr>
                <w:rFonts w:ascii="Arial" w:cs="Arial" w:eastAsia="Arial" w:hAnsi="Arial"/>
                <w:sz w:val="18"/>
                <w:szCs w:val="18"/>
                <w:color w:val="auto"/>
              </w:rPr>
              <w:t>Total</w:t>
            </w:r>
          </w:p>
        </w:tc>
        <w:tc>
          <w:tcPr>
            <w:tcW w:w="12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448,752</w:t>
            </w:r>
          </w:p>
        </w:tc>
        <w:tc>
          <w:tcPr>
            <w:tcW w:w="6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12,129</w:t>
            </w:r>
          </w:p>
        </w:tc>
        <w:tc>
          <w:tcPr>
            <w:tcW w:w="6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19"/>
                <w:szCs w:val="19"/>
                <w:color w:val="auto"/>
              </w:rPr>
            </w:pP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458,864</w:t>
            </w:r>
          </w:p>
        </w:tc>
        <w:tc>
          <w:tcPr>
            <w:tcW w:w="12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20" w:right="2580" w:hanging="5612"/>
        <w:spacing w:after="0" w:line="778" w:lineRule="auto"/>
        <w:tabs>
          <w:tab w:leader="none" w:pos="261" w:val="left"/>
        </w:tabs>
        <w:numPr>
          <w:ilvl w:val="0"/>
          <w:numId w:val="4"/>
        </w:numPr>
        <w:rPr>
          <w:rFonts w:ascii="Arial" w:cs="Arial" w:eastAsia="Arial" w:hAnsi="Arial"/>
          <w:sz w:val="15"/>
          <w:szCs w:val="15"/>
          <w:color w:val="auto"/>
        </w:rPr>
      </w:pPr>
      <w:r>
        <w:rPr>
          <w:rFonts w:ascii="Arial" w:cs="Arial" w:eastAsia="Arial" w:hAnsi="Arial"/>
          <w:sz w:val="18"/>
          <w:szCs w:val="18"/>
          <w:color w:val="auto"/>
        </w:rPr>
        <w:t>All are residential type mortgage-backed securities or U.S.government agency commercial mortgage backed securities.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400" w:firstLine="42"/>
        <w:spacing w:after="0" w:line="277" w:lineRule="auto"/>
        <w:rPr>
          <w:sz w:val="20"/>
          <w:szCs w:val="20"/>
          <w:color w:val="auto"/>
        </w:rPr>
      </w:pPr>
      <w:r>
        <w:rPr>
          <w:rFonts w:ascii="Arial" w:cs="Arial" w:eastAsia="Arial" w:hAnsi="Arial"/>
          <w:sz w:val="18"/>
          <w:szCs w:val="18"/>
          <w:color w:val="auto"/>
        </w:rPr>
        <w:t>The following table summarizes held-to-maturity securities in an unrealized loss position as of June 30, 2015, December 31, 2014 and June 30, 2014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6"/>
          </w:tcPr>
          <w:p>
            <w:pPr>
              <w:ind w:left="60"/>
              <w:spacing w:after="0"/>
              <w:rPr>
                <w:sz w:val="20"/>
                <w:szCs w:val="20"/>
                <w:color w:val="auto"/>
              </w:rPr>
            </w:pPr>
            <w:r>
              <w:rPr>
                <w:rFonts w:ascii="Arial" w:cs="Arial" w:eastAsia="Arial" w:hAnsi="Arial"/>
                <w:sz w:val="18"/>
                <w:szCs w:val="18"/>
                <w:b w:val="1"/>
                <w:bCs w:val="1"/>
                <w:color w:val="auto"/>
              </w:rPr>
              <w:t>Less than 12 Months</w:t>
            </w:r>
          </w:p>
        </w:tc>
        <w:tc>
          <w:tcPr>
            <w:tcW w:w="160" w:type="dxa"/>
            <w:vAlign w:val="bottom"/>
          </w:tcPr>
          <w:p>
            <w:pPr>
              <w:spacing w:after="0"/>
              <w:rPr>
                <w:sz w:val="20"/>
                <w:szCs w:val="20"/>
                <w:color w:val="auto"/>
              </w:rPr>
            </w:pPr>
          </w:p>
        </w:tc>
        <w:tc>
          <w:tcPr>
            <w:tcW w:w="188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6"/>
              </w:rPr>
              <w:t>12 Months or More</w:t>
            </w:r>
          </w:p>
        </w:tc>
        <w:tc>
          <w:tcPr>
            <w:tcW w:w="200" w:type="dxa"/>
            <w:vAlign w:val="bottom"/>
          </w:tcPr>
          <w:p>
            <w:pPr>
              <w:spacing w:after="0"/>
              <w:rPr>
                <w:sz w:val="20"/>
                <w:szCs w:val="20"/>
                <w:color w:val="auto"/>
              </w:rPr>
            </w:pPr>
          </w:p>
        </w:tc>
        <w:tc>
          <w:tcPr>
            <w:tcW w:w="1020" w:type="dxa"/>
            <w:vAlign w:val="bottom"/>
            <w:gridSpan w:val="4"/>
          </w:tcPr>
          <w:p>
            <w:pPr>
              <w:jc w:val="right"/>
              <w:ind w:right="2"/>
              <w:spacing w:after="0"/>
              <w:rPr>
                <w:sz w:val="20"/>
                <w:szCs w:val="20"/>
                <w:color w:val="auto"/>
              </w:rPr>
            </w:pPr>
            <w:r>
              <w:rPr>
                <w:rFonts w:ascii="Arial" w:cs="Arial" w:eastAsia="Arial" w:hAnsi="Arial"/>
                <w:sz w:val="18"/>
                <w:szCs w:val="18"/>
                <w:b w:val="1"/>
                <w:bCs w:val="1"/>
                <w:color w:val="auto"/>
              </w:rPr>
              <w:t>Total</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6"/>
              </w:rPr>
              <w:t>Unrealized</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4"/>
              </w:rPr>
              <w:t>Unrealized</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80" w:type="dxa"/>
            <w:vAlign w:val="bottom"/>
            <w:gridSpan w:val="4"/>
          </w:tcPr>
          <w:p>
            <w:pPr>
              <w:spacing w:after="0"/>
              <w:rPr>
                <w:sz w:val="20"/>
                <w:szCs w:val="20"/>
                <w:color w:val="auto"/>
              </w:rPr>
            </w:pPr>
            <w:r>
              <w:rPr>
                <w:rFonts w:ascii="Arial" w:cs="Arial" w:eastAsia="Arial" w:hAnsi="Arial"/>
                <w:sz w:val="18"/>
                <w:szCs w:val="18"/>
                <w:color w:val="auto"/>
              </w:rPr>
              <w:t>As of June 30, 2015</w:t>
            </w:r>
          </w:p>
        </w:tc>
        <w:tc>
          <w:tcPr>
            <w:tcW w:w="1500" w:type="dxa"/>
            <w:vAlign w:val="bottom"/>
          </w:tcPr>
          <w:p>
            <w:pPr>
              <w:spacing w:after="0"/>
              <w:rPr>
                <w:sz w:val="18"/>
                <w:szCs w:val="18"/>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Loss</w:t>
            </w:r>
          </w:p>
        </w:tc>
        <w:tc>
          <w:tcPr>
            <w:tcW w:w="96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Loss</w:t>
            </w:r>
          </w:p>
        </w:tc>
        <w:tc>
          <w:tcPr>
            <w:tcW w:w="1000" w:type="dxa"/>
            <w:vAlign w:val="bottom"/>
            <w:gridSpan w:val="3"/>
          </w:tcPr>
          <w:p>
            <w:pPr>
              <w:ind w:left="40"/>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5"/>
              </w:rPr>
              <w:t>Loss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bottom w:val="single" w:sz="8" w:color="F0FFFF"/>
            </w:tcBorders>
          </w:tcPr>
          <w:p>
            <w:pPr>
              <w:spacing w:after="0" w:line="20" w:lineRule="exact"/>
              <w:rPr>
                <w:sz w:val="1"/>
                <w:szCs w:val="1"/>
                <w:color w:val="auto"/>
              </w:rPr>
            </w:pPr>
          </w:p>
        </w:tc>
        <w:tc>
          <w:tcPr>
            <w:tcW w:w="400" w:type="dxa"/>
            <w:vAlign w:val="bottom"/>
            <w:tcBorders>
              <w:bottom w:val="single" w:sz="8" w:color="F0FFFF"/>
            </w:tcBorders>
          </w:tcPr>
          <w:p>
            <w:pPr>
              <w:spacing w:after="0" w:line="20" w:lineRule="exact"/>
              <w:rPr>
                <w:sz w:val="1"/>
                <w:szCs w:val="1"/>
                <w:color w:val="auto"/>
              </w:rPr>
            </w:pPr>
          </w:p>
        </w:tc>
        <w:tc>
          <w:tcPr>
            <w:tcW w:w="1920" w:type="dxa"/>
            <w:vAlign w:val="bottom"/>
            <w:tcBorders>
              <w:bottom w:val="single" w:sz="8" w:color="F0FFFF"/>
            </w:tcBorders>
          </w:tcPr>
          <w:p>
            <w:pPr>
              <w:spacing w:after="0" w:line="20" w:lineRule="exact"/>
              <w:rPr>
                <w:sz w:val="1"/>
                <w:szCs w:val="1"/>
                <w:color w:val="auto"/>
              </w:rPr>
            </w:pPr>
          </w:p>
        </w:tc>
        <w:tc>
          <w:tcPr>
            <w:tcW w:w="150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Borders>
              <w:bottom w:val="single" w:sz="8" w:color="F0FFFF"/>
            </w:tcBorders>
            <w:gridSpan w:val="3"/>
            <w:shd w:val="clear" w:color="auto" w:fill="F0FFFF"/>
          </w:tcPr>
          <w:p>
            <w:pPr>
              <w:spacing w:after="0"/>
              <w:rPr>
                <w:sz w:val="20"/>
                <w:szCs w:val="20"/>
                <w:color w:val="auto"/>
              </w:rPr>
            </w:pPr>
            <w:r>
              <w:rPr>
                <w:rFonts w:ascii="Arial" w:cs="Arial" w:eastAsia="Arial" w:hAnsi="Arial"/>
                <w:sz w:val="18"/>
                <w:szCs w:val="18"/>
                <w:color w:val="auto"/>
              </w:rPr>
              <w:t>Mortgage-backed securities</w:t>
            </w:r>
          </w:p>
        </w:tc>
        <w:tc>
          <w:tcPr>
            <w:tcW w:w="150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F0FFFF"/>
          </w:tcPr>
          <w:p>
            <w:pPr>
              <w:ind w:left="200"/>
              <w:spacing w:after="0"/>
              <w:rPr>
                <w:sz w:val="20"/>
                <w:szCs w:val="20"/>
                <w:color w:val="auto"/>
              </w:rPr>
            </w:pPr>
            <w:r>
              <w:rPr>
                <w:rFonts w:ascii="Arial" w:cs="Arial" w:eastAsia="Arial" w:hAnsi="Arial"/>
                <w:sz w:val="18"/>
                <w:szCs w:val="18"/>
                <w:color w:val="auto"/>
                <w:w w:val="86"/>
              </w:rPr>
              <w:t>130,980</w:t>
            </w:r>
          </w:p>
        </w:tc>
        <w:tc>
          <w:tcPr>
            <w:tcW w:w="60" w:type="dxa"/>
            <w:vAlign w:val="bottom"/>
            <w:tcBorders>
              <w:bottom w:val="single" w:sz="8" w:color="F0FFFF"/>
            </w:tcBorders>
            <w:shd w:val="clear" w:color="auto" w:fill="F0FFFF"/>
          </w:tcPr>
          <w:p>
            <w:pPr>
              <w:spacing w:after="0"/>
              <w:rPr>
                <w:sz w:val="20"/>
                <w:szCs w:val="20"/>
                <w:color w:val="auto"/>
              </w:rPr>
            </w:pPr>
          </w:p>
        </w:tc>
        <w:tc>
          <w:tcPr>
            <w:tcW w:w="6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19,359</w:t>
            </w:r>
          </w:p>
        </w:tc>
        <w:tc>
          <w:tcPr>
            <w:tcW w:w="40" w:type="dxa"/>
            <w:vAlign w:val="bottom"/>
            <w:tcBorders>
              <w:bottom w:val="single" w:sz="8" w:color="F0FFFF"/>
            </w:tcBorders>
            <w:shd w:val="clear" w:color="auto" w:fill="F0FFFF"/>
          </w:tcPr>
          <w:p>
            <w:pPr>
              <w:spacing w:after="0"/>
              <w:rPr>
                <w:sz w:val="20"/>
                <w:szCs w:val="20"/>
                <w:color w:val="auto"/>
              </w:rPr>
            </w:pPr>
          </w:p>
        </w:tc>
        <w:tc>
          <w:tcPr>
            <w:tcW w:w="6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auto"/>
            </w:tcBorders>
            <w:shd w:val="clear" w:color="auto" w:fill="F0FF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150,339</w:t>
            </w:r>
          </w:p>
        </w:tc>
        <w:tc>
          <w:tcPr>
            <w:tcW w:w="100" w:type="dxa"/>
            <w:vAlign w:val="bottom"/>
            <w:tcBorders>
              <w:bottom w:val="single" w:sz="8" w:color="F0FFFF"/>
            </w:tcBorders>
            <w:shd w:val="clear" w:color="auto" w:fill="F0FFFF"/>
          </w:tcPr>
          <w:p>
            <w:pPr>
              <w:spacing w:after="0"/>
              <w:rPr>
                <w:sz w:val="20"/>
                <w:szCs w:val="20"/>
                <w:color w:val="auto"/>
              </w:rPr>
            </w:pPr>
          </w:p>
        </w:tc>
        <w:tc>
          <w:tcPr>
            <w:tcW w:w="2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auto"/>
            </w:tcBorders>
            <w:shd w:val="clear" w:color="auto" w:fill="F0FFFF"/>
          </w:tcPr>
          <w:p>
            <w:pPr>
              <w:jc w:val="right"/>
              <w:ind w:right="42"/>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1,693</w:t>
            </w:r>
          </w:p>
        </w:tc>
        <w:tc>
          <w:tcPr>
            <w:tcW w:w="2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3"/>
          </w:tcPr>
          <w:p>
            <w:pPr>
              <w:ind w:left="140"/>
              <w:spacing w:after="0" w:line="203" w:lineRule="exact"/>
              <w:rPr>
                <w:sz w:val="20"/>
                <w:szCs w:val="20"/>
                <w:color w:val="auto"/>
              </w:rPr>
            </w:pPr>
            <w:r>
              <w:rPr>
                <w:rFonts w:ascii="Arial" w:cs="Arial" w:eastAsia="Arial" w:hAnsi="Arial"/>
                <w:sz w:val="18"/>
                <w:szCs w:val="18"/>
                <w:color w:val="auto"/>
              </w:rPr>
              <w:t>Total unrealized loss position</w:t>
            </w:r>
          </w:p>
        </w:tc>
        <w:tc>
          <w:tcPr>
            <w:tcW w:w="15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ind w:left="200"/>
              <w:spacing w:after="0" w:line="203" w:lineRule="exact"/>
              <w:rPr>
                <w:sz w:val="20"/>
                <w:szCs w:val="20"/>
                <w:color w:val="auto"/>
              </w:rPr>
            </w:pPr>
            <w:r>
              <w:rPr>
                <w:rFonts w:ascii="Arial" w:cs="Arial" w:eastAsia="Arial" w:hAnsi="Arial"/>
                <w:sz w:val="18"/>
                <w:szCs w:val="18"/>
                <w:color w:val="auto"/>
                <w:w w:val="86"/>
              </w:rPr>
              <w:t>130,980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1,268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19,359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425</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150,339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1,693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F0FFFF"/>
            </w:tcBorders>
          </w:tcPr>
          <w:p>
            <w:pPr>
              <w:spacing w:after="0" w:line="20" w:lineRule="exact"/>
              <w:rPr>
                <w:sz w:val="1"/>
                <w:szCs w:val="1"/>
                <w:color w:val="auto"/>
              </w:rPr>
            </w:pPr>
          </w:p>
        </w:tc>
        <w:tc>
          <w:tcPr>
            <w:tcW w:w="400" w:type="dxa"/>
            <w:vAlign w:val="bottom"/>
            <w:tcBorders>
              <w:bottom w:val="single" w:sz="8" w:color="F0FFFF"/>
            </w:tcBorders>
          </w:tcPr>
          <w:p>
            <w:pPr>
              <w:spacing w:after="0" w:line="20" w:lineRule="exact"/>
              <w:rPr>
                <w:sz w:val="1"/>
                <w:szCs w:val="1"/>
                <w:color w:val="auto"/>
              </w:rPr>
            </w:pPr>
          </w:p>
        </w:tc>
        <w:tc>
          <w:tcPr>
            <w:tcW w:w="1920" w:type="dxa"/>
            <w:vAlign w:val="bottom"/>
            <w:tcBorders>
              <w:bottom w:val="single" w:sz="8" w:color="F0FFFF"/>
            </w:tcBorders>
          </w:tcPr>
          <w:p>
            <w:pPr>
              <w:spacing w:after="0" w:line="20" w:lineRule="exact"/>
              <w:rPr>
                <w:sz w:val="1"/>
                <w:szCs w:val="1"/>
                <w:color w:val="auto"/>
              </w:rPr>
            </w:pPr>
          </w:p>
        </w:tc>
        <w:tc>
          <w:tcPr>
            <w:tcW w:w="150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44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1920" w:type="dxa"/>
            <w:vAlign w:val="bottom"/>
            <w:shd w:val="clear" w:color="auto" w:fill="F0FFFF"/>
          </w:tcPr>
          <w:p>
            <w:pPr>
              <w:spacing w:after="0"/>
              <w:rPr>
                <w:sz w:val="18"/>
                <w:szCs w:val="18"/>
                <w:color w:val="auto"/>
              </w:rPr>
            </w:pPr>
          </w:p>
        </w:tc>
        <w:tc>
          <w:tcPr>
            <w:tcW w:w="15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760" w:type="dxa"/>
            <w:vAlign w:val="bottom"/>
            <w:gridSpan w:val="3"/>
          </w:tcPr>
          <w:p>
            <w:pPr>
              <w:spacing w:after="0" w:line="176" w:lineRule="exact"/>
              <w:rPr>
                <w:sz w:val="20"/>
                <w:szCs w:val="20"/>
                <w:color w:val="auto"/>
              </w:rPr>
            </w:pPr>
            <w:r>
              <w:rPr>
                <w:rFonts w:ascii="Arial" w:cs="Arial" w:eastAsia="Arial" w:hAnsi="Arial"/>
                <w:sz w:val="18"/>
                <w:szCs w:val="18"/>
                <w:color w:val="auto"/>
              </w:rPr>
              <w:t>As of December 31, 2014</w:t>
            </w:r>
          </w:p>
        </w:tc>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vMerge w:val="continue"/>
          </w:tcPr>
          <w:p>
            <w:pPr>
              <w:spacing w:after="0"/>
              <w:rPr>
                <w:sz w:val="20"/>
                <w:szCs w:val="20"/>
                <w:color w:val="auto"/>
              </w:rPr>
            </w:pPr>
          </w:p>
        </w:tc>
        <w:tc>
          <w:tcPr>
            <w:tcW w:w="376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Mortgage-backed securities</w:t>
            </w:r>
          </w:p>
        </w:tc>
        <w:tc>
          <w:tcPr>
            <w:tcW w:w="16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F0FFFF"/>
          </w:tcPr>
          <w:p>
            <w:pPr>
              <w:ind w:left="200"/>
              <w:spacing w:after="0"/>
              <w:rPr>
                <w:sz w:val="20"/>
                <w:szCs w:val="20"/>
                <w:color w:val="auto"/>
              </w:rPr>
            </w:pPr>
            <w:r>
              <w:rPr>
                <w:rFonts w:ascii="Arial" w:cs="Arial" w:eastAsia="Arial" w:hAnsi="Arial"/>
                <w:sz w:val="18"/>
                <w:szCs w:val="18"/>
                <w:color w:val="auto"/>
                <w:w w:val="95"/>
              </w:rPr>
              <w:t>126,514</w:t>
            </w:r>
          </w:p>
        </w:tc>
        <w:tc>
          <w:tcPr>
            <w:tcW w:w="26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917</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17,053</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337</w:t>
            </w:r>
          </w:p>
        </w:tc>
        <w:tc>
          <w:tcPr>
            <w:tcW w:w="200" w:type="dxa"/>
            <w:vAlign w:val="bottom"/>
            <w:shd w:val="clear" w:color="auto" w:fill="F0FF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143,567</w:t>
            </w:r>
          </w:p>
        </w:tc>
        <w:tc>
          <w:tcPr>
            <w:tcW w:w="100" w:type="dxa"/>
            <w:vAlign w:val="bottom"/>
            <w:shd w:val="clear" w:color="auto" w:fill="F0FFFF"/>
          </w:tcPr>
          <w:p>
            <w:pPr>
              <w:spacing w:after="0"/>
              <w:rPr>
                <w:sz w:val="20"/>
                <w:szCs w:val="20"/>
                <w:color w:val="auto"/>
              </w:rPr>
            </w:pPr>
          </w:p>
        </w:tc>
        <w:tc>
          <w:tcPr>
            <w:tcW w:w="220" w:type="dxa"/>
            <w:vAlign w:val="bottom"/>
            <w:gridSpan w:val="2"/>
            <w:shd w:val="clear" w:color="auto" w:fill="F0FFFF"/>
          </w:tcPr>
          <w:p>
            <w:pPr>
              <w:jc w:val="right"/>
              <w:ind w:right="42"/>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1,254</w:t>
            </w:r>
          </w:p>
        </w:tc>
        <w:tc>
          <w:tcPr>
            <w:tcW w:w="8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Borders>
              <w:top w:val="single" w:sz="8" w:color="F0FFFF"/>
            </w:tcBorders>
            <w:gridSpan w:val="3"/>
          </w:tcPr>
          <w:p>
            <w:pPr>
              <w:ind w:left="140"/>
              <w:spacing w:after="0" w:line="203" w:lineRule="exact"/>
              <w:rPr>
                <w:sz w:val="20"/>
                <w:szCs w:val="20"/>
                <w:color w:val="auto"/>
              </w:rPr>
            </w:pPr>
            <w:r>
              <w:rPr>
                <w:rFonts w:ascii="Arial" w:cs="Arial" w:eastAsia="Arial" w:hAnsi="Arial"/>
                <w:sz w:val="18"/>
                <w:szCs w:val="18"/>
                <w:color w:val="auto"/>
              </w:rPr>
              <w:t>Total unrealized loss position</w:t>
            </w:r>
          </w:p>
        </w:tc>
        <w:tc>
          <w:tcPr>
            <w:tcW w:w="1500" w:type="dxa"/>
            <w:vAlign w:val="bottom"/>
            <w:tcBorders>
              <w:top w:val="single" w:sz="8" w:color="F0FF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200"/>
              <w:spacing w:after="0" w:line="203" w:lineRule="exact"/>
              <w:rPr>
                <w:sz w:val="20"/>
                <w:szCs w:val="20"/>
                <w:color w:val="auto"/>
              </w:rPr>
            </w:pPr>
            <w:r>
              <w:rPr>
                <w:rFonts w:ascii="Arial" w:cs="Arial" w:eastAsia="Arial" w:hAnsi="Arial"/>
                <w:sz w:val="18"/>
                <w:szCs w:val="18"/>
                <w:color w:val="auto"/>
                <w:w w:val="86"/>
              </w:rPr>
              <w:t>126,514</w:t>
            </w:r>
          </w:p>
        </w:tc>
        <w:tc>
          <w:tcPr>
            <w:tcW w:w="60" w:type="dxa"/>
            <w:vAlign w:val="bottom"/>
            <w:tcBorders>
              <w:top w:val="single" w:sz="8" w:color="F0FFFF"/>
            </w:tcBorders>
          </w:tcPr>
          <w:p>
            <w:pPr>
              <w:spacing w:after="0"/>
              <w:rPr>
                <w:sz w:val="17"/>
                <w:szCs w:val="17"/>
                <w:color w:val="auto"/>
              </w:rPr>
            </w:pPr>
          </w:p>
        </w:tc>
        <w:tc>
          <w:tcPr>
            <w:tcW w:w="60" w:type="dxa"/>
            <w:vAlign w:val="bottom"/>
            <w:tcBorders>
              <w:top w:val="single" w:sz="8" w:color="F0FF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917</w:t>
            </w:r>
          </w:p>
        </w:tc>
        <w:tc>
          <w:tcPr>
            <w:tcW w:w="100" w:type="dxa"/>
            <w:vAlign w:val="bottom"/>
            <w:tcBorders>
              <w:top w:val="single" w:sz="8" w:color="F0FF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17,053</w:t>
            </w:r>
          </w:p>
        </w:tc>
        <w:tc>
          <w:tcPr>
            <w:tcW w:w="40" w:type="dxa"/>
            <w:vAlign w:val="bottom"/>
            <w:tcBorders>
              <w:top w:val="single" w:sz="8" w:color="F0FFFF"/>
            </w:tcBorders>
          </w:tcPr>
          <w:p>
            <w:pPr>
              <w:spacing w:after="0"/>
              <w:rPr>
                <w:sz w:val="17"/>
                <w:szCs w:val="17"/>
                <w:color w:val="auto"/>
              </w:rPr>
            </w:pPr>
          </w:p>
        </w:tc>
        <w:tc>
          <w:tcPr>
            <w:tcW w:w="60" w:type="dxa"/>
            <w:vAlign w:val="bottom"/>
            <w:tcBorders>
              <w:top w:val="single" w:sz="8" w:color="F0FF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337</w:t>
            </w:r>
          </w:p>
        </w:tc>
        <w:tc>
          <w:tcPr>
            <w:tcW w:w="120" w:type="dxa"/>
            <w:vAlign w:val="bottom"/>
            <w:tcBorders>
              <w:top w:val="single" w:sz="8" w:color="F0FF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143,567</w:t>
            </w:r>
          </w:p>
        </w:tc>
        <w:tc>
          <w:tcPr>
            <w:tcW w:w="10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1,254</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F0FFFF"/>
            </w:tcBorders>
          </w:tcPr>
          <w:p>
            <w:pPr>
              <w:spacing w:after="0" w:line="20" w:lineRule="exact"/>
              <w:rPr>
                <w:sz w:val="1"/>
                <w:szCs w:val="1"/>
                <w:color w:val="auto"/>
              </w:rPr>
            </w:pPr>
          </w:p>
        </w:tc>
        <w:tc>
          <w:tcPr>
            <w:tcW w:w="400" w:type="dxa"/>
            <w:vAlign w:val="bottom"/>
            <w:tcBorders>
              <w:bottom w:val="single" w:sz="8" w:color="F0FFFF"/>
            </w:tcBorders>
          </w:tcPr>
          <w:p>
            <w:pPr>
              <w:spacing w:after="0" w:line="20" w:lineRule="exact"/>
              <w:rPr>
                <w:sz w:val="1"/>
                <w:szCs w:val="1"/>
                <w:color w:val="auto"/>
              </w:rPr>
            </w:pPr>
          </w:p>
        </w:tc>
        <w:tc>
          <w:tcPr>
            <w:tcW w:w="1920" w:type="dxa"/>
            <w:vAlign w:val="bottom"/>
            <w:tcBorders>
              <w:bottom w:val="single" w:sz="8" w:color="F0FFFF"/>
            </w:tcBorders>
          </w:tcPr>
          <w:p>
            <w:pPr>
              <w:spacing w:after="0" w:line="20" w:lineRule="exact"/>
              <w:rPr>
                <w:sz w:val="1"/>
                <w:szCs w:val="1"/>
                <w:color w:val="auto"/>
              </w:rPr>
            </w:pPr>
          </w:p>
        </w:tc>
        <w:tc>
          <w:tcPr>
            <w:tcW w:w="150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44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1920" w:type="dxa"/>
            <w:vAlign w:val="bottom"/>
            <w:shd w:val="clear" w:color="auto" w:fill="F0FFFF"/>
          </w:tcPr>
          <w:p>
            <w:pPr>
              <w:spacing w:after="0"/>
              <w:rPr>
                <w:sz w:val="18"/>
                <w:szCs w:val="18"/>
                <w:color w:val="auto"/>
              </w:rPr>
            </w:pPr>
          </w:p>
        </w:tc>
        <w:tc>
          <w:tcPr>
            <w:tcW w:w="15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760" w:type="dxa"/>
            <w:vAlign w:val="bottom"/>
            <w:gridSpan w:val="3"/>
          </w:tcPr>
          <w:p>
            <w:pPr>
              <w:spacing w:after="0" w:line="176" w:lineRule="exact"/>
              <w:rPr>
                <w:sz w:val="20"/>
                <w:szCs w:val="20"/>
                <w:color w:val="auto"/>
              </w:rPr>
            </w:pPr>
            <w:r>
              <w:rPr>
                <w:rFonts w:ascii="Arial" w:cs="Arial" w:eastAsia="Arial" w:hAnsi="Arial"/>
                <w:sz w:val="18"/>
                <w:szCs w:val="18"/>
                <w:color w:val="auto"/>
              </w:rPr>
              <w:t>As of June 30, 2014</w:t>
            </w:r>
          </w:p>
        </w:tc>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vMerge w:val="continue"/>
          </w:tcPr>
          <w:p>
            <w:pPr>
              <w:spacing w:after="0"/>
              <w:rPr>
                <w:sz w:val="20"/>
                <w:szCs w:val="20"/>
                <w:color w:val="auto"/>
              </w:rPr>
            </w:pPr>
          </w:p>
        </w:tc>
        <w:tc>
          <w:tcPr>
            <w:tcW w:w="376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Mortgage-backed securities</w:t>
            </w:r>
          </w:p>
        </w:tc>
        <w:tc>
          <w:tcPr>
            <w:tcW w:w="16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F0FFFF"/>
          </w:tcPr>
          <w:p>
            <w:pPr>
              <w:ind w:left="200"/>
              <w:spacing w:after="0"/>
              <w:rPr>
                <w:sz w:val="20"/>
                <w:szCs w:val="20"/>
                <w:color w:val="auto"/>
              </w:rPr>
            </w:pPr>
            <w:r>
              <w:rPr>
                <w:rFonts w:ascii="Arial" w:cs="Arial" w:eastAsia="Arial" w:hAnsi="Arial"/>
                <w:sz w:val="18"/>
                <w:szCs w:val="18"/>
                <w:color w:val="auto"/>
                <w:w w:val="95"/>
              </w:rPr>
              <w:t>194,724</w:t>
            </w:r>
          </w:p>
        </w:tc>
        <w:tc>
          <w:tcPr>
            <w:tcW w:w="260" w:type="dxa"/>
            <w:vAlign w:val="bottom"/>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1,898</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2,955</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F0FF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197,679</w:t>
            </w:r>
          </w:p>
        </w:tc>
        <w:tc>
          <w:tcPr>
            <w:tcW w:w="100" w:type="dxa"/>
            <w:vAlign w:val="bottom"/>
            <w:shd w:val="clear" w:color="auto" w:fill="F0FFFF"/>
          </w:tcPr>
          <w:p>
            <w:pPr>
              <w:spacing w:after="0"/>
              <w:rPr>
                <w:sz w:val="20"/>
                <w:szCs w:val="20"/>
                <w:color w:val="auto"/>
              </w:rPr>
            </w:pPr>
          </w:p>
        </w:tc>
        <w:tc>
          <w:tcPr>
            <w:tcW w:w="220" w:type="dxa"/>
            <w:vAlign w:val="bottom"/>
            <w:gridSpan w:val="2"/>
            <w:shd w:val="clear" w:color="auto" w:fill="F0FFFF"/>
          </w:tcPr>
          <w:p>
            <w:pPr>
              <w:jc w:val="right"/>
              <w:ind w:right="42"/>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2,017</w:t>
            </w:r>
          </w:p>
        </w:tc>
        <w:tc>
          <w:tcPr>
            <w:tcW w:w="8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Borders>
              <w:top w:val="single" w:sz="8" w:color="F0FFFF"/>
            </w:tcBorders>
            <w:gridSpan w:val="3"/>
          </w:tcPr>
          <w:p>
            <w:pPr>
              <w:ind w:left="140"/>
              <w:spacing w:after="0" w:line="203" w:lineRule="exact"/>
              <w:rPr>
                <w:sz w:val="20"/>
                <w:szCs w:val="20"/>
                <w:color w:val="auto"/>
              </w:rPr>
            </w:pPr>
            <w:r>
              <w:rPr>
                <w:rFonts w:ascii="Arial" w:cs="Arial" w:eastAsia="Arial" w:hAnsi="Arial"/>
                <w:sz w:val="18"/>
                <w:szCs w:val="18"/>
                <w:color w:val="auto"/>
              </w:rPr>
              <w:t>Total unrealized loss position</w:t>
            </w:r>
          </w:p>
        </w:tc>
        <w:tc>
          <w:tcPr>
            <w:tcW w:w="1500" w:type="dxa"/>
            <w:vAlign w:val="bottom"/>
            <w:tcBorders>
              <w:top w:val="single" w:sz="8" w:color="F0FF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200"/>
              <w:spacing w:after="0" w:line="203" w:lineRule="exact"/>
              <w:rPr>
                <w:sz w:val="20"/>
                <w:szCs w:val="20"/>
                <w:color w:val="auto"/>
              </w:rPr>
            </w:pPr>
            <w:r>
              <w:rPr>
                <w:rFonts w:ascii="Arial" w:cs="Arial" w:eastAsia="Arial" w:hAnsi="Arial"/>
                <w:sz w:val="18"/>
                <w:szCs w:val="18"/>
                <w:color w:val="auto"/>
                <w:w w:val="86"/>
              </w:rPr>
              <w:t>194,724</w:t>
            </w:r>
          </w:p>
        </w:tc>
        <w:tc>
          <w:tcPr>
            <w:tcW w:w="60" w:type="dxa"/>
            <w:vAlign w:val="bottom"/>
            <w:tcBorders>
              <w:top w:val="single" w:sz="8" w:color="F0FFFF"/>
            </w:tcBorders>
          </w:tcPr>
          <w:p>
            <w:pPr>
              <w:spacing w:after="0"/>
              <w:rPr>
                <w:sz w:val="17"/>
                <w:szCs w:val="17"/>
                <w:color w:val="auto"/>
              </w:rPr>
            </w:pPr>
          </w:p>
        </w:tc>
        <w:tc>
          <w:tcPr>
            <w:tcW w:w="60" w:type="dxa"/>
            <w:vAlign w:val="bottom"/>
            <w:tcBorders>
              <w:top w:val="single" w:sz="8" w:color="F0FF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1,898</w:t>
            </w:r>
          </w:p>
        </w:tc>
        <w:tc>
          <w:tcPr>
            <w:tcW w:w="100" w:type="dxa"/>
            <w:vAlign w:val="bottom"/>
            <w:tcBorders>
              <w:top w:val="single" w:sz="8" w:color="F0FF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2,955</w:t>
            </w:r>
          </w:p>
        </w:tc>
        <w:tc>
          <w:tcPr>
            <w:tcW w:w="40" w:type="dxa"/>
            <w:vAlign w:val="bottom"/>
            <w:tcBorders>
              <w:top w:val="single" w:sz="8" w:color="F0FFFF"/>
            </w:tcBorders>
          </w:tcPr>
          <w:p>
            <w:pPr>
              <w:spacing w:after="0"/>
              <w:rPr>
                <w:sz w:val="17"/>
                <w:szCs w:val="17"/>
                <w:color w:val="auto"/>
              </w:rPr>
            </w:pPr>
          </w:p>
        </w:tc>
        <w:tc>
          <w:tcPr>
            <w:tcW w:w="60" w:type="dxa"/>
            <w:vAlign w:val="bottom"/>
            <w:tcBorders>
              <w:top w:val="single" w:sz="8" w:color="F0FF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119</w:t>
            </w:r>
          </w:p>
        </w:tc>
        <w:tc>
          <w:tcPr>
            <w:tcW w:w="120" w:type="dxa"/>
            <w:vAlign w:val="bottom"/>
            <w:tcBorders>
              <w:top w:val="single" w:sz="8" w:color="F0FF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197,679</w:t>
            </w:r>
          </w:p>
        </w:tc>
        <w:tc>
          <w:tcPr>
            <w:tcW w:w="100" w:type="dxa"/>
            <w:vAlign w:val="bottom"/>
            <w:tcBorders>
              <w:top w:val="single" w:sz="8" w:color="F0FFFF"/>
            </w:tcBorders>
          </w:tcPr>
          <w:p>
            <w:pPr>
              <w:spacing w:after="0"/>
              <w:rPr>
                <w:sz w:val="17"/>
                <w:szCs w:val="17"/>
                <w:color w:val="auto"/>
              </w:rPr>
            </w:pPr>
          </w:p>
        </w:tc>
        <w:tc>
          <w:tcPr>
            <w:tcW w:w="20" w:type="dxa"/>
            <w:vAlign w:val="bottom"/>
            <w:tcBorders>
              <w:top w:val="single" w:sz="8" w:color="F0FFFF"/>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2,017</w:t>
            </w:r>
          </w:p>
        </w:tc>
        <w:tc>
          <w:tcPr>
            <w:tcW w:w="20" w:type="dxa"/>
            <w:vAlign w:val="bottom"/>
            <w:tcBorders>
              <w:top w:val="single" w:sz="8" w:color="F0FFFF"/>
              <w:bottom w:val="single" w:sz="8" w:color="auto"/>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evaluates securities for other-than-temporary impairment on a quarterly basis, and more frequently when economic or market concerns warrant such evaluation. Consideration is given to the length of time and the extent to which the fair value has been less than cost, the financial condition and near-term prospects of the issuer, among other factors. In analyzing an issuer’s financial condition, management considers whether the securities are issued by the federal government or its agencies, whether downgrades by bond rating agencies have occurred, and industry analysts’ reports. No impairment charges were recognized during the three or six months ended June 30, 2015 or 2014.</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UNITED COMMUNITY BANKS,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2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The cost basis, unrealized gains and losses, and fair value of securities available-for-sale at June 30, 2015, December 31, 2014 and June 30, 2014 are presented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Gross</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Gross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Unrealized</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Unrealized</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Fair</w:t>
            </w:r>
          </w:p>
        </w:tc>
      </w:tr>
      <w:tr>
        <w:trPr>
          <w:trHeight w:val="207"/>
        </w:trPr>
        <w:tc>
          <w:tcPr>
            <w:tcW w:w="4900" w:type="dxa"/>
            <w:vAlign w:val="bottom"/>
            <w:gridSpan w:val="3"/>
          </w:tcPr>
          <w:p>
            <w:pPr>
              <w:spacing w:after="0"/>
              <w:rPr>
                <w:sz w:val="20"/>
                <w:szCs w:val="20"/>
                <w:color w:val="auto"/>
              </w:rPr>
            </w:pPr>
            <w:r>
              <w:rPr>
                <w:rFonts w:ascii="Arial" w:cs="Arial" w:eastAsia="Arial" w:hAnsi="Arial"/>
                <w:sz w:val="18"/>
                <w:szCs w:val="18"/>
                <w:color w:val="auto"/>
              </w:rPr>
              <w:t>As of June 30, 2015</w:t>
            </w:r>
          </w:p>
        </w:tc>
        <w:tc>
          <w:tcPr>
            <w:tcW w:w="160" w:type="dxa"/>
            <w:vAlign w:val="bottom"/>
          </w:tcPr>
          <w:p>
            <w:pPr>
              <w:spacing w:after="0"/>
              <w:rPr>
                <w:sz w:val="18"/>
                <w:szCs w:val="18"/>
                <w:color w:val="auto"/>
              </w:rPr>
            </w:pPr>
          </w:p>
        </w:tc>
        <w:tc>
          <w:tcPr>
            <w:tcW w:w="1180" w:type="dxa"/>
            <w:vAlign w:val="bottom"/>
            <w:gridSpan w:val="2"/>
          </w:tcPr>
          <w:p>
            <w:pPr>
              <w:ind w:left="320"/>
              <w:spacing w:after="0"/>
              <w:rPr>
                <w:sz w:val="20"/>
                <w:szCs w:val="20"/>
                <w:color w:val="auto"/>
              </w:rPr>
            </w:pPr>
            <w:r>
              <w:rPr>
                <w:rFonts w:ascii="Arial" w:cs="Arial" w:eastAsia="Arial" w:hAnsi="Arial"/>
                <w:sz w:val="18"/>
                <w:szCs w:val="18"/>
                <w:b w:val="1"/>
                <w:bCs w:val="1"/>
                <w:color w:val="auto"/>
              </w:rPr>
              <w:t>Cost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Gains</w:t>
            </w: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Losses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Value</w:t>
            </w:r>
          </w:p>
        </w:tc>
      </w:tr>
      <w:tr>
        <w:trPr>
          <w:trHeight w:val="20"/>
        </w:trPr>
        <w:tc>
          <w:tcPr>
            <w:tcW w:w="1460" w:type="dxa"/>
            <w:vAlign w:val="bottom"/>
            <w:tcBorders>
              <w:top w:val="single" w:sz="8" w:color="auto"/>
              <w:bottom w:val="single" w:sz="8" w:color="F0FFFF"/>
            </w:tcBorders>
          </w:tcPr>
          <w:p>
            <w:pPr>
              <w:spacing w:after="0" w:line="20" w:lineRule="exact"/>
              <w:rPr>
                <w:sz w:val="1"/>
                <w:szCs w:val="1"/>
                <w:color w:val="auto"/>
              </w:rPr>
            </w:pPr>
          </w:p>
        </w:tc>
        <w:tc>
          <w:tcPr>
            <w:tcW w:w="400" w:type="dxa"/>
            <w:vAlign w:val="bottom"/>
            <w:tcBorders>
              <w:bottom w:val="single" w:sz="8" w:color="F0FFFF"/>
            </w:tcBorders>
          </w:tcPr>
          <w:p>
            <w:pPr>
              <w:spacing w:after="0" w:line="20" w:lineRule="exact"/>
              <w:rPr>
                <w:sz w:val="1"/>
                <w:szCs w:val="1"/>
                <w:color w:val="auto"/>
              </w:rPr>
            </w:pPr>
          </w:p>
        </w:tc>
        <w:tc>
          <w:tcPr>
            <w:tcW w:w="304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r>
      <w:tr>
        <w:trPr>
          <w:trHeight w:val="224"/>
        </w:trPr>
        <w:tc>
          <w:tcPr>
            <w:tcW w:w="4900" w:type="dxa"/>
            <w:vAlign w:val="bottom"/>
            <w:gridSpan w:val="3"/>
            <w:shd w:val="clear" w:color="auto" w:fill="F0FFFF"/>
          </w:tcPr>
          <w:p>
            <w:pPr>
              <w:ind w:left="360"/>
              <w:spacing w:after="0"/>
              <w:rPr>
                <w:sz w:val="20"/>
                <w:szCs w:val="20"/>
                <w:color w:val="auto"/>
              </w:rPr>
            </w:pPr>
            <w:r>
              <w:rPr>
                <w:rFonts w:ascii="Arial" w:cs="Arial" w:eastAsia="Arial" w:hAnsi="Arial"/>
                <w:sz w:val="18"/>
                <w:szCs w:val="18"/>
                <w:color w:val="auto"/>
              </w:rPr>
              <w:t>U.S. Treasuries</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127,962</w:t>
            </w:r>
          </w:p>
        </w:tc>
        <w:tc>
          <w:tcPr>
            <w:tcW w:w="40" w:type="dxa"/>
            <w:vAlign w:val="bottom"/>
            <w:shd w:val="clear" w:color="auto" w:fill="F0FFFF"/>
          </w:tcPr>
          <w:p>
            <w:pPr>
              <w:spacing w:after="0"/>
              <w:rPr>
                <w:sz w:val="19"/>
                <w:szCs w:val="19"/>
                <w:color w:val="auto"/>
              </w:rPr>
            </w:pPr>
          </w:p>
        </w:tc>
        <w:tc>
          <w:tcPr>
            <w:tcW w:w="60" w:type="dxa"/>
            <w:vAlign w:val="bottom"/>
            <w:shd w:val="clear" w:color="auto" w:fill="F0FFFF"/>
          </w:tcPr>
          <w:p>
            <w:pPr>
              <w:spacing w:after="0"/>
              <w:rPr>
                <w:sz w:val="19"/>
                <w:szCs w:val="19"/>
                <w:color w:val="auto"/>
              </w:rPr>
            </w:pP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F0FFFF"/>
          </w:tcPr>
          <w:p>
            <w:pPr>
              <w:spacing w:after="0"/>
              <w:rPr>
                <w:sz w:val="19"/>
                <w:szCs w:val="19"/>
                <w:color w:val="auto"/>
              </w:rPr>
            </w:pP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F0FFFF"/>
          </w:tcPr>
          <w:p>
            <w:pPr>
              <w:spacing w:after="0"/>
              <w:rPr>
                <w:sz w:val="19"/>
                <w:szCs w:val="19"/>
                <w:color w:val="auto"/>
              </w:rPr>
            </w:pPr>
          </w:p>
        </w:tc>
        <w:tc>
          <w:tcPr>
            <w:tcW w:w="20" w:type="dxa"/>
            <w:vAlign w:val="bottom"/>
            <w:shd w:val="clear" w:color="auto" w:fill="F0FFFF"/>
          </w:tcPr>
          <w:p>
            <w:pPr>
              <w:spacing w:after="0"/>
              <w:rPr>
                <w:sz w:val="19"/>
                <w:szCs w:val="19"/>
                <w:color w:val="auto"/>
              </w:rPr>
            </w:pPr>
          </w:p>
        </w:tc>
        <w:tc>
          <w:tcPr>
            <w:tcW w:w="280" w:type="dxa"/>
            <w:vAlign w:val="bottom"/>
            <w:shd w:val="clear" w:color="auto" w:fill="F0FFFF"/>
          </w:tcPr>
          <w:p>
            <w:pPr>
              <w:jc w:val="right"/>
              <w:ind w:right="170"/>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127,901</w:t>
            </w:r>
          </w:p>
        </w:tc>
        <w:tc>
          <w:tcPr>
            <w:tcW w:w="220" w:type="dxa"/>
            <w:vAlign w:val="bottom"/>
            <w:shd w:val="clear" w:color="auto" w:fill="F0FFFF"/>
          </w:tcPr>
          <w:p>
            <w:pPr>
              <w:spacing w:after="0"/>
              <w:rPr>
                <w:sz w:val="19"/>
                <w:szCs w:val="19"/>
                <w:color w:val="auto"/>
              </w:rPr>
            </w:pPr>
          </w:p>
        </w:tc>
      </w:tr>
      <w:tr>
        <w:trPr>
          <w:trHeight w:val="243"/>
        </w:trPr>
        <w:tc>
          <w:tcPr>
            <w:tcW w:w="4900" w:type="dxa"/>
            <w:vAlign w:val="bottom"/>
            <w:gridSpan w:val="3"/>
          </w:tcPr>
          <w:p>
            <w:pPr>
              <w:ind w:left="360"/>
              <w:spacing w:after="0"/>
              <w:rPr>
                <w:sz w:val="20"/>
                <w:szCs w:val="20"/>
                <w:color w:val="auto"/>
              </w:rPr>
            </w:pPr>
            <w:r>
              <w:rPr>
                <w:rFonts w:ascii="Arial" w:cs="Arial" w:eastAsia="Arial" w:hAnsi="Arial"/>
                <w:sz w:val="18"/>
                <w:szCs w:val="18"/>
                <w:color w:val="auto"/>
              </w:rPr>
              <w:t>U.S. Government agencies</w:t>
            </w:r>
          </w:p>
        </w:tc>
        <w:tc>
          <w:tcPr>
            <w:tcW w:w="1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110,710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525</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110,311</w:t>
            </w:r>
          </w:p>
        </w:tc>
      </w:tr>
      <w:tr>
        <w:trPr>
          <w:trHeight w:val="243"/>
        </w:trPr>
        <w:tc>
          <w:tcPr>
            <w:tcW w:w="4900" w:type="dxa"/>
            <w:vAlign w:val="bottom"/>
            <w:gridSpan w:val="3"/>
            <w:shd w:val="clear" w:color="auto" w:fill="F0FFFF"/>
          </w:tcPr>
          <w:p>
            <w:pPr>
              <w:ind w:left="360"/>
              <w:spacing w:after="0"/>
              <w:rPr>
                <w:sz w:val="20"/>
                <w:szCs w:val="20"/>
                <w:color w:val="auto"/>
              </w:rPr>
            </w:pPr>
            <w:r>
              <w:rPr>
                <w:rFonts w:ascii="Arial" w:cs="Arial" w:eastAsia="Arial" w:hAnsi="Arial"/>
                <w:sz w:val="18"/>
                <w:szCs w:val="18"/>
                <w:color w:val="auto"/>
              </w:rPr>
              <w:t>State and political subdivisions</w:t>
            </w:r>
          </w:p>
        </w:tc>
        <w:tc>
          <w:tcPr>
            <w:tcW w:w="16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30,489</w:t>
            </w:r>
          </w:p>
        </w:tc>
        <w:tc>
          <w:tcPr>
            <w:tcW w:w="6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416</w:t>
            </w:r>
          </w:p>
        </w:tc>
        <w:tc>
          <w:tcPr>
            <w:tcW w:w="160" w:type="dxa"/>
            <w:vAlign w:val="bottom"/>
            <w:shd w:val="clear" w:color="auto" w:fill="F0FFFF"/>
          </w:tcPr>
          <w:p>
            <w:pPr>
              <w:spacing w:after="0"/>
              <w:rPr>
                <w:sz w:val="21"/>
                <w:szCs w:val="21"/>
                <w:color w:val="auto"/>
              </w:rPr>
            </w:pP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141</w:t>
            </w:r>
          </w:p>
        </w:tc>
        <w:tc>
          <w:tcPr>
            <w:tcW w:w="2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4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30,764</w:t>
            </w:r>
          </w:p>
        </w:tc>
      </w:tr>
      <w:tr>
        <w:trPr>
          <w:trHeight w:val="257"/>
        </w:trPr>
        <w:tc>
          <w:tcPr>
            <w:tcW w:w="4900" w:type="dxa"/>
            <w:vAlign w:val="bottom"/>
            <w:gridSpan w:val="3"/>
          </w:tcPr>
          <w:p>
            <w:pPr>
              <w:ind w:left="360"/>
              <w:spacing w:after="0" w:line="25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989,636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14,852</w:t>
            </w:r>
          </w:p>
        </w:tc>
        <w:tc>
          <w:tcPr>
            <w:tcW w:w="160" w:type="dxa"/>
            <w:vAlign w:val="bottom"/>
          </w:tcPr>
          <w:p>
            <w:pPr>
              <w:spacing w:after="0"/>
              <w:rPr>
                <w:sz w:val="22"/>
                <w:szCs w:val="22"/>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6,372</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998,116</w:t>
            </w:r>
          </w:p>
        </w:tc>
      </w:tr>
      <w:tr>
        <w:trPr>
          <w:trHeight w:val="243"/>
        </w:trPr>
        <w:tc>
          <w:tcPr>
            <w:tcW w:w="4900" w:type="dxa"/>
            <w:vAlign w:val="bottom"/>
            <w:gridSpan w:val="3"/>
            <w:shd w:val="clear" w:color="auto" w:fill="F0FFFF"/>
          </w:tcPr>
          <w:p>
            <w:pPr>
              <w:ind w:left="36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208,114</w:t>
            </w:r>
          </w:p>
        </w:tc>
        <w:tc>
          <w:tcPr>
            <w:tcW w:w="6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1,611</w:t>
            </w:r>
          </w:p>
        </w:tc>
        <w:tc>
          <w:tcPr>
            <w:tcW w:w="160" w:type="dxa"/>
            <w:vAlign w:val="bottom"/>
            <w:shd w:val="clear" w:color="auto" w:fill="F0FFFF"/>
          </w:tcPr>
          <w:p>
            <w:pPr>
              <w:spacing w:after="0"/>
              <w:rPr>
                <w:sz w:val="21"/>
                <w:szCs w:val="21"/>
                <w:color w:val="auto"/>
              </w:rPr>
            </w:pP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2,701</w:t>
            </w:r>
          </w:p>
        </w:tc>
        <w:tc>
          <w:tcPr>
            <w:tcW w:w="2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4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207,024</w:t>
            </w:r>
          </w:p>
        </w:tc>
      </w:tr>
      <w:tr>
        <w:trPr>
          <w:trHeight w:val="243"/>
        </w:trPr>
        <w:tc>
          <w:tcPr>
            <w:tcW w:w="4900" w:type="dxa"/>
            <w:vAlign w:val="bottom"/>
            <w:gridSpan w:val="3"/>
          </w:tcPr>
          <w:p>
            <w:pPr>
              <w:ind w:left="360"/>
              <w:spacing w:after="0"/>
              <w:rPr>
                <w:sz w:val="20"/>
                <w:szCs w:val="20"/>
                <w:color w:val="auto"/>
              </w:rPr>
            </w:pPr>
            <w:r>
              <w:rPr>
                <w:rFonts w:ascii="Arial" w:cs="Arial" w:eastAsia="Arial" w:hAnsi="Arial"/>
                <w:sz w:val="18"/>
                <w:szCs w:val="18"/>
                <w:color w:val="auto"/>
              </w:rPr>
              <w:t>Asset-backed securities</w:t>
            </w:r>
          </w:p>
        </w:tc>
        <w:tc>
          <w:tcPr>
            <w:tcW w:w="1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462,702</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3,938</w:t>
            </w:r>
          </w:p>
        </w:tc>
        <w:tc>
          <w:tcPr>
            <w:tcW w:w="16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466,332</w:t>
            </w:r>
          </w:p>
        </w:tc>
      </w:tr>
      <w:tr>
        <w:trPr>
          <w:trHeight w:val="250"/>
        </w:trPr>
        <w:tc>
          <w:tcPr>
            <w:tcW w:w="4900" w:type="dxa"/>
            <w:vAlign w:val="bottom"/>
            <w:gridSpan w:val="3"/>
            <w:shd w:val="clear" w:color="auto" w:fill="F0FFFF"/>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1,871</w:t>
            </w:r>
          </w:p>
        </w:tc>
        <w:tc>
          <w:tcPr>
            <w:tcW w:w="6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21"/>
                <w:szCs w:val="21"/>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1"/>
                <w:szCs w:val="21"/>
                <w:color w:val="auto"/>
              </w:rPr>
            </w:pPr>
          </w:p>
        </w:tc>
        <w:tc>
          <w:tcPr>
            <w:tcW w:w="2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4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1,871</w:t>
            </w:r>
          </w:p>
        </w:tc>
      </w:tr>
      <w:tr>
        <w:trPr>
          <w:trHeight w:val="243"/>
        </w:trPr>
        <w:tc>
          <w:tcPr>
            <w:tcW w:w="1460" w:type="dxa"/>
            <w:vAlign w:val="bottom"/>
            <w:tcBorders>
              <w:top w:val="single" w:sz="8" w:color="F0FFFF"/>
            </w:tcBorders>
          </w:tcPr>
          <w:p>
            <w:pPr>
              <w:spacing w:after="0"/>
              <w:rPr>
                <w:sz w:val="21"/>
                <w:szCs w:val="21"/>
                <w:color w:val="auto"/>
              </w:rPr>
            </w:pPr>
          </w:p>
        </w:tc>
        <w:tc>
          <w:tcPr>
            <w:tcW w:w="400" w:type="dxa"/>
            <w:vAlign w:val="bottom"/>
            <w:tcBorders>
              <w:top w:val="single" w:sz="8" w:color="F0FFFF"/>
            </w:tcBorders>
          </w:tcPr>
          <w:p>
            <w:pPr>
              <w:spacing w:after="0"/>
              <w:rPr>
                <w:sz w:val="21"/>
                <w:szCs w:val="21"/>
                <w:color w:val="auto"/>
              </w:rPr>
            </w:pPr>
          </w:p>
        </w:tc>
        <w:tc>
          <w:tcPr>
            <w:tcW w:w="3040" w:type="dxa"/>
            <w:vAlign w:val="bottom"/>
            <w:tcBorders>
              <w:top w:val="single" w:sz="8" w:color="F0FF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40" w:type="dxa"/>
            <w:vAlign w:val="bottom"/>
            <w:tcBorders>
              <w:top w:val="single" w:sz="8" w:color="F0FFFF"/>
            </w:tcBorders>
          </w:tcPr>
          <w:p>
            <w:pPr>
              <w:spacing w:after="0"/>
              <w:rPr>
                <w:sz w:val="21"/>
                <w:szCs w:val="21"/>
                <w:color w:val="auto"/>
              </w:rPr>
            </w:pPr>
          </w:p>
        </w:tc>
        <w:tc>
          <w:tcPr>
            <w:tcW w:w="60" w:type="dxa"/>
            <w:vAlign w:val="bottom"/>
            <w:tcBorders>
              <w:top w:val="single" w:sz="8" w:color="F0FF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Borders>
              <w:top w:val="single" w:sz="8" w:color="F0FF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Borders>
              <w:top w:val="single" w:sz="8" w:color="F0FFFF"/>
            </w:tcBorders>
          </w:tcPr>
          <w:p>
            <w:pPr>
              <w:spacing w:after="0"/>
              <w:rPr>
                <w:sz w:val="21"/>
                <w:szCs w:val="21"/>
                <w:color w:val="auto"/>
              </w:rPr>
            </w:pPr>
          </w:p>
        </w:tc>
        <w:tc>
          <w:tcPr>
            <w:tcW w:w="20" w:type="dxa"/>
            <w:vAlign w:val="bottom"/>
            <w:tcBorders>
              <w:top w:val="single" w:sz="8" w:color="F0FFFF"/>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220" w:type="dxa"/>
            <w:vAlign w:val="bottom"/>
            <w:tcBorders>
              <w:top w:val="single" w:sz="8" w:color="F0FFFF"/>
            </w:tcBorders>
          </w:tcPr>
          <w:p>
            <w:pPr>
              <w:spacing w:after="0"/>
              <w:rPr>
                <w:sz w:val="21"/>
                <w:szCs w:val="21"/>
                <w:color w:val="auto"/>
              </w:rPr>
            </w:pPr>
          </w:p>
        </w:tc>
      </w:tr>
      <w:tr>
        <w:trPr>
          <w:trHeight w:val="236"/>
        </w:trPr>
        <w:tc>
          <w:tcPr>
            <w:tcW w:w="4900" w:type="dxa"/>
            <w:vAlign w:val="bottom"/>
            <w:gridSpan w:val="3"/>
            <w:shd w:val="clear" w:color="auto" w:fill="F0FFFF"/>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1,931,484</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21,303</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10,468</w:t>
            </w:r>
          </w:p>
        </w:tc>
        <w:tc>
          <w:tcPr>
            <w:tcW w:w="300" w:type="dxa"/>
            <w:vAlign w:val="bottom"/>
            <w:gridSpan w:val="2"/>
            <w:shd w:val="clear" w:color="auto" w:fill="F0FFFF"/>
          </w:tcPr>
          <w:p>
            <w:pPr>
              <w:jc w:val="right"/>
              <w:ind w:right="170"/>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1,942,319</w:t>
            </w:r>
          </w:p>
        </w:tc>
        <w:tc>
          <w:tcPr>
            <w:tcW w:w="220" w:type="dxa"/>
            <w:vAlign w:val="bottom"/>
            <w:shd w:val="clear" w:color="auto" w:fill="F0FFFF"/>
          </w:tcPr>
          <w:p>
            <w:pPr>
              <w:spacing w:after="0"/>
              <w:rPr>
                <w:sz w:val="20"/>
                <w:szCs w:val="20"/>
                <w:color w:val="auto"/>
              </w:rPr>
            </w:pPr>
          </w:p>
        </w:tc>
      </w:tr>
      <w:tr>
        <w:trPr>
          <w:trHeight w:val="20"/>
        </w:trPr>
        <w:tc>
          <w:tcPr>
            <w:tcW w:w="1460" w:type="dxa"/>
            <w:vAlign w:val="bottom"/>
            <w:tcBorders>
              <w:top w:val="single" w:sz="8" w:color="F0FFFF"/>
            </w:tcBorders>
          </w:tcPr>
          <w:p>
            <w:pPr>
              <w:spacing w:after="0" w:line="20" w:lineRule="exact"/>
              <w:rPr>
                <w:sz w:val="1"/>
                <w:szCs w:val="1"/>
                <w:color w:val="auto"/>
              </w:rPr>
            </w:pPr>
          </w:p>
        </w:tc>
        <w:tc>
          <w:tcPr>
            <w:tcW w:w="400" w:type="dxa"/>
            <w:vAlign w:val="bottom"/>
            <w:tcBorders>
              <w:top w:val="single" w:sz="8" w:color="F0FFFF"/>
            </w:tcBorders>
          </w:tcPr>
          <w:p>
            <w:pPr>
              <w:spacing w:after="0" w:line="20" w:lineRule="exact"/>
              <w:rPr>
                <w:sz w:val="1"/>
                <w:szCs w:val="1"/>
                <w:color w:val="auto"/>
              </w:rPr>
            </w:pPr>
          </w:p>
        </w:tc>
        <w:tc>
          <w:tcPr>
            <w:tcW w:w="304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r>
      <w:tr>
        <w:trPr>
          <w:trHeight w:val="217"/>
        </w:trPr>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3"/>
        </w:trPr>
        <w:tc>
          <w:tcPr>
            <w:tcW w:w="4900" w:type="dxa"/>
            <w:vAlign w:val="bottom"/>
            <w:gridSpan w:val="3"/>
            <w:shd w:val="clear" w:color="auto" w:fill="F0FFFF"/>
          </w:tcPr>
          <w:p>
            <w:pPr>
              <w:spacing w:after="0" w:line="202" w:lineRule="exact"/>
              <w:rPr>
                <w:sz w:val="20"/>
                <w:szCs w:val="20"/>
                <w:color w:val="auto"/>
              </w:rPr>
            </w:pPr>
            <w:r>
              <w:rPr>
                <w:rFonts w:ascii="Arial" w:cs="Arial" w:eastAsia="Arial" w:hAnsi="Arial"/>
                <w:sz w:val="18"/>
                <w:szCs w:val="18"/>
                <w:color w:val="auto"/>
              </w:rPr>
              <w:t>As of December 31, 2014</w:t>
            </w:r>
          </w:p>
        </w:tc>
        <w:tc>
          <w:tcPr>
            <w:tcW w:w="160" w:type="dxa"/>
            <w:vAlign w:val="bottom"/>
            <w:shd w:val="clear" w:color="auto" w:fill="F0FFFF"/>
          </w:tcPr>
          <w:p>
            <w:pPr>
              <w:spacing w:after="0"/>
              <w:rPr>
                <w:sz w:val="19"/>
                <w:szCs w:val="19"/>
                <w:color w:val="auto"/>
              </w:rPr>
            </w:pPr>
          </w:p>
        </w:tc>
        <w:tc>
          <w:tcPr>
            <w:tcW w:w="1140" w:type="dxa"/>
            <w:vAlign w:val="bottom"/>
            <w:shd w:val="clear" w:color="auto" w:fill="F0FFFF"/>
          </w:tcPr>
          <w:p>
            <w:pPr>
              <w:spacing w:after="0"/>
              <w:rPr>
                <w:sz w:val="19"/>
                <w:szCs w:val="19"/>
                <w:color w:val="auto"/>
              </w:rPr>
            </w:pPr>
          </w:p>
        </w:tc>
        <w:tc>
          <w:tcPr>
            <w:tcW w:w="40" w:type="dxa"/>
            <w:vAlign w:val="bottom"/>
            <w:shd w:val="clear" w:color="auto" w:fill="F0FFFF"/>
          </w:tcPr>
          <w:p>
            <w:pPr>
              <w:spacing w:after="0"/>
              <w:rPr>
                <w:sz w:val="19"/>
                <w:szCs w:val="19"/>
                <w:color w:val="auto"/>
              </w:rPr>
            </w:pPr>
          </w:p>
        </w:tc>
        <w:tc>
          <w:tcPr>
            <w:tcW w:w="6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114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114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2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120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r>
      <w:tr>
        <w:trPr>
          <w:trHeight w:val="243"/>
        </w:trPr>
        <w:tc>
          <w:tcPr>
            <w:tcW w:w="1860" w:type="dxa"/>
            <w:vAlign w:val="bottom"/>
            <w:tcBorders>
              <w:top w:val="single" w:sz="8" w:color="auto"/>
            </w:tcBorders>
            <w:gridSpan w:val="2"/>
          </w:tcPr>
          <w:p>
            <w:pPr>
              <w:ind w:left="360"/>
              <w:spacing w:after="0"/>
              <w:rPr>
                <w:sz w:val="20"/>
                <w:szCs w:val="20"/>
                <w:color w:val="auto"/>
              </w:rPr>
            </w:pPr>
            <w:r>
              <w:rPr>
                <w:rFonts w:ascii="Arial" w:cs="Arial" w:eastAsia="Arial" w:hAnsi="Arial"/>
                <w:sz w:val="18"/>
                <w:szCs w:val="18"/>
                <w:color w:val="auto"/>
              </w:rPr>
              <w:t>U.S. Treasuries</w:t>
            </w:r>
          </w:p>
        </w:tc>
        <w:tc>
          <w:tcPr>
            <w:tcW w:w="3040" w:type="dxa"/>
            <w:vAlign w:val="bottom"/>
            <w:tcBorders>
              <w:top w:val="single" w:sz="8" w:color="F0FFFF"/>
            </w:tcBorders>
          </w:tcPr>
          <w:p>
            <w:pPr>
              <w:spacing w:after="0"/>
              <w:rPr>
                <w:sz w:val="21"/>
                <w:szCs w:val="21"/>
                <w:color w:val="auto"/>
              </w:rPr>
            </w:pPr>
          </w:p>
        </w:tc>
        <w:tc>
          <w:tcPr>
            <w:tcW w:w="16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F0FFFF"/>
            </w:tcBorders>
            <w:gridSpan w:val="2"/>
          </w:tcPr>
          <w:p>
            <w:pPr>
              <w:jc w:val="right"/>
              <w:ind w:right="40"/>
              <w:spacing w:after="0"/>
              <w:rPr>
                <w:sz w:val="20"/>
                <w:szCs w:val="20"/>
                <w:color w:val="auto"/>
              </w:rPr>
            </w:pPr>
            <w:r>
              <w:rPr>
                <w:rFonts w:ascii="Arial" w:cs="Arial" w:eastAsia="Arial" w:hAnsi="Arial"/>
                <w:sz w:val="18"/>
                <w:szCs w:val="18"/>
                <w:color w:val="auto"/>
              </w:rPr>
              <w:t>105,540</w:t>
            </w:r>
          </w:p>
        </w:tc>
        <w:tc>
          <w:tcPr>
            <w:tcW w:w="220" w:type="dxa"/>
            <w:vAlign w:val="bottom"/>
            <w:tcBorders>
              <w:top w:val="single" w:sz="8" w:color="F0FFFF"/>
            </w:tcBorders>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F0FFFF"/>
            </w:tcBorders>
            <w:gridSpan w:val="2"/>
          </w:tcPr>
          <w:p>
            <w:pPr>
              <w:jc w:val="right"/>
              <w:ind w:right="100"/>
              <w:spacing w:after="0"/>
              <w:rPr>
                <w:sz w:val="20"/>
                <w:szCs w:val="20"/>
                <w:color w:val="auto"/>
              </w:rPr>
            </w:pPr>
            <w:r>
              <w:rPr>
                <w:rFonts w:ascii="Arial" w:cs="Arial" w:eastAsia="Arial" w:hAnsi="Arial"/>
                <w:sz w:val="18"/>
                <w:szCs w:val="18"/>
                <w:color w:val="auto"/>
              </w:rPr>
              <w:t>235</w:t>
            </w:r>
          </w:p>
        </w:tc>
        <w:tc>
          <w:tcPr>
            <w:tcW w:w="16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top w:val="single" w:sz="8" w:color="F0FFFF"/>
            </w:tcBorders>
          </w:tcPr>
          <w:p>
            <w:pPr>
              <w:spacing w:after="0"/>
              <w:rPr>
                <w:sz w:val="21"/>
                <w:szCs w:val="21"/>
                <w:color w:val="auto"/>
              </w:rPr>
            </w:pPr>
          </w:p>
        </w:tc>
        <w:tc>
          <w:tcPr>
            <w:tcW w:w="300" w:type="dxa"/>
            <w:vAlign w:val="bottom"/>
            <w:tcBorders>
              <w:top w:val="single" w:sz="8" w:color="F0FFFF"/>
            </w:tcBorders>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F0FFFF"/>
            </w:tcBorders>
            <w:gridSpan w:val="2"/>
          </w:tcPr>
          <w:p>
            <w:pPr>
              <w:jc w:val="right"/>
              <w:ind w:right="220"/>
              <w:spacing w:after="0"/>
              <w:rPr>
                <w:sz w:val="20"/>
                <w:szCs w:val="20"/>
                <w:color w:val="auto"/>
              </w:rPr>
            </w:pPr>
            <w:r>
              <w:rPr>
                <w:rFonts w:ascii="Arial" w:cs="Arial" w:eastAsia="Arial" w:hAnsi="Arial"/>
                <w:sz w:val="18"/>
                <w:szCs w:val="18"/>
                <w:color w:val="auto"/>
              </w:rPr>
              <w:t>105,709</w:t>
            </w:r>
          </w:p>
        </w:tc>
      </w:tr>
      <w:tr>
        <w:trPr>
          <w:trHeight w:val="243"/>
        </w:trPr>
        <w:tc>
          <w:tcPr>
            <w:tcW w:w="4900" w:type="dxa"/>
            <w:vAlign w:val="bottom"/>
            <w:gridSpan w:val="3"/>
            <w:shd w:val="clear" w:color="auto" w:fill="F0FFFF"/>
          </w:tcPr>
          <w:p>
            <w:pPr>
              <w:ind w:left="360"/>
              <w:spacing w:after="0"/>
              <w:rPr>
                <w:sz w:val="20"/>
                <w:szCs w:val="20"/>
                <w:color w:val="auto"/>
              </w:rPr>
            </w:pPr>
            <w:r>
              <w:rPr>
                <w:rFonts w:ascii="Arial" w:cs="Arial" w:eastAsia="Arial" w:hAnsi="Arial"/>
                <w:sz w:val="18"/>
                <w:szCs w:val="18"/>
                <w:color w:val="auto"/>
              </w:rPr>
              <w:t>U.S. Government agencies</w:t>
            </w:r>
          </w:p>
        </w:tc>
        <w:tc>
          <w:tcPr>
            <w:tcW w:w="16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36,474</w:t>
            </w:r>
          </w:p>
        </w:tc>
        <w:tc>
          <w:tcPr>
            <w:tcW w:w="6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21"/>
                <w:szCs w:val="21"/>
                <w:color w:val="auto"/>
              </w:rPr>
            </w:pP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175</w:t>
            </w:r>
          </w:p>
        </w:tc>
        <w:tc>
          <w:tcPr>
            <w:tcW w:w="2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4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36,299</w:t>
            </w:r>
          </w:p>
        </w:tc>
      </w:tr>
      <w:tr>
        <w:trPr>
          <w:trHeight w:val="243"/>
        </w:trPr>
        <w:tc>
          <w:tcPr>
            <w:tcW w:w="4900" w:type="dxa"/>
            <w:vAlign w:val="bottom"/>
            <w:gridSpan w:val="3"/>
          </w:tcPr>
          <w:p>
            <w:pPr>
              <w:ind w:left="360"/>
              <w:spacing w:after="0"/>
              <w:rPr>
                <w:sz w:val="20"/>
                <w:szCs w:val="20"/>
                <w:color w:val="auto"/>
              </w:rPr>
            </w:pPr>
            <w:r>
              <w:rPr>
                <w:rFonts w:ascii="Arial" w:cs="Arial" w:eastAsia="Arial" w:hAnsi="Arial"/>
                <w:sz w:val="18"/>
                <w:szCs w:val="18"/>
                <w:color w:val="auto"/>
              </w:rPr>
              <w:t>State and political subdivisions</w:t>
            </w:r>
          </w:p>
        </w:tc>
        <w:tc>
          <w:tcPr>
            <w:tcW w:w="1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19,748</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504</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20,233</w:t>
            </w:r>
          </w:p>
        </w:tc>
      </w:tr>
      <w:tr>
        <w:trPr>
          <w:trHeight w:val="257"/>
        </w:trPr>
        <w:tc>
          <w:tcPr>
            <w:tcW w:w="4900" w:type="dxa"/>
            <w:vAlign w:val="bottom"/>
            <w:gridSpan w:val="3"/>
            <w:shd w:val="clear" w:color="auto" w:fill="F0FFFF"/>
          </w:tcPr>
          <w:p>
            <w:pPr>
              <w:ind w:left="360"/>
              <w:spacing w:after="0" w:line="25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9"/>
                <w:szCs w:val="29"/>
                <w:color w:val="auto"/>
                <w:vertAlign w:val="superscript"/>
              </w:rPr>
              <w:t>(1)</w:t>
            </w:r>
          </w:p>
        </w:tc>
        <w:tc>
          <w:tcPr>
            <w:tcW w:w="160" w:type="dxa"/>
            <w:vAlign w:val="bottom"/>
            <w:shd w:val="clear" w:color="auto" w:fill="F0FFFF"/>
          </w:tcPr>
          <w:p>
            <w:pPr>
              <w:spacing w:after="0"/>
              <w:rPr>
                <w:sz w:val="22"/>
                <w:szCs w:val="22"/>
                <w:color w:val="auto"/>
              </w:rPr>
            </w:pPr>
          </w:p>
        </w:tc>
        <w:tc>
          <w:tcPr>
            <w:tcW w:w="11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988,012</w:t>
            </w:r>
          </w:p>
        </w:tc>
        <w:tc>
          <w:tcPr>
            <w:tcW w:w="6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16,273</w:t>
            </w:r>
          </w:p>
        </w:tc>
        <w:tc>
          <w:tcPr>
            <w:tcW w:w="160" w:type="dxa"/>
            <w:vAlign w:val="bottom"/>
            <w:shd w:val="clear" w:color="auto" w:fill="F0FFFF"/>
          </w:tcPr>
          <w:p>
            <w:pPr>
              <w:spacing w:after="0"/>
              <w:rPr>
                <w:sz w:val="22"/>
                <w:szCs w:val="22"/>
                <w:color w:val="auto"/>
              </w:rPr>
            </w:pP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7,465</w:t>
            </w:r>
          </w:p>
        </w:tc>
        <w:tc>
          <w:tcPr>
            <w:tcW w:w="20" w:type="dxa"/>
            <w:vAlign w:val="bottom"/>
            <w:shd w:val="clear" w:color="auto" w:fill="F0FFFF"/>
          </w:tcPr>
          <w:p>
            <w:pPr>
              <w:spacing w:after="0"/>
              <w:rPr>
                <w:sz w:val="22"/>
                <w:szCs w:val="22"/>
                <w:color w:val="auto"/>
              </w:rPr>
            </w:pPr>
          </w:p>
        </w:tc>
        <w:tc>
          <w:tcPr>
            <w:tcW w:w="280" w:type="dxa"/>
            <w:vAlign w:val="bottom"/>
            <w:shd w:val="clear" w:color="auto" w:fill="F0FFFF"/>
          </w:tcPr>
          <w:p>
            <w:pPr>
              <w:spacing w:after="0"/>
              <w:rPr>
                <w:sz w:val="22"/>
                <w:szCs w:val="22"/>
                <w:color w:val="auto"/>
              </w:rPr>
            </w:pPr>
          </w:p>
        </w:tc>
        <w:tc>
          <w:tcPr>
            <w:tcW w:w="14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996,820</w:t>
            </w:r>
          </w:p>
        </w:tc>
      </w:tr>
      <w:tr>
        <w:trPr>
          <w:trHeight w:val="243"/>
        </w:trPr>
        <w:tc>
          <w:tcPr>
            <w:tcW w:w="4900" w:type="dxa"/>
            <w:vAlign w:val="bottom"/>
            <w:gridSpan w:val="3"/>
          </w:tcPr>
          <w:p>
            <w:pPr>
              <w:ind w:left="36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165,018</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1,686</w:t>
            </w:r>
          </w:p>
        </w:tc>
        <w:tc>
          <w:tcPr>
            <w:tcW w:w="16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1,076</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165,628</w:t>
            </w:r>
          </w:p>
        </w:tc>
      </w:tr>
      <w:tr>
        <w:trPr>
          <w:trHeight w:val="243"/>
        </w:trPr>
        <w:tc>
          <w:tcPr>
            <w:tcW w:w="4900" w:type="dxa"/>
            <w:vAlign w:val="bottom"/>
            <w:gridSpan w:val="3"/>
            <w:shd w:val="clear" w:color="auto" w:fill="F0FFFF"/>
          </w:tcPr>
          <w:p>
            <w:pPr>
              <w:ind w:left="360"/>
              <w:spacing w:after="0"/>
              <w:rPr>
                <w:sz w:val="20"/>
                <w:szCs w:val="20"/>
                <w:color w:val="auto"/>
              </w:rPr>
            </w:pPr>
            <w:r>
              <w:rPr>
                <w:rFonts w:ascii="Arial" w:cs="Arial" w:eastAsia="Arial" w:hAnsi="Arial"/>
                <w:sz w:val="18"/>
                <w:szCs w:val="18"/>
                <w:color w:val="auto"/>
              </w:rPr>
              <w:t>Asset-backed securities</w:t>
            </w:r>
          </w:p>
        </w:tc>
        <w:tc>
          <w:tcPr>
            <w:tcW w:w="16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455,626</w:t>
            </w:r>
          </w:p>
        </w:tc>
        <w:tc>
          <w:tcPr>
            <w:tcW w:w="6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2,257</w:t>
            </w:r>
          </w:p>
        </w:tc>
        <w:tc>
          <w:tcPr>
            <w:tcW w:w="160" w:type="dxa"/>
            <w:vAlign w:val="bottom"/>
            <w:shd w:val="clear" w:color="auto" w:fill="F0FFFF"/>
          </w:tcPr>
          <w:p>
            <w:pPr>
              <w:spacing w:after="0"/>
              <w:rPr>
                <w:sz w:val="21"/>
                <w:szCs w:val="21"/>
                <w:color w:val="auto"/>
              </w:rPr>
            </w:pP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1,955</w:t>
            </w:r>
          </w:p>
        </w:tc>
        <w:tc>
          <w:tcPr>
            <w:tcW w:w="2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4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455,928</w:t>
            </w:r>
          </w:p>
        </w:tc>
      </w:tr>
      <w:tr>
        <w:trPr>
          <w:trHeight w:val="250"/>
        </w:trPr>
        <w:tc>
          <w:tcPr>
            <w:tcW w:w="4900" w:type="dxa"/>
            <w:vAlign w:val="bottom"/>
            <w:gridSpan w:val="3"/>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2,117</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2,117</w:t>
            </w:r>
          </w:p>
        </w:tc>
      </w:tr>
      <w:tr>
        <w:trPr>
          <w:trHeight w:val="243"/>
        </w:trPr>
        <w:tc>
          <w:tcPr>
            <w:tcW w:w="1460" w:type="dxa"/>
            <w:vAlign w:val="bottom"/>
            <w:tcBorders>
              <w:top w:val="single" w:sz="8" w:color="F0FFFF"/>
            </w:tcBorders>
            <w:shd w:val="clear" w:color="auto" w:fill="F0FFFF"/>
          </w:tcPr>
          <w:p>
            <w:pPr>
              <w:spacing w:after="0"/>
              <w:rPr>
                <w:sz w:val="21"/>
                <w:szCs w:val="21"/>
                <w:color w:val="auto"/>
              </w:rPr>
            </w:pPr>
          </w:p>
        </w:tc>
        <w:tc>
          <w:tcPr>
            <w:tcW w:w="400" w:type="dxa"/>
            <w:vAlign w:val="bottom"/>
            <w:tcBorders>
              <w:top w:val="single" w:sz="8" w:color="F0FFFF"/>
            </w:tcBorders>
            <w:shd w:val="clear" w:color="auto" w:fill="F0FFFF"/>
          </w:tcPr>
          <w:p>
            <w:pPr>
              <w:spacing w:after="0"/>
              <w:rPr>
                <w:sz w:val="21"/>
                <w:szCs w:val="21"/>
                <w:color w:val="auto"/>
              </w:rPr>
            </w:pPr>
          </w:p>
        </w:tc>
        <w:tc>
          <w:tcPr>
            <w:tcW w:w="3040" w:type="dxa"/>
            <w:vAlign w:val="bottom"/>
            <w:tcBorders>
              <w:top w:val="single" w:sz="8" w:color="F0FFFF"/>
            </w:tcBorders>
            <w:shd w:val="clear" w:color="auto" w:fill="F0FFFF"/>
          </w:tcPr>
          <w:p>
            <w:pPr>
              <w:spacing w:after="0"/>
              <w:rPr>
                <w:sz w:val="21"/>
                <w:szCs w:val="21"/>
                <w:color w:val="auto"/>
              </w:rPr>
            </w:pPr>
          </w:p>
        </w:tc>
        <w:tc>
          <w:tcPr>
            <w:tcW w:w="160" w:type="dxa"/>
            <w:vAlign w:val="bottom"/>
            <w:tcBorders>
              <w:top w:val="single" w:sz="8" w:color="auto"/>
            </w:tcBorders>
            <w:shd w:val="clear" w:color="auto" w:fill="F0FFFF"/>
          </w:tcPr>
          <w:p>
            <w:pPr>
              <w:spacing w:after="0"/>
              <w:rPr>
                <w:sz w:val="21"/>
                <w:szCs w:val="21"/>
                <w:color w:val="auto"/>
              </w:rPr>
            </w:pPr>
          </w:p>
        </w:tc>
        <w:tc>
          <w:tcPr>
            <w:tcW w:w="1140" w:type="dxa"/>
            <w:vAlign w:val="bottom"/>
            <w:tcBorders>
              <w:top w:val="single" w:sz="8" w:color="auto"/>
            </w:tcBorders>
            <w:shd w:val="clear" w:color="auto" w:fill="F0FFFF"/>
          </w:tcPr>
          <w:p>
            <w:pPr>
              <w:spacing w:after="0"/>
              <w:rPr>
                <w:sz w:val="21"/>
                <w:szCs w:val="21"/>
                <w:color w:val="auto"/>
              </w:rPr>
            </w:pPr>
          </w:p>
        </w:tc>
        <w:tc>
          <w:tcPr>
            <w:tcW w:w="40" w:type="dxa"/>
            <w:vAlign w:val="bottom"/>
            <w:tcBorders>
              <w:top w:val="single" w:sz="8" w:color="F0FFFF"/>
            </w:tcBorders>
            <w:shd w:val="clear" w:color="auto" w:fill="F0FFFF"/>
          </w:tcPr>
          <w:p>
            <w:pPr>
              <w:spacing w:after="0"/>
              <w:rPr>
                <w:sz w:val="21"/>
                <w:szCs w:val="21"/>
                <w:color w:val="auto"/>
              </w:rPr>
            </w:pPr>
          </w:p>
        </w:tc>
        <w:tc>
          <w:tcPr>
            <w:tcW w:w="60" w:type="dxa"/>
            <w:vAlign w:val="bottom"/>
            <w:tcBorders>
              <w:top w:val="single" w:sz="8" w:color="F0FFFF"/>
            </w:tcBorders>
            <w:shd w:val="clear" w:color="auto" w:fill="F0FFFF"/>
          </w:tcPr>
          <w:p>
            <w:pPr>
              <w:spacing w:after="0"/>
              <w:rPr>
                <w:sz w:val="21"/>
                <w:szCs w:val="21"/>
                <w:color w:val="auto"/>
              </w:rPr>
            </w:pPr>
          </w:p>
        </w:tc>
        <w:tc>
          <w:tcPr>
            <w:tcW w:w="160" w:type="dxa"/>
            <w:vAlign w:val="bottom"/>
            <w:tcBorders>
              <w:top w:val="single" w:sz="8" w:color="auto"/>
            </w:tcBorders>
            <w:shd w:val="clear" w:color="auto" w:fill="F0FFFF"/>
          </w:tcPr>
          <w:p>
            <w:pPr>
              <w:spacing w:after="0"/>
              <w:rPr>
                <w:sz w:val="21"/>
                <w:szCs w:val="21"/>
                <w:color w:val="auto"/>
              </w:rPr>
            </w:pPr>
          </w:p>
        </w:tc>
        <w:tc>
          <w:tcPr>
            <w:tcW w:w="1140" w:type="dxa"/>
            <w:vAlign w:val="bottom"/>
            <w:tcBorders>
              <w:top w:val="single" w:sz="8" w:color="auto"/>
            </w:tcBorders>
            <w:shd w:val="clear" w:color="auto" w:fill="F0FFFF"/>
          </w:tcPr>
          <w:p>
            <w:pPr>
              <w:spacing w:after="0"/>
              <w:rPr>
                <w:sz w:val="21"/>
                <w:szCs w:val="21"/>
                <w:color w:val="auto"/>
              </w:rPr>
            </w:pPr>
          </w:p>
        </w:tc>
        <w:tc>
          <w:tcPr>
            <w:tcW w:w="100" w:type="dxa"/>
            <w:vAlign w:val="bottom"/>
            <w:tcBorders>
              <w:top w:val="single" w:sz="8" w:color="F0FFFF"/>
            </w:tcBorders>
            <w:shd w:val="clear" w:color="auto" w:fill="F0FFFF"/>
          </w:tcPr>
          <w:p>
            <w:pPr>
              <w:spacing w:after="0"/>
              <w:rPr>
                <w:sz w:val="21"/>
                <w:szCs w:val="21"/>
                <w:color w:val="auto"/>
              </w:rPr>
            </w:pPr>
          </w:p>
        </w:tc>
        <w:tc>
          <w:tcPr>
            <w:tcW w:w="160" w:type="dxa"/>
            <w:vAlign w:val="bottom"/>
            <w:tcBorders>
              <w:top w:val="single" w:sz="8" w:color="auto"/>
            </w:tcBorders>
            <w:shd w:val="clear" w:color="auto" w:fill="F0FFFF"/>
          </w:tcPr>
          <w:p>
            <w:pPr>
              <w:spacing w:after="0"/>
              <w:rPr>
                <w:sz w:val="21"/>
                <w:szCs w:val="21"/>
                <w:color w:val="auto"/>
              </w:rPr>
            </w:pPr>
          </w:p>
        </w:tc>
        <w:tc>
          <w:tcPr>
            <w:tcW w:w="1140" w:type="dxa"/>
            <w:vAlign w:val="bottom"/>
            <w:tcBorders>
              <w:top w:val="single" w:sz="8" w:color="auto"/>
            </w:tcBorders>
            <w:shd w:val="clear" w:color="auto" w:fill="F0FFFF"/>
          </w:tcPr>
          <w:p>
            <w:pPr>
              <w:spacing w:after="0"/>
              <w:rPr>
                <w:sz w:val="21"/>
                <w:szCs w:val="21"/>
                <w:color w:val="auto"/>
              </w:rPr>
            </w:pPr>
          </w:p>
        </w:tc>
        <w:tc>
          <w:tcPr>
            <w:tcW w:w="120" w:type="dxa"/>
            <w:vAlign w:val="bottom"/>
            <w:tcBorders>
              <w:top w:val="single" w:sz="8" w:color="F0FFFF"/>
            </w:tcBorders>
            <w:shd w:val="clear" w:color="auto" w:fill="F0FFFF"/>
          </w:tcPr>
          <w:p>
            <w:pPr>
              <w:spacing w:after="0"/>
              <w:rPr>
                <w:sz w:val="21"/>
                <w:szCs w:val="21"/>
                <w:color w:val="auto"/>
              </w:rPr>
            </w:pPr>
          </w:p>
        </w:tc>
        <w:tc>
          <w:tcPr>
            <w:tcW w:w="20" w:type="dxa"/>
            <w:vAlign w:val="bottom"/>
            <w:tcBorders>
              <w:top w:val="single" w:sz="8" w:color="F0FFFF"/>
            </w:tcBorders>
            <w:shd w:val="clear" w:color="auto" w:fill="F0FFFF"/>
          </w:tcPr>
          <w:p>
            <w:pPr>
              <w:spacing w:after="0"/>
              <w:rPr>
                <w:sz w:val="21"/>
                <w:szCs w:val="21"/>
                <w:color w:val="auto"/>
              </w:rPr>
            </w:pPr>
          </w:p>
        </w:tc>
        <w:tc>
          <w:tcPr>
            <w:tcW w:w="280" w:type="dxa"/>
            <w:vAlign w:val="bottom"/>
            <w:tcBorders>
              <w:top w:val="single" w:sz="8" w:color="auto"/>
            </w:tcBorders>
            <w:shd w:val="clear" w:color="auto" w:fill="F0FFFF"/>
          </w:tcPr>
          <w:p>
            <w:pPr>
              <w:spacing w:after="0"/>
              <w:rPr>
                <w:sz w:val="21"/>
                <w:szCs w:val="21"/>
                <w:color w:val="auto"/>
              </w:rPr>
            </w:pPr>
          </w:p>
        </w:tc>
        <w:tc>
          <w:tcPr>
            <w:tcW w:w="1200" w:type="dxa"/>
            <w:vAlign w:val="bottom"/>
            <w:tcBorders>
              <w:top w:val="single" w:sz="8" w:color="auto"/>
            </w:tcBorders>
            <w:shd w:val="clear" w:color="auto" w:fill="F0FFFF"/>
          </w:tcPr>
          <w:p>
            <w:pPr>
              <w:spacing w:after="0"/>
              <w:rPr>
                <w:sz w:val="21"/>
                <w:szCs w:val="21"/>
                <w:color w:val="auto"/>
              </w:rPr>
            </w:pPr>
          </w:p>
        </w:tc>
        <w:tc>
          <w:tcPr>
            <w:tcW w:w="220" w:type="dxa"/>
            <w:vAlign w:val="bottom"/>
            <w:tcBorders>
              <w:top w:val="single" w:sz="8" w:color="F0FFFF"/>
            </w:tcBorders>
            <w:shd w:val="clear" w:color="auto" w:fill="F0FFFF"/>
          </w:tcPr>
          <w:p>
            <w:pPr>
              <w:spacing w:after="0"/>
              <w:rPr>
                <w:sz w:val="21"/>
                <w:szCs w:val="21"/>
                <w:color w:val="auto"/>
              </w:rPr>
            </w:pPr>
          </w:p>
        </w:tc>
      </w:tr>
      <w:tr>
        <w:trPr>
          <w:trHeight w:val="216"/>
        </w:trPr>
        <w:tc>
          <w:tcPr>
            <w:tcW w:w="4900" w:type="dxa"/>
            <w:vAlign w:val="bottom"/>
            <w:gridSpan w:val="3"/>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1,772,535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20,955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10,756</w:t>
            </w: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1,782,734</w:t>
            </w:r>
          </w:p>
        </w:tc>
        <w:tc>
          <w:tcPr>
            <w:tcW w:w="220" w:type="dxa"/>
            <w:vAlign w:val="bottom"/>
          </w:tcPr>
          <w:p>
            <w:pPr>
              <w:spacing w:after="0"/>
              <w:rPr>
                <w:sz w:val="18"/>
                <w:szCs w:val="18"/>
                <w:color w:val="auto"/>
              </w:rPr>
            </w:pPr>
          </w:p>
        </w:tc>
      </w:tr>
      <w:tr>
        <w:trPr>
          <w:trHeight w:val="20"/>
        </w:trPr>
        <w:tc>
          <w:tcPr>
            <w:tcW w:w="1460" w:type="dxa"/>
            <w:vAlign w:val="bottom"/>
            <w:tcBorders>
              <w:bottom w:val="single" w:sz="8" w:color="F0FFFF"/>
            </w:tcBorders>
          </w:tcPr>
          <w:p>
            <w:pPr>
              <w:spacing w:after="0" w:line="20" w:lineRule="exact"/>
              <w:rPr>
                <w:sz w:val="1"/>
                <w:szCs w:val="1"/>
                <w:color w:val="auto"/>
              </w:rPr>
            </w:pPr>
          </w:p>
        </w:tc>
        <w:tc>
          <w:tcPr>
            <w:tcW w:w="400" w:type="dxa"/>
            <w:vAlign w:val="bottom"/>
            <w:tcBorders>
              <w:bottom w:val="single" w:sz="8" w:color="F0FFFF"/>
            </w:tcBorders>
          </w:tcPr>
          <w:p>
            <w:pPr>
              <w:spacing w:after="0" w:line="20" w:lineRule="exact"/>
              <w:rPr>
                <w:sz w:val="1"/>
                <w:szCs w:val="1"/>
                <w:color w:val="auto"/>
              </w:rPr>
            </w:pPr>
          </w:p>
        </w:tc>
        <w:tc>
          <w:tcPr>
            <w:tcW w:w="3040" w:type="dxa"/>
            <w:vAlign w:val="bottom"/>
            <w:tcBorders>
              <w:bottom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r>
      <w:tr>
        <w:trPr>
          <w:trHeight w:val="237"/>
        </w:trPr>
        <w:tc>
          <w:tcPr>
            <w:tcW w:w="1460" w:type="dxa"/>
            <w:vAlign w:val="bottom"/>
            <w:shd w:val="clear" w:color="auto" w:fill="F0FFFF"/>
          </w:tcPr>
          <w:p>
            <w:pPr>
              <w:spacing w:after="0"/>
              <w:rPr>
                <w:sz w:val="20"/>
                <w:szCs w:val="20"/>
                <w:color w:val="auto"/>
              </w:rPr>
            </w:pPr>
          </w:p>
        </w:tc>
        <w:tc>
          <w:tcPr>
            <w:tcW w:w="400" w:type="dxa"/>
            <w:vAlign w:val="bottom"/>
            <w:shd w:val="clear" w:color="auto" w:fill="F0FFFF"/>
          </w:tcPr>
          <w:p>
            <w:pPr>
              <w:spacing w:after="0"/>
              <w:rPr>
                <w:sz w:val="20"/>
                <w:szCs w:val="20"/>
                <w:color w:val="auto"/>
              </w:rPr>
            </w:pPr>
          </w:p>
        </w:tc>
        <w:tc>
          <w:tcPr>
            <w:tcW w:w="304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140" w:type="dxa"/>
            <w:vAlign w:val="bottom"/>
            <w:shd w:val="clear" w:color="auto" w:fill="F0FFFF"/>
          </w:tcPr>
          <w:p>
            <w:pPr>
              <w:spacing w:after="0"/>
              <w:rPr>
                <w:sz w:val="20"/>
                <w:szCs w:val="20"/>
                <w:color w:val="auto"/>
              </w:rPr>
            </w:pPr>
          </w:p>
        </w:tc>
        <w:tc>
          <w:tcPr>
            <w:tcW w:w="40" w:type="dxa"/>
            <w:vAlign w:val="bottom"/>
            <w:shd w:val="clear" w:color="auto" w:fill="F0FFFF"/>
          </w:tcPr>
          <w:p>
            <w:pPr>
              <w:spacing w:after="0"/>
              <w:rPr>
                <w:sz w:val="20"/>
                <w:szCs w:val="20"/>
                <w:color w:val="auto"/>
              </w:rPr>
            </w:pPr>
          </w:p>
        </w:tc>
        <w:tc>
          <w:tcPr>
            <w:tcW w:w="6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1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14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120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r>
      <w:tr>
        <w:trPr>
          <w:trHeight w:val="203"/>
        </w:trPr>
        <w:tc>
          <w:tcPr>
            <w:tcW w:w="4900" w:type="dxa"/>
            <w:vAlign w:val="bottom"/>
            <w:gridSpan w:val="3"/>
          </w:tcPr>
          <w:p>
            <w:pPr>
              <w:spacing w:after="0" w:line="202" w:lineRule="exact"/>
              <w:rPr>
                <w:sz w:val="20"/>
                <w:szCs w:val="20"/>
                <w:color w:val="auto"/>
              </w:rPr>
            </w:pPr>
            <w:r>
              <w:rPr>
                <w:rFonts w:ascii="Arial" w:cs="Arial" w:eastAsia="Arial" w:hAnsi="Arial"/>
                <w:sz w:val="18"/>
                <w:szCs w:val="18"/>
                <w:color w:val="auto"/>
              </w:rPr>
              <w:t>As of June 30, 2014</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
        </w:trPr>
        <w:tc>
          <w:tcPr>
            <w:tcW w:w="14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43"/>
        </w:trPr>
        <w:tc>
          <w:tcPr>
            <w:tcW w:w="4900" w:type="dxa"/>
            <w:vAlign w:val="bottom"/>
            <w:gridSpan w:val="3"/>
            <w:shd w:val="clear" w:color="auto" w:fill="F0FFFF"/>
          </w:tcPr>
          <w:p>
            <w:pPr>
              <w:ind w:left="360"/>
              <w:spacing w:after="0"/>
              <w:rPr>
                <w:sz w:val="20"/>
                <w:szCs w:val="20"/>
                <w:color w:val="auto"/>
              </w:rPr>
            </w:pPr>
            <w:r>
              <w:rPr>
                <w:rFonts w:ascii="Arial" w:cs="Arial" w:eastAsia="Arial" w:hAnsi="Arial"/>
                <w:sz w:val="18"/>
                <w:szCs w:val="18"/>
                <w:color w:val="auto"/>
              </w:rPr>
              <w:t>U.S. Treasuries</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15,579</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F0FFFF"/>
          </w:tcPr>
          <w:p>
            <w:pPr>
              <w:spacing w:after="0"/>
              <w:rPr>
                <w:sz w:val="21"/>
                <w:szCs w:val="21"/>
                <w:color w:val="auto"/>
              </w:rPr>
            </w:pPr>
          </w:p>
        </w:tc>
        <w:tc>
          <w:tcPr>
            <w:tcW w:w="300" w:type="dxa"/>
            <w:vAlign w:val="bottom"/>
            <w:gridSpan w:val="2"/>
            <w:shd w:val="clear" w:color="auto" w:fill="F0FFFF"/>
          </w:tcPr>
          <w:p>
            <w:pPr>
              <w:jc w:val="right"/>
              <w:ind w:right="170"/>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15,508</w:t>
            </w:r>
          </w:p>
        </w:tc>
      </w:tr>
      <w:tr>
        <w:trPr>
          <w:trHeight w:val="243"/>
        </w:trPr>
        <w:tc>
          <w:tcPr>
            <w:tcW w:w="4900" w:type="dxa"/>
            <w:vAlign w:val="bottom"/>
            <w:gridSpan w:val="3"/>
          </w:tcPr>
          <w:p>
            <w:pPr>
              <w:ind w:left="360"/>
              <w:spacing w:after="0"/>
              <w:rPr>
                <w:sz w:val="20"/>
                <w:szCs w:val="20"/>
                <w:color w:val="auto"/>
              </w:rPr>
            </w:pPr>
            <w:r>
              <w:rPr>
                <w:rFonts w:ascii="Arial" w:cs="Arial" w:eastAsia="Arial" w:hAnsi="Arial"/>
                <w:sz w:val="18"/>
                <w:szCs w:val="18"/>
                <w:color w:val="auto"/>
              </w:rPr>
              <w:t>State and political subdivisions</w:t>
            </w:r>
          </w:p>
        </w:tc>
        <w:tc>
          <w:tcPr>
            <w:tcW w:w="1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21,080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773</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21,815</w:t>
            </w:r>
          </w:p>
        </w:tc>
      </w:tr>
      <w:tr>
        <w:trPr>
          <w:trHeight w:val="257"/>
        </w:trPr>
        <w:tc>
          <w:tcPr>
            <w:tcW w:w="4900" w:type="dxa"/>
            <w:vAlign w:val="bottom"/>
            <w:gridSpan w:val="3"/>
            <w:shd w:val="clear" w:color="auto" w:fill="F0FFFF"/>
          </w:tcPr>
          <w:p>
            <w:pPr>
              <w:ind w:left="360"/>
              <w:spacing w:after="0" w:line="25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9"/>
                <w:szCs w:val="29"/>
                <w:color w:val="auto"/>
                <w:vertAlign w:val="superscript"/>
              </w:rPr>
              <w:t>(1)</w:t>
            </w:r>
          </w:p>
        </w:tc>
        <w:tc>
          <w:tcPr>
            <w:tcW w:w="160" w:type="dxa"/>
            <w:vAlign w:val="bottom"/>
            <w:shd w:val="clear" w:color="auto" w:fill="F0FFFF"/>
          </w:tcPr>
          <w:p>
            <w:pPr>
              <w:spacing w:after="0"/>
              <w:rPr>
                <w:sz w:val="22"/>
                <w:szCs w:val="22"/>
                <w:color w:val="auto"/>
              </w:rPr>
            </w:pPr>
          </w:p>
        </w:tc>
        <w:tc>
          <w:tcPr>
            <w:tcW w:w="11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1,068,593</w:t>
            </w:r>
          </w:p>
        </w:tc>
        <w:tc>
          <w:tcPr>
            <w:tcW w:w="6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17,470</w:t>
            </w:r>
          </w:p>
        </w:tc>
        <w:tc>
          <w:tcPr>
            <w:tcW w:w="160" w:type="dxa"/>
            <w:vAlign w:val="bottom"/>
            <w:shd w:val="clear" w:color="auto" w:fill="F0FFFF"/>
          </w:tcPr>
          <w:p>
            <w:pPr>
              <w:spacing w:after="0"/>
              <w:rPr>
                <w:sz w:val="22"/>
                <w:szCs w:val="22"/>
                <w:color w:val="auto"/>
              </w:rPr>
            </w:pP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8,623</w:t>
            </w:r>
          </w:p>
        </w:tc>
        <w:tc>
          <w:tcPr>
            <w:tcW w:w="20" w:type="dxa"/>
            <w:vAlign w:val="bottom"/>
            <w:shd w:val="clear" w:color="auto" w:fill="F0FFFF"/>
          </w:tcPr>
          <w:p>
            <w:pPr>
              <w:spacing w:after="0"/>
              <w:rPr>
                <w:sz w:val="22"/>
                <w:szCs w:val="22"/>
                <w:color w:val="auto"/>
              </w:rPr>
            </w:pPr>
          </w:p>
        </w:tc>
        <w:tc>
          <w:tcPr>
            <w:tcW w:w="280" w:type="dxa"/>
            <w:vAlign w:val="bottom"/>
            <w:shd w:val="clear" w:color="auto" w:fill="F0FFFF"/>
          </w:tcPr>
          <w:p>
            <w:pPr>
              <w:spacing w:after="0"/>
              <w:rPr>
                <w:sz w:val="22"/>
                <w:szCs w:val="22"/>
                <w:color w:val="auto"/>
              </w:rPr>
            </w:pPr>
          </w:p>
        </w:tc>
        <w:tc>
          <w:tcPr>
            <w:tcW w:w="1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1,077,440</w:t>
            </w:r>
          </w:p>
        </w:tc>
        <w:tc>
          <w:tcPr>
            <w:tcW w:w="220" w:type="dxa"/>
            <w:vAlign w:val="bottom"/>
            <w:shd w:val="clear" w:color="auto" w:fill="F0FFFF"/>
          </w:tcPr>
          <w:p>
            <w:pPr>
              <w:spacing w:after="0"/>
              <w:rPr>
                <w:sz w:val="22"/>
                <w:szCs w:val="22"/>
                <w:color w:val="auto"/>
              </w:rPr>
            </w:pPr>
          </w:p>
        </w:tc>
      </w:tr>
      <w:tr>
        <w:trPr>
          <w:trHeight w:val="243"/>
        </w:trPr>
        <w:tc>
          <w:tcPr>
            <w:tcW w:w="4900" w:type="dxa"/>
            <w:vAlign w:val="bottom"/>
            <w:gridSpan w:val="3"/>
          </w:tcPr>
          <w:p>
            <w:pPr>
              <w:ind w:left="36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175,975</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1,426</w:t>
            </w:r>
          </w:p>
        </w:tc>
        <w:tc>
          <w:tcPr>
            <w:tcW w:w="16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1,430</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175,971</w:t>
            </w:r>
          </w:p>
        </w:tc>
      </w:tr>
      <w:tr>
        <w:trPr>
          <w:trHeight w:val="243"/>
        </w:trPr>
        <w:tc>
          <w:tcPr>
            <w:tcW w:w="4900" w:type="dxa"/>
            <w:vAlign w:val="bottom"/>
            <w:gridSpan w:val="3"/>
            <w:shd w:val="clear" w:color="auto" w:fill="F0FFFF"/>
          </w:tcPr>
          <w:p>
            <w:pPr>
              <w:ind w:left="360"/>
              <w:spacing w:after="0"/>
              <w:rPr>
                <w:sz w:val="20"/>
                <w:szCs w:val="20"/>
                <w:color w:val="auto"/>
              </w:rPr>
            </w:pPr>
            <w:r>
              <w:rPr>
                <w:rFonts w:ascii="Arial" w:cs="Arial" w:eastAsia="Arial" w:hAnsi="Arial"/>
                <w:sz w:val="18"/>
                <w:szCs w:val="18"/>
                <w:color w:val="auto"/>
              </w:rPr>
              <w:t>Asset-backed securities</w:t>
            </w:r>
          </w:p>
        </w:tc>
        <w:tc>
          <w:tcPr>
            <w:tcW w:w="16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444,910</w:t>
            </w:r>
          </w:p>
        </w:tc>
        <w:tc>
          <w:tcPr>
            <w:tcW w:w="6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3,664</w:t>
            </w:r>
          </w:p>
        </w:tc>
        <w:tc>
          <w:tcPr>
            <w:tcW w:w="160" w:type="dxa"/>
            <w:vAlign w:val="bottom"/>
            <w:shd w:val="clear" w:color="auto" w:fill="F0FFFF"/>
          </w:tcPr>
          <w:p>
            <w:pPr>
              <w:spacing w:after="0"/>
              <w:rPr>
                <w:sz w:val="21"/>
                <w:szCs w:val="21"/>
                <w:color w:val="auto"/>
              </w:rPr>
            </w:pP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251</w:t>
            </w:r>
          </w:p>
        </w:tc>
        <w:tc>
          <w:tcPr>
            <w:tcW w:w="2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4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448,323</w:t>
            </w:r>
          </w:p>
        </w:tc>
      </w:tr>
      <w:tr>
        <w:trPr>
          <w:trHeight w:val="250"/>
        </w:trPr>
        <w:tc>
          <w:tcPr>
            <w:tcW w:w="4900" w:type="dxa"/>
            <w:vAlign w:val="bottom"/>
            <w:gridSpan w:val="3"/>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2,211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2,211</w:t>
            </w:r>
          </w:p>
        </w:tc>
      </w:tr>
      <w:tr>
        <w:trPr>
          <w:trHeight w:val="243"/>
        </w:trPr>
        <w:tc>
          <w:tcPr>
            <w:tcW w:w="1460" w:type="dxa"/>
            <w:vAlign w:val="bottom"/>
            <w:tcBorders>
              <w:top w:val="single" w:sz="8" w:color="F0FFFF"/>
            </w:tcBorders>
            <w:shd w:val="clear" w:color="auto" w:fill="F0FFFF"/>
          </w:tcPr>
          <w:p>
            <w:pPr>
              <w:spacing w:after="0"/>
              <w:rPr>
                <w:sz w:val="21"/>
                <w:szCs w:val="21"/>
                <w:color w:val="auto"/>
              </w:rPr>
            </w:pPr>
          </w:p>
        </w:tc>
        <w:tc>
          <w:tcPr>
            <w:tcW w:w="400" w:type="dxa"/>
            <w:vAlign w:val="bottom"/>
            <w:tcBorders>
              <w:top w:val="single" w:sz="8" w:color="F0FFFF"/>
            </w:tcBorders>
            <w:shd w:val="clear" w:color="auto" w:fill="F0FFFF"/>
          </w:tcPr>
          <w:p>
            <w:pPr>
              <w:spacing w:after="0"/>
              <w:rPr>
                <w:sz w:val="21"/>
                <w:szCs w:val="21"/>
                <w:color w:val="auto"/>
              </w:rPr>
            </w:pPr>
          </w:p>
        </w:tc>
        <w:tc>
          <w:tcPr>
            <w:tcW w:w="3040" w:type="dxa"/>
            <w:vAlign w:val="bottom"/>
            <w:tcBorders>
              <w:top w:val="single" w:sz="8" w:color="F0FFFF"/>
            </w:tcBorders>
            <w:shd w:val="clear" w:color="auto" w:fill="F0FFFF"/>
          </w:tcPr>
          <w:p>
            <w:pPr>
              <w:spacing w:after="0"/>
              <w:rPr>
                <w:sz w:val="21"/>
                <w:szCs w:val="21"/>
                <w:color w:val="auto"/>
              </w:rPr>
            </w:pPr>
          </w:p>
        </w:tc>
        <w:tc>
          <w:tcPr>
            <w:tcW w:w="160" w:type="dxa"/>
            <w:vAlign w:val="bottom"/>
            <w:tcBorders>
              <w:top w:val="single" w:sz="8" w:color="auto"/>
            </w:tcBorders>
            <w:shd w:val="clear" w:color="auto" w:fill="F0FFFF"/>
          </w:tcPr>
          <w:p>
            <w:pPr>
              <w:spacing w:after="0"/>
              <w:rPr>
                <w:sz w:val="21"/>
                <w:szCs w:val="21"/>
                <w:color w:val="auto"/>
              </w:rPr>
            </w:pPr>
          </w:p>
        </w:tc>
        <w:tc>
          <w:tcPr>
            <w:tcW w:w="1140" w:type="dxa"/>
            <w:vAlign w:val="bottom"/>
            <w:tcBorders>
              <w:top w:val="single" w:sz="8" w:color="auto"/>
            </w:tcBorders>
            <w:shd w:val="clear" w:color="auto" w:fill="F0FFFF"/>
          </w:tcPr>
          <w:p>
            <w:pPr>
              <w:spacing w:after="0"/>
              <w:rPr>
                <w:sz w:val="21"/>
                <w:szCs w:val="21"/>
                <w:color w:val="auto"/>
              </w:rPr>
            </w:pPr>
          </w:p>
        </w:tc>
        <w:tc>
          <w:tcPr>
            <w:tcW w:w="40" w:type="dxa"/>
            <w:vAlign w:val="bottom"/>
            <w:tcBorders>
              <w:top w:val="single" w:sz="8" w:color="F0FFFF"/>
            </w:tcBorders>
            <w:shd w:val="clear" w:color="auto" w:fill="F0FFFF"/>
          </w:tcPr>
          <w:p>
            <w:pPr>
              <w:spacing w:after="0"/>
              <w:rPr>
                <w:sz w:val="21"/>
                <w:szCs w:val="21"/>
                <w:color w:val="auto"/>
              </w:rPr>
            </w:pPr>
          </w:p>
        </w:tc>
        <w:tc>
          <w:tcPr>
            <w:tcW w:w="60" w:type="dxa"/>
            <w:vAlign w:val="bottom"/>
            <w:tcBorders>
              <w:top w:val="single" w:sz="8" w:color="F0FFFF"/>
            </w:tcBorders>
            <w:shd w:val="clear" w:color="auto" w:fill="F0FFFF"/>
          </w:tcPr>
          <w:p>
            <w:pPr>
              <w:spacing w:after="0"/>
              <w:rPr>
                <w:sz w:val="21"/>
                <w:szCs w:val="21"/>
                <w:color w:val="auto"/>
              </w:rPr>
            </w:pPr>
          </w:p>
        </w:tc>
        <w:tc>
          <w:tcPr>
            <w:tcW w:w="160" w:type="dxa"/>
            <w:vAlign w:val="bottom"/>
            <w:tcBorders>
              <w:top w:val="single" w:sz="8" w:color="auto"/>
            </w:tcBorders>
            <w:shd w:val="clear" w:color="auto" w:fill="F0FFFF"/>
          </w:tcPr>
          <w:p>
            <w:pPr>
              <w:spacing w:after="0"/>
              <w:rPr>
                <w:sz w:val="21"/>
                <w:szCs w:val="21"/>
                <w:color w:val="auto"/>
              </w:rPr>
            </w:pPr>
          </w:p>
        </w:tc>
        <w:tc>
          <w:tcPr>
            <w:tcW w:w="1140" w:type="dxa"/>
            <w:vAlign w:val="bottom"/>
            <w:tcBorders>
              <w:top w:val="single" w:sz="8" w:color="auto"/>
            </w:tcBorders>
            <w:shd w:val="clear" w:color="auto" w:fill="F0FFFF"/>
          </w:tcPr>
          <w:p>
            <w:pPr>
              <w:spacing w:after="0"/>
              <w:rPr>
                <w:sz w:val="21"/>
                <w:szCs w:val="21"/>
                <w:color w:val="auto"/>
              </w:rPr>
            </w:pPr>
          </w:p>
        </w:tc>
        <w:tc>
          <w:tcPr>
            <w:tcW w:w="100" w:type="dxa"/>
            <w:vAlign w:val="bottom"/>
            <w:tcBorders>
              <w:top w:val="single" w:sz="8" w:color="F0FFFF"/>
            </w:tcBorders>
            <w:shd w:val="clear" w:color="auto" w:fill="F0FFFF"/>
          </w:tcPr>
          <w:p>
            <w:pPr>
              <w:spacing w:after="0"/>
              <w:rPr>
                <w:sz w:val="21"/>
                <w:szCs w:val="21"/>
                <w:color w:val="auto"/>
              </w:rPr>
            </w:pPr>
          </w:p>
        </w:tc>
        <w:tc>
          <w:tcPr>
            <w:tcW w:w="160" w:type="dxa"/>
            <w:vAlign w:val="bottom"/>
            <w:tcBorders>
              <w:top w:val="single" w:sz="8" w:color="auto"/>
            </w:tcBorders>
            <w:shd w:val="clear" w:color="auto" w:fill="F0FFFF"/>
          </w:tcPr>
          <w:p>
            <w:pPr>
              <w:spacing w:after="0"/>
              <w:rPr>
                <w:sz w:val="21"/>
                <w:szCs w:val="21"/>
                <w:color w:val="auto"/>
              </w:rPr>
            </w:pPr>
          </w:p>
        </w:tc>
        <w:tc>
          <w:tcPr>
            <w:tcW w:w="1140" w:type="dxa"/>
            <w:vAlign w:val="bottom"/>
            <w:tcBorders>
              <w:top w:val="single" w:sz="8" w:color="auto"/>
            </w:tcBorders>
            <w:shd w:val="clear" w:color="auto" w:fill="F0FFFF"/>
          </w:tcPr>
          <w:p>
            <w:pPr>
              <w:spacing w:after="0"/>
              <w:rPr>
                <w:sz w:val="21"/>
                <w:szCs w:val="21"/>
                <w:color w:val="auto"/>
              </w:rPr>
            </w:pPr>
          </w:p>
        </w:tc>
        <w:tc>
          <w:tcPr>
            <w:tcW w:w="120" w:type="dxa"/>
            <w:vAlign w:val="bottom"/>
            <w:tcBorders>
              <w:top w:val="single" w:sz="8" w:color="F0FFFF"/>
            </w:tcBorders>
            <w:shd w:val="clear" w:color="auto" w:fill="F0FFFF"/>
          </w:tcPr>
          <w:p>
            <w:pPr>
              <w:spacing w:after="0"/>
              <w:rPr>
                <w:sz w:val="21"/>
                <w:szCs w:val="21"/>
                <w:color w:val="auto"/>
              </w:rPr>
            </w:pPr>
          </w:p>
        </w:tc>
        <w:tc>
          <w:tcPr>
            <w:tcW w:w="20" w:type="dxa"/>
            <w:vAlign w:val="bottom"/>
            <w:tcBorders>
              <w:top w:val="single" w:sz="8" w:color="F0FFFF"/>
            </w:tcBorders>
            <w:shd w:val="clear" w:color="auto" w:fill="F0FFFF"/>
          </w:tcPr>
          <w:p>
            <w:pPr>
              <w:spacing w:after="0"/>
              <w:rPr>
                <w:sz w:val="21"/>
                <w:szCs w:val="21"/>
                <w:color w:val="auto"/>
              </w:rPr>
            </w:pPr>
          </w:p>
        </w:tc>
        <w:tc>
          <w:tcPr>
            <w:tcW w:w="280" w:type="dxa"/>
            <w:vAlign w:val="bottom"/>
            <w:tcBorders>
              <w:top w:val="single" w:sz="8" w:color="auto"/>
            </w:tcBorders>
            <w:shd w:val="clear" w:color="auto" w:fill="F0FFFF"/>
          </w:tcPr>
          <w:p>
            <w:pPr>
              <w:spacing w:after="0"/>
              <w:rPr>
                <w:sz w:val="21"/>
                <w:szCs w:val="21"/>
                <w:color w:val="auto"/>
              </w:rPr>
            </w:pPr>
          </w:p>
        </w:tc>
        <w:tc>
          <w:tcPr>
            <w:tcW w:w="1200" w:type="dxa"/>
            <w:vAlign w:val="bottom"/>
            <w:tcBorders>
              <w:top w:val="single" w:sz="8" w:color="auto"/>
            </w:tcBorders>
            <w:shd w:val="clear" w:color="auto" w:fill="F0FFFF"/>
          </w:tcPr>
          <w:p>
            <w:pPr>
              <w:spacing w:after="0"/>
              <w:rPr>
                <w:sz w:val="21"/>
                <w:szCs w:val="21"/>
                <w:color w:val="auto"/>
              </w:rPr>
            </w:pPr>
          </w:p>
        </w:tc>
        <w:tc>
          <w:tcPr>
            <w:tcW w:w="220" w:type="dxa"/>
            <w:vAlign w:val="bottom"/>
            <w:tcBorders>
              <w:top w:val="single" w:sz="8" w:color="F0FFFF"/>
            </w:tcBorders>
            <w:shd w:val="clear" w:color="auto" w:fill="F0FFFF"/>
          </w:tcPr>
          <w:p>
            <w:pPr>
              <w:spacing w:after="0"/>
              <w:rPr>
                <w:sz w:val="21"/>
                <w:szCs w:val="21"/>
                <w:color w:val="auto"/>
              </w:rPr>
            </w:pPr>
          </w:p>
        </w:tc>
      </w:tr>
      <w:tr>
        <w:trPr>
          <w:trHeight w:val="216"/>
        </w:trPr>
        <w:tc>
          <w:tcPr>
            <w:tcW w:w="4900" w:type="dxa"/>
            <w:vAlign w:val="bottom"/>
            <w:gridSpan w:val="3"/>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1,728,348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23,333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10,413</w:t>
            </w:r>
          </w:p>
        </w:tc>
        <w:tc>
          <w:tcPr>
            <w:tcW w:w="300" w:type="dxa"/>
            <w:vAlign w:val="bottom"/>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1,741,268</w:t>
            </w:r>
          </w:p>
        </w:tc>
        <w:tc>
          <w:tcPr>
            <w:tcW w:w="220" w:type="dxa"/>
            <w:vAlign w:val="bottom"/>
          </w:tcPr>
          <w:p>
            <w:pPr>
              <w:spacing w:after="0"/>
              <w:rPr>
                <w:sz w:val="18"/>
                <w:szCs w:val="18"/>
                <w:color w:val="auto"/>
              </w:rPr>
            </w:pPr>
          </w:p>
        </w:tc>
      </w:tr>
      <w:tr>
        <w:trPr>
          <w:trHeight w:val="21"/>
        </w:trPr>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83" w:lineRule="exact"/>
        <w:rPr>
          <w:sz w:val="20"/>
          <w:szCs w:val="20"/>
          <w:color w:val="auto"/>
        </w:rPr>
      </w:pPr>
    </w:p>
    <w:p>
      <w:pPr>
        <w:ind w:left="5620" w:right="2540" w:hanging="5612"/>
        <w:spacing w:after="0" w:line="731" w:lineRule="auto"/>
        <w:tabs>
          <w:tab w:leader="none" w:pos="259" w:val="left"/>
        </w:tabs>
        <w:numPr>
          <w:ilvl w:val="0"/>
          <w:numId w:val="5"/>
        </w:numPr>
        <w:rPr>
          <w:rFonts w:ascii="Arial" w:cs="Arial" w:eastAsia="Arial" w:hAnsi="Arial"/>
          <w:sz w:val="30"/>
          <w:szCs w:val="30"/>
          <w:color w:val="auto"/>
          <w:vertAlign w:val="superscript"/>
        </w:rPr>
      </w:pPr>
      <w:r>
        <w:rPr>
          <w:rFonts w:ascii="Arial" w:cs="Arial" w:eastAsia="Arial" w:hAnsi="Arial"/>
          <w:sz w:val="16"/>
          <w:szCs w:val="16"/>
          <w:color w:val="auto"/>
        </w:rPr>
        <w:t>All are residential type mortgage-backed securities or U.S. government agency commercial mortgage backed securities.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t>UNITED COMMUNITY BANKS,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2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 xml:space="preserve">The following table summarizes available-for-sale securities in an unrealized loss position as of June 30, 2015, December 31, 2014 and June 30, 2014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gridSpan w:val="6"/>
          </w:tcPr>
          <w:p>
            <w:pPr>
              <w:ind w:left="480"/>
              <w:spacing w:after="0"/>
              <w:rPr>
                <w:sz w:val="20"/>
                <w:szCs w:val="20"/>
                <w:color w:val="auto"/>
              </w:rPr>
            </w:pPr>
            <w:r>
              <w:rPr>
                <w:rFonts w:ascii="Arial" w:cs="Arial" w:eastAsia="Arial" w:hAnsi="Arial"/>
                <w:sz w:val="17"/>
                <w:szCs w:val="17"/>
                <w:b w:val="1"/>
                <w:bCs w:val="1"/>
                <w:color w:val="auto"/>
              </w:rPr>
              <w:t>Less than 12 Months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gridSpan w:val="5"/>
          </w:tcPr>
          <w:p>
            <w:pPr>
              <w:jc w:val="right"/>
              <w:ind w:right="620"/>
              <w:spacing w:after="0"/>
              <w:rPr>
                <w:sz w:val="20"/>
                <w:szCs w:val="20"/>
                <w:color w:val="auto"/>
              </w:rPr>
            </w:pPr>
            <w:r>
              <w:rPr>
                <w:rFonts w:ascii="Arial" w:cs="Arial" w:eastAsia="Arial" w:hAnsi="Arial"/>
                <w:sz w:val="17"/>
                <w:szCs w:val="17"/>
                <w:b w:val="1"/>
                <w:bCs w:val="1"/>
                <w:color w:val="auto"/>
              </w:rPr>
              <w:t>12 Months or More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3"/>
          </w:tcPr>
          <w:p>
            <w:pPr>
              <w:jc w:val="center"/>
              <w:ind w:left="875"/>
              <w:spacing w:after="0"/>
              <w:rPr>
                <w:sz w:val="20"/>
                <w:szCs w:val="20"/>
                <w:color w:val="auto"/>
              </w:rPr>
            </w:pPr>
            <w:r>
              <w:rPr>
                <w:rFonts w:ascii="Arial" w:cs="Arial" w:eastAsia="Arial" w:hAnsi="Arial"/>
                <w:sz w:val="17"/>
                <w:szCs w:val="17"/>
                <w:b w:val="1"/>
                <w:bCs w:val="1"/>
                <w:color w:val="auto"/>
                <w:w w:val="88"/>
              </w:rPr>
              <w:t>Total</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1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center"/>
              <w:ind w:right="135"/>
              <w:spacing w:after="0" w:line="179" w:lineRule="exact"/>
              <w:rPr>
                <w:sz w:val="20"/>
                <w:szCs w:val="20"/>
                <w:color w:val="auto"/>
              </w:rPr>
            </w:pPr>
            <w:r>
              <w:rPr>
                <w:rFonts w:ascii="Arial" w:cs="Arial" w:eastAsia="Arial" w:hAnsi="Arial"/>
                <w:sz w:val="17"/>
                <w:szCs w:val="17"/>
                <w:b w:val="1"/>
                <w:bCs w:val="1"/>
                <w:color w:val="auto"/>
                <w:w w:val="90"/>
              </w:rPr>
              <w:t>Unrealized</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215"/>
              <w:spacing w:after="0" w:line="179" w:lineRule="exact"/>
              <w:rPr>
                <w:sz w:val="20"/>
                <w:szCs w:val="20"/>
                <w:color w:val="auto"/>
              </w:rPr>
            </w:pPr>
            <w:r>
              <w:rPr>
                <w:rFonts w:ascii="Arial" w:cs="Arial" w:eastAsia="Arial" w:hAnsi="Arial"/>
                <w:sz w:val="17"/>
                <w:szCs w:val="17"/>
                <w:b w:val="1"/>
                <w:bCs w:val="1"/>
                <w:color w:val="auto"/>
                <w:w w:val="99"/>
              </w:rPr>
              <w:t>Unrealized</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center"/>
              <w:ind w:right="175"/>
              <w:spacing w:after="0" w:line="179" w:lineRule="exact"/>
              <w:rPr>
                <w:sz w:val="20"/>
                <w:szCs w:val="20"/>
                <w:color w:val="auto"/>
              </w:rPr>
            </w:pPr>
            <w:r>
              <w:rPr>
                <w:rFonts w:ascii="Arial" w:cs="Arial" w:eastAsia="Arial" w:hAnsi="Arial"/>
                <w:sz w:val="17"/>
                <w:szCs w:val="17"/>
                <w:b w:val="1"/>
                <w:bCs w:val="1"/>
                <w:color w:val="auto"/>
                <w:w w:val="92"/>
              </w:rPr>
              <w:t>Unrealized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100" w:type="dxa"/>
            <w:vAlign w:val="bottom"/>
            <w:gridSpan w:val="3"/>
          </w:tcPr>
          <w:p>
            <w:pPr>
              <w:spacing w:after="0"/>
              <w:rPr>
                <w:sz w:val="20"/>
                <w:szCs w:val="20"/>
                <w:color w:val="auto"/>
              </w:rPr>
            </w:pPr>
            <w:r>
              <w:rPr>
                <w:rFonts w:ascii="Arial" w:cs="Arial" w:eastAsia="Arial" w:hAnsi="Arial"/>
                <w:sz w:val="17"/>
                <w:szCs w:val="17"/>
                <w:color w:val="auto"/>
              </w:rPr>
              <w:t>As of June 30, 2015</w:t>
            </w:r>
          </w:p>
        </w:tc>
        <w:tc>
          <w:tcPr>
            <w:tcW w:w="200" w:type="dxa"/>
            <w:vAlign w:val="bottom"/>
          </w:tcPr>
          <w:p>
            <w:pPr>
              <w:spacing w:after="0"/>
              <w:rPr>
                <w:sz w:val="17"/>
                <w:szCs w:val="17"/>
                <w:color w:val="auto"/>
              </w:rPr>
            </w:pPr>
          </w:p>
        </w:tc>
        <w:tc>
          <w:tcPr>
            <w:tcW w:w="1240" w:type="dxa"/>
            <w:vAlign w:val="bottom"/>
            <w:gridSpan w:val="2"/>
          </w:tcPr>
          <w:p>
            <w:pPr>
              <w:ind w:left="100"/>
              <w:spacing w:after="0"/>
              <w:rPr>
                <w:sz w:val="20"/>
                <w:szCs w:val="20"/>
                <w:color w:val="auto"/>
              </w:rPr>
            </w:pPr>
            <w:r>
              <w:rPr>
                <w:rFonts w:ascii="Arial" w:cs="Arial" w:eastAsia="Arial" w:hAnsi="Arial"/>
                <w:sz w:val="17"/>
                <w:szCs w:val="17"/>
                <w:b w:val="1"/>
                <w:bCs w:val="1"/>
                <w:color w:val="auto"/>
              </w:rPr>
              <w:t>Fair Value</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5"/>
              </w:rPr>
              <w:t>Loss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Arial" w:cs="Arial" w:eastAsia="Arial" w:hAnsi="Arial"/>
                <w:sz w:val="17"/>
                <w:szCs w:val="17"/>
                <w:b w:val="1"/>
                <w:bCs w:val="1"/>
                <w:color w:val="auto"/>
              </w:rPr>
              <w:t>Fair Value</w:t>
            </w:r>
          </w:p>
        </w:tc>
        <w:tc>
          <w:tcPr>
            <w:tcW w:w="180" w:type="dxa"/>
            <w:vAlign w:val="bottom"/>
          </w:tcPr>
          <w:p>
            <w:pPr>
              <w:spacing w:after="0"/>
              <w:rPr>
                <w:sz w:val="17"/>
                <w:szCs w:val="17"/>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rPr>
              <w:t>Loss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ind w:left="40"/>
              <w:spacing w:after="0"/>
              <w:rPr>
                <w:sz w:val="20"/>
                <w:szCs w:val="20"/>
                <w:color w:val="auto"/>
              </w:rPr>
            </w:pPr>
            <w:r>
              <w:rPr>
                <w:rFonts w:ascii="Arial" w:cs="Arial" w:eastAsia="Arial" w:hAnsi="Arial"/>
                <w:sz w:val="17"/>
                <w:szCs w:val="17"/>
                <w:b w:val="1"/>
                <w:bCs w:val="1"/>
                <w:color w:val="auto"/>
              </w:rPr>
              <w:t>Fair Value</w:t>
            </w:r>
          </w:p>
        </w:tc>
        <w:tc>
          <w:tcPr>
            <w:tcW w:w="26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0"/>
              </w:rPr>
              <w:t>Loss</w:t>
            </w:r>
          </w:p>
        </w:tc>
        <w:tc>
          <w:tcPr>
            <w:tcW w:w="0" w:type="dxa"/>
            <w:vAlign w:val="bottom"/>
          </w:tcPr>
          <w:p>
            <w:pPr>
              <w:spacing w:after="0"/>
              <w:rPr>
                <w:sz w:val="1"/>
                <w:szCs w:val="1"/>
                <w:color w:val="auto"/>
              </w:rPr>
            </w:pPr>
          </w:p>
        </w:tc>
      </w:tr>
      <w:tr>
        <w:trPr>
          <w:trHeight w:val="20"/>
        </w:trPr>
        <w:tc>
          <w:tcPr>
            <w:tcW w:w="1380" w:type="dxa"/>
            <w:vAlign w:val="bottom"/>
            <w:tcBorders>
              <w:top w:val="single" w:sz="8" w:color="auto"/>
              <w:bottom w:val="single" w:sz="8" w:color="F0FFFF"/>
            </w:tcBorders>
          </w:tcPr>
          <w:p>
            <w:pPr>
              <w:spacing w:after="0" w:line="20" w:lineRule="exact"/>
              <w:rPr>
                <w:sz w:val="1"/>
                <w:szCs w:val="1"/>
                <w:color w:val="auto"/>
              </w:rPr>
            </w:pPr>
          </w:p>
        </w:tc>
        <w:tc>
          <w:tcPr>
            <w:tcW w:w="380" w:type="dxa"/>
            <w:vAlign w:val="bottom"/>
            <w:tcBorders>
              <w:bottom w:val="single" w:sz="8" w:color="F0FFFF"/>
            </w:tcBorders>
          </w:tcPr>
          <w:p>
            <w:pPr>
              <w:spacing w:after="0" w:line="20" w:lineRule="exact"/>
              <w:rPr>
                <w:sz w:val="1"/>
                <w:szCs w:val="1"/>
                <w:color w:val="auto"/>
              </w:rPr>
            </w:pPr>
          </w:p>
        </w:tc>
        <w:tc>
          <w:tcPr>
            <w:tcW w:w="134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100" w:type="dxa"/>
            <w:vAlign w:val="bottom"/>
            <w:gridSpan w:val="3"/>
            <w:shd w:val="clear" w:color="auto" w:fill="F0FFFF"/>
          </w:tcPr>
          <w:p>
            <w:pPr>
              <w:spacing w:after="0"/>
              <w:rPr>
                <w:sz w:val="20"/>
                <w:szCs w:val="20"/>
                <w:color w:val="auto"/>
              </w:rPr>
            </w:pPr>
            <w:r>
              <w:rPr>
                <w:rFonts w:ascii="Arial" w:cs="Arial" w:eastAsia="Arial" w:hAnsi="Arial"/>
                <w:sz w:val="17"/>
                <w:szCs w:val="17"/>
                <w:color w:val="auto"/>
              </w:rPr>
              <w:t>U.S. Treasuries</w:t>
            </w: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49,830</w:t>
            </w:r>
          </w:p>
        </w:tc>
        <w:tc>
          <w:tcPr>
            <w:tcW w:w="240" w:type="dxa"/>
            <w:vAlign w:val="bottom"/>
            <w:gridSpan w:val="2"/>
            <w:shd w:val="clear" w:color="auto" w:fill="F0FFFF"/>
          </w:tcPr>
          <w:p>
            <w:pPr>
              <w:jc w:val="right"/>
              <w:ind w:right="25"/>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421</w:t>
            </w: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49,830</w:t>
            </w:r>
          </w:p>
        </w:tc>
        <w:tc>
          <w:tcPr>
            <w:tcW w:w="260" w:type="dxa"/>
            <w:vAlign w:val="bottom"/>
            <w:shd w:val="clear" w:color="auto" w:fill="F0FFFF"/>
          </w:tcPr>
          <w:p>
            <w:pPr>
              <w:jc w:val="center"/>
              <w:ind w:right="95"/>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421</w:t>
            </w:r>
          </w:p>
        </w:tc>
        <w:tc>
          <w:tcPr>
            <w:tcW w:w="0" w:type="dxa"/>
            <w:vAlign w:val="bottom"/>
          </w:tcPr>
          <w:p>
            <w:pPr>
              <w:spacing w:after="0"/>
              <w:rPr>
                <w:sz w:val="1"/>
                <w:szCs w:val="1"/>
                <w:color w:val="auto"/>
              </w:rPr>
            </w:pPr>
          </w:p>
        </w:tc>
      </w:tr>
      <w:tr>
        <w:trPr>
          <w:trHeight w:val="241"/>
        </w:trPr>
        <w:tc>
          <w:tcPr>
            <w:tcW w:w="3100" w:type="dxa"/>
            <w:vAlign w:val="bottom"/>
            <w:gridSpan w:val="3"/>
          </w:tcPr>
          <w:p>
            <w:pPr>
              <w:spacing w:after="0"/>
              <w:rPr>
                <w:sz w:val="20"/>
                <w:szCs w:val="20"/>
                <w:color w:val="auto"/>
              </w:rPr>
            </w:pPr>
            <w:r>
              <w:rPr>
                <w:rFonts w:ascii="Arial" w:cs="Arial" w:eastAsia="Arial" w:hAnsi="Arial"/>
                <w:sz w:val="17"/>
                <w:szCs w:val="17"/>
                <w:color w:val="auto"/>
              </w:rPr>
              <w:t>U.S. Government agencies</w:t>
            </w:r>
          </w:p>
        </w:tc>
        <w:tc>
          <w:tcPr>
            <w:tcW w:w="20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85,769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525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85,769</w:t>
            </w:r>
          </w:p>
        </w:tc>
        <w:tc>
          <w:tcPr>
            <w:tcW w:w="2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525</w:t>
            </w:r>
          </w:p>
        </w:tc>
        <w:tc>
          <w:tcPr>
            <w:tcW w:w="0" w:type="dxa"/>
            <w:vAlign w:val="bottom"/>
          </w:tcPr>
          <w:p>
            <w:pPr>
              <w:spacing w:after="0"/>
              <w:rPr>
                <w:sz w:val="1"/>
                <w:szCs w:val="1"/>
                <w:color w:val="auto"/>
              </w:rPr>
            </w:pPr>
          </w:p>
        </w:tc>
      </w:tr>
      <w:tr>
        <w:trPr>
          <w:trHeight w:val="245"/>
        </w:trPr>
        <w:tc>
          <w:tcPr>
            <w:tcW w:w="3100" w:type="dxa"/>
            <w:vAlign w:val="bottom"/>
            <w:gridSpan w:val="3"/>
            <w:shd w:val="clear" w:color="auto" w:fill="F0FFFF"/>
          </w:tcPr>
          <w:p>
            <w:pPr>
              <w:spacing w:after="0"/>
              <w:rPr>
                <w:sz w:val="20"/>
                <w:szCs w:val="20"/>
                <w:color w:val="auto"/>
              </w:rPr>
            </w:pPr>
            <w:r>
              <w:rPr>
                <w:rFonts w:ascii="Arial" w:cs="Arial" w:eastAsia="Arial" w:hAnsi="Arial"/>
                <w:sz w:val="17"/>
                <w:szCs w:val="17"/>
                <w:color w:val="auto"/>
              </w:rPr>
              <w:t>State and political subdivisions</w:t>
            </w:r>
          </w:p>
        </w:tc>
        <w:tc>
          <w:tcPr>
            <w:tcW w:w="20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13,441</w:t>
            </w:r>
          </w:p>
        </w:tc>
        <w:tc>
          <w:tcPr>
            <w:tcW w:w="6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26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141</w:t>
            </w:r>
          </w:p>
        </w:tc>
        <w:tc>
          <w:tcPr>
            <w:tcW w:w="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8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13,441</w:t>
            </w:r>
          </w:p>
        </w:tc>
        <w:tc>
          <w:tcPr>
            <w:tcW w:w="26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41"/>
        </w:trPr>
        <w:tc>
          <w:tcPr>
            <w:tcW w:w="3100" w:type="dxa"/>
            <w:vAlign w:val="bottom"/>
            <w:gridSpan w:val="3"/>
          </w:tcPr>
          <w:p>
            <w:pPr>
              <w:spacing w:after="0"/>
              <w:rPr>
                <w:sz w:val="20"/>
                <w:szCs w:val="20"/>
                <w:color w:val="auto"/>
              </w:rPr>
            </w:pPr>
            <w:r>
              <w:rPr>
                <w:rFonts w:ascii="Arial" w:cs="Arial" w:eastAsia="Arial" w:hAnsi="Arial"/>
                <w:sz w:val="17"/>
                <w:szCs w:val="17"/>
                <w:color w:val="auto"/>
              </w:rPr>
              <w:t>Mortgage-backed securities</w:t>
            </w:r>
          </w:p>
        </w:tc>
        <w:tc>
          <w:tcPr>
            <w:tcW w:w="20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145,477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1,283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198,067</w:t>
            </w:r>
          </w:p>
        </w:tc>
        <w:tc>
          <w:tcPr>
            <w:tcW w:w="18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5,089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343,544</w:t>
            </w:r>
          </w:p>
        </w:tc>
        <w:tc>
          <w:tcPr>
            <w:tcW w:w="2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6,372</w:t>
            </w:r>
          </w:p>
        </w:tc>
        <w:tc>
          <w:tcPr>
            <w:tcW w:w="0" w:type="dxa"/>
            <w:vAlign w:val="bottom"/>
          </w:tcPr>
          <w:p>
            <w:pPr>
              <w:spacing w:after="0"/>
              <w:rPr>
                <w:sz w:val="1"/>
                <w:szCs w:val="1"/>
                <w:color w:val="auto"/>
              </w:rPr>
            </w:pPr>
          </w:p>
        </w:tc>
      </w:tr>
      <w:tr>
        <w:trPr>
          <w:trHeight w:val="245"/>
        </w:trPr>
        <w:tc>
          <w:tcPr>
            <w:tcW w:w="3100" w:type="dxa"/>
            <w:vAlign w:val="bottom"/>
            <w:gridSpan w:val="3"/>
            <w:shd w:val="clear" w:color="auto" w:fill="F0FFFF"/>
          </w:tcPr>
          <w:p>
            <w:pPr>
              <w:spacing w:after="0"/>
              <w:rPr>
                <w:sz w:val="20"/>
                <w:szCs w:val="20"/>
                <w:color w:val="auto"/>
              </w:rPr>
            </w:pPr>
            <w:r>
              <w:rPr>
                <w:rFonts w:ascii="Arial" w:cs="Arial" w:eastAsia="Arial" w:hAnsi="Arial"/>
                <w:sz w:val="17"/>
                <w:szCs w:val="17"/>
                <w:color w:val="auto"/>
              </w:rPr>
              <w:t>Corporate bonds</w:t>
            </w:r>
          </w:p>
        </w:tc>
        <w:tc>
          <w:tcPr>
            <w:tcW w:w="20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119,690</w:t>
            </w:r>
          </w:p>
        </w:tc>
        <w:tc>
          <w:tcPr>
            <w:tcW w:w="6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26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2,701</w:t>
            </w:r>
          </w:p>
        </w:tc>
        <w:tc>
          <w:tcPr>
            <w:tcW w:w="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8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119,690</w:t>
            </w:r>
          </w:p>
        </w:tc>
        <w:tc>
          <w:tcPr>
            <w:tcW w:w="26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2,701</w:t>
            </w:r>
          </w:p>
        </w:tc>
        <w:tc>
          <w:tcPr>
            <w:tcW w:w="0" w:type="dxa"/>
            <w:vAlign w:val="bottom"/>
          </w:tcPr>
          <w:p>
            <w:pPr>
              <w:spacing w:after="0"/>
              <w:rPr>
                <w:sz w:val="1"/>
                <w:szCs w:val="1"/>
                <w:color w:val="auto"/>
              </w:rPr>
            </w:pPr>
          </w:p>
        </w:tc>
      </w:tr>
      <w:tr>
        <w:trPr>
          <w:trHeight w:val="250"/>
        </w:trPr>
        <w:tc>
          <w:tcPr>
            <w:tcW w:w="3100" w:type="dxa"/>
            <w:vAlign w:val="bottom"/>
            <w:gridSpan w:val="3"/>
          </w:tcPr>
          <w:p>
            <w:pPr>
              <w:spacing w:after="0"/>
              <w:rPr>
                <w:sz w:val="20"/>
                <w:szCs w:val="20"/>
                <w:color w:val="auto"/>
              </w:rPr>
            </w:pPr>
            <w:r>
              <w:rPr>
                <w:rFonts w:ascii="Arial" w:cs="Arial" w:eastAsia="Arial" w:hAnsi="Arial"/>
                <w:sz w:val="17"/>
                <w:szCs w:val="17"/>
                <w:color w:val="auto"/>
              </w:rPr>
              <w:t>Asset-backed securities</w:t>
            </w:r>
          </w:p>
        </w:tc>
        <w:tc>
          <w:tcPr>
            <w:tcW w:w="20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49,294</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261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14,899</w:t>
            </w:r>
          </w:p>
        </w:tc>
        <w:tc>
          <w:tcPr>
            <w:tcW w:w="18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47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64,193</w:t>
            </w:r>
          </w:p>
        </w:tc>
        <w:tc>
          <w:tcPr>
            <w:tcW w:w="2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308</w:t>
            </w:r>
          </w:p>
        </w:tc>
        <w:tc>
          <w:tcPr>
            <w:tcW w:w="0" w:type="dxa"/>
            <w:vAlign w:val="bottom"/>
          </w:tcPr>
          <w:p>
            <w:pPr>
              <w:spacing w:after="0"/>
              <w:rPr>
                <w:sz w:val="1"/>
                <w:szCs w:val="1"/>
                <w:color w:val="auto"/>
              </w:rPr>
            </w:pPr>
          </w:p>
        </w:tc>
      </w:tr>
      <w:tr>
        <w:trPr>
          <w:trHeight w:val="228"/>
        </w:trPr>
        <w:tc>
          <w:tcPr>
            <w:tcW w:w="3100" w:type="dxa"/>
            <w:vAlign w:val="bottom"/>
            <w:tcBorders>
              <w:top w:val="single" w:sz="8" w:color="F0FFFF"/>
              <w:bottom w:val="single" w:sz="8" w:color="F0FFFF"/>
            </w:tcBorders>
            <w:gridSpan w:val="3"/>
            <w:shd w:val="clear" w:color="auto" w:fill="F0FFFF"/>
          </w:tcPr>
          <w:p>
            <w:pPr>
              <w:ind w:left="160"/>
              <w:spacing w:after="0"/>
              <w:rPr>
                <w:sz w:val="20"/>
                <w:szCs w:val="20"/>
                <w:color w:val="auto"/>
              </w:rPr>
            </w:pPr>
            <w:r>
              <w:rPr>
                <w:rFonts w:ascii="Arial" w:cs="Arial" w:eastAsia="Arial" w:hAnsi="Arial"/>
                <w:sz w:val="17"/>
                <w:szCs w:val="17"/>
                <w:color w:val="auto"/>
              </w:rPr>
              <w:t>Total unrealized loss position</w:t>
            </w:r>
          </w:p>
        </w:tc>
        <w:tc>
          <w:tcPr>
            <w:tcW w:w="200" w:type="dxa"/>
            <w:vAlign w:val="bottom"/>
            <w:tcBorders>
              <w:top w:val="single" w:sz="8" w:color="auto"/>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463,501</w:t>
            </w: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180" w:type="dxa"/>
            <w:vAlign w:val="bottom"/>
            <w:tcBorders>
              <w:top w:val="single" w:sz="8" w:color="auto"/>
              <w:bottom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5,332</w:t>
            </w: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212,966</w:t>
            </w: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180" w:type="dxa"/>
            <w:vAlign w:val="bottom"/>
            <w:tcBorders>
              <w:top w:val="single" w:sz="8" w:color="auto"/>
              <w:bottom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5,136</w:t>
            </w: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676,467</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260" w:type="dxa"/>
            <w:vAlign w:val="bottom"/>
            <w:tcBorders>
              <w:top w:val="single" w:sz="8" w:color="auto"/>
              <w:bottom w:val="single" w:sz="8" w:color="auto"/>
            </w:tcBorders>
            <w:shd w:val="clear" w:color="auto" w:fill="F0FFFF"/>
          </w:tcPr>
          <w:p>
            <w:pPr>
              <w:jc w:val="center"/>
              <w:ind w:right="95"/>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10,468</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F0FFFF"/>
              <w:bottom w:val="single" w:sz="8" w:color="F0FFFF"/>
            </w:tcBorders>
            <w:gridSpan w:val="3"/>
            <w:vMerge w:val="restart"/>
          </w:tcPr>
          <w:p>
            <w:pPr>
              <w:spacing w:after="0"/>
              <w:rPr>
                <w:sz w:val="20"/>
                <w:szCs w:val="20"/>
                <w:color w:val="auto"/>
              </w:rPr>
            </w:pPr>
            <w:r>
              <w:rPr>
                <w:rFonts w:ascii="Arial" w:cs="Arial" w:eastAsia="Arial" w:hAnsi="Arial"/>
                <w:sz w:val="17"/>
                <w:szCs w:val="17"/>
                <w:color w:val="auto"/>
              </w:rPr>
              <w:t>As of December 31, 2014</w:t>
            </w: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118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120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118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1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1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38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100" w:type="dxa"/>
            <w:vAlign w:val="bottom"/>
            <w:gridSpan w:val="3"/>
            <w:shd w:val="clear" w:color="auto" w:fill="F0FFFF"/>
          </w:tcPr>
          <w:p>
            <w:pPr>
              <w:spacing w:after="0"/>
              <w:rPr>
                <w:sz w:val="20"/>
                <w:szCs w:val="20"/>
                <w:color w:val="auto"/>
              </w:rPr>
            </w:pPr>
            <w:r>
              <w:rPr>
                <w:rFonts w:ascii="Arial" w:cs="Arial" w:eastAsia="Arial" w:hAnsi="Arial"/>
                <w:sz w:val="17"/>
                <w:szCs w:val="17"/>
                <w:color w:val="auto"/>
              </w:rPr>
              <w:t>U.S. Treasuries</w:t>
            </w: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34,180</w:t>
            </w:r>
          </w:p>
        </w:tc>
        <w:tc>
          <w:tcPr>
            <w:tcW w:w="240" w:type="dxa"/>
            <w:vAlign w:val="bottom"/>
            <w:gridSpan w:val="2"/>
            <w:shd w:val="clear" w:color="auto" w:fill="F0FFFF"/>
          </w:tcPr>
          <w:p>
            <w:pPr>
              <w:jc w:val="right"/>
              <w:ind w:right="25"/>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66</w:t>
            </w: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34,180</w:t>
            </w:r>
          </w:p>
        </w:tc>
        <w:tc>
          <w:tcPr>
            <w:tcW w:w="260" w:type="dxa"/>
            <w:vAlign w:val="bottom"/>
            <w:shd w:val="clear" w:color="auto" w:fill="F0FFFF"/>
          </w:tcPr>
          <w:p>
            <w:pPr>
              <w:jc w:val="center"/>
              <w:ind w:right="95"/>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41"/>
        </w:trPr>
        <w:tc>
          <w:tcPr>
            <w:tcW w:w="3100" w:type="dxa"/>
            <w:vAlign w:val="bottom"/>
            <w:gridSpan w:val="3"/>
          </w:tcPr>
          <w:p>
            <w:pPr>
              <w:spacing w:after="0"/>
              <w:rPr>
                <w:sz w:val="20"/>
                <w:szCs w:val="20"/>
                <w:color w:val="auto"/>
              </w:rPr>
            </w:pPr>
            <w:r>
              <w:rPr>
                <w:rFonts w:ascii="Arial" w:cs="Arial" w:eastAsia="Arial" w:hAnsi="Arial"/>
                <w:sz w:val="17"/>
                <w:szCs w:val="17"/>
                <w:color w:val="auto"/>
              </w:rPr>
              <w:t>U.S. Government agencies</w:t>
            </w:r>
          </w:p>
        </w:tc>
        <w:tc>
          <w:tcPr>
            <w:tcW w:w="20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36,299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175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36,299</w:t>
            </w:r>
          </w:p>
        </w:tc>
        <w:tc>
          <w:tcPr>
            <w:tcW w:w="2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175</w:t>
            </w:r>
          </w:p>
        </w:tc>
        <w:tc>
          <w:tcPr>
            <w:tcW w:w="0" w:type="dxa"/>
            <w:vAlign w:val="bottom"/>
          </w:tcPr>
          <w:p>
            <w:pPr>
              <w:spacing w:after="0"/>
              <w:rPr>
                <w:sz w:val="1"/>
                <w:szCs w:val="1"/>
                <w:color w:val="auto"/>
              </w:rPr>
            </w:pPr>
          </w:p>
        </w:tc>
      </w:tr>
      <w:tr>
        <w:trPr>
          <w:trHeight w:val="245"/>
        </w:trPr>
        <w:tc>
          <w:tcPr>
            <w:tcW w:w="3100" w:type="dxa"/>
            <w:vAlign w:val="bottom"/>
            <w:gridSpan w:val="3"/>
            <w:shd w:val="clear" w:color="auto" w:fill="F0FFFF"/>
          </w:tcPr>
          <w:p>
            <w:pPr>
              <w:spacing w:after="0"/>
              <w:rPr>
                <w:sz w:val="20"/>
                <w:szCs w:val="20"/>
                <w:color w:val="auto"/>
              </w:rPr>
            </w:pPr>
            <w:r>
              <w:rPr>
                <w:rFonts w:ascii="Arial" w:cs="Arial" w:eastAsia="Arial" w:hAnsi="Arial"/>
                <w:sz w:val="17"/>
                <w:szCs w:val="17"/>
                <w:color w:val="auto"/>
              </w:rPr>
              <w:t>State and political subdivisions</w:t>
            </w:r>
          </w:p>
        </w:tc>
        <w:tc>
          <w:tcPr>
            <w:tcW w:w="20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2,481</w:t>
            </w:r>
          </w:p>
        </w:tc>
        <w:tc>
          <w:tcPr>
            <w:tcW w:w="6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26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19</w:t>
            </w:r>
          </w:p>
        </w:tc>
        <w:tc>
          <w:tcPr>
            <w:tcW w:w="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w:t>
            </w:r>
          </w:p>
        </w:tc>
        <w:tc>
          <w:tcPr>
            <w:tcW w:w="18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2,481</w:t>
            </w:r>
          </w:p>
        </w:tc>
        <w:tc>
          <w:tcPr>
            <w:tcW w:w="26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41"/>
        </w:trPr>
        <w:tc>
          <w:tcPr>
            <w:tcW w:w="3100" w:type="dxa"/>
            <w:vAlign w:val="bottom"/>
            <w:gridSpan w:val="3"/>
          </w:tcPr>
          <w:p>
            <w:pPr>
              <w:spacing w:after="0"/>
              <w:rPr>
                <w:sz w:val="20"/>
                <w:szCs w:val="20"/>
                <w:color w:val="auto"/>
              </w:rPr>
            </w:pPr>
            <w:r>
              <w:rPr>
                <w:rFonts w:ascii="Arial" w:cs="Arial" w:eastAsia="Arial" w:hAnsi="Arial"/>
                <w:sz w:val="17"/>
                <w:szCs w:val="17"/>
                <w:color w:val="auto"/>
              </w:rPr>
              <w:t>Mortgage-backed securities</w:t>
            </w:r>
          </w:p>
        </w:tc>
        <w:tc>
          <w:tcPr>
            <w:tcW w:w="20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88,741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446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251,977</w:t>
            </w:r>
          </w:p>
        </w:tc>
        <w:tc>
          <w:tcPr>
            <w:tcW w:w="18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7,019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340,718</w:t>
            </w:r>
          </w:p>
        </w:tc>
        <w:tc>
          <w:tcPr>
            <w:tcW w:w="2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7,465</w:t>
            </w:r>
          </w:p>
        </w:tc>
        <w:tc>
          <w:tcPr>
            <w:tcW w:w="0" w:type="dxa"/>
            <w:vAlign w:val="bottom"/>
          </w:tcPr>
          <w:p>
            <w:pPr>
              <w:spacing w:after="0"/>
              <w:rPr>
                <w:sz w:val="1"/>
                <w:szCs w:val="1"/>
                <w:color w:val="auto"/>
              </w:rPr>
            </w:pPr>
          </w:p>
        </w:tc>
      </w:tr>
      <w:tr>
        <w:trPr>
          <w:trHeight w:val="245"/>
        </w:trPr>
        <w:tc>
          <w:tcPr>
            <w:tcW w:w="3100" w:type="dxa"/>
            <w:vAlign w:val="bottom"/>
            <w:gridSpan w:val="3"/>
            <w:shd w:val="clear" w:color="auto" w:fill="F0FFFF"/>
          </w:tcPr>
          <w:p>
            <w:pPr>
              <w:spacing w:after="0"/>
              <w:rPr>
                <w:sz w:val="20"/>
                <w:szCs w:val="20"/>
                <w:color w:val="auto"/>
              </w:rPr>
            </w:pPr>
            <w:r>
              <w:rPr>
                <w:rFonts w:ascii="Arial" w:cs="Arial" w:eastAsia="Arial" w:hAnsi="Arial"/>
                <w:sz w:val="17"/>
                <w:szCs w:val="17"/>
                <w:color w:val="auto"/>
              </w:rPr>
              <w:t>Corporate bonds</w:t>
            </w:r>
          </w:p>
        </w:tc>
        <w:tc>
          <w:tcPr>
            <w:tcW w:w="20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37,891</w:t>
            </w:r>
          </w:p>
        </w:tc>
        <w:tc>
          <w:tcPr>
            <w:tcW w:w="6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26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371</w:t>
            </w:r>
          </w:p>
        </w:tc>
        <w:tc>
          <w:tcPr>
            <w:tcW w:w="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20,275</w:t>
            </w:r>
          </w:p>
        </w:tc>
        <w:tc>
          <w:tcPr>
            <w:tcW w:w="18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705</w:t>
            </w:r>
          </w:p>
        </w:tc>
        <w:tc>
          <w:tcPr>
            <w:tcW w:w="6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58,166</w:t>
            </w:r>
          </w:p>
        </w:tc>
        <w:tc>
          <w:tcPr>
            <w:tcW w:w="26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1,076</w:t>
            </w:r>
          </w:p>
        </w:tc>
        <w:tc>
          <w:tcPr>
            <w:tcW w:w="0" w:type="dxa"/>
            <w:vAlign w:val="bottom"/>
          </w:tcPr>
          <w:p>
            <w:pPr>
              <w:spacing w:after="0"/>
              <w:rPr>
                <w:sz w:val="1"/>
                <w:szCs w:val="1"/>
                <w:color w:val="auto"/>
              </w:rPr>
            </w:pPr>
          </w:p>
        </w:tc>
      </w:tr>
      <w:tr>
        <w:trPr>
          <w:trHeight w:val="250"/>
        </w:trPr>
        <w:tc>
          <w:tcPr>
            <w:tcW w:w="3100" w:type="dxa"/>
            <w:vAlign w:val="bottom"/>
            <w:gridSpan w:val="3"/>
          </w:tcPr>
          <w:p>
            <w:pPr>
              <w:spacing w:after="0"/>
              <w:rPr>
                <w:sz w:val="20"/>
                <w:szCs w:val="20"/>
                <w:color w:val="auto"/>
              </w:rPr>
            </w:pPr>
            <w:r>
              <w:rPr>
                <w:rFonts w:ascii="Arial" w:cs="Arial" w:eastAsia="Arial" w:hAnsi="Arial"/>
                <w:sz w:val="17"/>
                <w:szCs w:val="17"/>
                <w:color w:val="auto"/>
              </w:rPr>
              <w:t>Asset-backed securities</w:t>
            </w:r>
          </w:p>
        </w:tc>
        <w:tc>
          <w:tcPr>
            <w:tcW w:w="20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221,359</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1,592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40,952</w:t>
            </w:r>
          </w:p>
        </w:tc>
        <w:tc>
          <w:tcPr>
            <w:tcW w:w="18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363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262,311</w:t>
            </w:r>
          </w:p>
        </w:tc>
        <w:tc>
          <w:tcPr>
            <w:tcW w:w="2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1,955</w:t>
            </w:r>
          </w:p>
        </w:tc>
        <w:tc>
          <w:tcPr>
            <w:tcW w:w="0" w:type="dxa"/>
            <w:vAlign w:val="bottom"/>
          </w:tcPr>
          <w:p>
            <w:pPr>
              <w:spacing w:after="0"/>
              <w:rPr>
                <w:sz w:val="1"/>
                <w:szCs w:val="1"/>
                <w:color w:val="auto"/>
              </w:rPr>
            </w:pPr>
          </w:p>
        </w:tc>
      </w:tr>
      <w:tr>
        <w:trPr>
          <w:trHeight w:val="228"/>
        </w:trPr>
        <w:tc>
          <w:tcPr>
            <w:tcW w:w="3100" w:type="dxa"/>
            <w:vAlign w:val="bottom"/>
            <w:tcBorders>
              <w:top w:val="single" w:sz="8" w:color="F0FFFF"/>
              <w:bottom w:val="single" w:sz="8" w:color="F0FFFF"/>
            </w:tcBorders>
            <w:gridSpan w:val="3"/>
            <w:shd w:val="clear" w:color="auto" w:fill="F0FFFF"/>
          </w:tcPr>
          <w:p>
            <w:pPr>
              <w:ind w:left="160"/>
              <w:spacing w:after="0"/>
              <w:rPr>
                <w:sz w:val="20"/>
                <w:szCs w:val="20"/>
                <w:color w:val="auto"/>
              </w:rPr>
            </w:pPr>
            <w:r>
              <w:rPr>
                <w:rFonts w:ascii="Arial" w:cs="Arial" w:eastAsia="Arial" w:hAnsi="Arial"/>
                <w:sz w:val="17"/>
                <w:szCs w:val="17"/>
                <w:color w:val="auto"/>
              </w:rPr>
              <w:t>Total unrealized loss position</w:t>
            </w:r>
          </w:p>
        </w:tc>
        <w:tc>
          <w:tcPr>
            <w:tcW w:w="200" w:type="dxa"/>
            <w:vAlign w:val="bottom"/>
            <w:tcBorders>
              <w:top w:val="single" w:sz="8" w:color="auto"/>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420,951</w:t>
            </w: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180" w:type="dxa"/>
            <w:vAlign w:val="bottom"/>
            <w:tcBorders>
              <w:top w:val="single" w:sz="8" w:color="auto"/>
              <w:bottom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2,669</w:t>
            </w: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313,204</w:t>
            </w: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180" w:type="dxa"/>
            <w:vAlign w:val="bottom"/>
            <w:tcBorders>
              <w:top w:val="single" w:sz="8" w:color="auto"/>
              <w:bottom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8,087</w:t>
            </w: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734,155</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260" w:type="dxa"/>
            <w:vAlign w:val="bottom"/>
            <w:tcBorders>
              <w:top w:val="single" w:sz="8" w:color="auto"/>
              <w:bottom w:val="single" w:sz="8" w:color="auto"/>
            </w:tcBorders>
            <w:shd w:val="clear" w:color="auto" w:fill="F0FFFF"/>
          </w:tcPr>
          <w:p>
            <w:pPr>
              <w:jc w:val="center"/>
              <w:ind w:right="95"/>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10,756</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Borders>
              <w:top w:val="single" w:sz="8" w:color="F0FFFF"/>
            </w:tcBorders>
          </w:tcPr>
          <w:p>
            <w:pPr>
              <w:spacing w:after="0" w:line="20" w:lineRule="exact"/>
              <w:rPr>
                <w:sz w:val="1"/>
                <w:szCs w:val="1"/>
                <w:color w:val="auto"/>
              </w:rPr>
            </w:pPr>
          </w:p>
        </w:tc>
        <w:tc>
          <w:tcPr>
            <w:tcW w:w="380" w:type="dxa"/>
            <w:vAlign w:val="bottom"/>
            <w:tcBorders>
              <w:top w:val="single" w:sz="8" w:color="F0FFFF"/>
            </w:tcBorders>
          </w:tcPr>
          <w:p>
            <w:pPr>
              <w:spacing w:after="0" w:line="20" w:lineRule="exact"/>
              <w:rPr>
                <w:sz w:val="1"/>
                <w:szCs w:val="1"/>
                <w:color w:val="auto"/>
              </w:rPr>
            </w:pPr>
          </w:p>
        </w:tc>
        <w:tc>
          <w:tcPr>
            <w:tcW w:w="134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118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120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118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1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00" w:type="dxa"/>
            <w:vAlign w:val="bottom"/>
            <w:gridSpan w:val="3"/>
            <w:shd w:val="clear" w:color="auto" w:fill="F0FFFF"/>
          </w:tcPr>
          <w:p>
            <w:pPr>
              <w:spacing w:after="0"/>
              <w:rPr>
                <w:sz w:val="20"/>
                <w:szCs w:val="20"/>
                <w:color w:val="auto"/>
              </w:rPr>
            </w:pPr>
            <w:r>
              <w:rPr>
                <w:rFonts w:ascii="Arial" w:cs="Arial" w:eastAsia="Arial" w:hAnsi="Arial"/>
                <w:sz w:val="17"/>
                <w:szCs w:val="17"/>
                <w:color w:val="auto"/>
              </w:rPr>
              <w:t>As of June 30, 2014</w:t>
            </w:r>
          </w:p>
        </w:tc>
        <w:tc>
          <w:tcPr>
            <w:tcW w:w="200" w:type="dxa"/>
            <w:vAlign w:val="bottom"/>
            <w:shd w:val="clear" w:color="auto" w:fill="F0FFFF"/>
          </w:tcPr>
          <w:p>
            <w:pPr>
              <w:spacing w:after="0"/>
              <w:rPr>
                <w:sz w:val="19"/>
                <w:szCs w:val="19"/>
                <w:color w:val="auto"/>
              </w:rPr>
            </w:pPr>
          </w:p>
        </w:tc>
        <w:tc>
          <w:tcPr>
            <w:tcW w:w="1180" w:type="dxa"/>
            <w:vAlign w:val="bottom"/>
            <w:shd w:val="clear" w:color="auto" w:fill="F0FFFF"/>
          </w:tcPr>
          <w:p>
            <w:pPr>
              <w:spacing w:after="0"/>
              <w:rPr>
                <w:sz w:val="19"/>
                <w:szCs w:val="19"/>
                <w:color w:val="auto"/>
              </w:rPr>
            </w:pPr>
          </w:p>
        </w:tc>
        <w:tc>
          <w:tcPr>
            <w:tcW w:w="60" w:type="dxa"/>
            <w:vAlign w:val="bottom"/>
            <w:shd w:val="clear" w:color="auto" w:fill="F0FFFF"/>
          </w:tcPr>
          <w:p>
            <w:pPr>
              <w:spacing w:after="0"/>
              <w:rPr>
                <w:sz w:val="19"/>
                <w:szCs w:val="19"/>
                <w:color w:val="auto"/>
              </w:rPr>
            </w:pPr>
          </w:p>
        </w:tc>
        <w:tc>
          <w:tcPr>
            <w:tcW w:w="6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200" w:type="dxa"/>
            <w:vAlign w:val="bottom"/>
            <w:shd w:val="clear" w:color="auto" w:fill="F0FFFF"/>
          </w:tcPr>
          <w:p>
            <w:pPr>
              <w:spacing w:after="0"/>
              <w:rPr>
                <w:sz w:val="19"/>
                <w:szCs w:val="19"/>
                <w:color w:val="auto"/>
              </w:rPr>
            </w:pPr>
          </w:p>
        </w:tc>
        <w:tc>
          <w:tcPr>
            <w:tcW w:w="60" w:type="dxa"/>
            <w:vAlign w:val="bottom"/>
            <w:shd w:val="clear" w:color="auto" w:fill="F0FFFF"/>
          </w:tcPr>
          <w:p>
            <w:pPr>
              <w:spacing w:after="0"/>
              <w:rPr>
                <w:sz w:val="19"/>
                <w:szCs w:val="19"/>
                <w:color w:val="auto"/>
              </w:rPr>
            </w:pPr>
          </w:p>
        </w:tc>
        <w:tc>
          <w:tcPr>
            <w:tcW w:w="6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94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180" w:type="dxa"/>
            <w:vAlign w:val="bottom"/>
            <w:shd w:val="clear" w:color="auto" w:fill="F0FFFF"/>
          </w:tcPr>
          <w:p>
            <w:pPr>
              <w:spacing w:after="0"/>
              <w:rPr>
                <w:sz w:val="19"/>
                <w:szCs w:val="19"/>
                <w:color w:val="auto"/>
              </w:rPr>
            </w:pPr>
          </w:p>
        </w:tc>
        <w:tc>
          <w:tcPr>
            <w:tcW w:w="60" w:type="dxa"/>
            <w:vAlign w:val="bottom"/>
            <w:shd w:val="clear" w:color="auto" w:fill="F0FFFF"/>
          </w:tcPr>
          <w:p>
            <w:pPr>
              <w:spacing w:after="0"/>
              <w:rPr>
                <w:sz w:val="19"/>
                <w:szCs w:val="19"/>
                <w:color w:val="auto"/>
              </w:rPr>
            </w:pPr>
          </w:p>
        </w:tc>
        <w:tc>
          <w:tcPr>
            <w:tcW w:w="6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00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10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3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U.S. Treasuries</w:t>
            </w:r>
          </w:p>
        </w:tc>
        <w:tc>
          <w:tcPr>
            <w:tcW w:w="1720" w:type="dxa"/>
            <w:vAlign w:val="bottom"/>
            <w:tcBorders>
              <w:top w:val="single" w:sz="8" w:color="F0FFFF"/>
            </w:tcBorders>
            <w:gridSpan w:val="2"/>
          </w:tcPr>
          <w:p>
            <w:pPr>
              <w:spacing w:after="0"/>
              <w:rPr>
                <w:sz w:val="20"/>
                <w:szCs w:val="20"/>
                <w:color w:val="auto"/>
              </w:rPr>
            </w:pPr>
          </w:p>
        </w:tc>
        <w:tc>
          <w:tcPr>
            <w:tcW w:w="200" w:type="dxa"/>
            <w:vAlign w:val="bottom"/>
            <w:tcBorders>
              <w:top w:val="single" w:sz="8" w:color="F0FFFF"/>
            </w:tcBorders>
          </w:tcPr>
          <w:p>
            <w:pPr>
              <w:jc w:val="right"/>
              <w:ind w:right="4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F0FFFF"/>
            </w:tcBorders>
            <w:gridSpan w:val="2"/>
          </w:tcPr>
          <w:p>
            <w:pPr>
              <w:jc w:val="right"/>
              <w:ind w:right="60"/>
              <w:spacing w:after="0"/>
              <w:rPr>
                <w:sz w:val="20"/>
                <w:szCs w:val="20"/>
                <w:color w:val="auto"/>
              </w:rPr>
            </w:pPr>
            <w:r>
              <w:rPr>
                <w:rFonts w:ascii="Arial" w:cs="Arial" w:eastAsia="Arial" w:hAnsi="Arial"/>
                <w:sz w:val="17"/>
                <w:szCs w:val="17"/>
                <w:color w:val="auto"/>
              </w:rPr>
              <w:t>10,508</w:t>
            </w:r>
          </w:p>
        </w:tc>
        <w:tc>
          <w:tcPr>
            <w:tcW w:w="240" w:type="dxa"/>
            <w:vAlign w:val="bottom"/>
            <w:tcBorders>
              <w:top w:val="single" w:sz="8" w:color="F0FFFF"/>
            </w:tcBorders>
            <w:gridSpan w:val="2"/>
          </w:tcPr>
          <w:p>
            <w:pPr>
              <w:jc w:val="right"/>
              <w:ind w:right="25"/>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F0FFFF"/>
            </w:tcBorders>
            <w:gridSpan w:val="2"/>
          </w:tcPr>
          <w:p>
            <w:pPr>
              <w:jc w:val="right"/>
              <w:ind w:right="60"/>
              <w:spacing w:after="0"/>
              <w:rPr>
                <w:sz w:val="20"/>
                <w:szCs w:val="20"/>
                <w:color w:val="auto"/>
              </w:rPr>
            </w:pPr>
            <w:r>
              <w:rPr>
                <w:rFonts w:ascii="Arial" w:cs="Arial" w:eastAsia="Arial" w:hAnsi="Arial"/>
                <w:sz w:val="17"/>
                <w:szCs w:val="17"/>
                <w:color w:val="auto"/>
              </w:rPr>
              <w:t>71</w:t>
            </w:r>
          </w:p>
        </w:tc>
        <w:tc>
          <w:tcPr>
            <w:tcW w:w="160" w:type="dxa"/>
            <w:vAlign w:val="bottom"/>
            <w:tcBorders>
              <w:top w:val="single" w:sz="8" w:color="F0FFFF"/>
            </w:tcBorders>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F0FFFF"/>
            </w:tcBorders>
            <w:gridSpan w:val="2"/>
          </w:tcPr>
          <w:p>
            <w:pPr>
              <w:jc w:val="right"/>
              <w:ind w:right="120"/>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F0FFFF"/>
            </w:tcBorders>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F0FFFF"/>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F0FFFF"/>
            </w:tcBorders>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F0FFFF"/>
            </w:tcBorders>
            <w:gridSpan w:val="2"/>
          </w:tcPr>
          <w:p>
            <w:pPr>
              <w:jc w:val="right"/>
              <w:ind w:right="100"/>
              <w:spacing w:after="0"/>
              <w:rPr>
                <w:sz w:val="20"/>
                <w:szCs w:val="20"/>
                <w:color w:val="auto"/>
              </w:rPr>
            </w:pPr>
            <w:r>
              <w:rPr>
                <w:rFonts w:ascii="Arial" w:cs="Arial" w:eastAsia="Arial" w:hAnsi="Arial"/>
                <w:sz w:val="17"/>
                <w:szCs w:val="17"/>
                <w:color w:val="auto"/>
              </w:rPr>
              <w:t>10,508</w:t>
            </w:r>
          </w:p>
        </w:tc>
        <w:tc>
          <w:tcPr>
            <w:tcW w:w="260" w:type="dxa"/>
            <w:vAlign w:val="bottom"/>
            <w:tcBorders>
              <w:top w:val="single" w:sz="8" w:color="F0FFFF"/>
            </w:tcBorders>
          </w:tcPr>
          <w:p>
            <w:pPr>
              <w:jc w:val="center"/>
              <w:ind w:right="95"/>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F0FFFF"/>
            </w:tcBorders>
            <w:gridSpan w:val="2"/>
          </w:tcPr>
          <w:p>
            <w:pPr>
              <w:jc w:val="right"/>
              <w:ind w:right="100"/>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45"/>
        </w:trPr>
        <w:tc>
          <w:tcPr>
            <w:tcW w:w="3100" w:type="dxa"/>
            <w:vAlign w:val="bottom"/>
            <w:gridSpan w:val="3"/>
            <w:shd w:val="clear" w:color="auto" w:fill="F0FFFF"/>
          </w:tcPr>
          <w:p>
            <w:pPr>
              <w:spacing w:after="0"/>
              <w:rPr>
                <w:sz w:val="20"/>
                <w:szCs w:val="20"/>
                <w:color w:val="auto"/>
              </w:rPr>
            </w:pPr>
            <w:r>
              <w:rPr>
                <w:rFonts w:ascii="Arial" w:cs="Arial" w:eastAsia="Arial" w:hAnsi="Arial"/>
                <w:sz w:val="17"/>
                <w:szCs w:val="17"/>
                <w:color w:val="auto"/>
              </w:rPr>
              <w:t>State and political subdivisions</w:t>
            </w:r>
          </w:p>
        </w:tc>
        <w:tc>
          <w:tcPr>
            <w:tcW w:w="20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26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3,634</w:t>
            </w:r>
          </w:p>
        </w:tc>
        <w:tc>
          <w:tcPr>
            <w:tcW w:w="18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38</w:t>
            </w:r>
          </w:p>
        </w:tc>
        <w:tc>
          <w:tcPr>
            <w:tcW w:w="6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3,634</w:t>
            </w:r>
          </w:p>
        </w:tc>
        <w:tc>
          <w:tcPr>
            <w:tcW w:w="26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41"/>
        </w:trPr>
        <w:tc>
          <w:tcPr>
            <w:tcW w:w="3100" w:type="dxa"/>
            <w:vAlign w:val="bottom"/>
            <w:gridSpan w:val="3"/>
          </w:tcPr>
          <w:p>
            <w:pPr>
              <w:spacing w:after="0"/>
              <w:rPr>
                <w:sz w:val="20"/>
                <w:szCs w:val="20"/>
                <w:color w:val="auto"/>
              </w:rPr>
            </w:pPr>
            <w:r>
              <w:rPr>
                <w:rFonts w:ascii="Arial" w:cs="Arial" w:eastAsia="Arial" w:hAnsi="Arial"/>
                <w:sz w:val="17"/>
                <w:szCs w:val="17"/>
                <w:color w:val="auto"/>
              </w:rPr>
              <w:t>Mortgage-backed securities</w:t>
            </w:r>
          </w:p>
        </w:tc>
        <w:tc>
          <w:tcPr>
            <w:tcW w:w="20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100,949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519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277,556</w:t>
            </w:r>
          </w:p>
        </w:tc>
        <w:tc>
          <w:tcPr>
            <w:tcW w:w="18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8,104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378,505</w:t>
            </w:r>
          </w:p>
        </w:tc>
        <w:tc>
          <w:tcPr>
            <w:tcW w:w="2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8,623</w:t>
            </w:r>
          </w:p>
        </w:tc>
        <w:tc>
          <w:tcPr>
            <w:tcW w:w="0" w:type="dxa"/>
            <w:vAlign w:val="bottom"/>
          </w:tcPr>
          <w:p>
            <w:pPr>
              <w:spacing w:after="0"/>
              <w:rPr>
                <w:sz w:val="1"/>
                <w:szCs w:val="1"/>
                <w:color w:val="auto"/>
              </w:rPr>
            </w:pPr>
          </w:p>
        </w:tc>
      </w:tr>
      <w:tr>
        <w:trPr>
          <w:trHeight w:val="245"/>
        </w:trPr>
        <w:tc>
          <w:tcPr>
            <w:tcW w:w="3100" w:type="dxa"/>
            <w:vAlign w:val="bottom"/>
            <w:gridSpan w:val="3"/>
            <w:shd w:val="clear" w:color="auto" w:fill="F0FFFF"/>
          </w:tcPr>
          <w:p>
            <w:pPr>
              <w:spacing w:after="0"/>
              <w:rPr>
                <w:sz w:val="20"/>
                <w:szCs w:val="20"/>
                <w:color w:val="auto"/>
              </w:rPr>
            </w:pPr>
            <w:r>
              <w:rPr>
                <w:rFonts w:ascii="Arial" w:cs="Arial" w:eastAsia="Arial" w:hAnsi="Arial"/>
                <w:sz w:val="17"/>
                <w:szCs w:val="17"/>
                <w:color w:val="auto"/>
              </w:rPr>
              <w:t>Corporate bonds</w:t>
            </w:r>
          </w:p>
        </w:tc>
        <w:tc>
          <w:tcPr>
            <w:tcW w:w="20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19,130</w:t>
            </w:r>
          </w:p>
        </w:tc>
        <w:tc>
          <w:tcPr>
            <w:tcW w:w="6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26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114</w:t>
            </w:r>
          </w:p>
        </w:tc>
        <w:tc>
          <w:tcPr>
            <w:tcW w:w="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7"/>
                <w:szCs w:val="17"/>
                <w:color w:val="auto"/>
              </w:rPr>
              <w:t>46,010</w:t>
            </w:r>
          </w:p>
        </w:tc>
        <w:tc>
          <w:tcPr>
            <w:tcW w:w="18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60"/>
              <w:spacing w:after="0"/>
              <w:rPr>
                <w:sz w:val="20"/>
                <w:szCs w:val="20"/>
                <w:color w:val="auto"/>
              </w:rPr>
            </w:pPr>
            <w:r>
              <w:rPr>
                <w:rFonts w:ascii="Arial" w:cs="Arial" w:eastAsia="Arial" w:hAnsi="Arial"/>
                <w:sz w:val="17"/>
                <w:szCs w:val="17"/>
                <w:color w:val="auto"/>
              </w:rPr>
              <w:t>1,316</w:t>
            </w:r>
          </w:p>
        </w:tc>
        <w:tc>
          <w:tcPr>
            <w:tcW w:w="6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65,140</w:t>
            </w:r>
          </w:p>
        </w:tc>
        <w:tc>
          <w:tcPr>
            <w:tcW w:w="26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7"/>
                <w:szCs w:val="17"/>
                <w:color w:val="auto"/>
              </w:rPr>
              <w:t>1,430</w:t>
            </w:r>
          </w:p>
        </w:tc>
        <w:tc>
          <w:tcPr>
            <w:tcW w:w="0" w:type="dxa"/>
            <w:vAlign w:val="bottom"/>
          </w:tcPr>
          <w:p>
            <w:pPr>
              <w:spacing w:after="0"/>
              <w:rPr>
                <w:sz w:val="1"/>
                <w:szCs w:val="1"/>
                <w:color w:val="auto"/>
              </w:rPr>
            </w:pPr>
          </w:p>
        </w:tc>
      </w:tr>
      <w:tr>
        <w:trPr>
          <w:trHeight w:val="250"/>
        </w:trPr>
        <w:tc>
          <w:tcPr>
            <w:tcW w:w="3100" w:type="dxa"/>
            <w:vAlign w:val="bottom"/>
            <w:gridSpan w:val="3"/>
          </w:tcPr>
          <w:p>
            <w:pPr>
              <w:spacing w:after="0"/>
              <w:rPr>
                <w:sz w:val="20"/>
                <w:szCs w:val="20"/>
                <w:color w:val="auto"/>
              </w:rPr>
            </w:pPr>
            <w:r>
              <w:rPr>
                <w:rFonts w:ascii="Arial" w:cs="Arial" w:eastAsia="Arial" w:hAnsi="Arial"/>
                <w:sz w:val="17"/>
                <w:szCs w:val="17"/>
                <w:color w:val="auto"/>
              </w:rPr>
              <w:t>Asset-backed securities</w:t>
            </w:r>
          </w:p>
        </w:tc>
        <w:tc>
          <w:tcPr>
            <w:tcW w:w="20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83,620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166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11,486</w:t>
            </w:r>
          </w:p>
        </w:tc>
        <w:tc>
          <w:tcPr>
            <w:tcW w:w="18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85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95,106</w:t>
            </w:r>
          </w:p>
        </w:tc>
        <w:tc>
          <w:tcPr>
            <w:tcW w:w="2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228"/>
        </w:trPr>
        <w:tc>
          <w:tcPr>
            <w:tcW w:w="3100" w:type="dxa"/>
            <w:vAlign w:val="bottom"/>
            <w:tcBorders>
              <w:top w:val="single" w:sz="8" w:color="F0FFFF"/>
              <w:bottom w:val="single" w:sz="8" w:color="F0FFFF"/>
            </w:tcBorders>
            <w:gridSpan w:val="3"/>
            <w:shd w:val="clear" w:color="auto" w:fill="F0FFFF"/>
          </w:tcPr>
          <w:p>
            <w:pPr>
              <w:ind w:left="160"/>
              <w:spacing w:after="0"/>
              <w:rPr>
                <w:sz w:val="20"/>
                <w:szCs w:val="20"/>
                <w:color w:val="auto"/>
              </w:rPr>
            </w:pPr>
            <w:r>
              <w:rPr>
                <w:rFonts w:ascii="Arial" w:cs="Arial" w:eastAsia="Arial" w:hAnsi="Arial"/>
                <w:sz w:val="17"/>
                <w:szCs w:val="17"/>
                <w:color w:val="auto"/>
              </w:rPr>
              <w:t>Total unrealized loss position</w:t>
            </w:r>
          </w:p>
        </w:tc>
        <w:tc>
          <w:tcPr>
            <w:tcW w:w="200" w:type="dxa"/>
            <w:vAlign w:val="bottom"/>
            <w:tcBorders>
              <w:top w:val="single" w:sz="8" w:color="auto"/>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214,207</w:t>
            </w: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180" w:type="dxa"/>
            <w:vAlign w:val="bottom"/>
            <w:tcBorders>
              <w:top w:val="single" w:sz="8" w:color="auto"/>
              <w:bottom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870</w:t>
            </w: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338,686</w:t>
            </w:r>
          </w:p>
        </w:tc>
        <w:tc>
          <w:tcPr>
            <w:tcW w:w="120" w:type="dxa"/>
            <w:vAlign w:val="bottom"/>
            <w:tcBorders>
              <w:top w:val="single" w:sz="8" w:color="F0FFFF"/>
              <w:bottom w:val="single" w:sz="8" w:color="F0FFFF"/>
            </w:tcBorders>
            <w:shd w:val="clear" w:color="auto" w:fill="F0FFFF"/>
          </w:tcPr>
          <w:p>
            <w:pPr>
              <w:spacing w:after="0"/>
              <w:rPr>
                <w:sz w:val="19"/>
                <w:szCs w:val="19"/>
                <w:color w:val="auto"/>
              </w:rPr>
            </w:pPr>
          </w:p>
        </w:tc>
        <w:tc>
          <w:tcPr>
            <w:tcW w:w="180" w:type="dxa"/>
            <w:vAlign w:val="bottom"/>
            <w:tcBorders>
              <w:top w:val="single" w:sz="8" w:color="auto"/>
              <w:bottom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9,543</w:t>
            </w: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60" w:type="dxa"/>
            <w:vAlign w:val="bottom"/>
            <w:tcBorders>
              <w:top w:val="single" w:sz="8" w:color="F0FFFF"/>
              <w:bottom w:val="single" w:sz="8" w:color="F0FFFF"/>
            </w:tcBorders>
            <w:shd w:val="clear" w:color="auto" w:fill="F0FFFF"/>
          </w:tcPr>
          <w:p>
            <w:pPr>
              <w:spacing w:after="0"/>
              <w:rPr>
                <w:sz w:val="19"/>
                <w:szCs w:val="19"/>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552,893</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260" w:type="dxa"/>
            <w:vAlign w:val="bottom"/>
            <w:tcBorders>
              <w:top w:val="single" w:sz="8" w:color="auto"/>
              <w:bottom w:val="single" w:sz="8" w:color="auto"/>
            </w:tcBorders>
            <w:shd w:val="clear" w:color="auto" w:fill="F0FFFF"/>
          </w:tcPr>
          <w:p>
            <w:pPr>
              <w:jc w:val="center"/>
              <w:ind w:right="95"/>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7"/>
                <w:szCs w:val="17"/>
                <w:color w:val="auto"/>
              </w:rPr>
              <w:t>10,413</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Borders>
              <w:top w:val="single" w:sz="8" w:color="F0FFFF"/>
            </w:tcBorders>
          </w:tcPr>
          <w:p>
            <w:pPr>
              <w:spacing w:after="0" w:line="20" w:lineRule="exact"/>
              <w:rPr>
                <w:sz w:val="1"/>
                <w:szCs w:val="1"/>
                <w:color w:val="auto"/>
              </w:rPr>
            </w:pPr>
          </w:p>
        </w:tc>
        <w:tc>
          <w:tcPr>
            <w:tcW w:w="380" w:type="dxa"/>
            <w:vAlign w:val="bottom"/>
            <w:tcBorders>
              <w:top w:val="single" w:sz="8" w:color="F0FFFF"/>
            </w:tcBorders>
          </w:tcPr>
          <w:p>
            <w:pPr>
              <w:spacing w:after="0" w:line="20" w:lineRule="exact"/>
              <w:rPr>
                <w:sz w:val="1"/>
                <w:szCs w:val="1"/>
                <w:color w:val="auto"/>
              </w:rPr>
            </w:pPr>
          </w:p>
        </w:tc>
        <w:tc>
          <w:tcPr>
            <w:tcW w:w="134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118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120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118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1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2015, there were 142 available-for-sale securities and 23 held-to-maturity securities that were in an unrealized loss position. United does not intend to sell nor believes it will be required to sell securities in an unrealized loss position prior to the recovery of their amortized cost basis. Unrealized losses at June 30, 2015, December 31, 2014 and June 30, 2014 were primarily attributable to changes in interest rates and therefore, United does not consider them to be impaired.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Realized gains and losses are derived using the specific identification method for determining the cost of securities sold. The following table summarizes securities sales activity for the three and six months ended June 30, 2015 and 2014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9"/>
              </w:rPr>
              <w:t>Three Months Ended</w:t>
            </w:r>
          </w:p>
        </w:tc>
        <w:tc>
          <w:tcPr>
            <w:tcW w:w="280" w:type="dxa"/>
            <w:vAlign w:val="bottom"/>
          </w:tcPr>
          <w:p>
            <w:pPr>
              <w:spacing w:after="0"/>
              <w:rPr>
                <w:sz w:val="18"/>
                <w:szCs w:val="18"/>
                <w:color w:val="auto"/>
              </w:rPr>
            </w:pPr>
          </w:p>
        </w:tc>
        <w:tc>
          <w:tcPr>
            <w:tcW w:w="23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4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260" w:type="dxa"/>
            <w:vAlign w:val="bottom"/>
            <w:tcBorders>
              <w:bottom w:val="single" w:sz="8" w:color="F0FFFF"/>
            </w:tcBorders>
          </w:tcPr>
          <w:p>
            <w:pPr>
              <w:spacing w:after="0"/>
              <w:rPr>
                <w:sz w:val="21"/>
                <w:szCs w:val="21"/>
                <w:color w:val="auto"/>
              </w:rPr>
            </w:pPr>
          </w:p>
        </w:tc>
        <w:tc>
          <w:tcPr>
            <w:tcW w:w="1400" w:type="dxa"/>
            <w:vAlign w:val="bottom"/>
            <w:tcBorders>
              <w:bottom w:val="single" w:sz="8" w:color="F0FF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F0FF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F0FF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F0FF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F0FFFF"/>
            </w:tcBorders>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26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Proceeds from sales</w:t>
            </w:r>
          </w:p>
        </w:tc>
        <w:tc>
          <w:tcPr>
            <w:tcW w:w="140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67,350</w:t>
            </w:r>
          </w:p>
        </w:tc>
        <w:tc>
          <w:tcPr>
            <w:tcW w:w="100" w:type="dxa"/>
            <w:vAlign w:val="bottom"/>
            <w:tcBorders>
              <w:bottom w:val="single" w:sz="8" w:color="F0FFFF"/>
            </w:tcBorders>
            <w:shd w:val="clear" w:color="auto" w:fill="F0FFFF"/>
          </w:tcPr>
          <w:p>
            <w:pPr>
              <w:spacing w:after="0"/>
              <w:rPr>
                <w:sz w:val="20"/>
                <w:szCs w:val="20"/>
                <w:color w:val="auto"/>
              </w:rPr>
            </w:pPr>
          </w:p>
        </w:tc>
        <w:tc>
          <w:tcPr>
            <w:tcW w:w="360" w:type="dxa"/>
            <w:vAlign w:val="bottom"/>
            <w:tcBorders>
              <w:bottom w:val="single" w:sz="8" w:color="auto"/>
            </w:tcBorders>
            <w:shd w:val="clear" w:color="auto" w:fill="F0FF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236,911</w:t>
            </w:r>
          </w:p>
        </w:tc>
        <w:tc>
          <w:tcPr>
            <w:tcW w:w="10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auto"/>
            </w:tcBorders>
            <w:shd w:val="clear" w:color="auto" w:fill="F0FFFF"/>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136,817</w:t>
            </w:r>
          </w:p>
        </w:tc>
        <w:tc>
          <w:tcPr>
            <w:tcW w:w="100" w:type="dxa"/>
            <w:vAlign w:val="bottom"/>
            <w:tcBorders>
              <w:bottom w:val="single" w:sz="8" w:color="F0FFFF"/>
            </w:tcBorders>
            <w:shd w:val="clear" w:color="auto" w:fill="F0FFFF"/>
          </w:tcPr>
          <w:p>
            <w:pPr>
              <w:spacing w:after="0"/>
              <w:rPr>
                <w:sz w:val="20"/>
                <w:szCs w:val="20"/>
                <w:color w:val="auto"/>
              </w:rPr>
            </w:pPr>
          </w:p>
        </w:tc>
        <w:tc>
          <w:tcPr>
            <w:tcW w:w="360" w:type="dxa"/>
            <w:vAlign w:val="bottom"/>
            <w:tcBorders>
              <w:bottom w:val="single" w:sz="8" w:color="auto"/>
            </w:tcBorders>
            <w:shd w:val="clear" w:color="auto" w:fill="F0FFFF"/>
          </w:tcPr>
          <w:p>
            <w:pPr>
              <w:jc w:val="right"/>
              <w:ind w:right="20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390,227</w:t>
            </w:r>
          </w:p>
        </w:tc>
        <w:tc>
          <w:tcPr>
            <w:tcW w:w="12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color w:val="auto"/>
              </w:rPr>
              <w:t>Gross gains on sales</w:t>
            </w:r>
          </w:p>
        </w:tc>
        <w:tc>
          <w:tcPr>
            <w:tcW w:w="1400" w:type="dxa"/>
            <w:vAlign w:val="bottom"/>
            <w:tcBorders>
              <w:top w:val="single" w:sz="8" w:color="F0FFFF"/>
              <w:bottom w:val="single" w:sz="8" w:color="F0FFFF"/>
            </w:tcBorders>
            <w:vMerge w:val="restart"/>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bottom w:val="single" w:sz="8" w:color="F0FFFF"/>
            </w:tcBorders>
            <w:vMerge w:val="restart"/>
          </w:tcPr>
          <w:p>
            <w:pPr>
              <w:spacing w:after="0" w:line="20" w:lineRule="exact"/>
              <w:rPr>
                <w:sz w:val="1"/>
                <w:szCs w:val="1"/>
                <w:color w:val="auto"/>
              </w:rPr>
            </w:pPr>
          </w:p>
        </w:tc>
        <w:tc>
          <w:tcPr>
            <w:tcW w:w="36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bottom w:val="single" w:sz="8" w:color="F0FFFF"/>
            </w:tcBorders>
            <w:vMerge w:val="restart"/>
          </w:tcPr>
          <w:p>
            <w:pPr>
              <w:spacing w:after="0" w:line="20" w:lineRule="exact"/>
              <w:rPr>
                <w:sz w:val="1"/>
                <w:szCs w:val="1"/>
                <w:color w:val="auto"/>
              </w:rPr>
            </w:pPr>
          </w:p>
        </w:tc>
        <w:tc>
          <w:tcPr>
            <w:tcW w:w="36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6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0" w:lineRule="exact"/>
              <w:rPr>
                <w:sz w:val="20"/>
                <w:szCs w:val="20"/>
                <w:color w:val="auto"/>
              </w:rPr>
            </w:pPr>
            <w:r>
              <w:rPr>
                <w:rFonts w:ascii="Arial" w:cs="Arial" w:eastAsia="Arial" w:hAnsi="Arial"/>
                <w:sz w:val="18"/>
                <w:szCs w:val="18"/>
                <w:color w:val="auto"/>
              </w:rPr>
              <w:t>13</w:t>
            </w:r>
          </w:p>
        </w:tc>
        <w:tc>
          <w:tcPr>
            <w:tcW w:w="100" w:type="dxa"/>
            <w:vAlign w:val="bottom"/>
            <w:vMerge w:val="continue"/>
          </w:tcPr>
          <w:p>
            <w:pPr>
              <w:spacing w:after="0"/>
              <w:rPr>
                <w:sz w:val="16"/>
                <w:szCs w:val="16"/>
                <w:color w:val="auto"/>
              </w:rPr>
            </w:pPr>
          </w:p>
        </w:tc>
        <w:tc>
          <w:tcPr>
            <w:tcW w:w="360" w:type="dxa"/>
            <w:vAlign w:val="bottom"/>
          </w:tcPr>
          <w:p>
            <w:pPr>
              <w:jc w:val="right"/>
              <w:ind w:right="170"/>
              <w:spacing w:after="0" w:line="190"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90" w:lineRule="exact"/>
              <w:rPr>
                <w:sz w:val="20"/>
                <w:szCs w:val="20"/>
                <w:color w:val="auto"/>
              </w:rPr>
            </w:pPr>
            <w:r>
              <w:rPr>
                <w:rFonts w:ascii="Arial" w:cs="Arial" w:eastAsia="Arial" w:hAnsi="Arial"/>
                <w:sz w:val="18"/>
                <w:szCs w:val="18"/>
                <w:color w:val="auto"/>
              </w:rPr>
              <w:t>5,374</w:t>
            </w:r>
          </w:p>
        </w:tc>
        <w:tc>
          <w:tcPr>
            <w:tcW w:w="100" w:type="dxa"/>
            <w:vAlign w:val="bottom"/>
          </w:tcPr>
          <w:p>
            <w:pPr>
              <w:spacing w:after="0"/>
              <w:rPr>
                <w:sz w:val="16"/>
                <w:szCs w:val="16"/>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90" w:lineRule="exact"/>
              <w:rPr>
                <w:sz w:val="20"/>
                <w:szCs w:val="20"/>
                <w:color w:val="auto"/>
              </w:rPr>
            </w:pPr>
            <w:r>
              <w:rPr>
                <w:rFonts w:ascii="Arial" w:cs="Arial" w:eastAsia="Arial" w:hAnsi="Arial"/>
                <w:sz w:val="18"/>
                <w:szCs w:val="18"/>
                <w:color w:val="auto"/>
              </w:rPr>
              <w:t>1,552</w:t>
            </w:r>
          </w:p>
        </w:tc>
        <w:tc>
          <w:tcPr>
            <w:tcW w:w="100" w:type="dxa"/>
            <w:vAlign w:val="bottom"/>
            <w:vMerge w:val="continue"/>
          </w:tcPr>
          <w:p>
            <w:pPr>
              <w:spacing w:after="0"/>
              <w:rPr>
                <w:sz w:val="16"/>
                <w:szCs w:val="16"/>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90" w:lineRule="exact"/>
              <w:rPr>
                <w:sz w:val="20"/>
                <w:szCs w:val="20"/>
                <w:color w:val="auto"/>
              </w:rPr>
            </w:pPr>
            <w:r>
              <w:rPr>
                <w:rFonts w:ascii="Arial" w:cs="Arial" w:eastAsia="Arial" w:hAnsi="Arial"/>
                <w:sz w:val="18"/>
                <w:szCs w:val="18"/>
                <w:color w:val="auto"/>
              </w:rPr>
              <w:t>5,784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4260" w:type="dxa"/>
            <w:vAlign w:val="bottom"/>
            <w:shd w:val="clear" w:color="auto" w:fill="F0FFFF"/>
          </w:tcPr>
          <w:p>
            <w:pPr>
              <w:spacing w:after="0"/>
              <w:rPr>
                <w:sz w:val="20"/>
                <w:szCs w:val="20"/>
                <w:color w:val="auto"/>
              </w:rPr>
            </w:pPr>
            <w:r>
              <w:rPr>
                <w:rFonts w:ascii="Arial" w:cs="Arial" w:eastAsia="Arial" w:hAnsi="Arial"/>
                <w:sz w:val="18"/>
                <w:szCs w:val="18"/>
                <w:color w:val="auto"/>
              </w:rPr>
              <w:t>Gross losses on sales</w:t>
            </w:r>
          </w:p>
        </w:tc>
        <w:tc>
          <w:tcPr>
            <w:tcW w:w="1400" w:type="dxa"/>
            <w:vAlign w:val="bottom"/>
            <w:shd w:val="clear" w:color="auto" w:fill="F0FFFF"/>
          </w:tcPr>
          <w:p>
            <w:pPr>
              <w:spacing w:after="0"/>
              <w:rPr>
                <w:sz w:val="24"/>
                <w:szCs w:val="24"/>
                <w:color w:val="auto"/>
              </w:rPr>
            </w:pPr>
          </w:p>
        </w:tc>
        <w:tc>
          <w:tcPr>
            <w:tcW w:w="220" w:type="dxa"/>
            <w:vAlign w:val="bottom"/>
            <w:shd w:val="clear" w:color="auto" w:fill="F0FFFF"/>
          </w:tcPr>
          <w:p>
            <w:pPr>
              <w:spacing w:after="0"/>
              <w:rPr>
                <w:sz w:val="24"/>
                <w:szCs w:val="24"/>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4"/>
                <w:szCs w:val="24"/>
                <w:color w:val="auto"/>
              </w:rPr>
            </w:pPr>
          </w:p>
        </w:tc>
        <w:tc>
          <w:tcPr>
            <w:tcW w:w="360" w:type="dxa"/>
            <w:vAlign w:val="bottom"/>
            <w:shd w:val="clear" w:color="auto" w:fill="F0FFFF"/>
          </w:tcPr>
          <w:p>
            <w:pPr>
              <w:spacing w:after="0"/>
              <w:rPr>
                <w:sz w:val="24"/>
                <w:szCs w:val="24"/>
                <w:color w:val="auto"/>
              </w:rPr>
            </w:pPr>
          </w:p>
        </w:tc>
        <w:tc>
          <w:tcPr>
            <w:tcW w:w="9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(939)</w:t>
            </w:r>
          </w:p>
        </w:tc>
        <w:tc>
          <w:tcPr>
            <w:tcW w:w="280" w:type="dxa"/>
            <w:vAlign w:val="bottom"/>
            <w:shd w:val="clear" w:color="auto" w:fill="F0FFFF"/>
          </w:tcPr>
          <w:p>
            <w:pPr>
              <w:spacing w:after="0"/>
              <w:rPr>
                <w:sz w:val="24"/>
                <w:szCs w:val="24"/>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4"/>
                <w:szCs w:val="24"/>
                <w:color w:val="auto"/>
              </w:rPr>
            </w:pPr>
          </w:p>
        </w:tc>
        <w:tc>
          <w:tcPr>
            <w:tcW w:w="360" w:type="dxa"/>
            <w:vAlign w:val="bottom"/>
            <w:shd w:val="clear" w:color="auto" w:fill="F0FFFF"/>
          </w:tcPr>
          <w:p>
            <w:pPr>
              <w:spacing w:after="0"/>
              <w:rPr>
                <w:sz w:val="24"/>
                <w:szCs w:val="24"/>
                <w:color w:val="auto"/>
              </w:rPr>
            </w:pPr>
          </w:p>
        </w:tc>
        <w:tc>
          <w:tcPr>
            <w:tcW w:w="9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03"/>
        </w:trPr>
        <w:tc>
          <w:tcPr>
            <w:tcW w:w="4260" w:type="dxa"/>
            <w:vAlign w:val="bottom"/>
            <w:tcBorders>
              <w:top w:val="single" w:sz="8" w:color="F0FFFF"/>
            </w:tcBorders>
          </w:tcPr>
          <w:p>
            <w:pPr>
              <w:ind w:left="160"/>
              <w:spacing w:after="0" w:line="203" w:lineRule="exact"/>
              <w:rPr>
                <w:sz w:val="20"/>
                <w:szCs w:val="20"/>
                <w:color w:val="auto"/>
              </w:rPr>
            </w:pPr>
            <w:r>
              <w:rPr>
                <w:rFonts w:ascii="Arial" w:cs="Arial" w:eastAsia="Arial" w:hAnsi="Arial"/>
                <w:sz w:val="18"/>
                <w:szCs w:val="18"/>
                <w:color w:val="auto"/>
              </w:rPr>
              <w:t>Net gains on sales of securities</w:t>
            </w:r>
          </w:p>
        </w:tc>
        <w:tc>
          <w:tcPr>
            <w:tcW w:w="1400" w:type="dxa"/>
            <w:vAlign w:val="bottom"/>
            <w:tcBorders>
              <w:top w:val="single" w:sz="8" w:color="F0FF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w:t>
            </w:r>
          </w:p>
        </w:tc>
        <w:tc>
          <w:tcPr>
            <w:tcW w:w="100" w:type="dxa"/>
            <w:vAlign w:val="bottom"/>
            <w:tcBorders>
              <w:top w:val="single" w:sz="8" w:color="F0FFFF"/>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4,435</w:t>
            </w:r>
          </w:p>
        </w:tc>
        <w:tc>
          <w:tcPr>
            <w:tcW w:w="100" w:type="dxa"/>
            <w:vAlign w:val="bottom"/>
            <w:tcBorders>
              <w:top w:val="single" w:sz="8" w:color="F0FF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1,552</w:t>
            </w:r>
          </w:p>
        </w:tc>
        <w:tc>
          <w:tcPr>
            <w:tcW w:w="100" w:type="dxa"/>
            <w:vAlign w:val="bottom"/>
            <w:tcBorders>
              <w:top w:val="single" w:sz="8" w:color="F0FFFF"/>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4,652</w:t>
            </w:r>
          </w:p>
        </w:tc>
        <w:tc>
          <w:tcPr>
            <w:tcW w:w="12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60" w:type="dxa"/>
            <w:vAlign w:val="bottom"/>
            <w:tcBorders>
              <w:bottom w:val="single" w:sz="8" w:color="F0FFFF"/>
            </w:tcBorders>
          </w:tcPr>
          <w:p>
            <w:pPr>
              <w:spacing w:after="0" w:line="20" w:lineRule="exact"/>
              <w:rPr>
                <w:sz w:val="1"/>
                <w:szCs w:val="1"/>
                <w:color w:val="auto"/>
              </w:rPr>
            </w:pPr>
          </w:p>
        </w:tc>
        <w:tc>
          <w:tcPr>
            <w:tcW w:w="140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6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Income tax expense attributable to sales</w:t>
            </w:r>
          </w:p>
        </w:tc>
        <w:tc>
          <w:tcPr>
            <w:tcW w:w="140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F0FFFF"/>
            </w:tcBorders>
            <w:shd w:val="clear" w:color="auto" w:fill="F0FFFF"/>
          </w:tcPr>
          <w:p>
            <w:pPr>
              <w:spacing w:after="0"/>
              <w:rPr>
                <w:sz w:val="20"/>
                <w:szCs w:val="20"/>
                <w:color w:val="auto"/>
              </w:rPr>
            </w:pPr>
          </w:p>
        </w:tc>
        <w:tc>
          <w:tcPr>
            <w:tcW w:w="360" w:type="dxa"/>
            <w:vAlign w:val="bottom"/>
            <w:tcBorders>
              <w:bottom w:val="single" w:sz="8" w:color="auto"/>
            </w:tcBorders>
            <w:shd w:val="clear" w:color="auto" w:fill="F0FF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1,725</w:t>
            </w:r>
          </w:p>
        </w:tc>
        <w:tc>
          <w:tcPr>
            <w:tcW w:w="10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auto"/>
            </w:tcBorders>
            <w:shd w:val="clear" w:color="auto" w:fill="F0FFFF"/>
          </w:tcPr>
          <w:p>
            <w:pPr>
              <w:jc w:val="right"/>
              <w:ind w:right="1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F0FFFF"/>
            </w:tcBorders>
            <w:shd w:val="clear" w:color="auto" w:fill="F0FFFF"/>
          </w:tcPr>
          <w:p>
            <w:pPr>
              <w:spacing w:after="0"/>
              <w:rPr>
                <w:sz w:val="20"/>
                <w:szCs w:val="20"/>
                <w:color w:val="auto"/>
              </w:rPr>
            </w:pPr>
          </w:p>
        </w:tc>
        <w:tc>
          <w:tcPr>
            <w:tcW w:w="360" w:type="dxa"/>
            <w:vAlign w:val="bottom"/>
            <w:tcBorders>
              <w:bottom w:val="single" w:sz="8" w:color="auto"/>
            </w:tcBorders>
            <w:shd w:val="clear" w:color="auto" w:fill="F0FFFF"/>
          </w:tcPr>
          <w:p>
            <w:pPr>
              <w:jc w:val="right"/>
              <w:ind w:right="20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1,817</w:t>
            </w:r>
          </w:p>
        </w:tc>
        <w:tc>
          <w:tcPr>
            <w:tcW w:w="12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F0FFFF"/>
            </w:tcBorders>
          </w:tcPr>
          <w:p>
            <w:pPr>
              <w:spacing w:after="0" w:line="20" w:lineRule="exact"/>
              <w:rPr>
                <w:sz w:val="1"/>
                <w:szCs w:val="1"/>
                <w:color w:val="auto"/>
              </w:rPr>
            </w:pPr>
          </w:p>
        </w:tc>
        <w:tc>
          <w:tcPr>
            <w:tcW w:w="14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6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6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Securities with a carrying value of $1.25 billion, $1.51 billion and $1.37 billion were pledged to secure public deposits and other secured borrowings at June 30, 2015, December 31, 2014 and June 30, 2014,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19" w:name="page20"/>
    <w:bookmarkEnd w:id="19"/>
    <w:p>
      <w:pPr>
        <w:jc w:val="center"/>
        <w:ind w:right="40"/>
        <w:spacing w:after="0"/>
        <w:rPr>
          <w:sz w:val="20"/>
          <w:szCs w:val="20"/>
          <w:color w:val="auto"/>
        </w:rPr>
      </w:pPr>
      <w:r>
        <w:rPr>
          <w:rFonts w:ascii="Arial" w:cs="Arial" w:eastAsia="Arial" w:hAnsi="Arial"/>
          <w:sz w:val="22"/>
          <w:szCs w:val="22"/>
          <w:b w:val="1"/>
          <w:bCs w:val="1"/>
          <w:color w:val="auto"/>
        </w:rPr>
        <w:t>UNITED COMMUNITY BANKS,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2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The amortized cost and fair value of held-to-maturity and available-for-sale securities at June 30, 2015, by contractual maturity, are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gridSpan w:val="6"/>
          </w:tcPr>
          <w:p>
            <w:pPr>
              <w:ind w:left="800"/>
              <w:spacing w:after="0"/>
              <w:rPr>
                <w:sz w:val="20"/>
                <w:szCs w:val="20"/>
                <w:color w:val="auto"/>
              </w:rPr>
            </w:pPr>
            <w:r>
              <w:rPr>
                <w:rFonts w:ascii="Arial" w:cs="Arial" w:eastAsia="Arial" w:hAnsi="Arial"/>
                <w:sz w:val="18"/>
                <w:szCs w:val="18"/>
                <w:b w:val="1"/>
                <w:bCs w:val="1"/>
                <w:color w:val="auto"/>
              </w:rPr>
              <w:t>Available-for-Sale</w:t>
            </w:r>
          </w:p>
        </w:tc>
        <w:tc>
          <w:tcPr>
            <w:tcW w:w="100" w:type="dxa"/>
            <w:vAlign w:val="bottom"/>
          </w:tcPr>
          <w:p>
            <w:pPr>
              <w:spacing w:after="0"/>
              <w:rPr>
                <w:sz w:val="20"/>
                <w:szCs w:val="20"/>
                <w:color w:val="auto"/>
              </w:rPr>
            </w:pPr>
          </w:p>
        </w:tc>
        <w:tc>
          <w:tcPr>
            <w:tcW w:w="3060" w:type="dxa"/>
            <w:vAlign w:val="bottom"/>
            <w:gridSpan w:val="6"/>
          </w:tcPr>
          <w:p>
            <w:pPr>
              <w:ind w:left="820"/>
              <w:spacing w:after="0"/>
              <w:rPr>
                <w:sz w:val="20"/>
                <w:szCs w:val="20"/>
                <w:color w:val="auto"/>
              </w:rPr>
            </w:pPr>
            <w:r>
              <w:rPr>
                <w:rFonts w:ascii="Arial" w:cs="Arial" w:eastAsia="Arial" w:hAnsi="Arial"/>
                <w:sz w:val="18"/>
                <w:szCs w:val="18"/>
                <w:b w:val="1"/>
                <w:bCs w:val="1"/>
                <w:color w:val="auto"/>
              </w:rPr>
              <w:t>Held-to-Maturity</w:t>
            </w:r>
          </w:p>
        </w:tc>
      </w:tr>
      <w:tr>
        <w:trPr>
          <w:trHeight w:val="237"/>
        </w:trPr>
        <w:tc>
          <w:tcPr>
            <w:tcW w:w="50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Amortized Cost</w:t>
            </w:r>
          </w:p>
        </w:tc>
        <w:tc>
          <w:tcPr>
            <w:tcW w:w="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Amortized Cost</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100" w:type="dxa"/>
            <w:vAlign w:val="bottom"/>
            <w:gridSpan w:val="2"/>
          </w:tcPr>
          <w:p>
            <w:pPr>
              <w:spacing w:after="0"/>
              <w:rPr>
                <w:sz w:val="20"/>
                <w:szCs w:val="20"/>
                <w:color w:val="auto"/>
              </w:rPr>
            </w:pPr>
          </w:p>
        </w:tc>
      </w:tr>
      <w:tr>
        <w:trPr>
          <w:trHeight w:val="243"/>
        </w:trPr>
        <w:tc>
          <w:tcPr>
            <w:tcW w:w="506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5060" w:type="dxa"/>
            <w:vAlign w:val="bottom"/>
            <w:shd w:val="clear" w:color="auto" w:fill="F0FFFF"/>
          </w:tcPr>
          <w:p>
            <w:pPr>
              <w:spacing w:after="0"/>
              <w:rPr>
                <w:sz w:val="20"/>
                <w:szCs w:val="20"/>
                <w:color w:val="auto"/>
              </w:rPr>
            </w:pPr>
            <w:r>
              <w:rPr>
                <w:rFonts w:ascii="Arial" w:cs="Arial" w:eastAsia="Arial" w:hAnsi="Arial"/>
                <w:sz w:val="18"/>
                <w:szCs w:val="18"/>
                <w:color w:val="auto"/>
              </w:rPr>
              <w:t>US Treasuries:</w:t>
            </w:r>
          </w:p>
        </w:tc>
        <w:tc>
          <w:tcPr>
            <w:tcW w:w="120" w:type="dxa"/>
            <w:vAlign w:val="bottom"/>
            <w:shd w:val="clear" w:color="auto" w:fill="F0FFFF"/>
          </w:tcPr>
          <w:p>
            <w:pPr>
              <w:spacing w:after="0"/>
              <w:rPr>
                <w:sz w:val="21"/>
                <w:szCs w:val="21"/>
                <w:color w:val="auto"/>
              </w:rPr>
            </w:pPr>
          </w:p>
        </w:tc>
        <w:tc>
          <w:tcPr>
            <w:tcW w:w="1380" w:type="dxa"/>
            <w:vAlign w:val="bottom"/>
            <w:shd w:val="clear" w:color="auto" w:fill="F0FFFF"/>
          </w:tcPr>
          <w:p>
            <w:pPr>
              <w:spacing w:after="0"/>
              <w:rPr>
                <w:sz w:val="21"/>
                <w:szCs w:val="21"/>
                <w:color w:val="auto"/>
              </w:rPr>
            </w:pPr>
          </w:p>
        </w:tc>
        <w:tc>
          <w:tcPr>
            <w:tcW w:w="60" w:type="dxa"/>
            <w:vAlign w:val="bottom"/>
            <w:shd w:val="clear" w:color="auto" w:fill="F0FFFF"/>
          </w:tcPr>
          <w:p>
            <w:pPr>
              <w:spacing w:after="0"/>
              <w:rPr>
                <w:sz w:val="21"/>
                <w:szCs w:val="21"/>
                <w:color w:val="auto"/>
              </w:rPr>
            </w:pPr>
          </w:p>
        </w:tc>
        <w:tc>
          <w:tcPr>
            <w:tcW w:w="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2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38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260" w:type="dxa"/>
            <w:vAlign w:val="bottom"/>
            <w:shd w:val="clear" w:color="auto" w:fill="F0FFFF"/>
          </w:tcPr>
          <w:p>
            <w:pPr>
              <w:spacing w:after="0"/>
              <w:rPr>
                <w:sz w:val="21"/>
                <w:szCs w:val="21"/>
                <w:color w:val="auto"/>
              </w:rPr>
            </w:pPr>
          </w:p>
        </w:tc>
        <w:tc>
          <w:tcPr>
            <w:tcW w:w="2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1 to 5 years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77,711</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78,071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50"/>
        </w:trPr>
        <w:tc>
          <w:tcPr>
            <w:tcW w:w="5060" w:type="dxa"/>
            <w:vAlign w:val="bottom"/>
            <w:tcBorders>
              <w:bottom w:val="single" w:sz="8" w:color="F0FFFF"/>
            </w:tcBorders>
            <w:shd w:val="clear" w:color="auto" w:fill="F0FFFF"/>
          </w:tcPr>
          <w:p>
            <w:pPr>
              <w:ind w:left="380"/>
              <w:spacing w:after="0"/>
              <w:rPr>
                <w:sz w:val="20"/>
                <w:szCs w:val="20"/>
                <w:color w:val="auto"/>
              </w:rPr>
            </w:pPr>
            <w:r>
              <w:rPr>
                <w:rFonts w:ascii="Arial" w:cs="Arial" w:eastAsia="Arial" w:hAnsi="Arial"/>
                <w:sz w:val="18"/>
                <w:szCs w:val="18"/>
                <w:color w:val="auto"/>
              </w:rPr>
              <w:t>5 to 10 years</w:t>
            </w:r>
          </w:p>
        </w:tc>
        <w:tc>
          <w:tcPr>
            <w:tcW w:w="120" w:type="dxa"/>
            <w:vAlign w:val="bottom"/>
            <w:tcBorders>
              <w:bottom w:val="single" w:sz="8" w:color="auto"/>
            </w:tcBorders>
            <w:shd w:val="clear" w:color="auto" w:fill="F0FFFF"/>
          </w:tcPr>
          <w:p>
            <w:pPr>
              <w:spacing w:after="0"/>
              <w:rPr>
                <w:sz w:val="21"/>
                <w:szCs w:val="21"/>
                <w:color w:val="auto"/>
              </w:rPr>
            </w:pPr>
          </w:p>
        </w:tc>
        <w:tc>
          <w:tcPr>
            <w:tcW w:w="13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50,251</w:t>
            </w:r>
          </w:p>
        </w:tc>
        <w:tc>
          <w:tcPr>
            <w:tcW w:w="60" w:type="dxa"/>
            <w:vAlign w:val="bottom"/>
            <w:tcBorders>
              <w:bottom w:val="single" w:sz="8" w:color="F0FFFF"/>
            </w:tcBorders>
            <w:shd w:val="clear" w:color="auto" w:fill="F0FFFF"/>
          </w:tcPr>
          <w:p>
            <w:pPr>
              <w:spacing w:after="0"/>
              <w:rPr>
                <w:sz w:val="21"/>
                <w:szCs w:val="21"/>
                <w:color w:val="auto"/>
              </w:rPr>
            </w:pPr>
          </w:p>
        </w:tc>
        <w:tc>
          <w:tcPr>
            <w:tcW w:w="6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spacing w:after="0"/>
              <w:rPr>
                <w:sz w:val="21"/>
                <w:szCs w:val="21"/>
                <w:color w:val="auto"/>
              </w:rPr>
            </w:pPr>
          </w:p>
        </w:tc>
        <w:tc>
          <w:tcPr>
            <w:tcW w:w="12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49,830</w:t>
            </w:r>
          </w:p>
        </w:tc>
        <w:tc>
          <w:tcPr>
            <w:tcW w:w="1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spacing w:after="0"/>
              <w:rPr>
                <w:sz w:val="21"/>
                <w:szCs w:val="21"/>
                <w:color w:val="auto"/>
              </w:rPr>
            </w:pPr>
          </w:p>
        </w:tc>
        <w:tc>
          <w:tcPr>
            <w:tcW w:w="13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spacing w:after="0"/>
              <w:rPr>
                <w:sz w:val="21"/>
                <w:szCs w:val="21"/>
                <w:color w:val="auto"/>
              </w:rPr>
            </w:pPr>
          </w:p>
        </w:tc>
        <w:tc>
          <w:tcPr>
            <w:tcW w:w="12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r>
      <w:tr>
        <w:trPr>
          <w:trHeight w:val="250"/>
        </w:trPr>
        <w:tc>
          <w:tcPr>
            <w:tcW w:w="5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127,962</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127,901</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5060" w:type="dxa"/>
            <w:vAlign w:val="bottom"/>
            <w:tcBorders>
              <w:top w:val="single" w:sz="8" w:color="F0FFFF"/>
            </w:tcBorders>
            <w:shd w:val="clear" w:color="auto" w:fill="F0FFFF"/>
          </w:tcPr>
          <w:p>
            <w:pPr>
              <w:spacing w:after="0"/>
              <w:rPr>
                <w:sz w:val="21"/>
                <w:szCs w:val="21"/>
                <w:color w:val="auto"/>
              </w:rPr>
            </w:pPr>
          </w:p>
        </w:tc>
        <w:tc>
          <w:tcPr>
            <w:tcW w:w="120" w:type="dxa"/>
            <w:vAlign w:val="bottom"/>
            <w:tcBorders>
              <w:top w:val="single" w:sz="8" w:color="auto"/>
            </w:tcBorders>
            <w:shd w:val="clear" w:color="auto" w:fill="F0FFFF"/>
          </w:tcPr>
          <w:p>
            <w:pPr>
              <w:spacing w:after="0"/>
              <w:rPr>
                <w:sz w:val="21"/>
                <w:szCs w:val="21"/>
                <w:color w:val="auto"/>
              </w:rPr>
            </w:pPr>
          </w:p>
        </w:tc>
        <w:tc>
          <w:tcPr>
            <w:tcW w:w="1380" w:type="dxa"/>
            <w:vAlign w:val="bottom"/>
            <w:tcBorders>
              <w:top w:val="single" w:sz="8" w:color="auto"/>
            </w:tcBorders>
            <w:shd w:val="clear" w:color="auto" w:fill="F0FFFF"/>
          </w:tcPr>
          <w:p>
            <w:pPr>
              <w:spacing w:after="0"/>
              <w:rPr>
                <w:sz w:val="21"/>
                <w:szCs w:val="21"/>
                <w:color w:val="auto"/>
              </w:rPr>
            </w:pPr>
          </w:p>
        </w:tc>
        <w:tc>
          <w:tcPr>
            <w:tcW w:w="60" w:type="dxa"/>
            <w:vAlign w:val="bottom"/>
            <w:tcBorders>
              <w:top w:val="single" w:sz="8" w:color="F0FFFF"/>
            </w:tcBorders>
            <w:shd w:val="clear" w:color="auto" w:fill="F0FFFF"/>
          </w:tcPr>
          <w:p>
            <w:pPr>
              <w:spacing w:after="0"/>
              <w:rPr>
                <w:sz w:val="21"/>
                <w:szCs w:val="21"/>
                <w:color w:val="auto"/>
              </w:rPr>
            </w:pPr>
          </w:p>
        </w:tc>
        <w:tc>
          <w:tcPr>
            <w:tcW w:w="60" w:type="dxa"/>
            <w:vAlign w:val="bottom"/>
            <w:tcBorders>
              <w:top w:val="single" w:sz="8" w:color="F0FFFF"/>
            </w:tcBorders>
            <w:shd w:val="clear" w:color="auto" w:fill="F0FFFF"/>
          </w:tcPr>
          <w:p>
            <w:pPr>
              <w:spacing w:after="0"/>
              <w:rPr>
                <w:sz w:val="21"/>
                <w:szCs w:val="21"/>
                <w:color w:val="auto"/>
              </w:rPr>
            </w:pPr>
          </w:p>
        </w:tc>
        <w:tc>
          <w:tcPr>
            <w:tcW w:w="220" w:type="dxa"/>
            <w:vAlign w:val="bottom"/>
            <w:tcBorders>
              <w:top w:val="single" w:sz="8" w:color="auto"/>
            </w:tcBorders>
            <w:shd w:val="clear" w:color="auto" w:fill="F0FFFF"/>
          </w:tcPr>
          <w:p>
            <w:pPr>
              <w:spacing w:after="0"/>
              <w:rPr>
                <w:sz w:val="21"/>
                <w:szCs w:val="21"/>
                <w:color w:val="auto"/>
              </w:rPr>
            </w:pPr>
          </w:p>
        </w:tc>
        <w:tc>
          <w:tcPr>
            <w:tcW w:w="1260" w:type="dxa"/>
            <w:vAlign w:val="bottom"/>
            <w:tcBorders>
              <w:top w:val="single" w:sz="8" w:color="auto"/>
            </w:tcBorders>
            <w:shd w:val="clear" w:color="auto" w:fill="F0FFFF"/>
          </w:tcPr>
          <w:p>
            <w:pPr>
              <w:spacing w:after="0"/>
              <w:rPr>
                <w:sz w:val="21"/>
                <w:szCs w:val="21"/>
                <w:color w:val="auto"/>
              </w:rPr>
            </w:pPr>
          </w:p>
        </w:tc>
        <w:tc>
          <w:tcPr>
            <w:tcW w:w="100" w:type="dxa"/>
            <w:vAlign w:val="bottom"/>
            <w:tcBorders>
              <w:top w:val="single" w:sz="8" w:color="F0FFFF"/>
            </w:tcBorders>
            <w:shd w:val="clear" w:color="auto" w:fill="F0FFFF"/>
          </w:tcPr>
          <w:p>
            <w:pPr>
              <w:spacing w:after="0"/>
              <w:rPr>
                <w:sz w:val="21"/>
                <w:szCs w:val="21"/>
                <w:color w:val="auto"/>
              </w:rPr>
            </w:pPr>
          </w:p>
        </w:tc>
        <w:tc>
          <w:tcPr>
            <w:tcW w:w="100" w:type="dxa"/>
            <w:vAlign w:val="bottom"/>
            <w:tcBorders>
              <w:top w:val="single" w:sz="8" w:color="auto"/>
            </w:tcBorders>
            <w:shd w:val="clear" w:color="auto" w:fill="F0FFFF"/>
          </w:tcPr>
          <w:p>
            <w:pPr>
              <w:spacing w:after="0"/>
              <w:rPr>
                <w:sz w:val="21"/>
                <w:szCs w:val="21"/>
                <w:color w:val="auto"/>
              </w:rPr>
            </w:pPr>
          </w:p>
        </w:tc>
        <w:tc>
          <w:tcPr>
            <w:tcW w:w="1380" w:type="dxa"/>
            <w:vAlign w:val="bottom"/>
            <w:tcBorders>
              <w:top w:val="single" w:sz="8" w:color="auto"/>
            </w:tcBorders>
            <w:shd w:val="clear" w:color="auto" w:fill="F0FFFF"/>
          </w:tcPr>
          <w:p>
            <w:pPr>
              <w:spacing w:after="0"/>
              <w:rPr>
                <w:sz w:val="21"/>
                <w:szCs w:val="21"/>
                <w:color w:val="auto"/>
              </w:rPr>
            </w:pPr>
          </w:p>
        </w:tc>
        <w:tc>
          <w:tcPr>
            <w:tcW w:w="100" w:type="dxa"/>
            <w:vAlign w:val="bottom"/>
            <w:tcBorders>
              <w:top w:val="single" w:sz="8" w:color="F0FFFF"/>
            </w:tcBorders>
            <w:shd w:val="clear" w:color="auto" w:fill="F0FFFF"/>
          </w:tcPr>
          <w:p>
            <w:pPr>
              <w:spacing w:after="0"/>
              <w:rPr>
                <w:sz w:val="21"/>
                <w:szCs w:val="21"/>
                <w:color w:val="auto"/>
              </w:rPr>
            </w:pPr>
          </w:p>
        </w:tc>
        <w:tc>
          <w:tcPr>
            <w:tcW w:w="220" w:type="dxa"/>
            <w:vAlign w:val="bottom"/>
            <w:tcBorders>
              <w:top w:val="single" w:sz="8" w:color="auto"/>
            </w:tcBorders>
            <w:shd w:val="clear" w:color="auto" w:fill="F0FFFF"/>
          </w:tcPr>
          <w:p>
            <w:pPr>
              <w:spacing w:after="0"/>
              <w:rPr>
                <w:sz w:val="21"/>
                <w:szCs w:val="21"/>
                <w:color w:val="auto"/>
              </w:rPr>
            </w:pPr>
          </w:p>
        </w:tc>
        <w:tc>
          <w:tcPr>
            <w:tcW w:w="1260" w:type="dxa"/>
            <w:vAlign w:val="bottom"/>
            <w:tcBorders>
              <w:top w:val="single" w:sz="8" w:color="auto"/>
            </w:tcBorders>
            <w:shd w:val="clear" w:color="auto" w:fill="F0FFFF"/>
          </w:tcPr>
          <w:p>
            <w:pPr>
              <w:spacing w:after="0"/>
              <w:rPr>
                <w:sz w:val="21"/>
                <w:szCs w:val="21"/>
                <w:color w:val="auto"/>
              </w:rPr>
            </w:pPr>
          </w:p>
        </w:tc>
        <w:tc>
          <w:tcPr>
            <w:tcW w:w="20" w:type="dxa"/>
            <w:vAlign w:val="bottom"/>
            <w:tcBorders>
              <w:top w:val="single" w:sz="8" w:color="F0FFFF"/>
            </w:tcBorders>
            <w:shd w:val="clear" w:color="auto" w:fill="F0FFFF"/>
          </w:tcPr>
          <w:p>
            <w:pPr>
              <w:spacing w:after="0"/>
              <w:rPr>
                <w:sz w:val="21"/>
                <w:szCs w:val="21"/>
                <w:color w:val="auto"/>
              </w:rPr>
            </w:pPr>
          </w:p>
        </w:tc>
        <w:tc>
          <w:tcPr>
            <w:tcW w:w="80" w:type="dxa"/>
            <w:vAlign w:val="bottom"/>
            <w:tcBorders>
              <w:top w:val="single" w:sz="8" w:color="F0FFFF"/>
            </w:tcBorders>
            <w:shd w:val="clear" w:color="auto" w:fill="F0FFFF"/>
          </w:tcPr>
          <w:p>
            <w:pPr>
              <w:spacing w:after="0"/>
              <w:rPr>
                <w:sz w:val="21"/>
                <w:szCs w:val="21"/>
                <w:color w:val="auto"/>
              </w:rPr>
            </w:pPr>
          </w:p>
        </w:tc>
      </w:tr>
      <w:tr>
        <w:trPr>
          <w:trHeight w:val="243"/>
        </w:trPr>
        <w:tc>
          <w:tcPr>
            <w:tcW w:w="506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5060" w:type="dxa"/>
            <w:vAlign w:val="bottom"/>
            <w:shd w:val="clear" w:color="auto" w:fill="F0FFFF"/>
          </w:tcPr>
          <w:p>
            <w:pPr>
              <w:ind w:left="380"/>
              <w:spacing w:after="0"/>
              <w:rPr>
                <w:sz w:val="20"/>
                <w:szCs w:val="20"/>
                <w:color w:val="auto"/>
              </w:rPr>
            </w:pPr>
            <w:r>
              <w:rPr>
                <w:rFonts w:ascii="Arial" w:cs="Arial" w:eastAsia="Arial" w:hAnsi="Arial"/>
                <w:sz w:val="18"/>
                <w:szCs w:val="18"/>
                <w:color w:val="auto"/>
              </w:rPr>
              <w:t>1 to 5 years</w:t>
            </w:r>
          </w:p>
        </w:tc>
        <w:tc>
          <w:tcPr>
            <w:tcW w:w="120" w:type="dxa"/>
            <w:vAlign w:val="bottom"/>
            <w:shd w:val="clear" w:color="auto" w:fill="F0FFFF"/>
          </w:tcPr>
          <w:p>
            <w:pPr>
              <w:spacing w:after="0"/>
              <w:rPr>
                <w:sz w:val="21"/>
                <w:szCs w:val="21"/>
                <w:color w:val="auto"/>
              </w:rPr>
            </w:pPr>
          </w:p>
        </w:tc>
        <w:tc>
          <w:tcPr>
            <w:tcW w:w="14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32,007</w:t>
            </w:r>
          </w:p>
        </w:tc>
        <w:tc>
          <w:tcPr>
            <w:tcW w:w="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3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31,801</w:t>
            </w:r>
          </w:p>
        </w:tc>
        <w:tc>
          <w:tcPr>
            <w:tcW w:w="100" w:type="dxa"/>
            <w:vAlign w:val="bottom"/>
            <w:shd w:val="clear" w:color="auto" w:fill="F0FFFF"/>
          </w:tcPr>
          <w:p>
            <w:pPr>
              <w:spacing w:after="0"/>
              <w:rPr>
                <w:sz w:val="21"/>
                <w:szCs w:val="21"/>
                <w:color w:val="auto"/>
              </w:rPr>
            </w:pPr>
          </w:p>
        </w:tc>
        <w:tc>
          <w:tcPr>
            <w:tcW w:w="13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2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1"/>
                <w:szCs w:val="21"/>
                <w:color w:val="auto"/>
              </w:rPr>
            </w:pPr>
          </w:p>
        </w:tc>
      </w:tr>
      <w:tr>
        <w:trPr>
          <w:trHeight w:val="250"/>
        </w:trPr>
        <w:tc>
          <w:tcPr>
            <w:tcW w:w="5060" w:type="dxa"/>
            <w:vAlign w:val="bottom"/>
            <w:tcBorders>
              <w:bottom w:val="single" w:sz="8" w:color="F0FFFF"/>
            </w:tcBorders>
          </w:tcPr>
          <w:p>
            <w:pPr>
              <w:ind w:left="380"/>
              <w:spacing w:after="0"/>
              <w:rPr>
                <w:sz w:val="20"/>
                <w:szCs w:val="20"/>
                <w:color w:val="auto"/>
              </w:rPr>
            </w:pPr>
            <w:r>
              <w:rPr>
                <w:rFonts w:ascii="Arial" w:cs="Arial" w:eastAsia="Arial" w:hAnsi="Arial"/>
                <w:sz w:val="18"/>
                <w:szCs w:val="18"/>
                <w:color w:val="auto"/>
              </w:rPr>
              <w:t>5 to 10 years</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78,703</w:t>
            </w:r>
          </w:p>
        </w:tc>
        <w:tc>
          <w:tcPr>
            <w:tcW w:w="60" w:type="dxa"/>
            <w:vAlign w:val="bottom"/>
            <w:tcBorders>
              <w:bottom w:val="single" w:sz="8" w:color="F0FFFF"/>
            </w:tcBorders>
          </w:tcPr>
          <w:p>
            <w:pPr>
              <w:spacing w:after="0"/>
              <w:rPr>
                <w:sz w:val="21"/>
                <w:szCs w:val="21"/>
                <w:color w:val="auto"/>
              </w:rPr>
            </w:pPr>
          </w:p>
        </w:tc>
        <w:tc>
          <w:tcPr>
            <w:tcW w:w="60" w:type="dxa"/>
            <w:vAlign w:val="bottom"/>
            <w:tcBorders>
              <w:bottom w:val="single" w:sz="8" w:color="F0FF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78,510</w:t>
            </w:r>
          </w:p>
        </w:tc>
        <w:tc>
          <w:tcPr>
            <w:tcW w:w="100" w:type="dxa"/>
            <w:vAlign w:val="bottom"/>
            <w:tcBorders>
              <w:bottom w:val="single" w:sz="8" w:color="F0FF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F0FFFF"/>
            </w:tcBorders>
          </w:tcPr>
          <w:p>
            <w:pPr>
              <w:spacing w:after="0"/>
              <w:rPr>
                <w:sz w:val="21"/>
                <w:szCs w:val="21"/>
                <w:color w:val="auto"/>
              </w:rPr>
            </w:pPr>
          </w:p>
        </w:tc>
        <w:tc>
          <w:tcPr>
            <w:tcW w:w="80" w:type="dxa"/>
            <w:vAlign w:val="bottom"/>
            <w:tcBorders>
              <w:bottom w:val="single" w:sz="8" w:color="F0FFFF"/>
            </w:tcBorders>
          </w:tcPr>
          <w:p>
            <w:pPr>
              <w:spacing w:after="0"/>
              <w:rPr>
                <w:sz w:val="21"/>
                <w:szCs w:val="21"/>
                <w:color w:val="auto"/>
              </w:rPr>
            </w:pPr>
          </w:p>
        </w:tc>
      </w:tr>
      <w:tr>
        <w:trPr>
          <w:trHeight w:val="250"/>
        </w:trPr>
        <w:tc>
          <w:tcPr>
            <w:tcW w:w="506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4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110,710</w:t>
            </w:r>
          </w:p>
        </w:tc>
        <w:tc>
          <w:tcPr>
            <w:tcW w:w="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3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110,311</w:t>
            </w:r>
          </w:p>
        </w:tc>
        <w:tc>
          <w:tcPr>
            <w:tcW w:w="100" w:type="dxa"/>
            <w:vAlign w:val="bottom"/>
            <w:shd w:val="clear" w:color="auto" w:fill="F0FFFF"/>
          </w:tcPr>
          <w:p>
            <w:pPr>
              <w:spacing w:after="0"/>
              <w:rPr>
                <w:sz w:val="21"/>
                <w:szCs w:val="21"/>
                <w:color w:val="auto"/>
              </w:rPr>
            </w:pPr>
          </w:p>
        </w:tc>
        <w:tc>
          <w:tcPr>
            <w:tcW w:w="13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260" w:type="dxa"/>
            <w:vAlign w:val="bottom"/>
            <w:shd w:val="clear" w:color="auto" w:fill="F0FFFF"/>
          </w:tcPr>
          <w:p>
            <w:pPr>
              <w:spacing w:after="0"/>
              <w:rPr>
                <w:sz w:val="21"/>
                <w:szCs w:val="21"/>
                <w:color w:val="auto"/>
              </w:rPr>
            </w:pPr>
          </w:p>
        </w:tc>
        <w:tc>
          <w:tcPr>
            <w:tcW w:w="2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r>
      <w:tr>
        <w:trPr>
          <w:trHeight w:val="243"/>
        </w:trPr>
        <w:tc>
          <w:tcPr>
            <w:tcW w:w="5060" w:type="dxa"/>
            <w:vAlign w:val="bottom"/>
            <w:tcBorders>
              <w:top w:val="single" w:sz="8" w:color="F0FF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60" w:type="dxa"/>
            <w:vAlign w:val="bottom"/>
            <w:tcBorders>
              <w:top w:val="single" w:sz="8" w:color="F0FFFF"/>
            </w:tcBorders>
          </w:tcPr>
          <w:p>
            <w:pPr>
              <w:spacing w:after="0"/>
              <w:rPr>
                <w:sz w:val="21"/>
                <w:szCs w:val="21"/>
                <w:color w:val="auto"/>
              </w:rPr>
            </w:pPr>
          </w:p>
        </w:tc>
        <w:tc>
          <w:tcPr>
            <w:tcW w:w="60" w:type="dxa"/>
            <w:vAlign w:val="bottom"/>
            <w:tcBorders>
              <w:top w:val="single" w:sz="8" w:color="F0FF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Borders>
              <w:top w:val="single" w:sz="8" w:color="F0FF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Borders>
              <w:top w:val="single" w:sz="8" w:color="F0FF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20" w:type="dxa"/>
            <w:vAlign w:val="bottom"/>
            <w:tcBorders>
              <w:top w:val="single" w:sz="8" w:color="F0FFFF"/>
            </w:tcBorders>
          </w:tcPr>
          <w:p>
            <w:pPr>
              <w:spacing w:after="0"/>
              <w:rPr>
                <w:sz w:val="21"/>
                <w:szCs w:val="21"/>
                <w:color w:val="auto"/>
              </w:rPr>
            </w:pPr>
          </w:p>
        </w:tc>
        <w:tc>
          <w:tcPr>
            <w:tcW w:w="80" w:type="dxa"/>
            <w:vAlign w:val="bottom"/>
            <w:tcBorders>
              <w:top w:val="single" w:sz="8" w:color="F0FFFF"/>
            </w:tcBorders>
          </w:tcPr>
          <w:p>
            <w:pPr>
              <w:spacing w:after="0"/>
              <w:rPr>
                <w:sz w:val="21"/>
                <w:szCs w:val="21"/>
                <w:color w:val="auto"/>
              </w:rPr>
            </w:pPr>
          </w:p>
        </w:tc>
      </w:tr>
      <w:tr>
        <w:trPr>
          <w:trHeight w:val="243"/>
        </w:trPr>
        <w:tc>
          <w:tcPr>
            <w:tcW w:w="5060" w:type="dxa"/>
            <w:vAlign w:val="bottom"/>
            <w:shd w:val="clear" w:color="auto" w:fill="F0FFFF"/>
          </w:tcPr>
          <w:p>
            <w:pPr>
              <w:spacing w:after="0"/>
              <w:rPr>
                <w:sz w:val="20"/>
                <w:szCs w:val="20"/>
                <w:color w:val="auto"/>
              </w:rPr>
            </w:pPr>
            <w:r>
              <w:rPr>
                <w:rFonts w:ascii="Arial" w:cs="Arial" w:eastAsia="Arial" w:hAnsi="Arial"/>
                <w:sz w:val="18"/>
                <w:szCs w:val="18"/>
                <w:color w:val="auto"/>
              </w:rPr>
              <w:t>State and political subdivisions:</w:t>
            </w:r>
          </w:p>
        </w:tc>
        <w:tc>
          <w:tcPr>
            <w:tcW w:w="120" w:type="dxa"/>
            <w:vAlign w:val="bottom"/>
            <w:shd w:val="clear" w:color="auto" w:fill="F0FFFF"/>
          </w:tcPr>
          <w:p>
            <w:pPr>
              <w:spacing w:after="0"/>
              <w:rPr>
                <w:sz w:val="21"/>
                <w:szCs w:val="21"/>
                <w:color w:val="auto"/>
              </w:rPr>
            </w:pPr>
          </w:p>
        </w:tc>
        <w:tc>
          <w:tcPr>
            <w:tcW w:w="1380" w:type="dxa"/>
            <w:vAlign w:val="bottom"/>
            <w:shd w:val="clear" w:color="auto" w:fill="F0FFFF"/>
          </w:tcPr>
          <w:p>
            <w:pPr>
              <w:spacing w:after="0"/>
              <w:rPr>
                <w:sz w:val="21"/>
                <w:szCs w:val="21"/>
                <w:color w:val="auto"/>
              </w:rPr>
            </w:pPr>
          </w:p>
        </w:tc>
        <w:tc>
          <w:tcPr>
            <w:tcW w:w="60" w:type="dxa"/>
            <w:vAlign w:val="bottom"/>
            <w:shd w:val="clear" w:color="auto" w:fill="F0FFFF"/>
          </w:tcPr>
          <w:p>
            <w:pPr>
              <w:spacing w:after="0"/>
              <w:rPr>
                <w:sz w:val="21"/>
                <w:szCs w:val="21"/>
                <w:color w:val="auto"/>
              </w:rPr>
            </w:pPr>
          </w:p>
        </w:tc>
        <w:tc>
          <w:tcPr>
            <w:tcW w:w="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2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38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260" w:type="dxa"/>
            <w:vAlign w:val="bottom"/>
            <w:shd w:val="clear" w:color="auto" w:fill="F0FFFF"/>
          </w:tcPr>
          <w:p>
            <w:pPr>
              <w:spacing w:after="0"/>
              <w:rPr>
                <w:sz w:val="21"/>
                <w:szCs w:val="21"/>
                <w:color w:val="auto"/>
              </w:rPr>
            </w:pPr>
          </w:p>
        </w:tc>
        <w:tc>
          <w:tcPr>
            <w:tcW w:w="2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Within 1 year</w:t>
            </w:r>
          </w:p>
        </w:tc>
        <w:tc>
          <w:tcPr>
            <w:tcW w:w="120" w:type="dxa"/>
            <w:vAlign w:val="bottom"/>
          </w:tcPr>
          <w:p>
            <w:pPr>
              <w:spacing w:after="0"/>
              <w:rPr>
                <w:sz w:val="21"/>
                <w:szCs w:val="21"/>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4,487</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4,563</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1,036</w:t>
            </w:r>
          </w:p>
        </w:tc>
        <w:tc>
          <w:tcPr>
            <w:tcW w:w="80" w:type="dxa"/>
            <w:vAlign w:val="bottom"/>
          </w:tcPr>
          <w:p>
            <w:pPr>
              <w:spacing w:after="0"/>
              <w:rPr>
                <w:sz w:val="21"/>
                <w:szCs w:val="21"/>
                <w:color w:val="auto"/>
              </w:rPr>
            </w:pPr>
          </w:p>
        </w:tc>
      </w:tr>
      <w:tr>
        <w:trPr>
          <w:trHeight w:val="243"/>
        </w:trPr>
        <w:tc>
          <w:tcPr>
            <w:tcW w:w="5060" w:type="dxa"/>
            <w:vAlign w:val="bottom"/>
            <w:shd w:val="clear" w:color="auto" w:fill="F0FFFF"/>
          </w:tcPr>
          <w:p>
            <w:pPr>
              <w:ind w:left="380"/>
              <w:spacing w:after="0"/>
              <w:rPr>
                <w:sz w:val="20"/>
                <w:szCs w:val="20"/>
                <w:color w:val="auto"/>
              </w:rPr>
            </w:pPr>
            <w:r>
              <w:rPr>
                <w:rFonts w:ascii="Arial" w:cs="Arial" w:eastAsia="Arial" w:hAnsi="Arial"/>
                <w:sz w:val="18"/>
                <w:szCs w:val="18"/>
                <w:color w:val="auto"/>
              </w:rPr>
              <w:t>1 to 5 years</w:t>
            </w:r>
          </w:p>
        </w:tc>
        <w:tc>
          <w:tcPr>
            <w:tcW w:w="120" w:type="dxa"/>
            <w:vAlign w:val="bottom"/>
            <w:shd w:val="clear" w:color="auto" w:fill="F0FFFF"/>
          </w:tcPr>
          <w:p>
            <w:pPr>
              <w:spacing w:after="0"/>
              <w:rPr>
                <w:sz w:val="21"/>
                <w:szCs w:val="21"/>
                <w:color w:val="auto"/>
              </w:rPr>
            </w:pPr>
          </w:p>
        </w:tc>
        <w:tc>
          <w:tcPr>
            <w:tcW w:w="14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9,709</w:t>
            </w:r>
          </w:p>
        </w:tc>
        <w:tc>
          <w:tcPr>
            <w:tcW w:w="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3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9,969</w:t>
            </w:r>
          </w:p>
        </w:tc>
        <w:tc>
          <w:tcPr>
            <w:tcW w:w="100" w:type="dxa"/>
            <w:vAlign w:val="bottom"/>
            <w:shd w:val="clear" w:color="auto" w:fill="F0FFFF"/>
          </w:tcPr>
          <w:p>
            <w:pPr>
              <w:spacing w:after="0"/>
              <w:rPr>
                <w:sz w:val="21"/>
                <w:szCs w:val="21"/>
                <w:color w:val="auto"/>
              </w:rPr>
            </w:pPr>
          </w:p>
        </w:tc>
        <w:tc>
          <w:tcPr>
            <w:tcW w:w="14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17,670</w:t>
            </w:r>
          </w:p>
        </w:tc>
        <w:tc>
          <w:tcPr>
            <w:tcW w:w="220" w:type="dxa"/>
            <w:vAlign w:val="bottom"/>
            <w:shd w:val="clear" w:color="auto" w:fill="F0FFFF"/>
          </w:tcPr>
          <w:p>
            <w:pPr>
              <w:spacing w:after="0"/>
              <w:rPr>
                <w:sz w:val="21"/>
                <w:szCs w:val="21"/>
                <w:color w:val="auto"/>
              </w:rPr>
            </w:pPr>
          </w:p>
        </w:tc>
        <w:tc>
          <w:tcPr>
            <w:tcW w:w="12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18,756</w:t>
            </w:r>
          </w:p>
        </w:tc>
        <w:tc>
          <w:tcPr>
            <w:tcW w:w="80" w:type="dxa"/>
            <w:vAlign w:val="bottom"/>
            <w:shd w:val="clear" w:color="auto" w:fill="F0FFFF"/>
          </w:tcPr>
          <w:p>
            <w:pPr>
              <w:spacing w:after="0"/>
              <w:rPr>
                <w:sz w:val="21"/>
                <w:szCs w:val="2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5 to 10 years</w:t>
            </w:r>
          </w:p>
        </w:tc>
        <w:tc>
          <w:tcPr>
            <w:tcW w:w="120" w:type="dxa"/>
            <w:vAlign w:val="bottom"/>
          </w:tcPr>
          <w:p>
            <w:pPr>
              <w:spacing w:after="0"/>
              <w:rPr>
                <w:sz w:val="21"/>
                <w:szCs w:val="21"/>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11,325</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11,237</w:t>
            </w:r>
          </w:p>
        </w:tc>
        <w:tc>
          <w:tcPr>
            <w:tcW w:w="10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22,140</w:t>
            </w:r>
          </w:p>
        </w:tc>
        <w:tc>
          <w:tcPr>
            <w:tcW w:w="22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23,673</w:t>
            </w:r>
          </w:p>
        </w:tc>
        <w:tc>
          <w:tcPr>
            <w:tcW w:w="80" w:type="dxa"/>
            <w:vAlign w:val="bottom"/>
          </w:tcPr>
          <w:p>
            <w:pPr>
              <w:spacing w:after="0"/>
              <w:rPr>
                <w:sz w:val="21"/>
                <w:szCs w:val="21"/>
                <w:color w:val="auto"/>
              </w:rPr>
            </w:pPr>
          </w:p>
        </w:tc>
      </w:tr>
      <w:tr>
        <w:trPr>
          <w:trHeight w:val="250"/>
        </w:trPr>
        <w:tc>
          <w:tcPr>
            <w:tcW w:w="5060" w:type="dxa"/>
            <w:vAlign w:val="bottom"/>
            <w:tcBorders>
              <w:bottom w:val="single" w:sz="8" w:color="F0FFFF"/>
            </w:tcBorders>
            <w:shd w:val="clear" w:color="auto" w:fill="F0FFFF"/>
          </w:tcPr>
          <w:p>
            <w:pPr>
              <w:ind w:left="380"/>
              <w:spacing w:after="0"/>
              <w:rPr>
                <w:sz w:val="20"/>
                <w:szCs w:val="20"/>
                <w:color w:val="auto"/>
              </w:rPr>
            </w:pPr>
            <w:r>
              <w:rPr>
                <w:rFonts w:ascii="Arial" w:cs="Arial" w:eastAsia="Arial" w:hAnsi="Arial"/>
                <w:sz w:val="18"/>
                <w:szCs w:val="18"/>
                <w:color w:val="auto"/>
              </w:rPr>
              <w:t>More than 10 years</w:t>
            </w:r>
          </w:p>
        </w:tc>
        <w:tc>
          <w:tcPr>
            <w:tcW w:w="120" w:type="dxa"/>
            <w:vAlign w:val="bottom"/>
            <w:tcBorders>
              <w:bottom w:val="single" w:sz="8" w:color="auto"/>
            </w:tcBorders>
            <w:shd w:val="clear" w:color="auto" w:fill="F0FFFF"/>
          </w:tcPr>
          <w:p>
            <w:pPr>
              <w:spacing w:after="0"/>
              <w:rPr>
                <w:sz w:val="21"/>
                <w:szCs w:val="21"/>
                <w:color w:val="auto"/>
              </w:rPr>
            </w:pPr>
          </w:p>
        </w:tc>
        <w:tc>
          <w:tcPr>
            <w:tcW w:w="13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4,968</w:t>
            </w:r>
          </w:p>
        </w:tc>
        <w:tc>
          <w:tcPr>
            <w:tcW w:w="60" w:type="dxa"/>
            <w:vAlign w:val="bottom"/>
            <w:tcBorders>
              <w:bottom w:val="single" w:sz="8" w:color="F0FFFF"/>
            </w:tcBorders>
            <w:shd w:val="clear" w:color="auto" w:fill="F0FFFF"/>
          </w:tcPr>
          <w:p>
            <w:pPr>
              <w:spacing w:after="0"/>
              <w:rPr>
                <w:sz w:val="21"/>
                <w:szCs w:val="21"/>
                <w:color w:val="auto"/>
              </w:rPr>
            </w:pPr>
          </w:p>
        </w:tc>
        <w:tc>
          <w:tcPr>
            <w:tcW w:w="6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spacing w:after="0"/>
              <w:rPr>
                <w:sz w:val="21"/>
                <w:szCs w:val="21"/>
                <w:color w:val="auto"/>
              </w:rPr>
            </w:pPr>
          </w:p>
        </w:tc>
        <w:tc>
          <w:tcPr>
            <w:tcW w:w="12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4,995</w:t>
            </w:r>
          </w:p>
        </w:tc>
        <w:tc>
          <w:tcPr>
            <w:tcW w:w="1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spacing w:after="0"/>
              <w:rPr>
                <w:sz w:val="21"/>
                <w:szCs w:val="21"/>
                <w:color w:val="auto"/>
              </w:rPr>
            </w:pPr>
          </w:p>
        </w:tc>
        <w:tc>
          <w:tcPr>
            <w:tcW w:w="13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6,300</w:t>
            </w: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spacing w:after="0"/>
              <w:rPr>
                <w:sz w:val="21"/>
                <w:szCs w:val="21"/>
                <w:color w:val="auto"/>
              </w:rPr>
            </w:pPr>
          </w:p>
        </w:tc>
        <w:tc>
          <w:tcPr>
            <w:tcW w:w="12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6,754</w:t>
            </w:r>
          </w:p>
        </w:tc>
        <w:tc>
          <w:tcPr>
            <w:tcW w:w="2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r>
      <w:tr>
        <w:trPr>
          <w:trHeight w:val="250"/>
        </w:trPr>
        <w:tc>
          <w:tcPr>
            <w:tcW w:w="5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30,489</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30,764</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47,116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50,219</w:t>
            </w:r>
          </w:p>
        </w:tc>
        <w:tc>
          <w:tcPr>
            <w:tcW w:w="80" w:type="dxa"/>
            <w:vAlign w:val="bottom"/>
          </w:tcPr>
          <w:p>
            <w:pPr>
              <w:spacing w:after="0"/>
              <w:rPr>
                <w:sz w:val="21"/>
                <w:szCs w:val="21"/>
                <w:color w:val="auto"/>
              </w:rPr>
            </w:pPr>
          </w:p>
        </w:tc>
      </w:tr>
      <w:tr>
        <w:trPr>
          <w:trHeight w:val="243"/>
        </w:trPr>
        <w:tc>
          <w:tcPr>
            <w:tcW w:w="5060" w:type="dxa"/>
            <w:vAlign w:val="bottom"/>
            <w:tcBorders>
              <w:top w:val="single" w:sz="8" w:color="F0FFFF"/>
            </w:tcBorders>
            <w:shd w:val="clear" w:color="auto" w:fill="F0FFFF"/>
          </w:tcPr>
          <w:p>
            <w:pPr>
              <w:spacing w:after="0"/>
              <w:rPr>
                <w:sz w:val="21"/>
                <w:szCs w:val="21"/>
                <w:color w:val="auto"/>
              </w:rPr>
            </w:pPr>
          </w:p>
        </w:tc>
        <w:tc>
          <w:tcPr>
            <w:tcW w:w="120" w:type="dxa"/>
            <w:vAlign w:val="bottom"/>
            <w:tcBorders>
              <w:top w:val="single" w:sz="8" w:color="auto"/>
            </w:tcBorders>
            <w:shd w:val="clear" w:color="auto" w:fill="F0FFFF"/>
          </w:tcPr>
          <w:p>
            <w:pPr>
              <w:spacing w:after="0"/>
              <w:rPr>
                <w:sz w:val="21"/>
                <w:szCs w:val="21"/>
                <w:color w:val="auto"/>
              </w:rPr>
            </w:pPr>
          </w:p>
        </w:tc>
        <w:tc>
          <w:tcPr>
            <w:tcW w:w="1380" w:type="dxa"/>
            <w:vAlign w:val="bottom"/>
            <w:tcBorders>
              <w:top w:val="single" w:sz="8" w:color="auto"/>
            </w:tcBorders>
            <w:shd w:val="clear" w:color="auto" w:fill="F0FFFF"/>
          </w:tcPr>
          <w:p>
            <w:pPr>
              <w:spacing w:after="0"/>
              <w:rPr>
                <w:sz w:val="21"/>
                <w:szCs w:val="21"/>
                <w:color w:val="auto"/>
              </w:rPr>
            </w:pPr>
          </w:p>
        </w:tc>
        <w:tc>
          <w:tcPr>
            <w:tcW w:w="60" w:type="dxa"/>
            <w:vAlign w:val="bottom"/>
            <w:tcBorders>
              <w:top w:val="single" w:sz="8" w:color="F0FFFF"/>
            </w:tcBorders>
            <w:shd w:val="clear" w:color="auto" w:fill="F0FFFF"/>
          </w:tcPr>
          <w:p>
            <w:pPr>
              <w:spacing w:after="0"/>
              <w:rPr>
                <w:sz w:val="21"/>
                <w:szCs w:val="21"/>
                <w:color w:val="auto"/>
              </w:rPr>
            </w:pPr>
          </w:p>
        </w:tc>
        <w:tc>
          <w:tcPr>
            <w:tcW w:w="60" w:type="dxa"/>
            <w:vAlign w:val="bottom"/>
            <w:tcBorders>
              <w:top w:val="single" w:sz="8" w:color="F0FFFF"/>
            </w:tcBorders>
            <w:shd w:val="clear" w:color="auto" w:fill="F0FFFF"/>
          </w:tcPr>
          <w:p>
            <w:pPr>
              <w:spacing w:after="0"/>
              <w:rPr>
                <w:sz w:val="21"/>
                <w:szCs w:val="21"/>
                <w:color w:val="auto"/>
              </w:rPr>
            </w:pPr>
          </w:p>
        </w:tc>
        <w:tc>
          <w:tcPr>
            <w:tcW w:w="220" w:type="dxa"/>
            <w:vAlign w:val="bottom"/>
            <w:tcBorders>
              <w:top w:val="single" w:sz="8" w:color="auto"/>
            </w:tcBorders>
            <w:shd w:val="clear" w:color="auto" w:fill="F0FFFF"/>
          </w:tcPr>
          <w:p>
            <w:pPr>
              <w:spacing w:after="0"/>
              <w:rPr>
                <w:sz w:val="21"/>
                <w:szCs w:val="21"/>
                <w:color w:val="auto"/>
              </w:rPr>
            </w:pPr>
          </w:p>
        </w:tc>
        <w:tc>
          <w:tcPr>
            <w:tcW w:w="1260" w:type="dxa"/>
            <w:vAlign w:val="bottom"/>
            <w:tcBorders>
              <w:top w:val="single" w:sz="8" w:color="auto"/>
            </w:tcBorders>
            <w:shd w:val="clear" w:color="auto" w:fill="F0FFFF"/>
          </w:tcPr>
          <w:p>
            <w:pPr>
              <w:spacing w:after="0"/>
              <w:rPr>
                <w:sz w:val="21"/>
                <w:szCs w:val="21"/>
                <w:color w:val="auto"/>
              </w:rPr>
            </w:pPr>
          </w:p>
        </w:tc>
        <w:tc>
          <w:tcPr>
            <w:tcW w:w="100" w:type="dxa"/>
            <w:vAlign w:val="bottom"/>
            <w:tcBorders>
              <w:top w:val="single" w:sz="8" w:color="F0FFFF"/>
            </w:tcBorders>
            <w:shd w:val="clear" w:color="auto" w:fill="F0FFFF"/>
          </w:tcPr>
          <w:p>
            <w:pPr>
              <w:spacing w:after="0"/>
              <w:rPr>
                <w:sz w:val="21"/>
                <w:szCs w:val="21"/>
                <w:color w:val="auto"/>
              </w:rPr>
            </w:pPr>
          </w:p>
        </w:tc>
        <w:tc>
          <w:tcPr>
            <w:tcW w:w="100" w:type="dxa"/>
            <w:vAlign w:val="bottom"/>
            <w:tcBorders>
              <w:top w:val="single" w:sz="8" w:color="auto"/>
            </w:tcBorders>
            <w:shd w:val="clear" w:color="auto" w:fill="F0FFFF"/>
          </w:tcPr>
          <w:p>
            <w:pPr>
              <w:spacing w:after="0"/>
              <w:rPr>
                <w:sz w:val="21"/>
                <w:szCs w:val="21"/>
                <w:color w:val="auto"/>
              </w:rPr>
            </w:pPr>
          </w:p>
        </w:tc>
        <w:tc>
          <w:tcPr>
            <w:tcW w:w="1380" w:type="dxa"/>
            <w:vAlign w:val="bottom"/>
            <w:tcBorders>
              <w:top w:val="single" w:sz="8" w:color="auto"/>
            </w:tcBorders>
            <w:shd w:val="clear" w:color="auto" w:fill="F0FFFF"/>
          </w:tcPr>
          <w:p>
            <w:pPr>
              <w:spacing w:after="0"/>
              <w:rPr>
                <w:sz w:val="21"/>
                <w:szCs w:val="21"/>
                <w:color w:val="auto"/>
              </w:rPr>
            </w:pPr>
          </w:p>
        </w:tc>
        <w:tc>
          <w:tcPr>
            <w:tcW w:w="100" w:type="dxa"/>
            <w:vAlign w:val="bottom"/>
            <w:tcBorders>
              <w:top w:val="single" w:sz="8" w:color="F0FFFF"/>
            </w:tcBorders>
            <w:shd w:val="clear" w:color="auto" w:fill="F0FFFF"/>
          </w:tcPr>
          <w:p>
            <w:pPr>
              <w:spacing w:after="0"/>
              <w:rPr>
                <w:sz w:val="21"/>
                <w:szCs w:val="21"/>
                <w:color w:val="auto"/>
              </w:rPr>
            </w:pPr>
          </w:p>
        </w:tc>
        <w:tc>
          <w:tcPr>
            <w:tcW w:w="220" w:type="dxa"/>
            <w:vAlign w:val="bottom"/>
            <w:tcBorders>
              <w:top w:val="single" w:sz="8" w:color="auto"/>
            </w:tcBorders>
            <w:shd w:val="clear" w:color="auto" w:fill="F0FFFF"/>
          </w:tcPr>
          <w:p>
            <w:pPr>
              <w:spacing w:after="0"/>
              <w:rPr>
                <w:sz w:val="21"/>
                <w:szCs w:val="21"/>
                <w:color w:val="auto"/>
              </w:rPr>
            </w:pPr>
          </w:p>
        </w:tc>
        <w:tc>
          <w:tcPr>
            <w:tcW w:w="1260" w:type="dxa"/>
            <w:vAlign w:val="bottom"/>
            <w:tcBorders>
              <w:top w:val="single" w:sz="8" w:color="auto"/>
            </w:tcBorders>
            <w:shd w:val="clear" w:color="auto" w:fill="F0FFFF"/>
          </w:tcPr>
          <w:p>
            <w:pPr>
              <w:spacing w:after="0"/>
              <w:rPr>
                <w:sz w:val="21"/>
                <w:szCs w:val="21"/>
                <w:color w:val="auto"/>
              </w:rPr>
            </w:pPr>
          </w:p>
        </w:tc>
        <w:tc>
          <w:tcPr>
            <w:tcW w:w="20" w:type="dxa"/>
            <w:vAlign w:val="bottom"/>
            <w:tcBorders>
              <w:top w:val="single" w:sz="8" w:color="F0FFFF"/>
            </w:tcBorders>
            <w:shd w:val="clear" w:color="auto" w:fill="F0FFFF"/>
          </w:tcPr>
          <w:p>
            <w:pPr>
              <w:spacing w:after="0"/>
              <w:rPr>
                <w:sz w:val="21"/>
                <w:szCs w:val="21"/>
                <w:color w:val="auto"/>
              </w:rPr>
            </w:pPr>
          </w:p>
        </w:tc>
        <w:tc>
          <w:tcPr>
            <w:tcW w:w="80" w:type="dxa"/>
            <w:vAlign w:val="bottom"/>
            <w:tcBorders>
              <w:top w:val="single" w:sz="8" w:color="F0FFFF"/>
            </w:tcBorders>
            <w:shd w:val="clear" w:color="auto" w:fill="F0FFFF"/>
          </w:tcPr>
          <w:p>
            <w:pPr>
              <w:spacing w:after="0"/>
              <w:rPr>
                <w:sz w:val="21"/>
                <w:szCs w:val="21"/>
                <w:color w:val="auto"/>
              </w:rPr>
            </w:pPr>
          </w:p>
        </w:tc>
      </w:tr>
      <w:tr>
        <w:trPr>
          <w:trHeight w:val="243"/>
        </w:trPr>
        <w:tc>
          <w:tcPr>
            <w:tcW w:w="5060" w:type="dxa"/>
            <w:vAlign w:val="bottom"/>
          </w:tcPr>
          <w:p>
            <w:pPr>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5060" w:type="dxa"/>
            <w:vAlign w:val="bottom"/>
            <w:shd w:val="clear" w:color="auto" w:fill="F0FFFF"/>
          </w:tcPr>
          <w:p>
            <w:pPr>
              <w:ind w:left="380"/>
              <w:spacing w:after="0"/>
              <w:rPr>
                <w:sz w:val="20"/>
                <w:szCs w:val="20"/>
                <w:color w:val="auto"/>
              </w:rPr>
            </w:pPr>
            <w:r>
              <w:rPr>
                <w:rFonts w:ascii="Arial" w:cs="Arial" w:eastAsia="Arial" w:hAnsi="Arial"/>
                <w:sz w:val="18"/>
                <w:szCs w:val="18"/>
                <w:color w:val="auto"/>
              </w:rPr>
              <w:t>1 to 5 years</w:t>
            </w:r>
          </w:p>
        </w:tc>
        <w:tc>
          <w:tcPr>
            <w:tcW w:w="120" w:type="dxa"/>
            <w:vAlign w:val="bottom"/>
            <w:shd w:val="clear" w:color="auto" w:fill="F0FFFF"/>
          </w:tcPr>
          <w:p>
            <w:pPr>
              <w:spacing w:after="0"/>
              <w:rPr>
                <w:sz w:val="21"/>
                <w:szCs w:val="21"/>
                <w:color w:val="auto"/>
              </w:rPr>
            </w:pPr>
          </w:p>
        </w:tc>
        <w:tc>
          <w:tcPr>
            <w:tcW w:w="14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57,031</w:t>
            </w:r>
          </w:p>
        </w:tc>
        <w:tc>
          <w:tcPr>
            <w:tcW w:w="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3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57,474</w:t>
            </w:r>
          </w:p>
        </w:tc>
        <w:tc>
          <w:tcPr>
            <w:tcW w:w="100" w:type="dxa"/>
            <w:vAlign w:val="bottom"/>
            <w:shd w:val="clear" w:color="auto" w:fill="F0FFFF"/>
          </w:tcPr>
          <w:p>
            <w:pPr>
              <w:spacing w:after="0"/>
              <w:rPr>
                <w:sz w:val="21"/>
                <w:szCs w:val="21"/>
                <w:color w:val="auto"/>
              </w:rPr>
            </w:pPr>
          </w:p>
        </w:tc>
        <w:tc>
          <w:tcPr>
            <w:tcW w:w="13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2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1"/>
                <w:szCs w:val="2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5 to 10 years</w:t>
            </w:r>
          </w:p>
        </w:tc>
        <w:tc>
          <w:tcPr>
            <w:tcW w:w="120" w:type="dxa"/>
            <w:vAlign w:val="bottom"/>
          </w:tcPr>
          <w:p>
            <w:pPr>
              <w:spacing w:after="0"/>
              <w:rPr>
                <w:sz w:val="21"/>
                <w:szCs w:val="21"/>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118,603</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118,841</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50"/>
        </w:trPr>
        <w:tc>
          <w:tcPr>
            <w:tcW w:w="5060" w:type="dxa"/>
            <w:vAlign w:val="bottom"/>
            <w:tcBorders>
              <w:bottom w:val="single" w:sz="8" w:color="F0FFFF"/>
            </w:tcBorders>
            <w:shd w:val="clear" w:color="auto" w:fill="F0FFFF"/>
          </w:tcPr>
          <w:p>
            <w:pPr>
              <w:ind w:left="380"/>
              <w:spacing w:after="0"/>
              <w:rPr>
                <w:sz w:val="20"/>
                <w:szCs w:val="20"/>
                <w:color w:val="auto"/>
              </w:rPr>
            </w:pPr>
            <w:r>
              <w:rPr>
                <w:rFonts w:ascii="Arial" w:cs="Arial" w:eastAsia="Arial" w:hAnsi="Arial"/>
                <w:sz w:val="18"/>
                <w:szCs w:val="18"/>
                <w:color w:val="auto"/>
              </w:rPr>
              <w:t>More than 10 years</w:t>
            </w:r>
          </w:p>
        </w:tc>
        <w:tc>
          <w:tcPr>
            <w:tcW w:w="120" w:type="dxa"/>
            <w:vAlign w:val="bottom"/>
            <w:tcBorders>
              <w:bottom w:val="single" w:sz="8" w:color="auto"/>
            </w:tcBorders>
            <w:shd w:val="clear" w:color="auto" w:fill="F0FFFF"/>
          </w:tcPr>
          <w:p>
            <w:pPr>
              <w:spacing w:after="0"/>
              <w:rPr>
                <w:sz w:val="21"/>
                <w:szCs w:val="21"/>
                <w:color w:val="auto"/>
              </w:rPr>
            </w:pPr>
          </w:p>
        </w:tc>
        <w:tc>
          <w:tcPr>
            <w:tcW w:w="13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32,480</w:t>
            </w:r>
          </w:p>
        </w:tc>
        <w:tc>
          <w:tcPr>
            <w:tcW w:w="60" w:type="dxa"/>
            <w:vAlign w:val="bottom"/>
            <w:tcBorders>
              <w:bottom w:val="single" w:sz="8" w:color="F0FFFF"/>
            </w:tcBorders>
            <w:shd w:val="clear" w:color="auto" w:fill="F0FFFF"/>
          </w:tcPr>
          <w:p>
            <w:pPr>
              <w:spacing w:after="0"/>
              <w:rPr>
                <w:sz w:val="21"/>
                <w:szCs w:val="21"/>
                <w:color w:val="auto"/>
              </w:rPr>
            </w:pPr>
          </w:p>
        </w:tc>
        <w:tc>
          <w:tcPr>
            <w:tcW w:w="6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spacing w:after="0"/>
              <w:rPr>
                <w:sz w:val="21"/>
                <w:szCs w:val="21"/>
                <w:color w:val="auto"/>
              </w:rPr>
            </w:pPr>
          </w:p>
        </w:tc>
        <w:tc>
          <w:tcPr>
            <w:tcW w:w="12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30,709</w:t>
            </w:r>
          </w:p>
        </w:tc>
        <w:tc>
          <w:tcPr>
            <w:tcW w:w="1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spacing w:after="0"/>
              <w:rPr>
                <w:sz w:val="21"/>
                <w:szCs w:val="21"/>
                <w:color w:val="auto"/>
              </w:rPr>
            </w:pPr>
          </w:p>
        </w:tc>
        <w:tc>
          <w:tcPr>
            <w:tcW w:w="13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spacing w:after="0"/>
              <w:rPr>
                <w:sz w:val="21"/>
                <w:szCs w:val="21"/>
                <w:color w:val="auto"/>
              </w:rPr>
            </w:pPr>
          </w:p>
        </w:tc>
        <w:tc>
          <w:tcPr>
            <w:tcW w:w="12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r>
      <w:tr>
        <w:trPr>
          <w:trHeight w:val="250"/>
        </w:trPr>
        <w:tc>
          <w:tcPr>
            <w:tcW w:w="5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208,114</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207,024</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5060" w:type="dxa"/>
            <w:vAlign w:val="bottom"/>
            <w:tcBorders>
              <w:top w:val="single" w:sz="8" w:color="F0FFFF"/>
            </w:tcBorders>
            <w:shd w:val="clear" w:color="auto" w:fill="F0FFFF"/>
          </w:tcPr>
          <w:p>
            <w:pPr>
              <w:spacing w:after="0"/>
              <w:rPr>
                <w:sz w:val="21"/>
                <w:szCs w:val="21"/>
                <w:color w:val="auto"/>
              </w:rPr>
            </w:pPr>
          </w:p>
        </w:tc>
        <w:tc>
          <w:tcPr>
            <w:tcW w:w="120" w:type="dxa"/>
            <w:vAlign w:val="bottom"/>
            <w:tcBorders>
              <w:top w:val="single" w:sz="8" w:color="auto"/>
            </w:tcBorders>
            <w:shd w:val="clear" w:color="auto" w:fill="F0FFFF"/>
          </w:tcPr>
          <w:p>
            <w:pPr>
              <w:spacing w:after="0"/>
              <w:rPr>
                <w:sz w:val="21"/>
                <w:szCs w:val="21"/>
                <w:color w:val="auto"/>
              </w:rPr>
            </w:pPr>
          </w:p>
        </w:tc>
        <w:tc>
          <w:tcPr>
            <w:tcW w:w="1380" w:type="dxa"/>
            <w:vAlign w:val="bottom"/>
            <w:tcBorders>
              <w:top w:val="single" w:sz="8" w:color="auto"/>
            </w:tcBorders>
            <w:shd w:val="clear" w:color="auto" w:fill="F0FFFF"/>
          </w:tcPr>
          <w:p>
            <w:pPr>
              <w:spacing w:after="0"/>
              <w:rPr>
                <w:sz w:val="21"/>
                <w:szCs w:val="21"/>
                <w:color w:val="auto"/>
              </w:rPr>
            </w:pPr>
          </w:p>
        </w:tc>
        <w:tc>
          <w:tcPr>
            <w:tcW w:w="60" w:type="dxa"/>
            <w:vAlign w:val="bottom"/>
            <w:tcBorders>
              <w:top w:val="single" w:sz="8" w:color="F0FFFF"/>
            </w:tcBorders>
            <w:shd w:val="clear" w:color="auto" w:fill="F0FFFF"/>
          </w:tcPr>
          <w:p>
            <w:pPr>
              <w:spacing w:after="0"/>
              <w:rPr>
                <w:sz w:val="21"/>
                <w:szCs w:val="21"/>
                <w:color w:val="auto"/>
              </w:rPr>
            </w:pPr>
          </w:p>
        </w:tc>
        <w:tc>
          <w:tcPr>
            <w:tcW w:w="60" w:type="dxa"/>
            <w:vAlign w:val="bottom"/>
            <w:tcBorders>
              <w:top w:val="single" w:sz="8" w:color="F0FFFF"/>
            </w:tcBorders>
            <w:shd w:val="clear" w:color="auto" w:fill="F0FFFF"/>
          </w:tcPr>
          <w:p>
            <w:pPr>
              <w:spacing w:after="0"/>
              <w:rPr>
                <w:sz w:val="21"/>
                <w:szCs w:val="21"/>
                <w:color w:val="auto"/>
              </w:rPr>
            </w:pPr>
          </w:p>
        </w:tc>
        <w:tc>
          <w:tcPr>
            <w:tcW w:w="220" w:type="dxa"/>
            <w:vAlign w:val="bottom"/>
            <w:tcBorders>
              <w:top w:val="single" w:sz="8" w:color="auto"/>
            </w:tcBorders>
            <w:shd w:val="clear" w:color="auto" w:fill="F0FFFF"/>
          </w:tcPr>
          <w:p>
            <w:pPr>
              <w:spacing w:after="0"/>
              <w:rPr>
                <w:sz w:val="21"/>
                <w:szCs w:val="21"/>
                <w:color w:val="auto"/>
              </w:rPr>
            </w:pPr>
          </w:p>
        </w:tc>
        <w:tc>
          <w:tcPr>
            <w:tcW w:w="1260" w:type="dxa"/>
            <w:vAlign w:val="bottom"/>
            <w:tcBorders>
              <w:top w:val="single" w:sz="8" w:color="auto"/>
            </w:tcBorders>
            <w:shd w:val="clear" w:color="auto" w:fill="F0FFFF"/>
          </w:tcPr>
          <w:p>
            <w:pPr>
              <w:spacing w:after="0"/>
              <w:rPr>
                <w:sz w:val="21"/>
                <w:szCs w:val="21"/>
                <w:color w:val="auto"/>
              </w:rPr>
            </w:pPr>
          </w:p>
        </w:tc>
        <w:tc>
          <w:tcPr>
            <w:tcW w:w="100" w:type="dxa"/>
            <w:vAlign w:val="bottom"/>
            <w:tcBorders>
              <w:top w:val="single" w:sz="8" w:color="F0FFFF"/>
            </w:tcBorders>
            <w:shd w:val="clear" w:color="auto" w:fill="F0FFFF"/>
          </w:tcPr>
          <w:p>
            <w:pPr>
              <w:spacing w:after="0"/>
              <w:rPr>
                <w:sz w:val="21"/>
                <w:szCs w:val="21"/>
                <w:color w:val="auto"/>
              </w:rPr>
            </w:pPr>
          </w:p>
        </w:tc>
        <w:tc>
          <w:tcPr>
            <w:tcW w:w="100" w:type="dxa"/>
            <w:vAlign w:val="bottom"/>
            <w:tcBorders>
              <w:top w:val="single" w:sz="8" w:color="auto"/>
            </w:tcBorders>
            <w:shd w:val="clear" w:color="auto" w:fill="F0FFFF"/>
          </w:tcPr>
          <w:p>
            <w:pPr>
              <w:spacing w:after="0"/>
              <w:rPr>
                <w:sz w:val="21"/>
                <w:szCs w:val="21"/>
                <w:color w:val="auto"/>
              </w:rPr>
            </w:pPr>
          </w:p>
        </w:tc>
        <w:tc>
          <w:tcPr>
            <w:tcW w:w="1380" w:type="dxa"/>
            <w:vAlign w:val="bottom"/>
            <w:tcBorders>
              <w:top w:val="single" w:sz="8" w:color="auto"/>
            </w:tcBorders>
            <w:shd w:val="clear" w:color="auto" w:fill="F0FFFF"/>
          </w:tcPr>
          <w:p>
            <w:pPr>
              <w:spacing w:after="0"/>
              <w:rPr>
                <w:sz w:val="21"/>
                <w:szCs w:val="21"/>
                <w:color w:val="auto"/>
              </w:rPr>
            </w:pPr>
          </w:p>
        </w:tc>
        <w:tc>
          <w:tcPr>
            <w:tcW w:w="100" w:type="dxa"/>
            <w:vAlign w:val="bottom"/>
            <w:tcBorders>
              <w:top w:val="single" w:sz="8" w:color="F0FFFF"/>
            </w:tcBorders>
            <w:shd w:val="clear" w:color="auto" w:fill="F0FFFF"/>
          </w:tcPr>
          <w:p>
            <w:pPr>
              <w:spacing w:after="0"/>
              <w:rPr>
                <w:sz w:val="21"/>
                <w:szCs w:val="21"/>
                <w:color w:val="auto"/>
              </w:rPr>
            </w:pPr>
          </w:p>
        </w:tc>
        <w:tc>
          <w:tcPr>
            <w:tcW w:w="220" w:type="dxa"/>
            <w:vAlign w:val="bottom"/>
            <w:tcBorders>
              <w:top w:val="single" w:sz="8" w:color="auto"/>
            </w:tcBorders>
            <w:shd w:val="clear" w:color="auto" w:fill="F0FFFF"/>
          </w:tcPr>
          <w:p>
            <w:pPr>
              <w:spacing w:after="0"/>
              <w:rPr>
                <w:sz w:val="21"/>
                <w:szCs w:val="21"/>
                <w:color w:val="auto"/>
              </w:rPr>
            </w:pPr>
          </w:p>
        </w:tc>
        <w:tc>
          <w:tcPr>
            <w:tcW w:w="1260" w:type="dxa"/>
            <w:vAlign w:val="bottom"/>
            <w:tcBorders>
              <w:top w:val="single" w:sz="8" w:color="auto"/>
            </w:tcBorders>
            <w:shd w:val="clear" w:color="auto" w:fill="F0FFFF"/>
          </w:tcPr>
          <w:p>
            <w:pPr>
              <w:spacing w:after="0"/>
              <w:rPr>
                <w:sz w:val="21"/>
                <w:szCs w:val="21"/>
                <w:color w:val="auto"/>
              </w:rPr>
            </w:pPr>
          </w:p>
        </w:tc>
        <w:tc>
          <w:tcPr>
            <w:tcW w:w="20" w:type="dxa"/>
            <w:vAlign w:val="bottom"/>
            <w:tcBorders>
              <w:top w:val="single" w:sz="8" w:color="F0FFFF"/>
            </w:tcBorders>
            <w:shd w:val="clear" w:color="auto" w:fill="F0FFFF"/>
          </w:tcPr>
          <w:p>
            <w:pPr>
              <w:spacing w:after="0"/>
              <w:rPr>
                <w:sz w:val="21"/>
                <w:szCs w:val="21"/>
                <w:color w:val="auto"/>
              </w:rPr>
            </w:pPr>
          </w:p>
        </w:tc>
        <w:tc>
          <w:tcPr>
            <w:tcW w:w="80" w:type="dxa"/>
            <w:vAlign w:val="bottom"/>
            <w:tcBorders>
              <w:top w:val="single" w:sz="8" w:color="F0FFFF"/>
            </w:tcBorders>
            <w:shd w:val="clear" w:color="auto" w:fill="F0FFFF"/>
          </w:tcPr>
          <w:p>
            <w:pPr>
              <w:spacing w:after="0"/>
              <w:rPr>
                <w:sz w:val="21"/>
                <w:szCs w:val="21"/>
                <w:color w:val="auto"/>
              </w:rPr>
            </w:pPr>
          </w:p>
        </w:tc>
      </w:tr>
      <w:tr>
        <w:trPr>
          <w:trHeight w:val="243"/>
        </w:trPr>
        <w:tc>
          <w:tcPr>
            <w:tcW w:w="5060" w:type="dxa"/>
            <w:vAlign w:val="bottom"/>
          </w:tcPr>
          <w:p>
            <w:pPr>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5060" w:type="dxa"/>
            <w:vAlign w:val="bottom"/>
            <w:shd w:val="clear" w:color="auto" w:fill="F0FFFF"/>
          </w:tcPr>
          <w:p>
            <w:pPr>
              <w:ind w:left="380"/>
              <w:spacing w:after="0"/>
              <w:rPr>
                <w:sz w:val="20"/>
                <w:szCs w:val="20"/>
                <w:color w:val="auto"/>
              </w:rPr>
            </w:pPr>
            <w:r>
              <w:rPr>
                <w:rFonts w:ascii="Arial" w:cs="Arial" w:eastAsia="Arial" w:hAnsi="Arial"/>
                <w:sz w:val="18"/>
                <w:szCs w:val="18"/>
                <w:color w:val="auto"/>
              </w:rPr>
              <w:t>1 to 5 years</w:t>
            </w:r>
          </w:p>
        </w:tc>
        <w:tc>
          <w:tcPr>
            <w:tcW w:w="120" w:type="dxa"/>
            <w:vAlign w:val="bottom"/>
            <w:shd w:val="clear" w:color="auto" w:fill="F0FFFF"/>
          </w:tcPr>
          <w:p>
            <w:pPr>
              <w:spacing w:after="0"/>
              <w:rPr>
                <w:sz w:val="21"/>
                <w:szCs w:val="21"/>
                <w:color w:val="auto"/>
              </w:rPr>
            </w:pPr>
          </w:p>
        </w:tc>
        <w:tc>
          <w:tcPr>
            <w:tcW w:w="14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237,660</w:t>
            </w:r>
          </w:p>
        </w:tc>
        <w:tc>
          <w:tcPr>
            <w:tcW w:w="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3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239,903</w:t>
            </w:r>
          </w:p>
        </w:tc>
        <w:tc>
          <w:tcPr>
            <w:tcW w:w="100" w:type="dxa"/>
            <w:vAlign w:val="bottom"/>
            <w:shd w:val="clear" w:color="auto" w:fill="F0FFFF"/>
          </w:tcPr>
          <w:p>
            <w:pPr>
              <w:spacing w:after="0"/>
              <w:rPr>
                <w:sz w:val="21"/>
                <w:szCs w:val="21"/>
                <w:color w:val="auto"/>
              </w:rPr>
            </w:pPr>
          </w:p>
        </w:tc>
        <w:tc>
          <w:tcPr>
            <w:tcW w:w="13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2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1"/>
                <w:szCs w:val="2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5 to 10 years</w:t>
            </w:r>
          </w:p>
        </w:tc>
        <w:tc>
          <w:tcPr>
            <w:tcW w:w="120" w:type="dxa"/>
            <w:vAlign w:val="bottom"/>
          </w:tcPr>
          <w:p>
            <w:pPr>
              <w:spacing w:after="0"/>
              <w:rPr>
                <w:sz w:val="21"/>
                <w:szCs w:val="21"/>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78,367</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78,628</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50"/>
        </w:trPr>
        <w:tc>
          <w:tcPr>
            <w:tcW w:w="5060" w:type="dxa"/>
            <w:vAlign w:val="bottom"/>
            <w:tcBorders>
              <w:bottom w:val="single" w:sz="8" w:color="F0FFFF"/>
            </w:tcBorders>
            <w:shd w:val="clear" w:color="auto" w:fill="F0FFFF"/>
          </w:tcPr>
          <w:p>
            <w:pPr>
              <w:ind w:left="380"/>
              <w:spacing w:after="0"/>
              <w:rPr>
                <w:sz w:val="20"/>
                <w:szCs w:val="20"/>
                <w:color w:val="auto"/>
              </w:rPr>
            </w:pPr>
            <w:r>
              <w:rPr>
                <w:rFonts w:ascii="Arial" w:cs="Arial" w:eastAsia="Arial" w:hAnsi="Arial"/>
                <w:sz w:val="18"/>
                <w:szCs w:val="18"/>
                <w:color w:val="auto"/>
              </w:rPr>
              <w:t>More than 10 years</w:t>
            </w:r>
          </w:p>
        </w:tc>
        <w:tc>
          <w:tcPr>
            <w:tcW w:w="120" w:type="dxa"/>
            <w:vAlign w:val="bottom"/>
            <w:tcBorders>
              <w:bottom w:val="single" w:sz="8" w:color="auto"/>
            </w:tcBorders>
            <w:shd w:val="clear" w:color="auto" w:fill="F0FFFF"/>
          </w:tcPr>
          <w:p>
            <w:pPr>
              <w:spacing w:after="0"/>
              <w:rPr>
                <w:sz w:val="21"/>
                <w:szCs w:val="21"/>
                <w:color w:val="auto"/>
              </w:rPr>
            </w:pPr>
          </w:p>
        </w:tc>
        <w:tc>
          <w:tcPr>
            <w:tcW w:w="13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146,675</w:t>
            </w:r>
          </w:p>
        </w:tc>
        <w:tc>
          <w:tcPr>
            <w:tcW w:w="60" w:type="dxa"/>
            <w:vAlign w:val="bottom"/>
            <w:tcBorders>
              <w:bottom w:val="single" w:sz="8" w:color="F0FFFF"/>
            </w:tcBorders>
            <w:shd w:val="clear" w:color="auto" w:fill="F0FFFF"/>
          </w:tcPr>
          <w:p>
            <w:pPr>
              <w:spacing w:after="0"/>
              <w:rPr>
                <w:sz w:val="21"/>
                <w:szCs w:val="21"/>
                <w:color w:val="auto"/>
              </w:rPr>
            </w:pPr>
          </w:p>
        </w:tc>
        <w:tc>
          <w:tcPr>
            <w:tcW w:w="6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spacing w:after="0"/>
              <w:rPr>
                <w:sz w:val="21"/>
                <w:szCs w:val="21"/>
                <w:color w:val="auto"/>
              </w:rPr>
            </w:pPr>
          </w:p>
        </w:tc>
        <w:tc>
          <w:tcPr>
            <w:tcW w:w="12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147,801</w:t>
            </w:r>
          </w:p>
        </w:tc>
        <w:tc>
          <w:tcPr>
            <w:tcW w:w="1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spacing w:after="0"/>
              <w:rPr>
                <w:sz w:val="21"/>
                <w:szCs w:val="21"/>
                <w:color w:val="auto"/>
              </w:rPr>
            </w:pPr>
          </w:p>
        </w:tc>
        <w:tc>
          <w:tcPr>
            <w:tcW w:w="13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spacing w:after="0"/>
              <w:rPr>
                <w:sz w:val="21"/>
                <w:szCs w:val="21"/>
                <w:color w:val="auto"/>
              </w:rPr>
            </w:pPr>
          </w:p>
        </w:tc>
        <w:tc>
          <w:tcPr>
            <w:tcW w:w="12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r>
      <w:tr>
        <w:trPr>
          <w:trHeight w:val="250"/>
        </w:trPr>
        <w:tc>
          <w:tcPr>
            <w:tcW w:w="5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462,702</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466,332</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5060" w:type="dxa"/>
            <w:vAlign w:val="bottom"/>
            <w:tcBorders>
              <w:top w:val="single" w:sz="8" w:color="F0FFFF"/>
            </w:tcBorders>
            <w:shd w:val="clear" w:color="auto" w:fill="F0FFFF"/>
          </w:tcPr>
          <w:p>
            <w:pPr>
              <w:spacing w:after="0"/>
              <w:rPr>
                <w:sz w:val="21"/>
                <w:szCs w:val="21"/>
                <w:color w:val="auto"/>
              </w:rPr>
            </w:pPr>
          </w:p>
        </w:tc>
        <w:tc>
          <w:tcPr>
            <w:tcW w:w="120" w:type="dxa"/>
            <w:vAlign w:val="bottom"/>
            <w:tcBorders>
              <w:top w:val="single" w:sz="8" w:color="auto"/>
            </w:tcBorders>
            <w:shd w:val="clear" w:color="auto" w:fill="F0FFFF"/>
          </w:tcPr>
          <w:p>
            <w:pPr>
              <w:spacing w:after="0"/>
              <w:rPr>
                <w:sz w:val="21"/>
                <w:szCs w:val="21"/>
                <w:color w:val="auto"/>
              </w:rPr>
            </w:pPr>
          </w:p>
        </w:tc>
        <w:tc>
          <w:tcPr>
            <w:tcW w:w="1380" w:type="dxa"/>
            <w:vAlign w:val="bottom"/>
            <w:tcBorders>
              <w:top w:val="single" w:sz="8" w:color="auto"/>
            </w:tcBorders>
            <w:shd w:val="clear" w:color="auto" w:fill="F0FFFF"/>
          </w:tcPr>
          <w:p>
            <w:pPr>
              <w:spacing w:after="0"/>
              <w:rPr>
                <w:sz w:val="21"/>
                <w:szCs w:val="21"/>
                <w:color w:val="auto"/>
              </w:rPr>
            </w:pPr>
          </w:p>
        </w:tc>
        <w:tc>
          <w:tcPr>
            <w:tcW w:w="60" w:type="dxa"/>
            <w:vAlign w:val="bottom"/>
            <w:tcBorders>
              <w:top w:val="single" w:sz="8" w:color="F0FFFF"/>
            </w:tcBorders>
            <w:shd w:val="clear" w:color="auto" w:fill="F0FFFF"/>
          </w:tcPr>
          <w:p>
            <w:pPr>
              <w:spacing w:after="0"/>
              <w:rPr>
                <w:sz w:val="21"/>
                <w:szCs w:val="21"/>
                <w:color w:val="auto"/>
              </w:rPr>
            </w:pPr>
          </w:p>
        </w:tc>
        <w:tc>
          <w:tcPr>
            <w:tcW w:w="60" w:type="dxa"/>
            <w:vAlign w:val="bottom"/>
            <w:tcBorders>
              <w:top w:val="single" w:sz="8" w:color="F0FFFF"/>
            </w:tcBorders>
            <w:shd w:val="clear" w:color="auto" w:fill="F0FFFF"/>
          </w:tcPr>
          <w:p>
            <w:pPr>
              <w:spacing w:after="0"/>
              <w:rPr>
                <w:sz w:val="21"/>
                <w:szCs w:val="21"/>
                <w:color w:val="auto"/>
              </w:rPr>
            </w:pPr>
          </w:p>
        </w:tc>
        <w:tc>
          <w:tcPr>
            <w:tcW w:w="220" w:type="dxa"/>
            <w:vAlign w:val="bottom"/>
            <w:tcBorders>
              <w:top w:val="single" w:sz="8" w:color="auto"/>
            </w:tcBorders>
            <w:shd w:val="clear" w:color="auto" w:fill="F0FFFF"/>
          </w:tcPr>
          <w:p>
            <w:pPr>
              <w:spacing w:after="0"/>
              <w:rPr>
                <w:sz w:val="21"/>
                <w:szCs w:val="21"/>
                <w:color w:val="auto"/>
              </w:rPr>
            </w:pPr>
          </w:p>
        </w:tc>
        <w:tc>
          <w:tcPr>
            <w:tcW w:w="1260" w:type="dxa"/>
            <w:vAlign w:val="bottom"/>
            <w:tcBorders>
              <w:top w:val="single" w:sz="8" w:color="auto"/>
            </w:tcBorders>
            <w:shd w:val="clear" w:color="auto" w:fill="F0FFFF"/>
          </w:tcPr>
          <w:p>
            <w:pPr>
              <w:spacing w:after="0"/>
              <w:rPr>
                <w:sz w:val="21"/>
                <w:szCs w:val="21"/>
                <w:color w:val="auto"/>
              </w:rPr>
            </w:pPr>
          </w:p>
        </w:tc>
        <w:tc>
          <w:tcPr>
            <w:tcW w:w="100" w:type="dxa"/>
            <w:vAlign w:val="bottom"/>
            <w:tcBorders>
              <w:top w:val="single" w:sz="8" w:color="F0FFFF"/>
            </w:tcBorders>
            <w:shd w:val="clear" w:color="auto" w:fill="F0FFFF"/>
          </w:tcPr>
          <w:p>
            <w:pPr>
              <w:spacing w:after="0"/>
              <w:rPr>
                <w:sz w:val="21"/>
                <w:szCs w:val="21"/>
                <w:color w:val="auto"/>
              </w:rPr>
            </w:pPr>
          </w:p>
        </w:tc>
        <w:tc>
          <w:tcPr>
            <w:tcW w:w="100" w:type="dxa"/>
            <w:vAlign w:val="bottom"/>
            <w:tcBorders>
              <w:top w:val="single" w:sz="8" w:color="auto"/>
            </w:tcBorders>
            <w:shd w:val="clear" w:color="auto" w:fill="F0FFFF"/>
          </w:tcPr>
          <w:p>
            <w:pPr>
              <w:spacing w:after="0"/>
              <w:rPr>
                <w:sz w:val="21"/>
                <w:szCs w:val="21"/>
                <w:color w:val="auto"/>
              </w:rPr>
            </w:pPr>
          </w:p>
        </w:tc>
        <w:tc>
          <w:tcPr>
            <w:tcW w:w="1380" w:type="dxa"/>
            <w:vAlign w:val="bottom"/>
            <w:tcBorders>
              <w:top w:val="single" w:sz="8" w:color="auto"/>
            </w:tcBorders>
            <w:shd w:val="clear" w:color="auto" w:fill="F0FFFF"/>
          </w:tcPr>
          <w:p>
            <w:pPr>
              <w:spacing w:after="0"/>
              <w:rPr>
                <w:sz w:val="21"/>
                <w:szCs w:val="21"/>
                <w:color w:val="auto"/>
              </w:rPr>
            </w:pPr>
          </w:p>
        </w:tc>
        <w:tc>
          <w:tcPr>
            <w:tcW w:w="100" w:type="dxa"/>
            <w:vAlign w:val="bottom"/>
            <w:tcBorders>
              <w:top w:val="single" w:sz="8" w:color="F0FFFF"/>
            </w:tcBorders>
            <w:shd w:val="clear" w:color="auto" w:fill="F0FFFF"/>
          </w:tcPr>
          <w:p>
            <w:pPr>
              <w:spacing w:after="0"/>
              <w:rPr>
                <w:sz w:val="21"/>
                <w:szCs w:val="21"/>
                <w:color w:val="auto"/>
              </w:rPr>
            </w:pPr>
          </w:p>
        </w:tc>
        <w:tc>
          <w:tcPr>
            <w:tcW w:w="220" w:type="dxa"/>
            <w:vAlign w:val="bottom"/>
            <w:tcBorders>
              <w:top w:val="single" w:sz="8" w:color="auto"/>
            </w:tcBorders>
            <w:shd w:val="clear" w:color="auto" w:fill="F0FFFF"/>
          </w:tcPr>
          <w:p>
            <w:pPr>
              <w:spacing w:after="0"/>
              <w:rPr>
                <w:sz w:val="21"/>
                <w:szCs w:val="21"/>
                <w:color w:val="auto"/>
              </w:rPr>
            </w:pPr>
          </w:p>
        </w:tc>
        <w:tc>
          <w:tcPr>
            <w:tcW w:w="1260" w:type="dxa"/>
            <w:vAlign w:val="bottom"/>
            <w:tcBorders>
              <w:top w:val="single" w:sz="8" w:color="auto"/>
            </w:tcBorders>
            <w:shd w:val="clear" w:color="auto" w:fill="F0FFFF"/>
          </w:tcPr>
          <w:p>
            <w:pPr>
              <w:spacing w:after="0"/>
              <w:rPr>
                <w:sz w:val="21"/>
                <w:szCs w:val="21"/>
                <w:color w:val="auto"/>
              </w:rPr>
            </w:pPr>
          </w:p>
        </w:tc>
        <w:tc>
          <w:tcPr>
            <w:tcW w:w="20" w:type="dxa"/>
            <w:vAlign w:val="bottom"/>
            <w:tcBorders>
              <w:top w:val="single" w:sz="8" w:color="F0FFFF"/>
            </w:tcBorders>
            <w:shd w:val="clear" w:color="auto" w:fill="F0FFFF"/>
          </w:tcPr>
          <w:p>
            <w:pPr>
              <w:spacing w:after="0"/>
              <w:rPr>
                <w:sz w:val="21"/>
                <w:szCs w:val="21"/>
                <w:color w:val="auto"/>
              </w:rPr>
            </w:pPr>
          </w:p>
        </w:tc>
        <w:tc>
          <w:tcPr>
            <w:tcW w:w="80" w:type="dxa"/>
            <w:vAlign w:val="bottom"/>
            <w:tcBorders>
              <w:top w:val="single" w:sz="8" w:color="F0FFFF"/>
            </w:tcBorders>
            <w:shd w:val="clear" w:color="auto" w:fill="F0FFFF"/>
          </w:tcPr>
          <w:p>
            <w:pPr>
              <w:spacing w:after="0"/>
              <w:rPr>
                <w:sz w:val="21"/>
                <w:szCs w:val="21"/>
                <w:color w:val="auto"/>
              </w:rPr>
            </w:pPr>
          </w:p>
        </w:tc>
      </w:tr>
      <w:tr>
        <w:trPr>
          <w:trHeight w:val="243"/>
        </w:trPr>
        <w:tc>
          <w:tcPr>
            <w:tcW w:w="506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5060" w:type="dxa"/>
            <w:vAlign w:val="bottom"/>
            <w:tcBorders>
              <w:bottom w:val="single" w:sz="8" w:color="F0FFFF"/>
            </w:tcBorders>
            <w:shd w:val="clear" w:color="auto" w:fill="F0FFFF"/>
          </w:tcPr>
          <w:p>
            <w:pPr>
              <w:ind w:left="380"/>
              <w:spacing w:after="0"/>
              <w:rPr>
                <w:sz w:val="20"/>
                <w:szCs w:val="20"/>
                <w:color w:val="auto"/>
              </w:rPr>
            </w:pPr>
            <w:r>
              <w:rPr>
                <w:rFonts w:ascii="Arial" w:cs="Arial" w:eastAsia="Arial" w:hAnsi="Arial"/>
                <w:sz w:val="18"/>
                <w:szCs w:val="18"/>
                <w:color w:val="auto"/>
              </w:rPr>
              <w:t>More than 10 years</w:t>
            </w:r>
          </w:p>
        </w:tc>
        <w:tc>
          <w:tcPr>
            <w:tcW w:w="120" w:type="dxa"/>
            <w:vAlign w:val="bottom"/>
            <w:tcBorders>
              <w:bottom w:val="single" w:sz="8" w:color="auto"/>
            </w:tcBorders>
            <w:shd w:val="clear" w:color="auto" w:fill="F0FFFF"/>
          </w:tcPr>
          <w:p>
            <w:pPr>
              <w:spacing w:after="0"/>
              <w:rPr>
                <w:sz w:val="21"/>
                <w:szCs w:val="21"/>
                <w:color w:val="auto"/>
              </w:rPr>
            </w:pPr>
          </w:p>
        </w:tc>
        <w:tc>
          <w:tcPr>
            <w:tcW w:w="13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1,871</w:t>
            </w:r>
          </w:p>
        </w:tc>
        <w:tc>
          <w:tcPr>
            <w:tcW w:w="60" w:type="dxa"/>
            <w:vAlign w:val="bottom"/>
            <w:tcBorders>
              <w:bottom w:val="single" w:sz="8" w:color="F0FFFF"/>
            </w:tcBorders>
            <w:shd w:val="clear" w:color="auto" w:fill="F0FFFF"/>
          </w:tcPr>
          <w:p>
            <w:pPr>
              <w:spacing w:after="0"/>
              <w:rPr>
                <w:sz w:val="21"/>
                <w:szCs w:val="21"/>
                <w:color w:val="auto"/>
              </w:rPr>
            </w:pPr>
          </w:p>
        </w:tc>
        <w:tc>
          <w:tcPr>
            <w:tcW w:w="6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spacing w:after="0"/>
              <w:rPr>
                <w:sz w:val="21"/>
                <w:szCs w:val="21"/>
                <w:color w:val="auto"/>
              </w:rPr>
            </w:pPr>
          </w:p>
        </w:tc>
        <w:tc>
          <w:tcPr>
            <w:tcW w:w="12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spacing w:after="0"/>
              <w:rPr>
                <w:sz w:val="21"/>
                <w:szCs w:val="21"/>
                <w:color w:val="auto"/>
              </w:rPr>
            </w:pPr>
          </w:p>
        </w:tc>
        <w:tc>
          <w:tcPr>
            <w:tcW w:w="13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spacing w:after="0"/>
              <w:rPr>
                <w:sz w:val="21"/>
                <w:szCs w:val="21"/>
                <w:color w:val="auto"/>
              </w:rPr>
            </w:pPr>
          </w:p>
        </w:tc>
        <w:tc>
          <w:tcPr>
            <w:tcW w:w="12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r>
      <w:tr>
        <w:trPr>
          <w:trHeight w:val="250"/>
        </w:trPr>
        <w:tc>
          <w:tcPr>
            <w:tcW w:w="5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1,871</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5060" w:type="dxa"/>
            <w:vAlign w:val="bottom"/>
            <w:tcBorders>
              <w:top w:val="single" w:sz="8" w:color="F0FFFF"/>
            </w:tcBorders>
            <w:shd w:val="clear" w:color="auto" w:fill="F0FFFF"/>
          </w:tcPr>
          <w:p>
            <w:pPr>
              <w:spacing w:after="0"/>
              <w:rPr>
                <w:sz w:val="21"/>
                <w:szCs w:val="21"/>
                <w:color w:val="auto"/>
              </w:rPr>
            </w:pPr>
          </w:p>
        </w:tc>
        <w:tc>
          <w:tcPr>
            <w:tcW w:w="120" w:type="dxa"/>
            <w:vAlign w:val="bottom"/>
            <w:tcBorders>
              <w:top w:val="single" w:sz="8" w:color="auto"/>
            </w:tcBorders>
            <w:shd w:val="clear" w:color="auto" w:fill="F0FFFF"/>
          </w:tcPr>
          <w:p>
            <w:pPr>
              <w:spacing w:after="0"/>
              <w:rPr>
                <w:sz w:val="21"/>
                <w:szCs w:val="21"/>
                <w:color w:val="auto"/>
              </w:rPr>
            </w:pPr>
          </w:p>
        </w:tc>
        <w:tc>
          <w:tcPr>
            <w:tcW w:w="1380" w:type="dxa"/>
            <w:vAlign w:val="bottom"/>
            <w:tcBorders>
              <w:top w:val="single" w:sz="8" w:color="auto"/>
            </w:tcBorders>
            <w:shd w:val="clear" w:color="auto" w:fill="F0FFFF"/>
          </w:tcPr>
          <w:p>
            <w:pPr>
              <w:spacing w:after="0"/>
              <w:rPr>
                <w:sz w:val="21"/>
                <w:szCs w:val="21"/>
                <w:color w:val="auto"/>
              </w:rPr>
            </w:pPr>
          </w:p>
        </w:tc>
        <w:tc>
          <w:tcPr>
            <w:tcW w:w="60" w:type="dxa"/>
            <w:vAlign w:val="bottom"/>
            <w:tcBorders>
              <w:top w:val="single" w:sz="8" w:color="F0FFFF"/>
            </w:tcBorders>
            <w:shd w:val="clear" w:color="auto" w:fill="F0FFFF"/>
          </w:tcPr>
          <w:p>
            <w:pPr>
              <w:spacing w:after="0"/>
              <w:rPr>
                <w:sz w:val="21"/>
                <w:szCs w:val="21"/>
                <w:color w:val="auto"/>
              </w:rPr>
            </w:pPr>
          </w:p>
        </w:tc>
        <w:tc>
          <w:tcPr>
            <w:tcW w:w="60" w:type="dxa"/>
            <w:vAlign w:val="bottom"/>
            <w:tcBorders>
              <w:top w:val="single" w:sz="8" w:color="F0FFFF"/>
            </w:tcBorders>
            <w:shd w:val="clear" w:color="auto" w:fill="F0FFFF"/>
          </w:tcPr>
          <w:p>
            <w:pPr>
              <w:spacing w:after="0"/>
              <w:rPr>
                <w:sz w:val="21"/>
                <w:szCs w:val="21"/>
                <w:color w:val="auto"/>
              </w:rPr>
            </w:pPr>
          </w:p>
        </w:tc>
        <w:tc>
          <w:tcPr>
            <w:tcW w:w="220" w:type="dxa"/>
            <w:vAlign w:val="bottom"/>
            <w:tcBorders>
              <w:top w:val="single" w:sz="8" w:color="auto"/>
            </w:tcBorders>
            <w:shd w:val="clear" w:color="auto" w:fill="F0FFFF"/>
          </w:tcPr>
          <w:p>
            <w:pPr>
              <w:spacing w:after="0"/>
              <w:rPr>
                <w:sz w:val="21"/>
                <w:szCs w:val="21"/>
                <w:color w:val="auto"/>
              </w:rPr>
            </w:pPr>
          </w:p>
        </w:tc>
        <w:tc>
          <w:tcPr>
            <w:tcW w:w="1260" w:type="dxa"/>
            <w:vAlign w:val="bottom"/>
            <w:tcBorders>
              <w:top w:val="single" w:sz="8" w:color="auto"/>
            </w:tcBorders>
            <w:shd w:val="clear" w:color="auto" w:fill="F0FFFF"/>
          </w:tcPr>
          <w:p>
            <w:pPr>
              <w:spacing w:after="0"/>
              <w:rPr>
                <w:sz w:val="21"/>
                <w:szCs w:val="21"/>
                <w:color w:val="auto"/>
              </w:rPr>
            </w:pPr>
          </w:p>
        </w:tc>
        <w:tc>
          <w:tcPr>
            <w:tcW w:w="100" w:type="dxa"/>
            <w:vAlign w:val="bottom"/>
            <w:tcBorders>
              <w:top w:val="single" w:sz="8" w:color="F0FFFF"/>
            </w:tcBorders>
            <w:shd w:val="clear" w:color="auto" w:fill="F0FFFF"/>
          </w:tcPr>
          <w:p>
            <w:pPr>
              <w:spacing w:after="0"/>
              <w:rPr>
                <w:sz w:val="21"/>
                <w:szCs w:val="21"/>
                <w:color w:val="auto"/>
              </w:rPr>
            </w:pPr>
          </w:p>
        </w:tc>
        <w:tc>
          <w:tcPr>
            <w:tcW w:w="100" w:type="dxa"/>
            <w:vAlign w:val="bottom"/>
            <w:tcBorders>
              <w:top w:val="single" w:sz="8" w:color="auto"/>
            </w:tcBorders>
            <w:shd w:val="clear" w:color="auto" w:fill="F0FFFF"/>
          </w:tcPr>
          <w:p>
            <w:pPr>
              <w:spacing w:after="0"/>
              <w:rPr>
                <w:sz w:val="21"/>
                <w:szCs w:val="21"/>
                <w:color w:val="auto"/>
              </w:rPr>
            </w:pPr>
          </w:p>
        </w:tc>
        <w:tc>
          <w:tcPr>
            <w:tcW w:w="1380" w:type="dxa"/>
            <w:vAlign w:val="bottom"/>
            <w:tcBorders>
              <w:top w:val="single" w:sz="8" w:color="auto"/>
            </w:tcBorders>
            <w:shd w:val="clear" w:color="auto" w:fill="F0FFFF"/>
          </w:tcPr>
          <w:p>
            <w:pPr>
              <w:spacing w:after="0"/>
              <w:rPr>
                <w:sz w:val="21"/>
                <w:szCs w:val="21"/>
                <w:color w:val="auto"/>
              </w:rPr>
            </w:pPr>
          </w:p>
        </w:tc>
        <w:tc>
          <w:tcPr>
            <w:tcW w:w="100" w:type="dxa"/>
            <w:vAlign w:val="bottom"/>
            <w:tcBorders>
              <w:top w:val="single" w:sz="8" w:color="F0FFFF"/>
            </w:tcBorders>
            <w:shd w:val="clear" w:color="auto" w:fill="F0FFFF"/>
          </w:tcPr>
          <w:p>
            <w:pPr>
              <w:spacing w:after="0"/>
              <w:rPr>
                <w:sz w:val="21"/>
                <w:szCs w:val="21"/>
                <w:color w:val="auto"/>
              </w:rPr>
            </w:pPr>
          </w:p>
        </w:tc>
        <w:tc>
          <w:tcPr>
            <w:tcW w:w="220" w:type="dxa"/>
            <w:vAlign w:val="bottom"/>
            <w:tcBorders>
              <w:top w:val="single" w:sz="8" w:color="auto"/>
            </w:tcBorders>
            <w:shd w:val="clear" w:color="auto" w:fill="F0FFFF"/>
          </w:tcPr>
          <w:p>
            <w:pPr>
              <w:spacing w:after="0"/>
              <w:rPr>
                <w:sz w:val="21"/>
                <w:szCs w:val="21"/>
                <w:color w:val="auto"/>
              </w:rPr>
            </w:pPr>
          </w:p>
        </w:tc>
        <w:tc>
          <w:tcPr>
            <w:tcW w:w="1260" w:type="dxa"/>
            <w:vAlign w:val="bottom"/>
            <w:tcBorders>
              <w:top w:val="single" w:sz="8" w:color="auto"/>
            </w:tcBorders>
            <w:shd w:val="clear" w:color="auto" w:fill="F0FFFF"/>
          </w:tcPr>
          <w:p>
            <w:pPr>
              <w:spacing w:after="0"/>
              <w:rPr>
                <w:sz w:val="21"/>
                <w:szCs w:val="21"/>
                <w:color w:val="auto"/>
              </w:rPr>
            </w:pPr>
          </w:p>
        </w:tc>
        <w:tc>
          <w:tcPr>
            <w:tcW w:w="20" w:type="dxa"/>
            <w:vAlign w:val="bottom"/>
            <w:tcBorders>
              <w:top w:val="single" w:sz="8" w:color="F0FFFF"/>
            </w:tcBorders>
            <w:shd w:val="clear" w:color="auto" w:fill="F0FFFF"/>
          </w:tcPr>
          <w:p>
            <w:pPr>
              <w:spacing w:after="0"/>
              <w:rPr>
                <w:sz w:val="21"/>
                <w:szCs w:val="21"/>
                <w:color w:val="auto"/>
              </w:rPr>
            </w:pPr>
          </w:p>
        </w:tc>
        <w:tc>
          <w:tcPr>
            <w:tcW w:w="80" w:type="dxa"/>
            <w:vAlign w:val="bottom"/>
            <w:tcBorders>
              <w:top w:val="single" w:sz="8" w:color="F0FFFF"/>
            </w:tcBorders>
            <w:shd w:val="clear" w:color="auto" w:fill="F0FFFF"/>
          </w:tcPr>
          <w:p>
            <w:pPr>
              <w:spacing w:after="0"/>
              <w:rPr>
                <w:sz w:val="21"/>
                <w:szCs w:val="21"/>
                <w:color w:val="auto"/>
              </w:rPr>
            </w:pPr>
          </w:p>
        </w:tc>
      </w:tr>
      <w:tr>
        <w:trPr>
          <w:trHeight w:val="243"/>
        </w:trPr>
        <w:tc>
          <w:tcPr>
            <w:tcW w:w="5060" w:type="dxa"/>
            <w:vAlign w:val="bottom"/>
          </w:tcPr>
          <w:p>
            <w:pPr>
              <w:spacing w:after="0"/>
              <w:rPr>
                <w:sz w:val="20"/>
                <w:szCs w:val="20"/>
                <w:color w:val="auto"/>
              </w:rPr>
            </w:pPr>
            <w:r>
              <w:rPr>
                <w:rFonts w:ascii="Arial" w:cs="Arial" w:eastAsia="Arial" w:hAnsi="Arial"/>
                <w:sz w:val="18"/>
                <w:szCs w:val="18"/>
                <w:color w:val="auto"/>
              </w:rPr>
              <w:t>Total securities other than mortgage-backed securities: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5060" w:type="dxa"/>
            <w:vAlign w:val="bottom"/>
            <w:shd w:val="clear" w:color="auto" w:fill="F0FFFF"/>
          </w:tcPr>
          <w:p>
            <w:pPr>
              <w:ind w:left="380"/>
              <w:spacing w:after="0"/>
              <w:rPr>
                <w:sz w:val="20"/>
                <w:szCs w:val="20"/>
                <w:color w:val="auto"/>
              </w:rPr>
            </w:pPr>
            <w:r>
              <w:rPr>
                <w:rFonts w:ascii="Arial" w:cs="Arial" w:eastAsia="Arial" w:hAnsi="Arial"/>
                <w:sz w:val="18"/>
                <w:szCs w:val="18"/>
                <w:color w:val="auto"/>
              </w:rPr>
              <w:t>Within 1 year</w:t>
            </w:r>
          </w:p>
        </w:tc>
        <w:tc>
          <w:tcPr>
            <w:tcW w:w="120" w:type="dxa"/>
            <w:vAlign w:val="bottom"/>
            <w:shd w:val="clear" w:color="auto" w:fill="F0FFFF"/>
          </w:tcPr>
          <w:p>
            <w:pPr>
              <w:spacing w:after="0"/>
              <w:rPr>
                <w:sz w:val="21"/>
                <w:szCs w:val="21"/>
                <w:color w:val="auto"/>
              </w:rPr>
            </w:pPr>
          </w:p>
        </w:tc>
        <w:tc>
          <w:tcPr>
            <w:tcW w:w="14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4,487</w:t>
            </w:r>
          </w:p>
        </w:tc>
        <w:tc>
          <w:tcPr>
            <w:tcW w:w="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3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4,563</w:t>
            </w:r>
          </w:p>
        </w:tc>
        <w:tc>
          <w:tcPr>
            <w:tcW w:w="100" w:type="dxa"/>
            <w:vAlign w:val="bottom"/>
            <w:shd w:val="clear" w:color="auto" w:fill="F0FFFF"/>
          </w:tcPr>
          <w:p>
            <w:pPr>
              <w:spacing w:after="0"/>
              <w:rPr>
                <w:sz w:val="21"/>
                <w:szCs w:val="21"/>
                <w:color w:val="auto"/>
              </w:rPr>
            </w:pPr>
          </w:p>
        </w:tc>
        <w:tc>
          <w:tcPr>
            <w:tcW w:w="13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1,006</w:t>
            </w:r>
          </w:p>
        </w:tc>
        <w:tc>
          <w:tcPr>
            <w:tcW w:w="10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2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1,036</w:t>
            </w:r>
          </w:p>
        </w:tc>
        <w:tc>
          <w:tcPr>
            <w:tcW w:w="80" w:type="dxa"/>
            <w:vAlign w:val="bottom"/>
            <w:shd w:val="clear" w:color="auto" w:fill="F0FFFF"/>
          </w:tcPr>
          <w:p>
            <w:pPr>
              <w:spacing w:after="0"/>
              <w:rPr>
                <w:sz w:val="21"/>
                <w:szCs w:val="2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1 to 5 years</w:t>
            </w:r>
          </w:p>
        </w:tc>
        <w:tc>
          <w:tcPr>
            <w:tcW w:w="120" w:type="dxa"/>
            <w:vAlign w:val="bottom"/>
          </w:tcPr>
          <w:p>
            <w:pPr>
              <w:spacing w:after="0"/>
              <w:rPr>
                <w:sz w:val="21"/>
                <w:szCs w:val="21"/>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414,118</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417,218</w:t>
            </w:r>
          </w:p>
        </w:tc>
        <w:tc>
          <w:tcPr>
            <w:tcW w:w="10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17,670</w:t>
            </w:r>
          </w:p>
        </w:tc>
        <w:tc>
          <w:tcPr>
            <w:tcW w:w="22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18,756</w:t>
            </w:r>
          </w:p>
        </w:tc>
        <w:tc>
          <w:tcPr>
            <w:tcW w:w="80" w:type="dxa"/>
            <w:vAlign w:val="bottom"/>
          </w:tcPr>
          <w:p>
            <w:pPr>
              <w:spacing w:after="0"/>
              <w:rPr>
                <w:sz w:val="21"/>
                <w:szCs w:val="21"/>
                <w:color w:val="auto"/>
              </w:rPr>
            </w:pPr>
          </w:p>
        </w:tc>
      </w:tr>
      <w:tr>
        <w:trPr>
          <w:trHeight w:val="243"/>
        </w:trPr>
        <w:tc>
          <w:tcPr>
            <w:tcW w:w="5060" w:type="dxa"/>
            <w:vAlign w:val="bottom"/>
            <w:shd w:val="clear" w:color="auto" w:fill="F0FFFF"/>
          </w:tcPr>
          <w:p>
            <w:pPr>
              <w:ind w:left="380"/>
              <w:spacing w:after="0"/>
              <w:rPr>
                <w:sz w:val="20"/>
                <w:szCs w:val="20"/>
                <w:color w:val="auto"/>
              </w:rPr>
            </w:pPr>
            <w:r>
              <w:rPr>
                <w:rFonts w:ascii="Arial" w:cs="Arial" w:eastAsia="Arial" w:hAnsi="Arial"/>
                <w:sz w:val="18"/>
                <w:szCs w:val="18"/>
                <w:color w:val="auto"/>
              </w:rPr>
              <w:t>5 to 10 years</w:t>
            </w:r>
          </w:p>
        </w:tc>
        <w:tc>
          <w:tcPr>
            <w:tcW w:w="120" w:type="dxa"/>
            <w:vAlign w:val="bottom"/>
            <w:shd w:val="clear" w:color="auto" w:fill="F0FFFF"/>
          </w:tcPr>
          <w:p>
            <w:pPr>
              <w:spacing w:after="0"/>
              <w:rPr>
                <w:sz w:val="21"/>
                <w:szCs w:val="21"/>
                <w:color w:val="auto"/>
              </w:rPr>
            </w:pPr>
          </w:p>
        </w:tc>
        <w:tc>
          <w:tcPr>
            <w:tcW w:w="14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337,249</w:t>
            </w:r>
          </w:p>
        </w:tc>
        <w:tc>
          <w:tcPr>
            <w:tcW w:w="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3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337,046</w:t>
            </w:r>
          </w:p>
        </w:tc>
        <w:tc>
          <w:tcPr>
            <w:tcW w:w="100" w:type="dxa"/>
            <w:vAlign w:val="bottom"/>
            <w:shd w:val="clear" w:color="auto" w:fill="F0FFFF"/>
          </w:tcPr>
          <w:p>
            <w:pPr>
              <w:spacing w:after="0"/>
              <w:rPr>
                <w:sz w:val="21"/>
                <w:szCs w:val="21"/>
                <w:color w:val="auto"/>
              </w:rPr>
            </w:pPr>
          </w:p>
        </w:tc>
        <w:tc>
          <w:tcPr>
            <w:tcW w:w="14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22,140</w:t>
            </w:r>
          </w:p>
        </w:tc>
        <w:tc>
          <w:tcPr>
            <w:tcW w:w="220" w:type="dxa"/>
            <w:vAlign w:val="bottom"/>
            <w:shd w:val="clear" w:color="auto" w:fill="F0FFFF"/>
          </w:tcPr>
          <w:p>
            <w:pPr>
              <w:spacing w:after="0"/>
              <w:rPr>
                <w:sz w:val="21"/>
                <w:szCs w:val="21"/>
                <w:color w:val="auto"/>
              </w:rPr>
            </w:pPr>
          </w:p>
        </w:tc>
        <w:tc>
          <w:tcPr>
            <w:tcW w:w="12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23,673</w:t>
            </w:r>
          </w:p>
        </w:tc>
        <w:tc>
          <w:tcPr>
            <w:tcW w:w="80" w:type="dxa"/>
            <w:vAlign w:val="bottom"/>
            <w:shd w:val="clear" w:color="auto" w:fill="F0FFFF"/>
          </w:tcPr>
          <w:p>
            <w:pPr>
              <w:spacing w:after="0"/>
              <w:rPr>
                <w:sz w:val="21"/>
                <w:szCs w:val="2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More than 10 years</w:t>
            </w:r>
          </w:p>
        </w:tc>
        <w:tc>
          <w:tcPr>
            <w:tcW w:w="120" w:type="dxa"/>
            <w:vAlign w:val="bottom"/>
          </w:tcPr>
          <w:p>
            <w:pPr>
              <w:spacing w:after="0"/>
              <w:rPr>
                <w:sz w:val="21"/>
                <w:szCs w:val="21"/>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185,994</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185,376</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6,754</w:t>
            </w:r>
          </w:p>
        </w:tc>
        <w:tc>
          <w:tcPr>
            <w:tcW w:w="80" w:type="dxa"/>
            <w:vAlign w:val="bottom"/>
          </w:tcPr>
          <w:p>
            <w:pPr>
              <w:spacing w:after="0"/>
              <w:rPr>
                <w:sz w:val="21"/>
                <w:szCs w:val="21"/>
                <w:color w:val="auto"/>
              </w:rPr>
            </w:pPr>
          </w:p>
        </w:tc>
      </w:tr>
      <w:tr>
        <w:trPr>
          <w:trHeight w:val="243"/>
        </w:trPr>
        <w:tc>
          <w:tcPr>
            <w:tcW w:w="506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380" w:type="dxa"/>
            <w:vAlign w:val="bottom"/>
            <w:shd w:val="clear" w:color="auto" w:fill="F0FFFF"/>
          </w:tcPr>
          <w:p>
            <w:pPr>
              <w:spacing w:after="0"/>
              <w:rPr>
                <w:sz w:val="21"/>
                <w:szCs w:val="21"/>
                <w:color w:val="auto"/>
              </w:rPr>
            </w:pPr>
          </w:p>
        </w:tc>
        <w:tc>
          <w:tcPr>
            <w:tcW w:w="60" w:type="dxa"/>
            <w:vAlign w:val="bottom"/>
            <w:shd w:val="clear" w:color="auto" w:fill="F0FFFF"/>
          </w:tcPr>
          <w:p>
            <w:pPr>
              <w:spacing w:after="0"/>
              <w:rPr>
                <w:sz w:val="21"/>
                <w:szCs w:val="21"/>
                <w:color w:val="auto"/>
              </w:rPr>
            </w:pPr>
          </w:p>
        </w:tc>
        <w:tc>
          <w:tcPr>
            <w:tcW w:w="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2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38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260" w:type="dxa"/>
            <w:vAlign w:val="bottom"/>
            <w:shd w:val="clear" w:color="auto" w:fill="F0FFFF"/>
          </w:tcPr>
          <w:p>
            <w:pPr>
              <w:spacing w:after="0"/>
              <w:rPr>
                <w:sz w:val="21"/>
                <w:szCs w:val="21"/>
                <w:color w:val="auto"/>
              </w:rPr>
            </w:pPr>
          </w:p>
        </w:tc>
        <w:tc>
          <w:tcPr>
            <w:tcW w:w="2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r>
      <w:tr>
        <w:trPr>
          <w:trHeight w:val="250"/>
        </w:trPr>
        <w:tc>
          <w:tcPr>
            <w:tcW w:w="50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21"/>
                <w:szCs w:val="21"/>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989,636</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998,116</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332,641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337,847</w:t>
            </w:r>
          </w:p>
        </w:tc>
        <w:tc>
          <w:tcPr>
            <w:tcW w:w="80" w:type="dxa"/>
            <w:vAlign w:val="bottom"/>
          </w:tcPr>
          <w:p>
            <w:pPr>
              <w:spacing w:after="0"/>
              <w:rPr>
                <w:sz w:val="21"/>
                <w:szCs w:val="21"/>
                <w:color w:val="auto"/>
              </w:rPr>
            </w:pPr>
          </w:p>
        </w:tc>
      </w:tr>
      <w:tr>
        <w:trPr>
          <w:trHeight w:val="243"/>
        </w:trPr>
        <w:tc>
          <w:tcPr>
            <w:tcW w:w="5060" w:type="dxa"/>
            <w:vAlign w:val="bottom"/>
            <w:tcBorders>
              <w:top w:val="single" w:sz="8" w:color="F0FFFF"/>
            </w:tcBorders>
            <w:shd w:val="clear" w:color="auto" w:fill="F0FFFF"/>
          </w:tcPr>
          <w:p>
            <w:pPr>
              <w:spacing w:after="0"/>
              <w:rPr>
                <w:sz w:val="21"/>
                <w:szCs w:val="21"/>
                <w:color w:val="auto"/>
              </w:rPr>
            </w:pPr>
          </w:p>
        </w:tc>
        <w:tc>
          <w:tcPr>
            <w:tcW w:w="120" w:type="dxa"/>
            <w:vAlign w:val="bottom"/>
            <w:tcBorders>
              <w:top w:val="single" w:sz="8" w:color="auto"/>
            </w:tcBorders>
            <w:shd w:val="clear" w:color="auto" w:fill="F0FFFF"/>
          </w:tcPr>
          <w:p>
            <w:pPr>
              <w:spacing w:after="0"/>
              <w:rPr>
                <w:sz w:val="21"/>
                <w:szCs w:val="21"/>
                <w:color w:val="auto"/>
              </w:rPr>
            </w:pPr>
          </w:p>
        </w:tc>
        <w:tc>
          <w:tcPr>
            <w:tcW w:w="1380" w:type="dxa"/>
            <w:vAlign w:val="bottom"/>
            <w:tcBorders>
              <w:top w:val="single" w:sz="8" w:color="auto"/>
            </w:tcBorders>
            <w:shd w:val="clear" w:color="auto" w:fill="F0FFFF"/>
          </w:tcPr>
          <w:p>
            <w:pPr>
              <w:spacing w:after="0"/>
              <w:rPr>
                <w:sz w:val="21"/>
                <w:szCs w:val="21"/>
                <w:color w:val="auto"/>
              </w:rPr>
            </w:pPr>
          </w:p>
        </w:tc>
        <w:tc>
          <w:tcPr>
            <w:tcW w:w="60" w:type="dxa"/>
            <w:vAlign w:val="bottom"/>
            <w:tcBorders>
              <w:top w:val="single" w:sz="8" w:color="F0FFFF"/>
            </w:tcBorders>
            <w:shd w:val="clear" w:color="auto" w:fill="F0FFFF"/>
          </w:tcPr>
          <w:p>
            <w:pPr>
              <w:spacing w:after="0"/>
              <w:rPr>
                <w:sz w:val="21"/>
                <w:szCs w:val="21"/>
                <w:color w:val="auto"/>
              </w:rPr>
            </w:pPr>
          </w:p>
        </w:tc>
        <w:tc>
          <w:tcPr>
            <w:tcW w:w="60" w:type="dxa"/>
            <w:vAlign w:val="bottom"/>
            <w:tcBorders>
              <w:top w:val="single" w:sz="8" w:color="F0FFFF"/>
            </w:tcBorders>
            <w:shd w:val="clear" w:color="auto" w:fill="F0FFFF"/>
          </w:tcPr>
          <w:p>
            <w:pPr>
              <w:spacing w:after="0"/>
              <w:rPr>
                <w:sz w:val="21"/>
                <w:szCs w:val="21"/>
                <w:color w:val="auto"/>
              </w:rPr>
            </w:pPr>
          </w:p>
        </w:tc>
        <w:tc>
          <w:tcPr>
            <w:tcW w:w="220" w:type="dxa"/>
            <w:vAlign w:val="bottom"/>
            <w:tcBorders>
              <w:top w:val="single" w:sz="8" w:color="auto"/>
            </w:tcBorders>
            <w:shd w:val="clear" w:color="auto" w:fill="F0FFFF"/>
          </w:tcPr>
          <w:p>
            <w:pPr>
              <w:spacing w:after="0"/>
              <w:rPr>
                <w:sz w:val="21"/>
                <w:szCs w:val="21"/>
                <w:color w:val="auto"/>
              </w:rPr>
            </w:pPr>
          </w:p>
        </w:tc>
        <w:tc>
          <w:tcPr>
            <w:tcW w:w="1260" w:type="dxa"/>
            <w:vAlign w:val="bottom"/>
            <w:tcBorders>
              <w:top w:val="single" w:sz="8" w:color="auto"/>
            </w:tcBorders>
            <w:shd w:val="clear" w:color="auto" w:fill="F0FFFF"/>
          </w:tcPr>
          <w:p>
            <w:pPr>
              <w:spacing w:after="0"/>
              <w:rPr>
                <w:sz w:val="21"/>
                <w:szCs w:val="21"/>
                <w:color w:val="auto"/>
              </w:rPr>
            </w:pPr>
          </w:p>
        </w:tc>
        <w:tc>
          <w:tcPr>
            <w:tcW w:w="100" w:type="dxa"/>
            <w:vAlign w:val="bottom"/>
            <w:tcBorders>
              <w:top w:val="single" w:sz="8" w:color="F0FFFF"/>
            </w:tcBorders>
            <w:shd w:val="clear" w:color="auto" w:fill="F0FFFF"/>
          </w:tcPr>
          <w:p>
            <w:pPr>
              <w:spacing w:after="0"/>
              <w:rPr>
                <w:sz w:val="21"/>
                <w:szCs w:val="21"/>
                <w:color w:val="auto"/>
              </w:rPr>
            </w:pPr>
          </w:p>
        </w:tc>
        <w:tc>
          <w:tcPr>
            <w:tcW w:w="100" w:type="dxa"/>
            <w:vAlign w:val="bottom"/>
            <w:tcBorders>
              <w:top w:val="single" w:sz="8" w:color="auto"/>
            </w:tcBorders>
            <w:shd w:val="clear" w:color="auto" w:fill="F0FFFF"/>
          </w:tcPr>
          <w:p>
            <w:pPr>
              <w:spacing w:after="0"/>
              <w:rPr>
                <w:sz w:val="21"/>
                <w:szCs w:val="21"/>
                <w:color w:val="auto"/>
              </w:rPr>
            </w:pPr>
          </w:p>
        </w:tc>
        <w:tc>
          <w:tcPr>
            <w:tcW w:w="1380" w:type="dxa"/>
            <w:vAlign w:val="bottom"/>
            <w:tcBorders>
              <w:top w:val="single" w:sz="8" w:color="auto"/>
            </w:tcBorders>
            <w:shd w:val="clear" w:color="auto" w:fill="F0FFFF"/>
          </w:tcPr>
          <w:p>
            <w:pPr>
              <w:spacing w:after="0"/>
              <w:rPr>
                <w:sz w:val="21"/>
                <w:szCs w:val="21"/>
                <w:color w:val="auto"/>
              </w:rPr>
            </w:pPr>
          </w:p>
        </w:tc>
        <w:tc>
          <w:tcPr>
            <w:tcW w:w="100" w:type="dxa"/>
            <w:vAlign w:val="bottom"/>
            <w:tcBorders>
              <w:top w:val="single" w:sz="8" w:color="F0FFFF"/>
            </w:tcBorders>
            <w:shd w:val="clear" w:color="auto" w:fill="F0FFFF"/>
          </w:tcPr>
          <w:p>
            <w:pPr>
              <w:spacing w:after="0"/>
              <w:rPr>
                <w:sz w:val="21"/>
                <w:szCs w:val="21"/>
                <w:color w:val="auto"/>
              </w:rPr>
            </w:pPr>
          </w:p>
        </w:tc>
        <w:tc>
          <w:tcPr>
            <w:tcW w:w="220" w:type="dxa"/>
            <w:vAlign w:val="bottom"/>
            <w:tcBorders>
              <w:top w:val="single" w:sz="8" w:color="auto"/>
            </w:tcBorders>
            <w:shd w:val="clear" w:color="auto" w:fill="F0FFFF"/>
          </w:tcPr>
          <w:p>
            <w:pPr>
              <w:spacing w:after="0"/>
              <w:rPr>
                <w:sz w:val="21"/>
                <w:szCs w:val="21"/>
                <w:color w:val="auto"/>
              </w:rPr>
            </w:pPr>
          </w:p>
        </w:tc>
        <w:tc>
          <w:tcPr>
            <w:tcW w:w="1260" w:type="dxa"/>
            <w:vAlign w:val="bottom"/>
            <w:tcBorders>
              <w:top w:val="single" w:sz="8" w:color="auto"/>
            </w:tcBorders>
            <w:shd w:val="clear" w:color="auto" w:fill="F0FFFF"/>
          </w:tcPr>
          <w:p>
            <w:pPr>
              <w:spacing w:after="0"/>
              <w:rPr>
                <w:sz w:val="21"/>
                <w:szCs w:val="21"/>
                <w:color w:val="auto"/>
              </w:rPr>
            </w:pPr>
          </w:p>
        </w:tc>
        <w:tc>
          <w:tcPr>
            <w:tcW w:w="20" w:type="dxa"/>
            <w:vAlign w:val="bottom"/>
            <w:tcBorders>
              <w:top w:val="single" w:sz="8" w:color="F0FFFF"/>
            </w:tcBorders>
            <w:shd w:val="clear" w:color="auto" w:fill="F0FFFF"/>
          </w:tcPr>
          <w:p>
            <w:pPr>
              <w:spacing w:after="0"/>
              <w:rPr>
                <w:sz w:val="21"/>
                <w:szCs w:val="21"/>
                <w:color w:val="auto"/>
              </w:rPr>
            </w:pPr>
          </w:p>
        </w:tc>
        <w:tc>
          <w:tcPr>
            <w:tcW w:w="80" w:type="dxa"/>
            <w:vAlign w:val="bottom"/>
            <w:tcBorders>
              <w:top w:val="single" w:sz="8" w:color="F0FFFF"/>
            </w:tcBorders>
            <w:shd w:val="clear" w:color="auto" w:fill="F0FFFF"/>
          </w:tcPr>
          <w:p>
            <w:pPr>
              <w:spacing w:after="0"/>
              <w:rPr>
                <w:sz w:val="21"/>
                <w:szCs w:val="21"/>
                <w:color w:val="auto"/>
              </w:rPr>
            </w:pPr>
          </w:p>
        </w:tc>
      </w:tr>
      <w:tr>
        <w:trPr>
          <w:trHeight w:val="216"/>
        </w:trPr>
        <w:tc>
          <w:tcPr>
            <w:tcW w:w="50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1,931,484</w:t>
            </w:r>
          </w:p>
        </w:tc>
        <w:tc>
          <w:tcPr>
            <w:tcW w:w="6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1,942,319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379,757</w:t>
            </w:r>
          </w:p>
        </w:tc>
        <w:tc>
          <w:tcPr>
            <w:tcW w:w="10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388,066</w:t>
            </w:r>
          </w:p>
        </w:tc>
        <w:tc>
          <w:tcPr>
            <w:tcW w:w="80" w:type="dxa"/>
            <w:vAlign w:val="bottom"/>
          </w:tcPr>
          <w:p>
            <w:pPr>
              <w:spacing w:after="0"/>
              <w:rPr>
                <w:sz w:val="18"/>
                <w:szCs w:val="18"/>
                <w:color w:val="auto"/>
              </w:rPr>
            </w:pPr>
          </w:p>
        </w:tc>
      </w:tr>
      <w:tr>
        <w:trPr>
          <w:trHeight w:val="21"/>
        </w:trPr>
        <w:tc>
          <w:tcPr>
            <w:tcW w:w="5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Expected maturities may differ from contractual maturities because issuers and borrowers may have the right to call or prepay obligations with or without call or prepayment penalties.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Loans and Allowance for Credit Losses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Major classifications of loans as of June 30, 2015, December 31, 2014 and June 30, 2014,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2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99"/>
              </w:rPr>
              <w:t>June 30,</w:t>
            </w:r>
          </w:p>
        </w:tc>
        <w:tc>
          <w:tcPr>
            <w:tcW w:w="300" w:type="dxa"/>
            <w:vAlign w:val="bottom"/>
          </w:tcPr>
          <w:p>
            <w:pPr>
              <w:spacing w:after="0"/>
              <w:rPr>
                <w:sz w:val="18"/>
                <w:szCs w:val="18"/>
                <w:color w:val="auto"/>
              </w:rPr>
            </w:pPr>
          </w:p>
        </w:tc>
        <w:tc>
          <w:tcPr>
            <w:tcW w:w="18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w w:val="93"/>
              </w:rPr>
              <w:t>December 31,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00" w:type="dxa"/>
            <w:vAlign w:val="bottom"/>
            <w:tcBorders>
              <w:bottom w:val="single" w:sz="8" w:color="F0FFFF"/>
            </w:tcBorders>
          </w:tcPr>
          <w:p>
            <w:pPr>
              <w:spacing w:after="0"/>
              <w:rPr>
                <w:sz w:val="20"/>
                <w:szCs w:val="20"/>
                <w:color w:val="auto"/>
              </w:rPr>
            </w:pPr>
          </w:p>
        </w:tc>
        <w:tc>
          <w:tcPr>
            <w:tcW w:w="1140" w:type="dxa"/>
            <w:vAlign w:val="bottom"/>
            <w:tcBorders>
              <w:bottom w:val="single" w:sz="8" w:color="F0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bottom w:val="single" w:sz="8" w:color="F0FFFF"/>
            </w:tcBorders>
          </w:tcPr>
          <w:p>
            <w:pPr>
              <w:spacing w:after="0"/>
              <w:rPr>
                <w:sz w:val="20"/>
                <w:szCs w:val="20"/>
                <w:color w:val="auto"/>
              </w:rPr>
            </w:pPr>
          </w:p>
        </w:tc>
        <w:tc>
          <w:tcPr>
            <w:tcW w:w="300" w:type="dxa"/>
            <w:vAlign w:val="bottom"/>
            <w:tcBorders>
              <w:bottom w:val="single" w:sz="8" w:color="F0FF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600" w:type="dxa"/>
            <w:vAlign w:val="bottom"/>
            <w:tcBorders>
              <w:bottom w:val="single" w:sz="8" w:color="F0FFFF"/>
            </w:tcBorders>
          </w:tcPr>
          <w:p>
            <w:pPr>
              <w:spacing w:after="0"/>
              <w:rPr>
                <w:sz w:val="20"/>
                <w:szCs w:val="20"/>
                <w:color w:val="auto"/>
              </w:rPr>
            </w:pPr>
          </w:p>
        </w:tc>
        <w:tc>
          <w:tcPr>
            <w:tcW w:w="20" w:type="dxa"/>
            <w:vAlign w:val="bottom"/>
            <w:tcBorders>
              <w:bottom w:val="single" w:sz="8" w:color="F0FF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114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1,265,783</w:t>
            </w:r>
          </w:p>
        </w:tc>
        <w:tc>
          <w:tcPr>
            <w:tcW w:w="34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9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1,163,480</w:t>
            </w:r>
          </w:p>
        </w:tc>
        <w:tc>
          <w:tcPr>
            <w:tcW w:w="6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jc w:val="right"/>
              <w:ind w:right="5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1,163,327</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Income producing commercial real estate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688,768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598,537</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598,318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11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792,791</w:t>
            </w:r>
          </w:p>
        </w:tc>
        <w:tc>
          <w:tcPr>
            <w:tcW w:w="34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710,256</w:t>
            </w:r>
          </w:p>
        </w:tc>
        <w:tc>
          <w:tcPr>
            <w:tcW w:w="6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554,089</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Commercial construction</w:t>
            </w:r>
          </w:p>
        </w:tc>
        <w:tc>
          <w:tcPr>
            <w:tcW w:w="1140" w:type="dxa"/>
            <w:vAlign w:val="bottom"/>
            <w:tcBorders>
              <w:bottom w:val="single" w:sz="8" w:color="F0FF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237,820</w:t>
            </w:r>
          </w:p>
        </w:tc>
        <w:tc>
          <w:tcPr>
            <w:tcW w:w="340" w:type="dxa"/>
            <w:vAlign w:val="bottom"/>
            <w:tcBorders>
              <w:bottom w:val="single" w:sz="8" w:color="F0FFFF"/>
            </w:tcBorders>
          </w:tcPr>
          <w:p>
            <w:pPr>
              <w:spacing w:after="0"/>
              <w:rPr>
                <w:sz w:val="19"/>
                <w:szCs w:val="19"/>
                <w:color w:val="auto"/>
              </w:rPr>
            </w:pPr>
          </w:p>
        </w:tc>
        <w:tc>
          <w:tcPr>
            <w:tcW w:w="300" w:type="dxa"/>
            <w:vAlign w:val="bottom"/>
            <w:tcBorders>
              <w:bottom w:val="single" w:sz="8" w:color="F0FF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196,030</w:t>
            </w:r>
          </w:p>
        </w:tc>
        <w:tc>
          <w:tcPr>
            <w:tcW w:w="600" w:type="dxa"/>
            <w:vAlign w:val="bottom"/>
            <w:tcBorders>
              <w:bottom w:val="single" w:sz="8" w:color="F0FFFF"/>
            </w:tcBorders>
          </w:tcPr>
          <w:p>
            <w:pPr>
              <w:spacing w:after="0"/>
              <w:rPr>
                <w:sz w:val="19"/>
                <w:szCs w:val="19"/>
                <w:color w:val="auto"/>
              </w:rPr>
            </w:pPr>
          </w:p>
        </w:tc>
        <w:tc>
          <w:tcPr>
            <w:tcW w:w="20" w:type="dxa"/>
            <w:vAlign w:val="bottom"/>
            <w:tcBorders>
              <w:bottom w:val="single" w:sz="8" w:color="F0FF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159,755</w:t>
            </w:r>
          </w:p>
        </w:tc>
        <w:tc>
          <w:tcPr>
            <w:tcW w:w="100" w:type="dxa"/>
            <w:vAlign w:val="bottom"/>
            <w:tcBorders>
              <w:bottom w:val="single" w:sz="8" w:color="F0FF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ind w:left="200"/>
              <w:spacing w:after="0"/>
              <w:rPr>
                <w:sz w:val="20"/>
                <w:szCs w:val="20"/>
                <w:color w:val="auto"/>
              </w:rPr>
            </w:pPr>
            <w:r>
              <w:rPr>
                <w:rFonts w:ascii="Arial" w:cs="Arial" w:eastAsia="Arial" w:hAnsi="Arial"/>
                <w:sz w:val="18"/>
                <w:szCs w:val="18"/>
                <w:color w:val="auto"/>
              </w:rPr>
              <w:t>Total commercial</w:t>
            </w:r>
          </w:p>
        </w:tc>
        <w:tc>
          <w:tcPr>
            <w:tcW w:w="11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2,985,162</w:t>
            </w:r>
          </w:p>
        </w:tc>
        <w:tc>
          <w:tcPr>
            <w:tcW w:w="34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2,668,303</w:t>
            </w:r>
          </w:p>
        </w:tc>
        <w:tc>
          <w:tcPr>
            <w:tcW w:w="6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2,475,489</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Residential mortgage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935,646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865,789</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860,525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11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490,753</w:t>
            </w:r>
          </w:p>
        </w:tc>
        <w:tc>
          <w:tcPr>
            <w:tcW w:w="34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465,872</w:t>
            </w:r>
          </w:p>
        </w:tc>
        <w:tc>
          <w:tcPr>
            <w:tcW w:w="6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451,435</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298,920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298,627</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301,737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11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105,931</w:t>
            </w:r>
          </w:p>
        </w:tc>
        <w:tc>
          <w:tcPr>
            <w:tcW w:w="34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104,899</w:t>
            </w:r>
          </w:p>
        </w:tc>
        <w:tc>
          <w:tcPr>
            <w:tcW w:w="6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105,160</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Indirect auto</w:t>
            </w:r>
          </w:p>
        </w:tc>
        <w:tc>
          <w:tcPr>
            <w:tcW w:w="1140" w:type="dxa"/>
            <w:vAlign w:val="bottom"/>
            <w:tcBorders>
              <w:bottom w:val="single" w:sz="8" w:color="F0FF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357,105</w:t>
            </w:r>
          </w:p>
        </w:tc>
        <w:tc>
          <w:tcPr>
            <w:tcW w:w="340" w:type="dxa"/>
            <w:vAlign w:val="bottom"/>
            <w:tcBorders>
              <w:bottom w:val="single" w:sz="8" w:color="F0FFFF"/>
            </w:tcBorders>
          </w:tcPr>
          <w:p>
            <w:pPr>
              <w:spacing w:after="0"/>
              <w:rPr>
                <w:sz w:val="19"/>
                <w:szCs w:val="19"/>
                <w:color w:val="auto"/>
              </w:rPr>
            </w:pPr>
          </w:p>
        </w:tc>
        <w:tc>
          <w:tcPr>
            <w:tcW w:w="300" w:type="dxa"/>
            <w:vAlign w:val="bottom"/>
            <w:tcBorders>
              <w:bottom w:val="single" w:sz="8" w:color="F0FF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268,629</w:t>
            </w:r>
          </w:p>
        </w:tc>
        <w:tc>
          <w:tcPr>
            <w:tcW w:w="600" w:type="dxa"/>
            <w:vAlign w:val="bottom"/>
            <w:tcBorders>
              <w:bottom w:val="single" w:sz="8" w:color="F0FFFF"/>
            </w:tcBorders>
          </w:tcPr>
          <w:p>
            <w:pPr>
              <w:spacing w:after="0"/>
              <w:rPr>
                <w:sz w:val="19"/>
                <w:szCs w:val="19"/>
                <w:color w:val="auto"/>
              </w:rPr>
            </w:pPr>
          </w:p>
        </w:tc>
        <w:tc>
          <w:tcPr>
            <w:tcW w:w="20" w:type="dxa"/>
            <w:vAlign w:val="bottom"/>
            <w:tcBorders>
              <w:bottom w:val="single" w:sz="8" w:color="F0FF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215,939</w:t>
            </w:r>
          </w:p>
        </w:tc>
        <w:tc>
          <w:tcPr>
            <w:tcW w:w="100" w:type="dxa"/>
            <w:vAlign w:val="bottom"/>
            <w:tcBorders>
              <w:bottom w:val="single" w:sz="8" w:color="F0FF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20"/>
              <w:spacing w:after="0"/>
              <w:rPr>
                <w:sz w:val="20"/>
                <w:szCs w:val="20"/>
                <w:color w:val="auto"/>
              </w:rPr>
            </w:pPr>
            <w:r>
              <w:rPr>
                <w:rFonts w:ascii="Arial" w:cs="Arial" w:eastAsia="Arial" w:hAnsi="Arial"/>
                <w:sz w:val="18"/>
                <w:szCs w:val="18"/>
                <w:color w:val="auto"/>
              </w:rPr>
              <w:t>Total loans</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5,173,517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4,672,119</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4,410,285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(70,129)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(71,619)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(73,248)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top w:val="single" w:sz="8" w:color="F0FFFF"/>
            </w:tcBorders>
            <w:shd w:val="clear" w:color="auto" w:fill="F0FFFF"/>
          </w:tcPr>
          <w:p>
            <w:pPr>
              <w:spacing w:after="0"/>
              <w:rPr>
                <w:sz w:val="18"/>
                <w:szCs w:val="18"/>
                <w:color w:val="auto"/>
              </w:rPr>
            </w:pPr>
          </w:p>
        </w:tc>
        <w:tc>
          <w:tcPr>
            <w:tcW w:w="114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34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60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ind w:left="120"/>
              <w:spacing w:after="0"/>
              <w:rPr>
                <w:sz w:val="20"/>
                <w:szCs w:val="20"/>
                <w:color w:val="auto"/>
              </w:rPr>
            </w:pPr>
            <w:r>
              <w:rPr>
                <w:rFonts w:ascii="Arial" w:cs="Arial" w:eastAsia="Arial" w:hAnsi="Arial"/>
                <w:sz w:val="18"/>
                <w:szCs w:val="18"/>
                <w:color w:val="auto"/>
              </w:rPr>
              <w:t>Loans, net</w:t>
            </w:r>
          </w:p>
        </w:tc>
        <w:tc>
          <w:tcPr>
            <w:tcW w:w="1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5,103,388</w:t>
            </w:r>
          </w:p>
        </w:tc>
        <w:tc>
          <w:tcPr>
            <w:tcW w:w="340" w:type="dxa"/>
            <w:vAlign w:val="bottom"/>
          </w:tcPr>
          <w:p>
            <w:pPr>
              <w:spacing w:after="0"/>
              <w:rPr>
                <w:sz w:val="19"/>
                <w:szCs w:val="19"/>
                <w:color w:val="auto"/>
              </w:rPr>
            </w:pPr>
          </w:p>
        </w:tc>
        <w:tc>
          <w:tcPr>
            <w:tcW w:w="560" w:type="dxa"/>
            <w:vAlign w:val="bottom"/>
            <w:gridSpan w:val="2"/>
          </w:tcPr>
          <w:p>
            <w:pPr>
              <w:jc w:val="right"/>
              <w:ind w:right="9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4,600,500</w:t>
            </w:r>
          </w:p>
        </w:tc>
        <w:tc>
          <w:tcPr>
            <w:tcW w:w="600" w:type="dxa"/>
            <w:vAlign w:val="bottom"/>
          </w:tcPr>
          <w:p>
            <w:pPr>
              <w:spacing w:after="0"/>
              <w:rPr>
                <w:sz w:val="19"/>
                <w:szCs w:val="19"/>
                <w:color w:val="auto"/>
              </w:rPr>
            </w:pP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4,337,037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2015, December 31, 2014 and June 30, 2014, loans totaling $2.42 billion, $2.35 billion and $2.09 billion, respectively, were pledged as collateral to secure FHLB advances and other contingent funding sources.</w:t>
      </w:r>
    </w:p>
    <w:p>
      <w:pPr>
        <w:spacing w:after="0" w:line="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At June 30, 2015, the carrying value and unpaid principal balance of purchased credit impaired loans accounted for under ASC 310-30 was $10.1 million and $13.6 million, respectively. The following table presents changes in the value of the accretable yield for acquired loans accounted for under ASC Topic 310-30 for the three and six months ended June 30, 2015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Three Months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Six Months</w:t>
            </w:r>
          </w:p>
        </w:tc>
      </w:tr>
      <w:tr>
        <w:trPr>
          <w:trHeight w:val="216"/>
        </w:trPr>
        <w:tc>
          <w:tcPr>
            <w:tcW w:w="46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Ended</w:t>
            </w:r>
          </w:p>
        </w:tc>
      </w:tr>
      <w:tr>
        <w:trPr>
          <w:trHeight w:val="241"/>
        </w:trPr>
        <w:tc>
          <w:tcPr>
            <w:tcW w:w="4660" w:type="dxa"/>
            <w:vAlign w:val="bottom"/>
            <w:tcBorders>
              <w:bottom w:val="single" w:sz="8" w:color="F0FFFF"/>
            </w:tcBorders>
          </w:tcPr>
          <w:p>
            <w:pPr>
              <w:spacing w:after="0"/>
              <w:rPr>
                <w:sz w:val="20"/>
                <w:szCs w:val="20"/>
                <w:color w:val="auto"/>
              </w:rPr>
            </w:pPr>
          </w:p>
        </w:tc>
        <w:tc>
          <w:tcPr>
            <w:tcW w:w="244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0"/>
              </w:rPr>
              <w:t>June 30, 2015</w:t>
            </w:r>
          </w:p>
        </w:tc>
        <w:tc>
          <w:tcPr>
            <w:tcW w:w="30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0"/>
              </w:rPr>
              <w:t>June 30, 2015</w:t>
            </w:r>
          </w:p>
        </w:tc>
      </w:tr>
      <w:tr>
        <w:trPr>
          <w:trHeight w:val="216"/>
        </w:trPr>
        <w:tc>
          <w:tcPr>
            <w:tcW w:w="4660" w:type="dxa"/>
            <w:vAlign w:val="bottom"/>
            <w:shd w:val="clear" w:color="auto" w:fill="F0FFFF"/>
          </w:tcPr>
          <w:p>
            <w:pPr>
              <w:spacing w:after="0"/>
              <w:rPr>
                <w:sz w:val="20"/>
                <w:szCs w:val="20"/>
                <w:color w:val="auto"/>
              </w:rPr>
            </w:pPr>
            <w:r>
              <w:rPr>
                <w:rFonts w:ascii="Arial" w:cs="Arial" w:eastAsia="Arial" w:hAnsi="Arial"/>
                <w:sz w:val="18"/>
                <w:szCs w:val="18"/>
                <w:color w:val="auto"/>
              </w:rPr>
              <w:t>Balance at beginning of period</w:t>
            </w:r>
          </w:p>
        </w:tc>
        <w:tc>
          <w:tcPr>
            <w:tcW w:w="24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660" w:type="dxa"/>
            <w:vAlign w:val="bottom"/>
            <w:shd w:val="clear" w:color="auto" w:fill="F0FFFF"/>
          </w:tcPr>
          <w:p>
            <w:pPr>
              <w:spacing w:after="0"/>
              <w:rPr>
                <w:sz w:val="20"/>
                <w:szCs w:val="20"/>
                <w:color w:val="auto"/>
              </w:rPr>
            </w:pPr>
            <w:r>
              <w:rPr>
                <w:rFonts w:ascii="Arial" w:cs="Arial" w:eastAsia="Arial" w:hAnsi="Arial"/>
                <w:sz w:val="18"/>
                <w:szCs w:val="18"/>
                <w:color w:val="auto"/>
              </w:rPr>
              <w:t>Additions due to acquisitions</w:t>
            </w:r>
          </w:p>
        </w:tc>
        <w:tc>
          <w:tcPr>
            <w:tcW w:w="24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1,029</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F0FFFF"/>
          </w:tcPr>
          <w:p>
            <w:pPr>
              <w:spacing w:after="0"/>
              <w:rPr>
                <w:sz w:val="18"/>
                <w:szCs w:val="18"/>
                <w:color w:val="auto"/>
              </w:rPr>
            </w:pPr>
          </w:p>
        </w:tc>
      </w:tr>
      <w:tr>
        <w:trPr>
          <w:trHeight w:val="237"/>
        </w:trPr>
        <w:tc>
          <w:tcPr>
            <w:tcW w:w="4660" w:type="dxa"/>
            <w:vAlign w:val="bottom"/>
          </w:tcPr>
          <w:p>
            <w:pPr>
              <w:spacing w:after="0"/>
              <w:rPr>
                <w:sz w:val="20"/>
                <w:szCs w:val="20"/>
                <w:color w:val="auto"/>
              </w:rPr>
            </w:pPr>
            <w:r>
              <w:rPr>
                <w:rFonts w:ascii="Arial" w:cs="Arial" w:eastAsia="Arial" w:hAnsi="Arial"/>
                <w:sz w:val="18"/>
                <w:szCs w:val="18"/>
                <w:color w:val="auto"/>
              </w:rPr>
              <w:t>Accretion</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r>
      <w:tr>
        <w:trPr>
          <w:trHeight w:val="241"/>
        </w:trPr>
        <w:tc>
          <w:tcPr>
            <w:tcW w:w="466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Balance at end of period</w:t>
            </w:r>
          </w:p>
        </w:tc>
        <w:tc>
          <w:tcPr>
            <w:tcW w:w="244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30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r>
      <w:tr>
        <w:trPr>
          <w:trHeight w:val="20"/>
        </w:trPr>
        <w:tc>
          <w:tcPr>
            <w:tcW w:w="4660" w:type="dxa"/>
            <w:vAlign w:val="bottom"/>
            <w:tcBorders>
              <w:top w:val="single" w:sz="8" w:color="F0FFFF"/>
            </w:tcBorders>
          </w:tcPr>
          <w:p>
            <w:pPr>
              <w:spacing w:after="0" w:line="20" w:lineRule="exact"/>
              <w:rPr>
                <w:sz w:val="1"/>
                <w:szCs w:val="1"/>
                <w:color w:val="auto"/>
              </w:rPr>
            </w:pPr>
          </w:p>
        </w:tc>
        <w:tc>
          <w:tcPr>
            <w:tcW w:w="24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2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2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accretable yield on loans accounted for under ASC Topic 310-30, the fair value adjustments on purchased loans outside the scope of ASC Topic 310-30 are also accreted to interest income over the life of the loans. At June 30, 2015, the remaining accretable fair value mark on loans not accounted for under ASC Topic 310-30 was $2.60 million.</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allowance for loan losses represents management’s estimate of probable incurred losses in the loan portfolio as of the end of the period. The allowance for unfunded commitments is included in other liabilities in the consolidated balance sheet. Combined, the allowance for loan losses and allowance for unfunded commitments are referred to as the allowance for credit losses.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 presents the balance and activity in the allowance for credit losses by portfolio segment for the three and six months ended June 30, 2015 and 2014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97"/>
              <w:spacing w:after="0"/>
              <w:rPr>
                <w:sz w:val="20"/>
                <w:szCs w:val="20"/>
                <w:color w:val="auto"/>
              </w:rPr>
            </w:pPr>
            <w:r>
              <w:rPr>
                <w:rFonts w:ascii="Arial" w:cs="Arial" w:eastAsia="Arial" w:hAnsi="Arial"/>
                <w:sz w:val="13"/>
                <w:szCs w:val="13"/>
                <w:b w:val="1"/>
                <w:bCs w:val="1"/>
                <w:color w:val="auto"/>
                <w:w w:val="89"/>
              </w:rPr>
              <w:t>2015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4"/>
          </w:tcPr>
          <w:p>
            <w:pPr>
              <w:jc w:val="right"/>
              <w:spacing w:after="0"/>
              <w:rPr>
                <w:sz w:val="20"/>
                <w:szCs w:val="20"/>
                <w:color w:val="auto"/>
              </w:rPr>
            </w:pPr>
            <w:r>
              <w:rPr>
                <w:rFonts w:ascii="Arial" w:cs="Arial" w:eastAsia="Arial" w:hAnsi="Arial"/>
                <w:sz w:val="13"/>
                <w:szCs w:val="13"/>
                <w:b w:val="1"/>
                <w:bCs w:val="1"/>
                <w:color w:val="auto"/>
              </w:rPr>
              <w:t>2014</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0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4"/>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4"/>
          </w:tcPr>
          <w:p>
            <w:pPr>
              <w:jc w:val="center"/>
              <w:ind w:right="120"/>
              <w:spacing w:after="0" w:line="117" w:lineRule="exact"/>
              <w:rPr>
                <w:sz w:val="20"/>
                <w:szCs w:val="20"/>
                <w:color w:val="auto"/>
              </w:rPr>
            </w:pPr>
            <w:r>
              <w:rPr>
                <w:rFonts w:ascii="Arial" w:cs="Arial" w:eastAsia="Arial" w:hAnsi="Arial"/>
                <w:sz w:val="13"/>
                <w:szCs w:val="13"/>
                <w:b w:val="1"/>
                <w:bCs w:val="1"/>
                <w:color w:val="auto"/>
                <w:w w:val="85"/>
              </w:rPr>
              <w:t>Allocation</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Beginning</w:t>
            </w:r>
          </w:p>
        </w:tc>
        <w:tc>
          <w:tcPr>
            <w:tcW w:w="80" w:type="dxa"/>
            <w:vAlign w:val="bottom"/>
          </w:tcPr>
          <w:p>
            <w:pPr>
              <w:spacing w:after="0"/>
              <w:rPr>
                <w:sz w:val="11"/>
                <w:szCs w:val="11"/>
                <w:color w:val="auto"/>
              </w:rPr>
            </w:pPr>
          </w:p>
        </w:tc>
        <w:tc>
          <w:tcPr>
            <w:tcW w:w="520" w:type="dxa"/>
            <w:vAlign w:val="bottom"/>
            <w:gridSpan w:val="4"/>
          </w:tcPr>
          <w:p>
            <w:pPr>
              <w:jc w:val="right"/>
              <w:ind w:right="80"/>
              <w:spacing w:after="0" w:line="135" w:lineRule="exact"/>
              <w:rPr>
                <w:sz w:val="20"/>
                <w:szCs w:val="20"/>
                <w:color w:val="auto"/>
              </w:rPr>
            </w:pPr>
            <w:r>
              <w:rPr>
                <w:rFonts w:ascii="Arial" w:cs="Arial" w:eastAsia="Arial" w:hAnsi="Arial"/>
                <w:sz w:val="13"/>
                <w:szCs w:val="13"/>
                <w:b w:val="1"/>
                <w:bCs w:val="1"/>
                <w:color w:val="auto"/>
                <w:w w:val="85"/>
              </w:rPr>
              <w:t>Charge-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Ending</w:t>
            </w: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4"/>
              </w:rPr>
              <w:t>Beginning</w:t>
            </w:r>
          </w:p>
        </w:tc>
        <w:tc>
          <w:tcPr>
            <w:tcW w:w="60" w:type="dxa"/>
            <w:vAlign w:val="bottom"/>
          </w:tcPr>
          <w:p>
            <w:pPr>
              <w:spacing w:after="0"/>
              <w:rPr>
                <w:sz w:val="11"/>
                <w:szCs w:val="11"/>
                <w:color w:val="auto"/>
              </w:rPr>
            </w:pPr>
          </w:p>
        </w:tc>
        <w:tc>
          <w:tcPr>
            <w:tcW w:w="66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Charge-</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81"/>
              </w:rPr>
              <w:t>of</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Ending</w:t>
            </w:r>
          </w:p>
        </w:tc>
        <w:tc>
          <w:tcPr>
            <w:tcW w:w="0" w:type="dxa"/>
            <w:vAlign w:val="bottom"/>
          </w:tcPr>
          <w:p>
            <w:pPr>
              <w:spacing w:after="0"/>
              <w:rPr>
                <w:sz w:val="1"/>
                <w:szCs w:val="1"/>
                <w:color w:val="auto"/>
              </w:rPr>
            </w:pPr>
          </w:p>
        </w:tc>
      </w:tr>
      <w:tr>
        <w:trPr>
          <w:trHeight w:val="160"/>
        </w:trPr>
        <w:tc>
          <w:tcPr>
            <w:tcW w:w="3060" w:type="dxa"/>
            <w:vAlign w:val="bottom"/>
            <w:gridSpan w:val="2"/>
          </w:tcPr>
          <w:p>
            <w:pPr>
              <w:spacing w:after="0"/>
              <w:rPr>
                <w:sz w:val="20"/>
                <w:szCs w:val="20"/>
                <w:color w:val="auto"/>
              </w:rPr>
            </w:pPr>
            <w:r>
              <w:rPr>
                <w:rFonts w:ascii="Arial" w:cs="Arial" w:eastAsia="Arial" w:hAnsi="Arial"/>
                <w:sz w:val="13"/>
                <w:szCs w:val="13"/>
                <w:b w:val="1"/>
                <w:bCs w:val="1"/>
                <w:color w:val="auto"/>
              </w:rPr>
              <w:t>Three Months Ended June 30,</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8"/>
              </w:rPr>
              <w:t>Balance</w:t>
            </w:r>
          </w:p>
        </w:tc>
        <w:tc>
          <w:tcPr>
            <w:tcW w:w="80" w:type="dxa"/>
            <w:vAlign w:val="bottom"/>
          </w:tcPr>
          <w:p>
            <w:pPr>
              <w:spacing w:after="0"/>
              <w:rPr>
                <w:sz w:val="13"/>
                <w:szCs w:val="13"/>
                <w:color w:val="auto"/>
              </w:rPr>
            </w:pPr>
          </w:p>
        </w:tc>
        <w:tc>
          <w:tcPr>
            <w:tcW w:w="520" w:type="dxa"/>
            <w:vAlign w:val="bottom"/>
            <w:gridSpan w:val="4"/>
          </w:tcPr>
          <w:p>
            <w:pPr>
              <w:ind w:left="120"/>
              <w:spacing w:after="0"/>
              <w:rPr>
                <w:sz w:val="20"/>
                <w:szCs w:val="20"/>
                <w:color w:val="auto"/>
              </w:rPr>
            </w:pPr>
            <w:r>
              <w:rPr>
                <w:rFonts w:ascii="Arial" w:cs="Arial" w:eastAsia="Arial" w:hAnsi="Arial"/>
                <w:sz w:val="13"/>
                <w:szCs w:val="13"/>
                <w:b w:val="1"/>
                <w:bCs w:val="1"/>
                <w:color w:val="auto"/>
              </w:rPr>
              <w:t>Offs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3"/>
                <w:szCs w:val="13"/>
                <w:b w:val="1"/>
                <w:bCs w:val="1"/>
                <w:color w:val="auto"/>
                <w:w w:val="83"/>
              </w:rPr>
              <w:t>Recoveries</w:t>
            </w:r>
          </w:p>
        </w:tc>
        <w:tc>
          <w:tcPr>
            <w:tcW w:w="40" w:type="dxa"/>
            <w:vAlign w:val="bottom"/>
          </w:tcPr>
          <w:p>
            <w:pPr>
              <w:spacing w:after="0"/>
              <w:rPr>
                <w:sz w:val="13"/>
                <w:szCs w:val="13"/>
                <w:color w:val="auto"/>
              </w:rPr>
            </w:pPr>
          </w:p>
        </w:tc>
        <w:tc>
          <w:tcPr>
            <w:tcW w:w="62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w w:val="87"/>
              </w:rPr>
              <w:t>Provision</w:t>
            </w:r>
          </w:p>
        </w:tc>
        <w:tc>
          <w:tcPr>
            <w:tcW w:w="40" w:type="dxa"/>
            <w:vAlign w:val="bottom"/>
          </w:tcPr>
          <w:p>
            <w:pPr>
              <w:spacing w:after="0"/>
              <w:rPr>
                <w:sz w:val="13"/>
                <w:szCs w:val="1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b w:val="1"/>
                <w:bCs w:val="1"/>
                <w:color w:val="auto"/>
                <w:w w:val="96"/>
              </w:rPr>
              <w:t>Balance</w:t>
            </w:r>
          </w:p>
        </w:tc>
        <w:tc>
          <w:tcPr>
            <w:tcW w:w="60" w:type="dxa"/>
            <w:vAlign w:val="bottom"/>
          </w:tcPr>
          <w:p>
            <w:pPr>
              <w:spacing w:after="0"/>
              <w:rPr>
                <w:sz w:val="13"/>
                <w:szCs w:val="1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b w:val="1"/>
                <w:bCs w:val="1"/>
                <w:color w:val="auto"/>
                <w:w w:val="96"/>
              </w:rPr>
              <w:t>Balance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2"/>
              </w:rPr>
              <w:t>Offs</w:t>
            </w:r>
          </w:p>
        </w:tc>
        <w:tc>
          <w:tcPr>
            <w:tcW w:w="660" w:type="dxa"/>
            <w:vAlign w:val="bottom"/>
            <w:gridSpan w:val="4"/>
          </w:tcPr>
          <w:p>
            <w:pPr>
              <w:spacing w:after="0"/>
              <w:rPr>
                <w:sz w:val="20"/>
                <w:szCs w:val="20"/>
                <w:color w:val="auto"/>
              </w:rPr>
            </w:pPr>
            <w:r>
              <w:rPr>
                <w:rFonts w:ascii="Arial" w:cs="Arial" w:eastAsia="Arial" w:hAnsi="Arial"/>
                <w:sz w:val="13"/>
                <w:szCs w:val="13"/>
                <w:b w:val="1"/>
                <w:bCs w:val="1"/>
                <w:color w:val="auto"/>
                <w:w w:val="89"/>
              </w:rPr>
              <w:t>Recoveries</w:t>
            </w:r>
          </w:p>
        </w:tc>
        <w:tc>
          <w:tcPr>
            <w:tcW w:w="740" w:type="dxa"/>
            <w:vAlign w:val="bottom"/>
            <w:gridSpan w:val="4"/>
          </w:tcPr>
          <w:p>
            <w:pPr>
              <w:spacing w:after="0"/>
              <w:rPr>
                <w:sz w:val="20"/>
                <w:szCs w:val="20"/>
                <w:color w:val="auto"/>
              </w:rPr>
            </w:pPr>
            <w:r>
              <w:rPr>
                <w:rFonts w:ascii="Arial" w:cs="Arial" w:eastAsia="Arial" w:hAnsi="Arial"/>
                <w:sz w:val="13"/>
                <w:szCs w:val="13"/>
                <w:b w:val="1"/>
                <w:bCs w:val="1"/>
                <w:color w:val="auto"/>
                <w:w w:val="97"/>
              </w:rPr>
              <w:t>Unallocated</w:t>
            </w:r>
          </w:p>
        </w:tc>
        <w:tc>
          <w:tcPr>
            <w:tcW w:w="660" w:type="dxa"/>
            <w:vAlign w:val="bottom"/>
            <w:gridSpan w:val="4"/>
          </w:tcPr>
          <w:p>
            <w:pPr>
              <w:ind w:left="20"/>
              <w:spacing w:after="0"/>
              <w:rPr>
                <w:sz w:val="20"/>
                <w:szCs w:val="20"/>
                <w:color w:val="auto"/>
              </w:rPr>
            </w:pPr>
            <w:r>
              <w:rPr>
                <w:rFonts w:ascii="Arial" w:cs="Arial" w:eastAsia="Arial" w:hAnsi="Arial"/>
                <w:sz w:val="13"/>
                <w:szCs w:val="13"/>
                <w:b w:val="1"/>
                <w:bCs w:val="1"/>
                <w:color w:val="auto"/>
              </w:rPr>
              <w:t>Provision</w:t>
            </w:r>
          </w:p>
        </w:tc>
        <w:tc>
          <w:tcPr>
            <w:tcW w:w="56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84"/>
              </w:rPr>
              <w:t>Balance</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0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040" w:type="dxa"/>
            <w:vAlign w:val="bottom"/>
            <w:shd w:val="clear" w:color="auto" w:fill="F0FFFF"/>
          </w:tcPr>
          <w:p>
            <w:pPr>
              <w:spacing w:after="0" w:line="135" w:lineRule="exact"/>
              <w:rPr>
                <w:sz w:val="20"/>
                <w:szCs w:val="20"/>
                <w:color w:val="auto"/>
              </w:rPr>
            </w:pPr>
            <w:r>
              <w:rPr>
                <w:rFonts w:ascii="Arial" w:cs="Arial" w:eastAsia="Arial" w:hAnsi="Arial"/>
                <w:sz w:val="13"/>
                <w:szCs w:val="13"/>
                <w:color w:val="auto"/>
              </w:rPr>
              <w:t>Owner occupied commercial real estate</w:t>
            </w:r>
          </w:p>
        </w:tc>
        <w:tc>
          <w:tcPr>
            <w:tcW w:w="1040" w:type="dxa"/>
            <w:vAlign w:val="bottom"/>
            <w:gridSpan w:val="2"/>
            <w:shd w:val="clear" w:color="auto" w:fill="F0FFFF"/>
          </w:tcPr>
          <w:p>
            <w:pPr>
              <w:jc w:val="right"/>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w w:val="95"/>
              </w:rPr>
              <w:t>14,952</w:t>
            </w: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jc w:val="right"/>
              <w:spacing w:after="0" w:line="135" w:lineRule="exact"/>
              <w:rPr>
                <w:sz w:val="20"/>
                <w:szCs w:val="20"/>
                <w:color w:val="auto"/>
              </w:rPr>
            </w:pPr>
            <w:r>
              <w:rPr>
                <w:rFonts w:ascii="Arial" w:cs="Arial" w:eastAsia="Arial" w:hAnsi="Arial"/>
                <w:sz w:val="13"/>
                <w:szCs w:val="13"/>
                <w:color w:val="auto"/>
                <w:w w:val="82"/>
              </w:rPr>
              <w:t>$</w:t>
            </w:r>
          </w:p>
        </w:tc>
        <w:tc>
          <w:tcPr>
            <w:tcW w:w="480" w:type="dxa"/>
            <w:vAlign w:val="bottom"/>
            <w:gridSpan w:val="3"/>
            <w:shd w:val="clear" w:color="auto" w:fill="F0FFFF"/>
          </w:tcPr>
          <w:p>
            <w:pPr>
              <w:jc w:val="right"/>
              <w:spacing w:after="0" w:line="135" w:lineRule="exact"/>
              <w:rPr>
                <w:sz w:val="20"/>
                <w:szCs w:val="20"/>
                <w:color w:val="auto"/>
              </w:rPr>
            </w:pPr>
            <w:r>
              <w:rPr>
                <w:rFonts w:ascii="Arial" w:cs="Arial" w:eastAsia="Arial" w:hAnsi="Arial"/>
                <w:sz w:val="13"/>
                <w:szCs w:val="13"/>
                <w:color w:val="auto"/>
              </w:rPr>
              <w:t>(363)</w:t>
            </w:r>
          </w:p>
        </w:tc>
        <w:tc>
          <w:tcPr>
            <w:tcW w:w="40" w:type="dxa"/>
            <w:vAlign w:val="bottom"/>
            <w:shd w:val="clear" w:color="auto" w:fill="F0FFFF"/>
          </w:tcPr>
          <w:p>
            <w:pPr>
              <w:spacing w:after="0"/>
              <w:rPr>
                <w:sz w:val="11"/>
                <w:szCs w:val="11"/>
                <w:color w:val="auto"/>
              </w:rPr>
            </w:pPr>
          </w:p>
        </w:tc>
        <w:tc>
          <w:tcPr>
            <w:tcW w:w="200" w:type="dxa"/>
            <w:vAlign w:val="bottom"/>
            <w:gridSpan w:val="3"/>
            <w:shd w:val="clear" w:color="auto" w:fill="F0FFFF"/>
          </w:tcPr>
          <w:p>
            <w:pPr>
              <w:ind w:left="120"/>
              <w:spacing w:after="0" w:line="135" w:lineRule="exact"/>
              <w:rPr>
                <w:sz w:val="20"/>
                <w:szCs w:val="20"/>
                <w:color w:val="auto"/>
              </w:rPr>
            </w:pPr>
            <w:r>
              <w:rPr>
                <w:rFonts w:ascii="Arial" w:cs="Arial" w:eastAsia="Arial" w:hAnsi="Arial"/>
                <w:sz w:val="13"/>
                <w:szCs w:val="13"/>
                <w:color w:val="auto"/>
                <w:w w:val="82"/>
              </w:rPr>
              <w:t>$</w:t>
            </w:r>
          </w:p>
        </w:tc>
        <w:tc>
          <w:tcPr>
            <w:tcW w:w="540" w:type="dxa"/>
            <w:vAlign w:val="bottom"/>
            <w:tcBorders>
              <w:right w:val="single" w:sz="8" w:color="F0FFFF"/>
            </w:tcBorders>
            <w:shd w:val="clear" w:color="auto" w:fill="F0FFFF"/>
          </w:tcPr>
          <w:p>
            <w:pPr>
              <w:jc w:val="right"/>
              <w:ind w:right="117"/>
              <w:spacing w:after="0" w:line="135" w:lineRule="exact"/>
              <w:rPr>
                <w:sz w:val="20"/>
                <w:szCs w:val="20"/>
                <w:color w:val="auto"/>
              </w:rPr>
            </w:pPr>
            <w:r>
              <w:rPr>
                <w:rFonts w:ascii="Arial" w:cs="Arial" w:eastAsia="Arial" w:hAnsi="Arial"/>
                <w:sz w:val="13"/>
                <w:szCs w:val="13"/>
                <w:color w:val="auto"/>
              </w:rPr>
              <w:t>78</w:t>
            </w:r>
          </w:p>
        </w:tc>
        <w:tc>
          <w:tcPr>
            <w:tcW w:w="120" w:type="dxa"/>
            <w:vAlign w:val="bottom"/>
            <w:gridSpan w:val="2"/>
            <w:shd w:val="clear" w:color="auto" w:fill="F0FFFF"/>
          </w:tcPr>
          <w:p>
            <w:pPr>
              <w:jc w:val="right"/>
              <w:spacing w:after="0" w:line="135" w:lineRule="exact"/>
              <w:rPr>
                <w:sz w:val="20"/>
                <w:szCs w:val="20"/>
                <w:color w:val="auto"/>
              </w:rPr>
            </w:pPr>
            <w:r>
              <w:rPr>
                <w:rFonts w:ascii="Arial" w:cs="Arial" w:eastAsia="Arial" w:hAnsi="Arial"/>
                <w:sz w:val="13"/>
                <w:szCs w:val="13"/>
                <w:color w:val="auto"/>
              </w:rPr>
              <w:t>$</w:t>
            </w:r>
          </w:p>
        </w:tc>
        <w:tc>
          <w:tcPr>
            <w:tcW w:w="540" w:type="dxa"/>
            <w:vAlign w:val="bottom"/>
            <w:tcBorders>
              <w:right w:val="single" w:sz="8" w:color="F0FFFF"/>
            </w:tcBorders>
            <w:shd w:val="clear" w:color="auto" w:fill="F0FFFF"/>
          </w:tcPr>
          <w:p>
            <w:pPr>
              <w:jc w:val="right"/>
              <w:ind w:right="97"/>
              <w:spacing w:after="0" w:line="135" w:lineRule="exact"/>
              <w:rPr>
                <w:sz w:val="20"/>
                <w:szCs w:val="20"/>
                <w:color w:val="auto"/>
              </w:rPr>
            </w:pPr>
            <w:r>
              <w:rPr>
                <w:rFonts w:ascii="Arial" w:cs="Arial" w:eastAsia="Arial" w:hAnsi="Arial"/>
                <w:sz w:val="13"/>
                <w:szCs w:val="13"/>
                <w:color w:val="auto"/>
              </w:rPr>
              <w:t>1,672</w:t>
            </w:r>
          </w:p>
        </w:tc>
        <w:tc>
          <w:tcPr>
            <w:tcW w:w="660" w:type="dxa"/>
            <w:vAlign w:val="bottom"/>
            <w:tcBorders>
              <w:right w:val="single" w:sz="8" w:color="F0FFFF"/>
            </w:tcBorders>
            <w:gridSpan w:val="2"/>
            <w:shd w:val="clear" w:color="auto" w:fill="F0FFFF"/>
          </w:tcPr>
          <w:p>
            <w:pPr>
              <w:jc w:val="right"/>
              <w:ind w:right="97"/>
              <w:spacing w:after="0" w:line="135" w:lineRule="exact"/>
              <w:rPr>
                <w:sz w:val="20"/>
                <w:szCs w:val="20"/>
                <w:color w:val="auto"/>
              </w:rPr>
            </w:pPr>
            <w:r>
              <w:rPr>
                <w:rFonts w:ascii="Arial" w:cs="Arial" w:eastAsia="Arial" w:hAnsi="Arial"/>
                <w:sz w:val="13"/>
                <w:szCs w:val="13"/>
                <w:color w:val="auto"/>
                <w:w w:val="94"/>
              </w:rPr>
              <w:t>$ 16,339</w:t>
            </w:r>
          </w:p>
        </w:tc>
        <w:tc>
          <w:tcPr>
            <w:tcW w:w="680" w:type="dxa"/>
            <w:vAlign w:val="bottom"/>
            <w:tcBorders>
              <w:right w:val="single" w:sz="8" w:color="F0FFFF"/>
            </w:tcBorders>
            <w:gridSpan w:val="2"/>
            <w:shd w:val="clear" w:color="auto" w:fill="F0FFFF"/>
          </w:tcPr>
          <w:p>
            <w:pPr>
              <w:jc w:val="right"/>
              <w:ind w:right="97"/>
              <w:spacing w:after="0" w:line="135" w:lineRule="exact"/>
              <w:rPr>
                <w:sz w:val="20"/>
                <w:szCs w:val="20"/>
                <w:color w:val="auto"/>
              </w:rPr>
            </w:pPr>
            <w:r>
              <w:rPr>
                <w:rFonts w:ascii="Arial" w:cs="Arial" w:eastAsia="Arial" w:hAnsi="Arial"/>
                <w:sz w:val="13"/>
                <w:szCs w:val="13"/>
                <w:color w:val="auto"/>
                <w:w w:val="98"/>
              </w:rPr>
              <w:t>$ 20,292</w:t>
            </w:r>
          </w:p>
        </w:tc>
        <w:tc>
          <w:tcPr>
            <w:tcW w:w="140" w:type="dxa"/>
            <w:vAlign w:val="bottom"/>
            <w:gridSpan w:val="2"/>
            <w:shd w:val="clear" w:color="auto" w:fill="F0FFFF"/>
          </w:tcPr>
          <w:p>
            <w:pPr>
              <w:jc w:val="right"/>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F0FFFF"/>
          </w:tcPr>
          <w:p>
            <w:pPr>
              <w:jc w:val="right"/>
              <w:ind w:right="38"/>
              <w:spacing w:after="0" w:line="135" w:lineRule="exact"/>
              <w:rPr>
                <w:sz w:val="20"/>
                <w:szCs w:val="20"/>
                <w:color w:val="auto"/>
              </w:rPr>
            </w:pPr>
            <w:r>
              <w:rPr>
                <w:rFonts w:ascii="Arial" w:cs="Arial" w:eastAsia="Arial" w:hAnsi="Arial"/>
                <w:sz w:val="13"/>
                <w:szCs w:val="13"/>
                <w:color w:val="auto"/>
              </w:rPr>
              <w:t>(918)</w:t>
            </w: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F0FFFF"/>
          </w:tcPr>
          <w:p>
            <w:pPr>
              <w:jc w:val="right"/>
              <w:spacing w:after="0" w:line="135" w:lineRule="exact"/>
              <w:rPr>
                <w:sz w:val="20"/>
                <w:szCs w:val="20"/>
                <w:color w:val="auto"/>
              </w:rPr>
            </w:pPr>
            <w:r>
              <w:rPr>
                <w:rFonts w:ascii="Arial" w:cs="Arial" w:eastAsia="Arial" w:hAnsi="Arial"/>
                <w:sz w:val="13"/>
                <w:szCs w:val="13"/>
                <w:color w:val="auto"/>
                <w:w w:val="92"/>
              </w:rPr>
              <w:t>2,753</w:t>
            </w:r>
          </w:p>
        </w:tc>
        <w:tc>
          <w:tcPr>
            <w:tcW w:w="120" w:type="dxa"/>
            <w:vAlign w:val="bottom"/>
            <w:shd w:val="clear" w:color="auto" w:fill="F0FFFF"/>
          </w:tcPr>
          <w:p>
            <w:pPr>
              <w:spacing w:after="0"/>
              <w:rPr>
                <w:sz w:val="11"/>
                <w:szCs w:val="11"/>
                <w:color w:val="auto"/>
              </w:rPr>
            </w:pPr>
          </w:p>
        </w:tc>
        <w:tc>
          <w:tcPr>
            <w:tcW w:w="100" w:type="dxa"/>
            <w:vAlign w:val="bottom"/>
            <w:tcBorders>
              <w:right w:val="single" w:sz="8" w:color="F0FFFF"/>
            </w:tcBorders>
            <w:shd w:val="clear" w:color="auto" w:fill="F0FFFF"/>
          </w:tcPr>
          <w:p>
            <w:pPr>
              <w:spacing w:after="0"/>
              <w:rPr>
                <w:sz w:val="11"/>
                <w:szCs w:val="11"/>
                <w:color w:val="auto"/>
              </w:rPr>
            </w:pPr>
          </w:p>
        </w:tc>
        <w:tc>
          <w:tcPr>
            <w:tcW w:w="140" w:type="dxa"/>
            <w:vAlign w:val="bottom"/>
            <w:shd w:val="clear" w:color="auto" w:fill="F0FFFF"/>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F0FFFF"/>
          </w:tcPr>
          <w:p>
            <w:pPr>
              <w:spacing w:after="0"/>
              <w:rPr>
                <w:sz w:val="11"/>
                <w:szCs w:val="11"/>
                <w:color w:val="auto"/>
              </w:rPr>
            </w:pPr>
          </w:p>
        </w:tc>
        <w:tc>
          <w:tcPr>
            <w:tcW w:w="540" w:type="dxa"/>
            <w:vAlign w:val="bottom"/>
            <w:gridSpan w:val="3"/>
            <w:shd w:val="clear" w:color="auto" w:fill="F0FFFF"/>
          </w:tcPr>
          <w:p>
            <w:pPr>
              <w:jc w:val="right"/>
              <w:ind w:right="60"/>
              <w:spacing w:after="0" w:line="135" w:lineRule="exact"/>
              <w:rPr>
                <w:sz w:val="20"/>
                <w:szCs w:val="20"/>
                <w:color w:val="auto"/>
              </w:rPr>
            </w:pPr>
            <w:r>
              <w:rPr>
                <w:rFonts w:ascii="Arial" w:cs="Arial" w:eastAsia="Arial" w:hAnsi="Arial"/>
                <w:sz w:val="13"/>
                <w:szCs w:val="13"/>
                <w:color w:val="auto"/>
                <w:w w:val="88"/>
              </w:rPr>
              <w:t>$ (4,323)</w:t>
            </w:r>
          </w:p>
        </w:tc>
        <w:tc>
          <w:tcPr>
            <w:tcW w:w="120" w:type="dxa"/>
            <w:vAlign w:val="bottom"/>
            <w:shd w:val="clear" w:color="auto" w:fill="F0FFFF"/>
          </w:tcPr>
          <w:p>
            <w:pPr>
              <w:spacing w:after="0"/>
              <w:rPr>
                <w:sz w:val="11"/>
                <w:szCs w:val="11"/>
                <w:color w:val="auto"/>
              </w:rPr>
            </w:pPr>
          </w:p>
        </w:tc>
        <w:tc>
          <w:tcPr>
            <w:tcW w:w="560" w:type="dxa"/>
            <w:vAlign w:val="bottom"/>
            <w:gridSpan w:val="2"/>
            <w:shd w:val="clear" w:color="auto" w:fill="F0FFFF"/>
          </w:tcPr>
          <w:p>
            <w:pPr>
              <w:jc w:val="right"/>
              <w:ind w:right="100"/>
              <w:spacing w:after="0" w:line="135" w:lineRule="exact"/>
              <w:rPr>
                <w:sz w:val="20"/>
                <w:szCs w:val="20"/>
                <w:color w:val="auto"/>
              </w:rPr>
            </w:pPr>
            <w:r>
              <w:rPr>
                <w:rFonts w:ascii="Arial" w:cs="Arial" w:eastAsia="Arial" w:hAnsi="Arial"/>
                <w:sz w:val="13"/>
                <w:szCs w:val="13"/>
                <w:color w:val="auto"/>
                <w:w w:val="86"/>
              </w:rPr>
              <w:t>$ 17,804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tcPr>
          <w:p>
            <w:pPr>
              <w:spacing w:after="0" w:line="135" w:lineRule="exact"/>
              <w:rPr>
                <w:sz w:val="20"/>
                <w:szCs w:val="20"/>
                <w:color w:val="auto"/>
              </w:rPr>
            </w:pPr>
            <w:r>
              <w:rPr>
                <w:rFonts w:ascii="Arial" w:cs="Arial" w:eastAsia="Arial" w:hAnsi="Arial"/>
                <w:sz w:val="13"/>
                <w:szCs w:val="13"/>
                <w:color w:val="auto"/>
              </w:rPr>
              <w:t>Income producing commercial real estate</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9,655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(74)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350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7"/>
              </w:rPr>
              <w:t>(1,731)</w:t>
            </w:r>
          </w:p>
        </w:tc>
        <w:tc>
          <w:tcPr>
            <w:tcW w:w="66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8,200</w:t>
            </w:r>
          </w:p>
        </w:tc>
        <w:tc>
          <w:tcPr>
            <w:tcW w:w="6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10,926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38"/>
              <w:spacing w:after="0" w:line="135" w:lineRule="exact"/>
              <w:rPr>
                <w:sz w:val="20"/>
                <w:szCs w:val="20"/>
                <w:color w:val="auto"/>
              </w:rPr>
            </w:pPr>
            <w:r>
              <w:rPr>
                <w:rFonts w:ascii="Arial" w:cs="Arial" w:eastAsia="Arial" w:hAnsi="Arial"/>
                <w:sz w:val="13"/>
                <w:szCs w:val="13"/>
                <w:color w:val="auto"/>
              </w:rPr>
              <w:t>(632)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197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1,270</w:t>
            </w:r>
          </w:p>
        </w:tc>
        <w:tc>
          <w:tcPr>
            <w:tcW w:w="12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11,761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shd w:val="clear" w:color="auto" w:fill="F0FFFF"/>
          </w:tcPr>
          <w:p>
            <w:pPr>
              <w:ind w:left="20"/>
              <w:spacing w:after="0" w:line="135" w:lineRule="exact"/>
              <w:rPr>
                <w:sz w:val="20"/>
                <w:szCs w:val="20"/>
                <w:color w:val="auto"/>
              </w:rPr>
            </w:pPr>
            <w:r>
              <w:rPr>
                <w:rFonts w:ascii="Arial" w:cs="Arial" w:eastAsia="Arial" w:hAnsi="Arial"/>
                <w:sz w:val="13"/>
                <w:szCs w:val="13"/>
                <w:color w:val="auto"/>
              </w:rPr>
              <w:t>Commercial &amp; industrial</w:t>
            </w:r>
          </w:p>
        </w:tc>
        <w:tc>
          <w:tcPr>
            <w:tcW w:w="9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2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3,442</w:t>
            </w: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80" w:type="dxa"/>
            <w:vAlign w:val="bottom"/>
            <w:gridSpan w:val="3"/>
            <w:shd w:val="clear" w:color="auto" w:fill="F0FFFF"/>
          </w:tcPr>
          <w:p>
            <w:pPr>
              <w:jc w:val="right"/>
              <w:spacing w:after="0" w:line="135" w:lineRule="exact"/>
              <w:rPr>
                <w:sz w:val="20"/>
                <w:szCs w:val="20"/>
                <w:color w:val="auto"/>
              </w:rPr>
            </w:pPr>
            <w:r>
              <w:rPr>
                <w:rFonts w:ascii="Arial" w:cs="Arial" w:eastAsia="Arial" w:hAnsi="Arial"/>
                <w:sz w:val="13"/>
                <w:szCs w:val="13"/>
                <w:color w:val="auto"/>
              </w:rPr>
              <w:t>(162)</w:t>
            </w:r>
          </w:p>
        </w:tc>
        <w:tc>
          <w:tcPr>
            <w:tcW w:w="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40" w:type="dxa"/>
            <w:vAlign w:val="bottom"/>
            <w:tcBorders>
              <w:right w:val="single" w:sz="8" w:color="F0FFFF"/>
            </w:tcBorders>
            <w:shd w:val="clear" w:color="auto" w:fill="F0FFFF"/>
          </w:tcPr>
          <w:p>
            <w:pPr>
              <w:jc w:val="right"/>
              <w:ind w:right="97"/>
              <w:spacing w:after="0" w:line="135" w:lineRule="exact"/>
              <w:rPr>
                <w:sz w:val="20"/>
                <w:szCs w:val="20"/>
                <w:color w:val="auto"/>
              </w:rPr>
            </w:pPr>
            <w:r>
              <w:rPr>
                <w:rFonts w:ascii="Arial" w:cs="Arial" w:eastAsia="Arial" w:hAnsi="Arial"/>
                <w:sz w:val="13"/>
                <w:szCs w:val="13"/>
                <w:color w:val="auto"/>
              </w:rPr>
              <w:t>789</w:t>
            </w:r>
          </w:p>
        </w:tc>
        <w:tc>
          <w:tcPr>
            <w:tcW w:w="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40" w:type="dxa"/>
            <w:vAlign w:val="bottom"/>
            <w:tcBorders>
              <w:right w:val="single" w:sz="8" w:color="F0FFFF"/>
            </w:tcBorders>
            <w:shd w:val="clear" w:color="auto" w:fill="F0FFFF"/>
          </w:tcPr>
          <w:p>
            <w:pPr>
              <w:jc w:val="right"/>
              <w:ind w:right="97"/>
              <w:spacing w:after="0" w:line="135" w:lineRule="exact"/>
              <w:rPr>
                <w:sz w:val="20"/>
                <w:szCs w:val="20"/>
                <w:color w:val="auto"/>
              </w:rPr>
            </w:pPr>
            <w:r>
              <w:rPr>
                <w:rFonts w:ascii="Arial" w:cs="Arial" w:eastAsia="Arial" w:hAnsi="Arial"/>
                <w:sz w:val="13"/>
                <w:szCs w:val="13"/>
                <w:color w:val="auto"/>
              </w:rPr>
              <w:t>659</w:t>
            </w:r>
          </w:p>
        </w:tc>
        <w:tc>
          <w:tcPr>
            <w:tcW w:w="660" w:type="dxa"/>
            <w:vAlign w:val="bottom"/>
            <w:tcBorders>
              <w:right w:val="single" w:sz="8" w:color="F0FFFF"/>
            </w:tcBorders>
            <w:gridSpan w:val="2"/>
            <w:shd w:val="clear" w:color="auto" w:fill="F0FFFF"/>
          </w:tcPr>
          <w:p>
            <w:pPr>
              <w:jc w:val="right"/>
              <w:ind w:right="97"/>
              <w:spacing w:after="0" w:line="135" w:lineRule="exact"/>
              <w:rPr>
                <w:sz w:val="20"/>
                <w:szCs w:val="20"/>
                <w:color w:val="auto"/>
              </w:rPr>
            </w:pPr>
            <w:r>
              <w:rPr>
                <w:rFonts w:ascii="Arial" w:cs="Arial" w:eastAsia="Arial" w:hAnsi="Arial"/>
                <w:sz w:val="13"/>
                <w:szCs w:val="13"/>
                <w:color w:val="auto"/>
              </w:rPr>
              <w:t>4,728</w:t>
            </w:r>
          </w:p>
        </w:tc>
        <w:tc>
          <w:tcPr>
            <w:tcW w:w="680" w:type="dxa"/>
            <w:vAlign w:val="bottom"/>
            <w:tcBorders>
              <w:right w:val="single" w:sz="8" w:color="F0FFFF"/>
            </w:tcBorders>
            <w:gridSpan w:val="2"/>
            <w:shd w:val="clear" w:color="auto" w:fill="F0FFFF"/>
          </w:tcPr>
          <w:p>
            <w:pPr>
              <w:jc w:val="right"/>
              <w:ind w:right="97"/>
              <w:spacing w:after="0" w:line="135" w:lineRule="exact"/>
              <w:rPr>
                <w:sz w:val="20"/>
                <w:szCs w:val="20"/>
                <w:color w:val="auto"/>
              </w:rPr>
            </w:pPr>
            <w:r>
              <w:rPr>
                <w:rFonts w:ascii="Arial" w:cs="Arial" w:eastAsia="Arial" w:hAnsi="Arial"/>
                <w:sz w:val="13"/>
                <w:szCs w:val="13"/>
                <w:color w:val="auto"/>
              </w:rPr>
              <w:t>4,247</w:t>
            </w:r>
          </w:p>
        </w:tc>
        <w:tc>
          <w:tcPr>
            <w:tcW w:w="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80" w:type="dxa"/>
            <w:vAlign w:val="bottom"/>
            <w:gridSpan w:val="2"/>
            <w:shd w:val="clear" w:color="auto" w:fill="F0FFFF"/>
          </w:tcPr>
          <w:p>
            <w:pPr>
              <w:jc w:val="right"/>
              <w:ind w:right="38"/>
              <w:spacing w:after="0" w:line="135" w:lineRule="exact"/>
              <w:rPr>
                <w:sz w:val="20"/>
                <w:szCs w:val="20"/>
                <w:color w:val="auto"/>
              </w:rPr>
            </w:pPr>
            <w:r>
              <w:rPr>
                <w:rFonts w:ascii="Arial" w:cs="Arial" w:eastAsia="Arial" w:hAnsi="Arial"/>
                <w:sz w:val="13"/>
                <w:szCs w:val="13"/>
                <w:color w:val="auto"/>
                <w:w w:val="92"/>
              </w:rPr>
              <w:t>(1,012)</w:t>
            </w: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44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350</w:t>
            </w:r>
          </w:p>
        </w:tc>
        <w:tc>
          <w:tcPr>
            <w:tcW w:w="100" w:type="dxa"/>
            <w:vAlign w:val="bottom"/>
            <w:tcBorders>
              <w:right w:val="single" w:sz="8" w:color="F0FFFF"/>
            </w:tcBorders>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48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60" w:type="dxa"/>
            <w:vAlign w:val="bottom"/>
            <w:gridSpan w:val="2"/>
            <w:shd w:val="clear" w:color="auto" w:fill="F0FFFF"/>
          </w:tcPr>
          <w:p>
            <w:pPr>
              <w:jc w:val="right"/>
              <w:ind w:right="100"/>
              <w:spacing w:after="0" w:line="135" w:lineRule="exact"/>
              <w:rPr>
                <w:sz w:val="20"/>
                <w:szCs w:val="20"/>
                <w:color w:val="auto"/>
              </w:rPr>
            </w:pPr>
            <w:r>
              <w:rPr>
                <w:rFonts w:ascii="Arial" w:cs="Arial" w:eastAsia="Arial" w:hAnsi="Arial"/>
                <w:sz w:val="13"/>
                <w:szCs w:val="13"/>
                <w:color w:val="auto"/>
              </w:rPr>
              <w:t>300</w:t>
            </w:r>
          </w:p>
        </w:tc>
        <w:tc>
          <w:tcPr>
            <w:tcW w:w="120" w:type="dxa"/>
            <w:vAlign w:val="bottom"/>
            <w:shd w:val="clear" w:color="auto" w:fill="F0FFFF"/>
          </w:tcPr>
          <w:p>
            <w:pPr>
              <w:spacing w:after="0"/>
              <w:rPr>
                <w:sz w:val="11"/>
                <w:szCs w:val="11"/>
                <w:color w:val="auto"/>
              </w:rPr>
            </w:pPr>
          </w:p>
        </w:tc>
        <w:tc>
          <w:tcPr>
            <w:tcW w:w="560" w:type="dxa"/>
            <w:vAlign w:val="bottom"/>
            <w:gridSpan w:val="2"/>
            <w:shd w:val="clear" w:color="auto" w:fill="F0FFFF"/>
          </w:tcPr>
          <w:p>
            <w:pPr>
              <w:jc w:val="right"/>
              <w:ind w:right="100"/>
              <w:spacing w:after="0" w:line="135" w:lineRule="exact"/>
              <w:rPr>
                <w:sz w:val="20"/>
                <w:szCs w:val="20"/>
                <w:color w:val="auto"/>
              </w:rPr>
            </w:pPr>
            <w:r>
              <w:rPr>
                <w:rFonts w:ascii="Arial" w:cs="Arial" w:eastAsia="Arial" w:hAnsi="Arial"/>
                <w:sz w:val="13"/>
                <w:szCs w:val="13"/>
                <w:color w:val="auto"/>
              </w:rPr>
              <w:t>3,885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tcPr>
          <w:p>
            <w:pPr>
              <w:ind w:left="20"/>
              <w:spacing w:after="0" w:line="135" w:lineRule="exact"/>
              <w:rPr>
                <w:sz w:val="20"/>
                <w:szCs w:val="20"/>
                <w:color w:val="auto"/>
              </w:rPr>
            </w:pPr>
            <w:r>
              <w:rPr>
                <w:rFonts w:ascii="Arial" w:cs="Arial" w:eastAsia="Arial" w:hAnsi="Arial"/>
                <w:sz w:val="13"/>
                <w:szCs w:val="13"/>
                <w:color w:val="auto"/>
              </w:rPr>
              <w:t>Commercial construction</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5,335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(147)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51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(344)</w:t>
            </w:r>
          </w:p>
        </w:tc>
        <w:tc>
          <w:tcPr>
            <w:tcW w:w="66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4,895</w:t>
            </w:r>
          </w:p>
        </w:tc>
        <w:tc>
          <w:tcPr>
            <w:tcW w:w="6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3,977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38"/>
              <w:spacing w:after="0" w:line="135" w:lineRule="exact"/>
              <w:rPr>
                <w:sz w:val="20"/>
                <w:szCs w:val="20"/>
                <w:color w:val="auto"/>
              </w:rPr>
            </w:pPr>
            <w:r>
              <w:rPr>
                <w:rFonts w:ascii="Arial" w:cs="Arial" w:eastAsia="Arial" w:hAnsi="Arial"/>
                <w:sz w:val="13"/>
                <w:szCs w:val="13"/>
                <w:color w:val="auto"/>
              </w:rPr>
              <w:t>(131)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221</w:t>
            </w:r>
          </w:p>
        </w:tc>
        <w:tc>
          <w:tcPr>
            <w:tcW w:w="12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4,067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shd w:val="clear" w:color="auto" w:fill="F0FFFF"/>
          </w:tcPr>
          <w:p>
            <w:pPr>
              <w:ind w:left="20"/>
              <w:spacing w:after="0" w:line="135" w:lineRule="exact"/>
              <w:rPr>
                <w:sz w:val="20"/>
                <w:szCs w:val="20"/>
                <w:color w:val="auto"/>
              </w:rPr>
            </w:pPr>
            <w:r>
              <w:rPr>
                <w:rFonts w:ascii="Arial" w:cs="Arial" w:eastAsia="Arial" w:hAnsi="Arial"/>
                <w:sz w:val="13"/>
                <w:szCs w:val="13"/>
                <w:color w:val="auto"/>
              </w:rPr>
              <w:t>Residential mortgage</w:t>
            </w:r>
          </w:p>
        </w:tc>
        <w:tc>
          <w:tcPr>
            <w:tcW w:w="9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2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w w:val="95"/>
              </w:rPr>
              <w:t>20,138</w:t>
            </w: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80" w:type="dxa"/>
            <w:vAlign w:val="bottom"/>
            <w:gridSpan w:val="3"/>
            <w:shd w:val="clear" w:color="auto" w:fill="F0FFFF"/>
          </w:tcPr>
          <w:p>
            <w:pPr>
              <w:jc w:val="right"/>
              <w:spacing w:after="0" w:line="135" w:lineRule="exact"/>
              <w:rPr>
                <w:sz w:val="20"/>
                <w:szCs w:val="20"/>
                <w:color w:val="auto"/>
              </w:rPr>
            </w:pPr>
            <w:r>
              <w:rPr>
                <w:rFonts w:ascii="Arial" w:cs="Arial" w:eastAsia="Arial" w:hAnsi="Arial"/>
                <w:sz w:val="13"/>
                <w:szCs w:val="13"/>
                <w:color w:val="auto"/>
              </w:rPr>
              <w:t>(1,109)</w:t>
            </w:r>
          </w:p>
        </w:tc>
        <w:tc>
          <w:tcPr>
            <w:tcW w:w="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40" w:type="dxa"/>
            <w:vAlign w:val="bottom"/>
            <w:tcBorders>
              <w:right w:val="single" w:sz="8" w:color="F0FFFF"/>
            </w:tcBorders>
            <w:shd w:val="clear" w:color="auto" w:fill="F0FFFF"/>
          </w:tcPr>
          <w:p>
            <w:pPr>
              <w:jc w:val="right"/>
              <w:ind w:right="97"/>
              <w:spacing w:after="0" w:line="135" w:lineRule="exact"/>
              <w:rPr>
                <w:sz w:val="20"/>
                <w:szCs w:val="20"/>
                <w:color w:val="auto"/>
              </w:rPr>
            </w:pPr>
            <w:r>
              <w:rPr>
                <w:rFonts w:ascii="Arial" w:cs="Arial" w:eastAsia="Arial" w:hAnsi="Arial"/>
                <w:sz w:val="13"/>
                <w:szCs w:val="13"/>
                <w:color w:val="auto"/>
              </w:rPr>
              <w:t>322</w:t>
            </w:r>
          </w:p>
        </w:tc>
        <w:tc>
          <w:tcPr>
            <w:tcW w:w="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40" w:type="dxa"/>
            <w:vAlign w:val="bottom"/>
            <w:tcBorders>
              <w:right w:val="single" w:sz="8" w:color="F0FFFF"/>
            </w:tcBorders>
            <w:shd w:val="clear" w:color="auto" w:fill="F0FFFF"/>
          </w:tcPr>
          <w:p>
            <w:pPr>
              <w:jc w:val="right"/>
              <w:ind w:right="57"/>
              <w:spacing w:after="0" w:line="135" w:lineRule="exact"/>
              <w:rPr>
                <w:sz w:val="20"/>
                <w:szCs w:val="20"/>
                <w:color w:val="auto"/>
              </w:rPr>
            </w:pPr>
            <w:r>
              <w:rPr>
                <w:rFonts w:ascii="Arial" w:cs="Arial" w:eastAsia="Arial" w:hAnsi="Arial"/>
                <w:sz w:val="13"/>
                <w:szCs w:val="13"/>
                <w:color w:val="auto"/>
              </w:rPr>
              <w:t>(299)</w:t>
            </w:r>
          </w:p>
        </w:tc>
        <w:tc>
          <w:tcPr>
            <w:tcW w:w="660" w:type="dxa"/>
            <w:vAlign w:val="bottom"/>
            <w:tcBorders>
              <w:right w:val="single" w:sz="8" w:color="F0FFFF"/>
            </w:tcBorders>
            <w:gridSpan w:val="2"/>
            <w:shd w:val="clear" w:color="auto" w:fill="F0FFFF"/>
          </w:tcPr>
          <w:p>
            <w:pPr>
              <w:jc w:val="right"/>
              <w:ind w:right="97"/>
              <w:spacing w:after="0" w:line="135" w:lineRule="exact"/>
              <w:rPr>
                <w:sz w:val="20"/>
                <w:szCs w:val="20"/>
                <w:color w:val="auto"/>
              </w:rPr>
            </w:pPr>
            <w:r>
              <w:rPr>
                <w:rFonts w:ascii="Arial" w:cs="Arial" w:eastAsia="Arial" w:hAnsi="Arial"/>
                <w:sz w:val="13"/>
                <w:szCs w:val="13"/>
                <w:color w:val="auto"/>
              </w:rPr>
              <w:t>19,052</w:t>
            </w:r>
          </w:p>
        </w:tc>
        <w:tc>
          <w:tcPr>
            <w:tcW w:w="680" w:type="dxa"/>
            <w:vAlign w:val="bottom"/>
            <w:tcBorders>
              <w:right w:val="single" w:sz="8" w:color="F0FFFF"/>
            </w:tcBorders>
            <w:gridSpan w:val="2"/>
            <w:shd w:val="clear" w:color="auto" w:fill="F0FFFF"/>
          </w:tcPr>
          <w:p>
            <w:pPr>
              <w:jc w:val="right"/>
              <w:ind w:right="97"/>
              <w:spacing w:after="0" w:line="135" w:lineRule="exact"/>
              <w:rPr>
                <w:sz w:val="20"/>
                <w:szCs w:val="20"/>
                <w:color w:val="auto"/>
              </w:rPr>
            </w:pPr>
            <w:r>
              <w:rPr>
                <w:rFonts w:ascii="Arial" w:cs="Arial" w:eastAsia="Arial" w:hAnsi="Arial"/>
                <w:sz w:val="13"/>
                <w:szCs w:val="13"/>
                <w:color w:val="auto"/>
              </w:rPr>
              <w:t>15,967</w:t>
            </w:r>
          </w:p>
        </w:tc>
        <w:tc>
          <w:tcPr>
            <w:tcW w:w="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80" w:type="dxa"/>
            <w:vAlign w:val="bottom"/>
            <w:gridSpan w:val="2"/>
            <w:shd w:val="clear" w:color="auto" w:fill="F0FFFF"/>
          </w:tcPr>
          <w:p>
            <w:pPr>
              <w:jc w:val="right"/>
              <w:ind w:right="38"/>
              <w:spacing w:after="0" w:line="135" w:lineRule="exact"/>
              <w:rPr>
                <w:sz w:val="20"/>
                <w:szCs w:val="20"/>
                <w:color w:val="auto"/>
              </w:rPr>
            </w:pPr>
            <w:r>
              <w:rPr>
                <w:rFonts w:ascii="Arial" w:cs="Arial" w:eastAsia="Arial" w:hAnsi="Arial"/>
                <w:sz w:val="13"/>
                <w:szCs w:val="13"/>
                <w:color w:val="auto"/>
                <w:w w:val="92"/>
              </w:rPr>
              <w:t>(2,800)</w:t>
            </w: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44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292</w:t>
            </w:r>
          </w:p>
        </w:tc>
        <w:tc>
          <w:tcPr>
            <w:tcW w:w="100" w:type="dxa"/>
            <w:vAlign w:val="bottom"/>
            <w:tcBorders>
              <w:right w:val="single" w:sz="8" w:color="F0FFFF"/>
            </w:tcBorders>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48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60" w:type="dxa"/>
            <w:vAlign w:val="bottom"/>
            <w:gridSpan w:val="2"/>
            <w:shd w:val="clear" w:color="auto" w:fill="F0FFFF"/>
          </w:tcPr>
          <w:p>
            <w:pPr>
              <w:jc w:val="right"/>
              <w:ind w:right="100"/>
              <w:spacing w:after="0" w:line="135" w:lineRule="exact"/>
              <w:rPr>
                <w:sz w:val="20"/>
                <w:szCs w:val="20"/>
                <w:color w:val="auto"/>
              </w:rPr>
            </w:pPr>
            <w:r>
              <w:rPr>
                <w:rFonts w:ascii="Arial" w:cs="Arial" w:eastAsia="Arial" w:hAnsi="Arial"/>
                <w:sz w:val="13"/>
                <w:szCs w:val="13"/>
                <w:color w:val="auto"/>
              </w:rPr>
              <w:t>3,304</w:t>
            </w:r>
          </w:p>
        </w:tc>
        <w:tc>
          <w:tcPr>
            <w:tcW w:w="120" w:type="dxa"/>
            <w:vAlign w:val="bottom"/>
            <w:shd w:val="clear" w:color="auto" w:fill="F0FFFF"/>
          </w:tcPr>
          <w:p>
            <w:pPr>
              <w:spacing w:after="0"/>
              <w:rPr>
                <w:sz w:val="11"/>
                <w:szCs w:val="11"/>
                <w:color w:val="auto"/>
              </w:rPr>
            </w:pPr>
          </w:p>
        </w:tc>
        <w:tc>
          <w:tcPr>
            <w:tcW w:w="560" w:type="dxa"/>
            <w:vAlign w:val="bottom"/>
            <w:gridSpan w:val="2"/>
            <w:shd w:val="clear" w:color="auto" w:fill="F0FFFF"/>
          </w:tcPr>
          <w:p>
            <w:pPr>
              <w:jc w:val="right"/>
              <w:ind w:right="100"/>
              <w:spacing w:after="0" w:line="135" w:lineRule="exact"/>
              <w:rPr>
                <w:sz w:val="20"/>
                <w:szCs w:val="20"/>
                <w:color w:val="auto"/>
              </w:rPr>
            </w:pPr>
            <w:r>
              <w:rPr>
                <w:rFonts w:ascii="Arial" w:cs="Arial" w:eastAsia="Arial" w:hAnsi="Arial"/>
                <w:sz w:val="13"/>
                <w:szCs w:val="13"/>
                <w:color w:val="auto"/>
              </w:rPr>
              <w:t>16,763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tcPr>
          <w:p>
            <w:pPr>
              <w:ind w:left="20"/>
              <w:spacing w:after="0" w:line="135" w:lineRule="exact"/>
              <w:rPr>
                <w:sz w:val="20"/>
                <w:szCs w:val="20"/>
                <w:color w:val="auto"/>
              </w:rPr>
            </w:pPr>
            <w:r>
              <w:rPr>
                <w:rFonts w:ascii="Arial" w:cs="Arial" w:eastAsia="Arial" w:hAnsi="Arial"/>
                <w:sz w:val="13"/>
                <w:szCs w:val="13"/>
                <w:color w:val="auto"/>
              </w:rPr>
              <w:t>Home equity lines of credit</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4,321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(348)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26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1,480</w:t>
            </w:r>
          </w:p>
        </w:tc>
        <w:tc>
          <w:tcPr>
            <w:tcW w:w="66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5,479</w:t>
            </w:r>
          </w:p>
        </w:tc>
        <w:tc>
          <w:tcPr>
            <w:tcW w:w="6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6,120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38"/>
              <w:spacing w:after="0" w:line="135" w:lineRule="exact"/>
              <w:rPr>
                <w:sz w:val="20"/>
                <w:szCs w:val="20"/>
                <w:color w:val="auto"/>
              </w:rPr>
            </w:pPr>
            <w:r>
              <w:rPr>
                <w:rFonts w:ascii="Arial" w:cs="Arial" w:eastAsia="Arial" w:hAnsi="Arial"/>
                <w:sz w:val="13"/>
                <w:szCs w:val="13"/>
                <w:color w:val="auto"/>
              </w:rPr>
              <w:t>(624)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158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684</w:t>
            </w:r>
          </w:p>
        </w:tc>
        <w:tc>
          <w:tcPr>
            <w:tcW w:w="12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6,338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shd w:val="clear" w:color="auto" w:fill="F0FFFF"/>
          </w:tcPr>
          <w:p>
            <w:pPr>
              <w:ind w:left="20"/>
              <w:spacing w:after="0" w:line="135" w:lineRule="exact"/>
              <w:rPr>
                <w:sz w:val="20"/>
                <w:szCs w:val="20"/>
                <w:color w:val="auto"/>
              </w:rPr>
            </w:pPr>
            <w:r>
              <w:rPr>
                <w:rFonts w:ascii="Arial" w:cs="Arial" w:eastAsia="Arial" w:hAnsi="Arial"/>
                <w:sz w:val="13"/>
                <w:szCs w:val="13"/>
                <w:color w:val="auto"/>
              </w:rPr>
              <w:t>Residential construction</w:t>
            </w:r>
          </w:p>
        </w:tc>
        <w:tc>
          <w:tcPr>
            <w:tcW w:w="9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2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w w:val="95"/>
              </w:rPr>
              <w:t>10,210</w:t>
            </w: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80" w:type="dxa"/>
            <w:vAlign w:val="bottom"/>
            <w:gridSpan w:val="3"/>
            <w:shd w:val="clear" w:color="auto" w:fill="F0FFFF"/>
          </w:tcPr>
          <w:p>
            <w:pPr>
              <w:jc w:val="right"/>
              <w:spacing w:after="0" w:line="135" w:lineRule="exact"/>
              <w:rPr>
                <w:sz w:val="20"/>
                <w:szCs w:val="20"/>
                <w:color w:val="auto"/>
              </w:rPr>
            </w:pPr>
            <w:r>
              <w:rPr>
                <w:rFonts w:ascii="Arial" w:cs="Arial" w:eastAsia="Arial" w:hAnsi="Arial"/>
                <w:sz w:val="13"/>
                <w:szCs w:val="13"/>
                <w:color w:val="auto"/>
              </w:rPr>
              <w:t>(499)</w:t>
            </w:r>
          </w:p>
        </w:tc>
        <w:tc>
          <w:tcPr>
            <w:tcW w:w="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40" w:type="dxa"/>
            <w:vAlign w:val="bottom"/>
            <w:tcBorders>
              <w:right w:val="single" w:sz="8" w:color="F0FFFF"/>
            </w:tcBorders>
            <w:shd w:val="clear" w:color="auto" w:fill="F0FFFF"/>
          </w:tcPr>
          <w:p>
            <w:pPr>
              <w:jc w:val="right"/>
              <w:ind w:right="97"/>
              <w:spacing w:after="0" w:line="135" w:lineRule="exact"/>
              <w:rPr>
                <w:sz w:val="20"/>
                <w:szCs w:val="20"/>
                <w:color w:val="auto"/>
              </w:rPr>
            </w:pPr>
            <w:r>
              <w:rPr>
                <w:rFonts w:ascii="Arial" w:cs="Arial" w:eastAsia="Arial" w:hAnsi="Arial"/>
                <w:sz w:val="13"/>
                <w:szCs w:val="13"/>
                <w:color w:val="auto"/>
              </w:rPr>
              <w:t>392</w:t>
            </w:r>
          </w:p>
        </w:tc>
        <w:tc>
          <w:tcPr>
            <w:tcW w:w="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40" w:type="dxa"/>
            <w:vAlign w:val="bottom"/>
            <w:tcBorders>
              <w:right w:val="single" w:sz="8" w:color="F0FFFF"/>
            </w:tcBorders>
            <w:shd w:val="clear" w:color="auto" w:fill="F0FFFF"/>
          </w:tcPr>
          <w:p>
            <w:pPr>
              <w:jc w:val="right"/>
              <w:ind w:right="57"/>
              <w:spacing w:after="0" w:line="135" w:lineRule="exact"/>
              <w:rPr>
                <w:sz w:val="20"/>
                <w:szCs w:val="20"/>
                <w:color w:val="auto"/>
              </w:rPr>
            </w:pPr>
            <w:r>
              <w:rPr>
                <w:rFonts w:ascii="Arial" w:cs="Arial" w:eastAsia="Arial" w:hAnsi="Arial"/>
                <w:sz w:val="13"/>
                <w:szCs w:val="13"/>
                <w:color w:val="auto"/>
              </w:rPr>
              <w:t>(766)</w:t>
            </w:r>
          </w:p>
        </w:tc>
        <w:tc>
          <w:tcPr>
            <w:tcW w:w="660" w:type="dxa"/>
            <w:vAlign w:val="bottom"/>
            <w:tcBorders>
              <w:right w:val="single" w:sz="8" w:color="F0FFFF"/>
            </w:tcBorders>
            <w:gridSpan w:val="2"/>
            <w:shd w:val="clear" w:color="auto" w:fill="F0FFFF"/>
          </w:tcPr>
          <w:p>
            <w:pPr>
              <w:jc w:val="right"/>
              <w:ind w:right="97"/>
              <w:spacing w:after="0" w:line="135" w:lineRule="exact"/>
              <w:rPr>
                <w:sz w:val="20"/>
                <w:szCs w:val="20"/>
                <w:color w:val="auto"/>
              </w:rPr>
            </w:pPr>
            <w:r>
              <w:rPr>
                <w:rFonts w:ascii="Arial" w:cs="Arial" w:eastAsia="Arial" w:hAnsi="Arial"/>
                <w:sz w:val="13"/>
                <w:szCs w:val="13"/>
                <w:color w:val="auto"/>
              </w:rPr>
              <w:t>9,337</w:t>
            </w:r>
          </w:p>
        </w:tc>
        <w:tc>
          <w:tcPr>
            <w:tcW w:w="680" w:type="dxa"/>
            <w:vAlign w:val="bottom"/>
            <w:tcBorders>
              <w:right w:val="single" w:sz="8" w:color="F0FFFF"/>
            </w:tcBorders>
            <w:gridSpan w:val="2"/>
            <w:shd w:val="clear" w:color="auto" w:fill="F0FFFF"/>
          </w:tcPr>
          <w:p>
            <w:pPr>
              <w:jc w:val="right"/>
              <w:ind w:right="97"/>
              <w:spacing w:after="0" w:line="135" w:lineRule="exact"/>
              <w:rPr>
                <w:sz w:val="20"/>
                <w:szCs w:val="20"/>
                <w:color w:val="auto"/>
              </w:rPr>
            </w:pPr>
            <w:r>
              <w:rPr>
                <w:rFonts w:ascii="Arial" w:cs="Arial" w:eastAsia="Arial" w:hAnsi="Arial"/>
                <w:sz w:val="13"/>
                <w:szCs w:val="13"/>
                <w:color w:val="auto"/>
              </w:rPr>
              <w:t>12,181</w:t>
            </w:r>
          </w:p>
        </w:tc>
        <w:tc>
          <w:tcPr>
            <w:tcW w:w="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80" w:type="dxa"/>
            <w:vAlign w:val="bottom"/>
            <w:gridSpan w:val="2"/>
            <w:shd w:val="clear" w:color="auto" w:fill="F0FFFF"/>
          </w:tcPr>
          <w:p>
            <w:pPr>
              <w:jc w:val="right"/>
              <w:ind w:right="38"/>
              <w:spacing w:after="0" w:line="135" w:lineRule="exact"/>
              <w:rPr>
                <w:sz w:val="20"/>
                <w:szCs w:val="20"/>
                <w:color w:val="auto"/>
              </w:rPr>
            </w:pPr>
            <w:r>
              <w:rPr>
                <w:rFonts w:ascii="Arial" w:cs="Arial" w:eastAsia="Arial" w:hAnsi="Arial"/>
                <w:sz w:val="13"/>
                <w:szCs w:val="13"/>
                <w:color w:val="auto"/>
                <w:w w:val="92"/>
              </w:rPr>
              <w:t>(1,946)</w:t>
            </w: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44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275</w:t>
            </w:r>
          </w:p>
        </w:tc>
        <w:tc>
          <w:tcPr>
            <w:tcW w:w="100" w:type="dxa"/>
            <w:vAlign w:val="bottom"/>
            <w:tcBorders>
              <w:right w:val="single" w:sz="8" w:color="F0FFFF"/>
            </w:tcBorders>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48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60" w:type="dxa"/>
            <w:vAlign w:val="bottom"/>
            <w:gridSpan w:val="2"/>
            <w:shd w:val="clear" w:color="auto" w:fill="F0FFFF"/>
          </w:tcPr>
          <w:p>
            <w:pPr>
              <w:jc w:val="right"/>
              <w:ind w:right="100"/>
              <w:spacing w:after="0" w:line="135" w:lineRule="exact"/>
              <w:rPr>
                <w:sz w:val="20"/>
                <w:szCs w:val="20"/>
                <w:color w:val="auto"/>
              </w:rPr>
            </w:pPr>
            <w:r>
              <w:rPr>
                <w:rFonts w:ascii="Arial" w:cs="Arial" w:eastAsia="Arial" w:hAnsi="Arial"/>
                <w:sz w:val="13"/>
                <w:szCs w:val="13"/>
                <w:color w:val="auto"/>
              </w:rPr>
              <w:t>698</w:t>
            </w:r>
          </w:p>
        </w:tc>
        <w:tc>
          <w:tcPr>
            <w:tcW w:w="120" w:type="dxa"/>
            <w:vAlign w:val="bottom"/>
            <w:shd w:val="clear" w:color="auto" w:fill="F0FFFF"/>
          </w:tcPr>
          <w:p>
            <w:pPr>
              <w:spacing w:after="0"/>
              <w:rPr>
                <w:sz w:val="11"/>
                <w:szCs w:val="11"/>
                <w:color w:val="auto"/>
              </w:rPr>
            </w:pPr>
          </w:p>
        </w:tc>
        <w:tc>
          <w:tcPr>
            <w:tcW w:w="560" w:type="dxa"/>
            <w:vAlign w:val="bottom"/>
            <w:gridSpan w:val="2"/>
            <w:shd w:val="clear" w:color="auto" w:fill="F0FFFF"/>
          </w:tcPr>
          <w:p>
            <w:pPr>
              <w:jc w:val="right"/>
              <w:ind w:right="100"/>
              <w:spacing w:after="0" w:line="135" w:lineRule="exact"/>
              <w:rPr>
                <w:sz w:val="20"/>
                <w:szCs w:val="20"/>
                <w:color w:val="auto"/>
              </w:rPr>
            </w:pPr>
            <w:r>
              <w:rPr>
                <w:rFonts w:ascii="Arial" w:cs="Arial" w:eastAsia="Arial" w:hAnsi="Arial"/>
                <w:sz w:val="13"/>
                <w:szCs w:val="13"/>
                <w:color w:val="auto"/>
              </w:rPr>
              <w:t>11,208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tcPr>
          <w:p>
            <w:pPr>
              <w:ind w:left="20"/>
              <w:spacing w:after="0" w:line="135" w:lineRule="exact"/>
              <w:rPr>
                <w:sz w:val="20"/>
                <w:szCs w:val="20"/>
                <w:color w:val="auto"/>
              </w:rPr>
            </w:pPr>
            <w:r>
              <w:rPr>
                <w:rFonts w:ascii="Arial" w:cs="Arial" w:eastAsia="Arial" w:hAnsi="Arial"/>
                <w:sz w:val="13"/>
                <w:szCs w:val="13"/>
                <w:color w:val="auto"/>
              </w:rPr>
              <w:t>Consumer installment</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713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(349)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187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137</w:t>
            </w:r>
          </w:p>
        </w:tc>
        <w:tc>
          <w:tcPr>
            <w:tcW w:w="66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688</w:t>
            </w:r>
          </w:p>
        </w:tc>
        <w:tc>
          <w:tcPr>
            <w:tcW w:w="6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717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38"/>
              <w:spacing w:after="0" w:line="135" w:lineRule="exact"/>
              <w:rPr>
                <w:sz w:val="20"/>
                <w:szCs w:val="20"/>
                <w:color w:val="auto"/>
              </w:rPr>
            </w:pPr>
            <w:r>
              <w:rPr>
                <w:rFonts w:ascii="Arial" w:cs="Arial" w:eastAsia="Arial" w:hAnsi="Arial"/>
                <w:sz w:val="13"/>
                <w:szCs w:val="13"/>
                <w:color w:val="auto"/>
              </w:rPr>
              <w:t>(455)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391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(54)</w:t>
            </w:r>
          </w:p>
        </w:tc>
        <w:tc>
          <w:tcPr>
            <w:tcW w:w="12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599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40" w:type="dxa"/>
            <w:vAlign w:val="bottom"/>
            <w:shd w:val="clear" w:color="auto" w:fill="F0FFFF"/>
          </w:tcPr>
          <w:p>
            <w:pPr>
              <w:ind w:left="20"/>
              <w:spacing w:after="0"/>
              <w:rPr>
                <w:sz w:val="20"/>
                <w:szCs w:val="20"/>
                <w:color w:val="auto"/>
              </w:rPr>
            </w:pPr>
            <w:r>
              <w:rPr>
                <w:rFonts w:ascii="Arial" w:cs="Arial" w:eastAsia="Arial" w:hAnsi="Arial"/>
                <w:sz w:val="13"/>
                <w:szCs w:val="13"/>
                <w:color w:val="auto"/>
              </w:rPr>
              <w:t>Indirect auto</w:t>
            </w:r>
          </w:p>
        </w:tc>
        <w:tc>
          <w:tcPr>
            <w:tcW w:w="96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520" w:type="dxa"/>
            <w:vAlign w:val="bottom"/>
            <w:gridSpan w:val="2"/>
            <w:shd w:val="clear" w:color="auto" w:fill="F0FFFF"/>
          </w:tcPr>
          <w:p>
            <w:pPr>
              <w:jc w:val="right"/>
              <w:ind w:right="120"/>
              <w:spacing w:after="0"/>
              <w:rPr>
                <w:sz w:val="20"/>
                <w:szCs w:val="20"/>
                <w:color w:val="auto"/>
              </w:rPr>
            </w:pPr>
            <w:r>
              <w:rPr>
                <w:rFonts w:ascii="Arial" w:cs="Arial" w:eastAsia="Arial" w:hAnsi="Arial"/>
                <w:sz w:val="13"/>
                <w:szCs w:val="13"/>
                <w:color w:val="auto"/>
              </w:rPr>
              <w:t>1,241</w:t>
            </w:r>
          </w:p>
        </w:tc>
        <w:tc>
          <w:tcPr>
            <w:tcW w:w="1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480" w:type="dxa"/>
            <w:vAlign w:val="bottom"/>
            <w:gridSpan w:val="3"/>
            <w:shd w:val="clear" w:color="auto" w:fill="F0FFFF"/>
          </w:tcPr>
          <w:p>
            <w:pPr>
              <w:jc w:val="right"/>
              <w:spacing w:after="0"/>
              <w:rPr>
                <w:sz w:val="20"/>
                <w:szCs w:val="20"/>
                <w:color w:val="auto"/>
              </w:rPr>
            </w:pPr>
            <w:r>
              <w:rPr>
                <w:rFonts w:ascii="Arial" w:cs="Arial" w:eastAsia="Arial" w:hAnsi="Arial"/>
                <w:sz w:val="13"/>
                <w:szCs w:val="13"/>
                <w:color w:val="auto"/>
              </w:rPr>
              <w:t>(130)</w:t>
            </w:r>
          </w:p>
        </w:tc>
        <w:tc>
          <w:tcPr>
            <w:tcW w:w="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540" w:type="dxa"/>
            <w:vAlign w:val="bottom"/>
            <w:tcBorders>
              <w:right w:val="single" w:sz="8" w:color="F0FFFF"/>
            </w:tcBorders>
            <w:shd w:val="clear" w:color="auto" w:fill="F0FFFF"/>
          </w:tcPr>
          <w:p>
            <w:pPr>
              <w:jc w:val="right"/>
              <w:ind w:right="97"/>
              <w:spacing w:after="0"/>
              <w:rPr>
                <w:sz w:val="20"/>
                <w:szCs w:val="20"/>
                <w:color w:val="auto"/>
              </w:rPr>
            </w:pPr>
            <w:r>
              <w:rPr>
                <w:rFonts w:ascii="Arial" w:cs="Arial" w:eastAsia="Arial" w:hAnsi="Arial"/>
                <w:sz w:val="13"/>
                <w:szCs w:val="13"/>
                <w:color w:val="auto"/>
              </w:rPr>
              <w:t>8</w:t>
            </w:r>
          </w:p>
        </w:tc>
        <w:tc>
          <w:tcPr>
            <w:tcW w:w="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540" w:type="dxa"/>
            <w:vAlign w:val="bottom"/>
            <w:tcBorders>
              <w:right w:val="single" w:sz="8" w:color="F0FFFF"/>
            </w:tcBorders>
            <w:shd w:val="clear" w:color="auto" w:fill="F0FFFF"/>
          </w:tcPr>
          <w:p>
            <w:pPr>
              <w:jc w:val="right"/>
              <w:ind w:right="97"/>
              <w:spacing w:after="0"/>
              <w:rPr>
                <w:sz w:val="20"/>
                <w:szCs w:val="20"/>
                <w:color w:val="auto"/>
              </w:rPr>
            </w:pPr>
            <w:r>
              <w:rPr>
                <w:rFonts w:ascii="Arial" w:cs="Arial" w:eastAsia="Arial" w:hAnsi="Arial"/>
                <w:sz w:val="13"/>
                <w:szCs w:val="13"/>
                <w:color w:val="auto"/>
              </w:rPr>
              <w:t>292</w:t>
            </w:r>
          </w:p>
        </w:tc>
        <w:tc>
          <w:tcPr>
            <w:tcW w:w="660" w:type="dxa"/>
            <w:vAlign w:val="bottom"/>
            <w:tcBorders>
              <w:right w:val="single" w:sz="8" w:color="F0FFFF"/>
            </w:tcBorders>
            <w:gridSpan w:val="2"/>
            <w:shd w:val="clear" w:color="auto" w:fill="F0FFFF"/>
          </w:tcPr>
          <w:p>
            <w:pPr>
              <w:jc w:val="right"/>
              <w:ind w:right="97"/>
              <w:spacing w:after="0"/>
              <w:rPr>
                <w:sz w:val="20"/>
                <w:szCs w:val="20"/>
                <w:color w:val="auto"/>
              </w:rPr>
            </w:pPr>
            <w:r>
              <w:rPr>
                <w:rFonts w:ascii="Arial" w:cs="Arial" w:eastAsia="Arial" w:hAnsi="Arial"/>
                <w:sz w:val="13"/>
                <w:szCs w:val="13"/>
                <w:color w:val="auto"/>
              </w:rPr>
              <w:t>1,411</w:t>
            </w:r>
          </w:p>
        </w:tc>
        <w:tc>
          <w:tcPr>
            <w:tcW w:w="680" w:type="dxa"/>
            <w:vAlign w:val="bottom"/>
            <w:tcBorders>
              <w:right w:val="single" w:sz="8" w:color="F0FFFF"/>
            </w:tcBorders>
            <w:gridSpan w:val="2"/>
            <w:shd w:val="clear" w:color="auto" w:fill="F0FFFF"/>
          </w:tcPr>
          <w:p>
            <w:pPr>
              <w:jc w:val="right"/>
              <w:ind w:right="97"/>
              <w:spacing w:after="0"/>
              <w:rPr>
                <w:sz w:val="20"/>
                <w:szCs w:val="20"/>
                <w:color w:val="auto"/>
              </w:rPr>
            </w:pPr>
            <w:r>
              <w:rPr>
                <w:rFonts w:ascii="Arial" w:cs="Arial" w:eastAsia="Arial" w:hAnsi="Arial"/>
                <w:sz w:val="13"/>
                <w:szCs w:val="13"/>
                <w:color w:val="auto"/>
              </w:rPr>
              <w:t>796</w:t>
            </w:r>
          </w:p>
        </w:tc>
        <w:tc>
          <w:tcPr>
            <w:tcW w:w="6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480" w:type="dxa"/>
            <w:vAlign w:val="bottom"/>
            <w:gridSpan w:val="2"/>
            <w:shd w:val="clear" w:color="auto" w:fill="F0FFFF"/>
          </w:tcPr>
          <w:p>
            <w:pPr>
              <w:jc w:val="right"/>
              <w:ind w:right="38"/>
              <w:spacing w:after="0"/>
              <w:rPr>
                <w:sz w:val="20"/>
                <w:szCs w:val="20"/>
                <w:color w:val="auto"/>
              </w:rPr>
            </w:pPr>
            <w:r>
              <w:rPr>
                <w:rFonts w:ascii="Arial" w:cs="Arial" w:eastAsia="Arial" w:hAnsi="Arial"/>
                <w:sz w:val="13"/>
                <w:szCs w:val="13"/>
                <w:color w:val="auto"/>
              </w:rPr>
              <w:t>(89)</w:t>
            </w: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320" w:type="dxa"/>
            <w:vAlign w:val="bottom"/>
            <w:shd w:val="clear" w:color="auto" w:fill="F0FFFF"/>
          </w:tcPr>
          <w:p>
            <w:pPr>
              <w:jc w:val="right"/>
              <w:spacing w:after="0"/>
              <w:rPr>
                <w:sz w:val="20"/>
                <w:szCs w:val="20"/>
                <w:color w:val="auto"/>
              </w:rPr>
            </w:pPr>
            <w:r>
              <w:rPr>
                <w:rFonts w:ascii="Arial" w:cs="Arial" w:eastAsia="Arial" w:hAnsi="Arial"/>
                <w:sz w:val="13"/>
                <w:szCs w:val="13"/>
                <w:color w:val="auto"/>
              </w:rPr>
              <w:t>16</w:t>
            </w:r>
          </w:p>
        </w:tc>
        <w:tc>
          <w:tcPr>
            <w:tcW w:w="120" w:type="dxa"/>
            <w:vAlign w:val="bottom"/>
            <w:shd w:val="clear" w:color="auto" w:fill="F0FFFF"/>
          </w:tcPr>
          <w:p>
            <w:pPr>
              <w:spacing w:after="0"/>
              <w:rPr>
                <w:sz w:val="14"/>
                <w:szCs w:val="14"/>
                <w:color w:val="auto"/>
              </w:rPr>
            </w:pPr>
          </w:p>
        </w:tc>
        <w:tc>
          <w:tcPr>
            <w:tcW w:w="100" w:type="dxa"/>
            <w:vAlign w:val="bottom"/>
            <w:tcBorders>
              <w:right w:val="single" w:sz="8" w:color="F0FFFF"/>
            </w:tcBorders>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480" w:type="dxa"/>
            <w:vAlign w:val="bottom"/>
            <w:gridSpan w:val="2"/>
            <w:shd w:val="clear" w:color="auto" w:fill="F0FF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460" w:type="dxa"/>
            <w:vAlign w:val="bottom"/>
            <w:gridSpan w:val="2"/>
            <w:shd w:val="clear" w:color="auto" w:fill="F0FFFF"/>
          </w:tcPr>
          <w:p>
            <w:pPr>
              <w:jc w:val="right"/>
              <w:ind w:right="100"/>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F0FFFF"/>
          </w:tcPr>
          <w:p>
            <w:pPr>
              <w:spacing w:after="0"/>
              <w:rPr>
                <w:sz w:val="14"/>
                <w:szCs w:val="14"/>
                <w:color w:val="auto"/>
              </w:rPr>
            </w:pPr>
          </w:p>
        </w:tc>
        <w:tc>
          <w:tcPr>
            <w:tcW w:w="560" w:type="dxa"/>
            <w:vAlign w:val="bottom"/>
            <w:gridSpan w:val="2"/>
            <w:shd w:val="clear" w:color="auto" w:fill="F0FFFF"/>
          </w:tcPr>
          <w:p>
            <w:pPr>
              <w:jc w:val="right"/>
              <w:ind w:right="100"/>
              <w:spacing w:after="0"/>
              <w:rPr>
                <w:sz w:val="20"/>
                <w:szCs w:val="20"/>
                <w:color w:val="auto"/>
              </w:rPr>
            </w:pPr>
            <w:r>
              <w:rPr>
                <w:rFonts w:ascii="Arial" w:cs="Arial" w:eastAsia="Arial" w:hAnsi="Arial"/>
                <w:sz w:val="13"/>
                <w:szCs w:val="13"/>
                <w:color w:val="auto"/>
              </w:rPr>
              <w:t>823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40" w:type="dxa"/>
            <w:vAlign w:val="bottom"/>
            <w:tcBorders>
              <w:top w:val="single" w:sz="8" w:color="F0FFFF"/>
            </w:tcBorders>
          </w:tcPr>
          <w:p>
            <w:pPr>
              <w:ind w:left="180"/>
              <w:spacing w:after="0" w:line="122" w:lineRule="exact"/>
              <w:rPr>
                <w:sz w:val="20"/>
                <w:szCs w:val="20"/>
                <w:color w:val="auto"/>
              </w:rPr>
            </w:pPr>
            <w:r>
              <w:rPr>
                <w:rFonts w:ascii="Arial" w:cs="Arial" w:eastAsia="Arial" w:hAnsi="Arial"/>
                <w:sz w:val="13"/>
                <w:szCs w:val="13"/>
                <w:color w:val="auto"/>
              </w:rPr>
              <w:t>Total allowance for loan losses</w:t>
            </w:r>
          </w:p>
        </w:tc>
        <w:tc>
          <w:tcPr>
            <w:tcW w:w="960" w:type="dxa"/>
            <w:vAlign w:val="bottom"/>
            <w:tcBorders>
              <w:top w:val="single" w:sz="8" w:color="F0FF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3"/>
                <w:szCs w:val="13"/>
                <w:color w:val="auto"/>
                <w:w w:val="95"/>
              </w:rPr>
              <w:t>70,007</w:t>
            </w:r>
          </w:p>
        </w:tc>
        <w:tc>
          <w:tcPr>
            <w:tcW w:w="120" w:type="dxa"/>
            <w:vAlign w:val="bottom"/>
            <w:tcBorders>
              <w:top w:val="single" w:sz="8" w:color="F0FFFF"/>
            </w:tcBorders>
          </w:tcPr>
          <w:p>
            <w:pPr>
              <w:spacing w:after="0"/>
              <w:rPr>
                <w:sz w:val="10"/>
                <w:szCs w:val="10"/>
                <w:color w:val="auto"/>
              </w:rPr>
            </w:pPr>
          </w:p>
        </w:tc>
        <w:tc>
          <w:tcPr>
            <w:tcW w:w="120" w:type="dxa"/>
            <w:vAlign w:val="bottom"/>
            <w:tcBorders>
              <w:top w:val="single" w:sz="8" w:color="F0FF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gridSpan w:val="2"/>
          </w:tcPr>
          <w:p>
            <w:pPr>
              <w:jc w:val="right"/>
              <w:spacing w:after="0" w:line="122" w:lineRule="exact"/>
              <w:rPr>
                <w:sz w:val="20"/>
                <w:szCs w:val="20"/>
                <w:color w:val="auto"/>
              </w:rPr>
            </w:pPr>
            <w:r>
              <w:rPr>
                <w:rFonts w:ascii="Arial" w:cs="Arial" w:eastAsia="Arial" w:hAnsi="Arial"/>
                <w:sz w:val="13"/>
                <w:szCs w:val="13"/>
                <w:color w:val="auto"/>
              </w:rPr>
              <w:t>(3,181</w:t>
            </w:r>
          </w:p>
        </w:tc>
        <w:tc>
          <w:tcPr>
            <w:tcW w:w="80" w:type="dxa"/>
            <w:vAlign w:val="bottom"/>
            <w:tcBorders>
              <w:top w:val="single" w:sz="8" w:color="F0FFFF"/>
            </w:tcBorders>
          </w:tcPr>
          <w:p>
            <w:pPr>
              <w:jc w:val="right"/>
              <w:spacing w:after="0"/>
              <w:rPr>
                <w:sz w:val="20"/>
                <w:szCs w:val="20"/>
                <w:color w:val="auto"/>
              </w:rPr>
            </w:pPr>
            <w:r>
              <w:rPr>
                <w:rFonts w:ascii="Arial" w:cs="Arial" w:eastAsia="Arial" w:hAnsi="Arial"/>
                <w:sz w:val="8"/>
                <w:szCs w:val="8"/>
                <w:color w:val="auto"/>
                <w:w w:val="73"/>
              </w:rPr>
              <w:t>)</w:t>
            </w:r>
          </w:p>
        </w:tc>
        <w:tc>
          <w:tcPr>
            <w:tcW w:w="40" w:type="dxa"/>
            <w:vAlign w:val="bottom"/>
            <w:tcBorders>
              <w:top w:val="single" w:sz="8" w:color="F0FFFF"/>
            </w:tcBorders>
          </w:tcPr>
          <w:p>
            <w:pPr>
              <w:spacing w:after="0"/>
              <w:rPr>
                <w:sz w:val="10"/>
                <w:szCs w:val="10"/>
                <w:color w:val="auto"/>
              </w:rPr>
            </w:pPr>
          </w:p>
        </w:tc>
        <w:tc>
          <w:tcPr>
            <w:tcW w:w="80" w:type="dxa"/>
            <w:vAlign w:val="bottom"/>
            <w:tcBorders>
              <w:top w:val="single" w:sz="8" w:color="F0FFFF"/>
            </w:tcBorders>
          </w:tcPr>
          <w:p>
            <w:pPr>
              <w:spacing w:after="0"/>
              <w:rPr>
                <w:sz w:val="10"/>
                <w:szCs w:val="10"/>
                <w:color w:val="auto"/>
              </w:rPr>
            </w:pPr>
          </w:p>
        </w:tc>
        <w:tc>
          <w:tcPr>
            <w:tcW w:w="40" w:type="dxa"/>
            <w:vAlign w:val="bottom"/>
            <w:tcBorders>
              <w:top w:val="single" w:sz="8" w:color="F0FF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117"/>
              <w:spacing w:after="0" w:line="122" w:lineRule="exact"/>
              <w:rPr>
                <w:sz w:val="20"/>
                <w:szCs w:val="20"/>
                <w:color w:val="auto"/>
              </w:rPr>
            </w:pPr>
            <w:r>
              <w:rPr>
                <w:rFonts w:ascii="Arial" w:cs="Arial" w:eastAsia="Arial" w:hAnsi="Arial"/>
                <w:sz w:val="13"/>
                <w:szCs w:val="13"/>
                <w:color w:val="auto"/>
              </w:rPr>
              <w:t>2,203</w:t>
            </w:r>
          </w:p>
        </w:tc>
        <w:tc>
          <w:tcPr>
            <w:tcW w:w="40" w:type="dxa"/>
            <w:vAlign w:val="bottom"/>
            <w:tcBorders>
              <w:top w:val="single" w:sz="8" w:color="F0FF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97"/>
              <w:spacing w:after="0" w:line="122" w:lineRule="exact"/>
              <w:rPr>
                <w:sz w:val="20"/>
                <w:szCs w:val="20"/>
                <w:color w:val="auto"/>
              </w:rPr>
            </w:pPr>
            <w:r>
              <w:rPr>
                <w:rFonts w:ascii="Arial" w:cs="Arial" w:eastAsia="Arial" w:hAnsi="Arial"/>
                <w:sz w:val="13"/>
                <w:szCs w:val="13"/>
                <w:color w:val="auto"/>
              </w:rPr>
              <w:t>1,100</w:t>
            </w:r>
          </w:p>
        </w:tc>
        <w:tc>
          <w:tcPr>
            <w:tcW w:w="40" w:type="dxa"/>
            <w:vAlign w:val="bottom"/>
            <w:tcBorders>
              <w:top w:val="single" w:sz="8" w:color="F0FFFF"/>
            </w:tcBorders>
          </w:tcPr>
          <w:p>
            <w:pPr>
              <w:spacing w:after="0"/>
              <w:rPr>
                <w:sz w:val="10"/>
                <w:szCs w:val="10"/>
                <w:color w:val="auto"/>
              </w:rPr>
            </w:pPr>
          </w:p>
        </w:tc>
        <w:tc>
          <w:tcPr>
            <w:tcW w:w="620" w:type="dxa"/>
            <w:vAlign w:val="bottom"/>
            <w:tcBorders>
              <w:top w:val="single" w:sz="8" w:color="auto"/>
            </w:tcBorders>
          </w:tcPr>
          <w:p>
            <w:pPr>
              <w:jc w:val="right"/>
              <w:ind w:right="97"/>
              <w:spacing w:after="0" w:line="122" w:lineRule="exact"/>
              <w:rPr>
                <w:sz w:val="20"/>
                <w:szCs w:val="20"/>
                <w:color w:val="auto"/>
              </w:rPr>
            </w:pPr>
            <w:r>
              <w:rPr>
                <w:rFonts w:ascii="Arial" w:cs="Arial" w:eastAsia="Arial" w:hAnsi="Arial"/>
                <w:sz w:val="13"/>
                <w:szCs w:val="13"/>
                <w:color w:val="auto"/>
              </w:rPr>
              <w:t>70,129</w:t>
            </w:r>
          </w:p>
        </w:tc>
        <w:tc>
          <w:tcPr>
            <w:tcW w:w="60" w:type="dxa"/>
            <w:vAlign w:val="bottom"/>
            <w:tcBorders>
              <w:top w:val="single" w:sz="8" w:color="F0FFFF"/>
            </w:tcBorders>
          </w:tcPr>
          <w:p>
            <w:pPr>
              <w:spacing w:after="0"/>
              <w:rPr>
                <w:sz w:val="10"/>
                <w:szCs w:val="10"/>
                <w:color w:val="auto"/>
              </w:rPr>
            </w:pPr>
          </w:p>
        </w:tc>
        <w:tc>
          <w:tcPr>
            <w:tcW w:w="620" w:type="dxa"/>
            <w:vAlign w:val="bottom"/>
            <w:tcBorders>
              <w:top w:val="single" w:sz="8" w:color="auto"/>
            </w:tcBorders>
          </w:tcPr>
          <w:p>
            <w:pPr>
              <w:jc w:val="right"/>
              <w:ind w:right="97"/>
              <w:spacing w:after="0" w:line="122" w:lineRule="exact"/>
              <w:rPr>
                <w:sz w:val="20"/>
                <w:szCs w:val="20"/>
                <w:color w:val="auto"/>
              </w:rPr>
            </w:pPr>
            <w:r>
              <w:rPr>
                <w:rFonts w:ascii="Arial" w:cs="Arial" w:eastAsia="Arial" w:hAnsi="Arial"/>
                <w:sz w:val="13"/>
                <w:szCs w:val="13"/>
                <w:color w:val="auto"/>
              </w:rPr>
              <w:t>75,223</w:t>
            </w:r>
          </w:p>
        </w:tc>
        <w:tc>
          <w:tcPr>
            <w:tcW w:w="60" w:type="dxa"/>
            <w:vAlign w:val="bottom"/>
            <w:tcBorders>
              <w:top w:val="single" w:sz="8" w:color="F0FF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3"/>
                <w:szCs w:val="13"/>
                <w:color w:val="auto"/>
                <w:w w:val="92"/>
              </w:rPr>
              <w:t>(8,607</w:t>
            </w:r>
          </w:p>
        </w:tc>
        <w:tc>
          <w:tcPr>
            <w:tcW w:w="120" w:type="dxa"/>
            <w:vAlign w:val="bottom"/>
            <w:tcBorders>
              <w:top w:val="single" w:sz="8" w:color="F0FFFF"/>
            </w:tcBorders>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F0FF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3"/>
                <w:szCs w:val="13"/>
                <w:color w:val="auto"/>
                <w:w w:val="92"/>
              </w:rPr>
              <w:t>4,432</w:t>
            </w:r>
          </w:p>
        </w:tc>
        <w:tc>
          <w:tcPr>
            <w:tcW w:w="120" w:type="dxa"/>
            <w:vAlign w:val="bottom"/>
            <w:tcBorders>
              <w:top w:val="single" w:sz="8" w:color="F0FFFF"/>
            </w:tcBorders>
          </w:tcPr>
          <w:p>
            <w:pPr>
              <w:spacing w:after="0"/>
              <w:rPr>
                <w:sz w:val="10"/>
                <w:szCs w:val="10"/>
                <w:color w:val="auto"/>
              </w:rPr>
            </w:pPr>
          </w:p>
        </w:tc>
        <w:tc>
          <w:tcPr>
            <w:tcW w:w="100" w:type="dxa"/>
            <w:vAlign w:val="bottom"/>
            <w:tcBorders>
              <w:top w:val="single" w:sz="8" w:color="F0FF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F0FFFF"/>
            </w:tcBorders>
          </w:tcPr>
          <w:p>
            <w:pPr>
              <w:spacing w:after="0"/>
              <w:rPr>
                <w:sz w:val="10"/>
                <w:szCs w:val="10"/>
                <w:color w:val="auto"/>
              </w:rPr>
            </w:pPr>
          </w:p>
        </w:tc>
        <w:tc>
          <w:tcPr>
            <w:tcW w:w="120" w:type="dxa"/>
            <w:vAlign w:val="bottom"/>
            <w:tcBorders>
              <w:top w:val="single" w:sz="8" w:color="F0FF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3"/>
                <w:szCs w:val="13"/>
                <w:color w:val="auto"/>
              </w:rPr>
              <w:t>2,200</w:t>
            </w:r>
          </w:p>
        </w:tc>
        <w:tc>
          <w:tcPr>
            <w:tcW w:w="100" w:type="dxa"/>
            <w:vAlign w:val="bottom"/>
            <w:tcBorders>
              <w:top w:val="single" w:sz="8" w:color="F0FFFF"/>
            </w:tcBorders>
          </w:tcPr>
          <w:p>
            <w:pPr>
              <w:spacing w:after="0"/>
              <w:rPr>
                <w:sz w:val="10"/>
                <w:szCs w:val="10"/>
                <w:color w:val="auto"/>
              </w:rPr>
            </w:pPr>
          </w:p>
        </w:tc>
        <w:tc>
          <w:tcPr>
            <w:tcW w:w="120" w:type="dxa"/>
            <w:vAlign w:val="bottom"/>
            <w:tcBorders>
              <w:top w:val="single" w:sz="8" w:color="F0FFFF"/>
            </w:tcBorders>
          </w:tcPr>
          <w:p>
            <w:pPr>
              <w:spacing w:after="0"/>
              <w:rPr>
                <w:sz w:val="10"/>
                <w:szCs w:val="10"/>
                <w:color w:val="auto"/>
              </w:rPr>
            </w:pPr>
          </w:p>
        </w:tc>
        <w:tc>
          <w:tcPr>
            <w:tcW w:w="46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3"/>
                <w:szCs w:val="13"/>
                <w:color w:val="auto"/>
              </w:rPr>
              <w:t>73,248</w:t>
            </w:r>
          </w:p>
        </w:tc>
        <w:tc>
          <w:tcPr>
            <w:tcW w:w="100" w:type="dxa"/>
            <w:vAlign w:val="bottom"/>
            <w:tcBorders>
              <w:top w:val="single" w:sz="8" w:color="F0FFFF"/>
            </w:tcBorders>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40" w:type="dxa"/>
            <w:vAlign w:val="bottom"/>
            <w:shd w:val="clear" w:color="auto" w:fill="F0FFFF"/>
          </w:tcPr>
          <w:p>
            <w:pPr>
              <w:spacing w:after="0"/>
              <w:rPr>
                <w:sz w:val="20"/>
                <w:szCs w:val="20"/>
                <w:color w:val="auto"/>
              </w:rPr>
            </w:pPr>
            <w:r>
              <w:rPr>
                <w:rFonts w:ascii="Arial" w:cs="Arial" w:eastAsia="Arial" w:hAnsi="Arial"/>
                <w:sz w:val="13"/>
                <w:szCs w:val="13"/>
                <w:color w:val="auto"/>
              </w:rPr>
              <w:t>Allowance for unfunded commitments</w:t>
            </w:r>
          </w:p>
        </w:tc>
        <w:tc>
          <w:tcPr>
            <w:tcW w:w="96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520" w:type="dxa"/>
            <w:vAlign w:val="bottom"/>
            <w:gridSpan w:val="2"/>
            <w:shd w:val="clear" w:color="auto" w:fill="F0FFFF"/>
          </w:tcPr>
          <w:p>
            <w:pPr>
              <w:jc w:val="right"/>
              <w:ind w:right="120"/>
              <w:spacing w:after="0"/>
              <w:rPr>
                <w:sz w:val="20"/>
                <w:szCs w:val="20"/>
                <w:color w:val="auto"/>
              </w:rPr>
            </w:pPr>
            <w:r>
              <w:rPr>
                <w:rFonts w:ascii="Arial" w:cs="Arial" w:eastAsia="Arial" w:hAnsi="Arial"/>
                <w:sz w:val="13"/>
                <w:szCs w:val="13"/>
                <w:color w:val="auto"/>
              </w:rPr>
              <w:t>2,780</w:t>
            </w:r>
          </w:p>
        </w:tc>
        <w:tc>
          <w:tcPr>
            <w:tcW w:w="1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480" w:type="dxa"/>
            <w:vAlign w:val="bottom"/>
            <w:gridSpan w:val="3"/>
            <w:shd w:val="clear" w:color="auto" w:fill="F0FFFF"/>
          </w:tcPr>
          <w:p>
            <w:pPr>
              <w:jc w:val="right"/>
              <w:ind w:right="38"/>
              <w:spacing w:after="0"/>
              <w:rPr>
                <w:sz w:val="20"/>
                <w:szCs w:val="20"/>
                <w:color w:val="auto"/>
              </w:rPr>
            </w:pPr>
            <w:r>
              <w:rPr>
                <w:rFonts w:ascii="Arial" w:cs="Arial" w:eastAsia="Arial" w:hAnsi="Arial"/>
                <w:sz w:val="13"/>
                <w:szCs w:val="13"/>
                <w:color w:val="auto"/>
              </w:rPr>
              <w:t>-</w:t>
            </w:r>
          </w:p>
        </w:tc>
        <w:tc>
          <w:tcPr>
            <w:tcW w:w="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540" w:type="dxa"/>
            <w:vAlign w:val="bottom"/>
            <w:tcBorders>
              <w:right w:val="single" w:sz="8" w:color="F0FFFF"/>
            </w:tcBorders>
            <w:shd w:val="clear" w:color="auto" w:fill="F0FFFF"/>
          </w:tcPr>
          <w:p>
            <w:pPr>
              <w:jc w:val="right"/>
              <w:ind w:right="97"/>
              <w:spacing w:after="0"/>
              <w:rPr>
                <w:sz w:val="20"/>
                <w:szCs w:val="20"/>
                <w:color w:val="auto"/>
              </w:rPr>
            </w:pPr>
            <w:r>
              <w:rPr>
                <w:rFonts w:ascii="Arial" w:cs="Arial" w:eastAsia="Arial" w:hAnsi="Arial"/>
                <w:sz w:val="13"/>
                <w:szCs w:val="13"/>
                <w:color w:val="auto"/>
              </w:rPr>
              <w:t>-</w:t>
            </w:r>
          </w:p>
        </w:tc>
        <w:tc>
          <w:tcPr>
            <w:tcW w:w="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540" w:type="dxa"/>
            <w:vAlign w:val="bottom"/>
            <w:tcBorders>
              <w:right w:val="single" w:sz="8" w:color="F0FFFF"/>
            </w:tcBorders>
            <w:shd w:val="clear" w:color="auto" w:fill="F0FFFF"/>
          </w:tcPr>
          <w:p>
            <w:pPr>
              <w:jc w:val="right"/>
              <w:ind w:right="57"/>
              <w:spacing w:after="0"/>
              <w:rPr>
                <w:sz w:val="20"/>
                <w:szCs w:val="20"/>
                <w:color w:val="auto"/>
              </w:rPr>
            </w:pPr>
            <w:r>
              <w:rPr>
                <w:rFonts w:ascii="Arial" w:cs="Arial" w:eastAsia="Arial" w:hAnsi="Arial"/>
                <w:sz w:val="13"/>
                <w:szCs w:val="13"/>
                <w:color w:val="auto"/>
              </w:rPr>
              <w:t>(200)</w:t>
            </w:r>
          </w:p>
        </w:tc>
        <w:tc>
          <w:tcPr>
            <w:tcW w:w="660" w:type="dxa"/>
            <w:vAlign w:val="bottom"/>
            <w:tcBorders>
              <w:right w:val="single" w:sz="8" w:color="F0FFFF"/>
            </w:tcBorders>
            <w:gridSpan w:val="2"/>
            <w:shd w:val="clear" w:color="auto" w:fill="F0FFFF"/>
          </w:tcPr>
          <w:p>
            <w:pPr>
              <w:jc w:val="right"/>
              <w:ind w:right="97"/>
              <w:spacing w:after="0"/>
              <w:rPr>
                <w:sz w:val="20"/>
                <w:szCs w:val="20"/>
                <w:color w:val="auto"/>
              </w:rPr>
            </w:pPr>
            <w:r>
              <w:rPr>
                <w:rFonts w:ascii="Arial" w:cs="Arial" w:eastAsia="Arial" w:hAnsi="Arial"/>
                <w:sz w:val="13"/>
                <w:szCs w:val="13"/>
                <w:color w:val="auto"/>
              </w:rPr>
              <w:t>2,580</w:t>
            </w:r>
          </w:p>
        </w:tc>
        <w:tc>
          <w:tcPr>
            <w:tcW w:w="680" w:type="dxa"/>
            <w:vAlign w:val="bottom"/>
            <w:tcBorders>
              <w:right w:val="single" w:sz="8" w:color="F0FFFF"/>
            </w:tcBorders>
            <w:gridSpan w:val="2"/>
            <w:shd w:val="clear" w:color="auto" w:fill="F0FFFF"/>
          </w:tcPr>
          <w:p>
            <w:pPr>
              <w:jc w:val="right"/>
              <w:ind w:right="97"/>
              <w:spacing w:after="0"/>
              <w:rPr>
                <w:sz w:val="20"/>
                <w:szCs w:val="20"/>
                <w:color w:val="auto"/>
              </w:rPr>
            </w:pPr>
            <w:r>
              <w:rPr>
                <w:rFonts w:ascii="Arial" w:cs="Arial" w:eastAsia="Arial" w:hAnsi="Arial"/>
                <w:sz w:val="13"/>
                <w:szCs w:val="13"/>
                <w:color w:val="auto"/>
              </w:rPr>
              <w:t>2,165</w:t>
            </w:r>
          </w:p>
        </w:tc>
        <w:tc>
          <w:tcPr>
            <w:tcW w:w="6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480" w:type="dxa"/>
            <w:vAlign w:val="bottom"/>
            <w:gridSpan w:val="2"/>
            <w:shd w:val="clear" w:color="auto" w:fill="F0FF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440" w:type="dxa"/>
            <w:vAlign w:val="bottom"/>
            <w:gridSpan w:val="2"/>
            <w:shd w:val="clear" w:color="auto" w:fill="F0FF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F0FFFF"/>
            </w:tcBorders>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480" w:type="dxa"/>
            <w:vAlign w:val="bottom"/>
            <w:gridSpan w:val="2"/>
            <w:shd w:val="clear" w:color="auto" w:fill="F0FF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460" w:type="dxa"/>
            <w:vAlign w:val="bottom"/>
            <w:gridSpan w:val="2"/>
            <w:shd w:val="clear" w:color="auto" w:fill="F0FF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F0FFFF"/>
          </w:tcPr>
          <w:p>
            <w:pPr>
              <w:spacing w:after="0"/>
              <w:rPr>
                <w:sz w:val="14"/>
                <w:szCs w:val="14"/>
                <w:color w:val="auto"/>
              </w:rPr>
            </w:pPr>
          </w:p>
        </w:tc>
        <w:tc>
          <w:tcPr>
            <w:tcW w:w="560" w:type="dxa"/>
            <w:vAlign w:val="bottom"/>
            <w:gridSpan w:val="2"/>
            <w:shd w:val="clear" w:color="auto" w:fill="F0FFFF"/>
          </w:tcPr>
          <w:p>
            <w:pPr>
              <w:jc w:val="right"/>
              <w:ind w:right="100"/>
              <w:spacing w:after="0"/>
              <w:rPr>
                <w:sz w:val="20"/>
                <w:szCs w:val="20"/>
                <w:color w:val="auto"/>
              </w:rPr>
            </w:pPr>
            <w:r>
              <w:rPr>
                <w:rFonts w:ascii="Arial" w:cs="Arial" w:eastAsia="Arial" w:hAnsi="Arial"/>
                <w:sz w:val="13"/>
                <w:szCs w:val="13"/>
                <w:color w:val="auto"/>
              </w:rPr>
              <w:t>2,165</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40" w:type="dxa"/>
            <w:vAlign w:val="bottom"/>
            <w:tcBorders>
              <w:top w:val="single" w:sz="8" w:color="F0FFFF"/>
            </w:tcBorders>
          </w:tcPr>
          <w:p>
            <w:pPr>
              <w:ind w:left="180"/>
              <w:spacing w:after="0" w:line="136" w:lineRule="exact"/>
              <w:rPr>
                <w:sz w:val="20"/>
                <w:szCs w:val="20"/>
                <w:color w:val="auto"/>
              </w:rPr>
            </w:pPr>
            <w:r>
              <w:rPr>
                <w:rFonts w:ascii="Arial" w:cs="Arial" w:eastAsia="Arial" w:hAnsi="Arial"/>
                <w:sz w:val="13"/>
                <w:szCs w:val="13"/>
                <w:color w:val="auto"/>
              </w:rPr>
              <w:t>Total allowance for credit losses</w:t>
            </w:r>
          </w:p>
        </w:tc>
        <w:tc>
          <w:tcPr>
            <w:tcW w:w="960" w:type="dxa"/>
            <w:vAlign w:val="bottom"/>
            <w:tcBorders>
              <w:top w:val="single" w:sz="8" w:color="F0FF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w w:val="95"/>
              </w:rPr>
              <w:t>72,787</w:t>
            </w:r>
          </w:p>
        </w:tc>
        <w:tc>
          <w:tcPr>
            <w:tcW w:w="120" w:type="dxa"/>
            <w:vAlign w:val="bottom"/>
            <w:tcBorders>
              <w:top w:val="single" w:sz="8" w:color="F0FFFF"/>
            </w:tcBorders>
          </w:tcPr>
          <w:p>
            <w:pPr>
              <w:spacing w:after="0"/>
              <w:rPr>
                <w:sz w:val="11"/>
                <w:szCs w:val="11"/>
                <w:color w:val="auto"/>
              </w:rPr>
            </w:pPr>
          </w:p>
        </w:tc>
        <w:tc>
          <w:tcPr>
            <w:tcW w:w="120" w:type="dxa"/>
            <w:vAlign w:val="bottom"/>
            <w:tcBorders>
              <w:top w:val="single" w:sz="8" w:color="F0FF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w w:val="82"/>
              </w:rPr>
              <w:t>$</w:t>
            </w:r>
          </w:p>
        </w:tc>
        <w:tc>
          <w:tcPr>
            <w:tcW w:w="400" w:type="dxa"/>
            <w:vAlign w:val="bottom"/>
            <w:tcBorders>
              <w:top w:val="single" w:sz="8" w:color="auto"/>
              <w:bottom w:val="single" w:sz="8" w:color="auto"/>
            </w:tcBorders>
            <w:gridSpan w:val="2"/>
          </w:tcPr>
          <w:p>
            <w:pPr>
              <w:jc w:val="right"/>
              <w:spacing w:after="0" w:line="136" w:lineRule="exact"/>
              <w:rPr>
                <w:sz w:val="20"/>
                <w:szCs w:val="20"/>
                <w:color w:val="auto"/>
              </w:rPr>
            </w:pPr>
            <w:r>
              <w:rPr>
                <w:rFonts w:ascii="Arial" w:cs="Arial" w:eastAsia="Arial" w:hAnsi="Arial"/>
                <w:sz w:val="13"/>
                <w:szCs w:val="13"/>
                <w:color w:val="auto"/>
              </w:rPr>
              <w:t>(3,181</w:t>
            </w:r>
          </w:p>
        </w:tc>
        <w:tc>
          <w:tcPr>
            <w:tcW w:w="80" w:type="dxa"/>
            <w:vAlign w:val="bottom"/>
            <w:tcBorders>
              <w:top w:val="single" w:sz="8" w:color="F0FFFF"/>
            </w:tcBorders>
          </w:tcPr>
          <w:p>
            <w:pPr>
              <w:jc w:val="right"/>
              <w:spacing w:after="0"/>
              <w:rPr>
                <w:sz w:val="20"/>
                <w:szCs w:val="20"/>
                <w:color w:val="auto"/>
              </w:rPr>
            </w:pPr>
            <w:r>
              <w:rPr>
                <w:rFonts w:ascii="Arial" w:cs="Arial" w:eastAsia="Arial" w:hAnsi="Arial"/>
                <w:sz w:val="8"/>
                <w:szCs w:val="8"/>
                <w:color w:val="auto"/>
                <w:w w:val="73"/>
              </w:rPr>
              <w:t>)</w:t>
            </w:r>
          </w:p>
        </w:tc>
        <w:tc>
          <w:tcPr>
            <w:tcW w:w="40" w:type="dxa"/>
            <w:vAlign w:val="bottom"/>
            <w:tcBorders>
              <w:top w:val="single" w:sz="8" w:color="F0FFFF"/>
            </w:tcBorders>
          </w:tcPr>
          <w:p>
            <w:pPr>
              <w:spacing w:after="0"/>
              <w:rPr>
                <w:sz w:val="11"/>
                <w:szCs w:val="11"/>
                <w:color w:val="auto"/>
              </w:rPr>
            </w:pPr>
          </w:p>
        </w:tc>
        <w:tc>
          <w:tcPr>
            <w:tcW w:w="80" w:type="dxa"/>
            <w:vAlign w:val="bottom"/>
            <w:tcBorders>
              <w:top w:val="single" w:sz="8" w:color="F0FFFF"/>
            </w:tcBorders>
          </w:tcPr>
          <w:p>
            <w:pPr>
              <w:spacing w:after="0"/>
              <w:rPr>
                <w:sz w:val="11"/>
                <w:szCs w:val="11"/>
                <w:color w:val="auto"/>
              </w:rPr>
            </w:pPr>
          </w:p>
        </w:tc>
        <w:tc>
          <w:tcPr>
            <w:tcW w:w="40" w:type="dxa"/>
            <w:vAlign w:val="bottom"/>
            <w:tcBorders>
              <w:top w:val="single" w:sz="8" w:color="F0FF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36"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ind w:right="117"/>
              <w:spacing w:after="0" w:line="136" w:lineRule="exact"/>
              <w:rPr>
                <w:sz w:val="20"/>
                <w:szCs w:val="20"/>
                <w:color w:val="auto"/>
              </w:rPr>
            </w:pPr>
            <w:r>
              <w:rPr>
                <w:rFonts w:ascii="Arial" w:cs="Arial" w:eastAsia="Arial" w:hAnsi="Arial"/>
                <w:sz w:val="13"/>
                <w:szCs w:val="13"/>
                <w:color w:val="auto"/>
              </w:rPr>
              <w:t>2,203</w:t>
            </w:r>
          </w:p>
        </w:tc>
        <w:tc>
          <w:tcPr>
            <w:tcW w:w="40" w:type="dxa"/>
            <w:vAlign w:val="bottom"/>
            <w:tcBorders>
              <w:top w:val="single" w:sz="8" w:color="F0FF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auto"/>
            </w:tcBorders>
          </w:tcPr>
          <w:p>
            <w:pPr>
              <w:jc w:val="right"/>
              <w:ind w:right="97"/>
              <w:spacing w:after="0" w:line="136" w:lineRule="exact"/>
              <w:rPr>
                <w:sz w:val="20"/>
                <w:szCs w:val="20"/>
                <w:color w:val="auto"/>
              </w:rPr>
            </w:pPr>
            <w:r>
              <w:rPr>
                <w:rFonts w:ascii="Arial" w:cs="Arial" w:eastAsia="Arial" w:hAnsi="Arial"/>
                <w:sz w:val="13"/>
                <w:szCs w:val="13"/>
                <w:color w:val="auto"/>
              </w:rPr>
              <w:t>900</w:t>
            </w:r>
          </w:p>
        </w:tc>
        <w:tc>
          <w:tcPr>
            <w:tcW w:w="40" w:type="dxa"/>
            <w:vAlign w:val="bottom"/>
            <w:tcBorders>
              <w:top w:val="single" w:sz="8" w:color="F0FFFF"/>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97"/>
              <w:spacing w:after="0" w:line="136" w:lineRule="exact"/>
              <w:rPr>
                <w:sz w:val="20"/>
                <w:szCs w:val="20"/>
                <w:color w:val="auto"/>
              </w:rPr>
            </w:pPr>
            <w:r>
              <w:rPr>
                <w:rFonts w:ascii="Arial" w:cs="Arial" w:eastAsia="Arial" w:hAnsi="Arial"/>
                <w:sz w:val="13"/>
                <w:szCs w:val="13"/>
                <w:color w:val="auto"/>
                <w:w w:val="86"/>
              </w:rPr>
              <w:t>$ 72,709</w:t>
            </w:r>
          </w:p>
        </w:tc>
        <w:tc>
          <w:tcPr>
            <w:tcW w:w="60" w:type="dxa"/>
            <w:vAlign w:val="bottom"/>
            <w:tcBorders>
              <w:top w:val="single" w:sz="8" w:color="F0FFFF"/>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97"/>
              <w:spacing w:after="0" w:line="136" w:lineRule="exact"/>
              <w:rPr>
                <w:sz w:val="20"/>
                <w:szCs w:val="20"/>
                <w:color w:val="auto"/>
              </w:rPr>
            </w:pPr>
            <w:r>
              <w:rPr>
                <w:rFonts w:ascii="Arial" w:cs="Arial" w:eastAsia="Arial" w:hAnsi="Arial"/>
                <w:sz w:val="13"/>
                <w:szCs w:val="13"/>
                <w:color w:val="auto"/>
                <w:w w:val="86"/>
              </w:rPr>
              <w:t>$ 77,388</w:t>
            </w:r>
          </w:p>
        </w:tc>
        <w:tc>
          <w:tcPr>
            <w:tcW w:w="60" w:type="dxa"/>
            <w:vAlign w:val="bottom"/>
            <w:tcBorders>
              <w:top w:val="single" w:sz="8" w:color="F0FFFF"/>
            </w:tcBorders>
          </w:tcPr>
          <w:p>
            <w:pPr>
              <w:spacing w:after="0"/>
              <w:rPr>
                <w:sz w:val="11"/>
                <w:szCs w:val="11"/>
                <w:color w:val="auto"/>
              </w:rPr>
            </w:pPr>
          </w:p>
        </w:tc>
        <w:tc>
          <w:tcPr>
            <w:tcW w:w="440" w:type="dxa"/>
            <w:vAlign w:val="bottom"/>
            <w:tcBorders>
              <w:top w:val="single" w:sz="8" w:color="auto"/>
              <w:bottom w:val="single" w:sz="8" w:color="auto"/>
            </w:tcBorders>
            <w:gridSpan w:val="2"/>
          </w:tcPr>
          <w:p>
            <w:pPr>
              <w:jc w:val="right"/>
              <w:spacing w:after="0" w:line="136" w:lineRule="exact"/>
              <w:rPr>
                <w:sz w:val="20"/>
                <w:szCs w:val="20"/>
                <w:color w:val="auto"/>
              </w:rPr>
            </w:pPr>
            <w:r>
              <w:rPr>
                <w:rFonts w:ascii="Arial" w:cs="Arial" w:eastAsia="Arial" w:hAnsi="Arial"/>
                <w:sz w:val="13"/>
                <w:szCs w:val="13"/>
                <w:color w:val="auto"/>
                <w:w w:val="87"/>
              </w:rPr>
              <w:t>$ (8,607</w:t>
            </w:r>
          </w:p>
        </w:tc>
        <w:tc>
          <w:tcPr>
            <w:tcW w:w="120" w:type="dxa"/>
            <w:vAlign w:val="bottom"/>
            <w:tcBorders>
              <w:top w:val="single" w:sz="8" w:color="F0FFFF"/>
            </w:tcBorders>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F0FFFF"/>
            </w:tcBorders>
          </w:tcPr>
          <w:p>
            <w:pPr>
              <w:spacing w:after="0"/>
              <w:rPr>
                <w:sz w:val="11"/>
                <w:szCs w:val="11"/>
                <w:color w:val="auto"/>
              </w:rPr>
            </w:pPr>
          </w:p>
        </w:tc>
        <w:tc>
          <w:tcPr>
            <w:tcW w:w="120" w:type="dxa"/>
            <w:vAlign w:val="bottom"/>
            <w:tcBorders>
              <w:top w:val="single" w:sz="8" w:color="auto"/>
              <w:bottom w:val="single" w:sz="8" w:color="auto"/>
            </w:tcBorders>
          </w:tcPr>
          <w:p>
            <w:pPr>
              <w:spacing w:after="0" w:line="136"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w w:val="92"/>
              </w:rPr>
              <w:t>4,432</w:t>
            </w:r>
          </w:p>
        </w:tc>
        <w:tc>
          <w:tcPr>
            <w:tcW w:w="120" w:type="dxa"/>
            <w:vAlign w:val="bottom"/>
            <w:tcBorders>
              <w:top w:val="single" w:sz="8" w:color="F0FFFF"/>
            </w:tcBorders>
          </w:tcPr>
          <w:p>
            <w:pPr>
              <w:spacing w:after="0"/>
              <w:rPr>
                <w:sz w:val="11"/>
                <w:szCs w:val="11"/>
                <w:color w:val="auto"/>
              </w:rPr>
            </w:pPr>
          </w:p>
        </w:tc>
        <w:tc>
          <w:tcPr>
            <w:tcW w:w="100" w:type="dxa"/>
            <w:vAlign w:val="bottom"/>
            <w:tcBorders>
              <w:top w:val="single" w:sz="8" w:color="F0FFFF"/>
            </w:tcBorders>
          </w:tcPr>
          <w:p>
            <w:pPr>
              <w:spacing w:after="0"/>
              <w:rPr>
                <w:sz w:val="11"/>
                <w:szCs w:val="11"/>
                <w:color w:val="auto"/>
              </w:rPr>
            </w:pPr>
          </w:p>
        </w:tc>
        <w:tc>
          <w:tcPr>
            <w:tcW w:w="140" w:type="dxa"/>
            <w:vAlign w:val="bottom"/>
            <w:tcBorders>
              <w:top w:val="single" w:sz="8" w:color="auto"/>
              <w:bottom w:val="single" w:sz="8" w:color="auto"/>
            </w:tcBorders>
          </w:tcPr>
          <w:p>
            <w:pPr>
              <w:spacing w:after="0" w:line="136" w:lineRule="exact"/>
              <w:rPr>
                <w:sz w:val="20"/>
                <w:szCs w:val="20"/>
                <w:color w:val="auto"/>
              </w:rPr>
            </w:pPr>
            <w:r>
              <w:rPr>
                <w:rFonts w:ascii="Arial" w:cs="Arial" w:eastAsia="Arial" w:hAnsi="Arial"/>
                <w:sz w:val="13"/>
                <w:szCs w:val="13"/>
                <w:color w:val="auto"/>
              </w:rPr>
              <w:t>$</w:t>
            </w:r>
          </w:p>
        </w:tc>
        <w:tc>
          <w:tcPr>
            <w:tcW w:w="3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F0FFFF"/>
            </w:tcBorders>
          </w:tcPr>
          <w:p>
            <w:pPr>
              <w:spacing w:after="0"/>
              <w:rPr>
                <w:sz w:val="11"/>
                <w:szCs w:val="11"/>
                <w:color w:val="auto"/>
              </w:rPr>
            </w:pPr>
          </w:p>
        </w:tc>
        <w:tc>
          <w:tcPr>
            <w:tcW w:w="120" w:type="dxa"/>
            <w:vAlign w:val="bottom"/>
            <w:tcBorders>
              <w:top w:val="single" w:sz="8" w:color="F0FF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36" w:lineRule="exact"/>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2,200</w:t>
            </w:r>
          </w:p>
        </w:tc>
        <w:tc>
          <w:tcPr>
            <w:tcW w:w="100" w:type="dxa"/>
            <w:vAlign w:val="bottom"/>
            <w:tcBorders>
              <w:top w:val="single" w:sz="8" w:color="F0FFFF"/>
            </w:tcBorders>
          </w:tcPr>
          <w:p>
            <w:pPr>
              <w:spacing w:after="0"/>
              <w:rPr>
                <w:sz w:val="11"/>
                <w:szCs w:val="11"/>
                <w:color w:val="auto"/>
              </w:rPr>
            </w:pPr>
          </w:p>
        </w:tc>
        <w:tc>
          <w:tcPr>
            <w:tcW w:w="120" w:type="dxa"/>
            <w:vAlign w:val="bottom"/>
            <w:tcBorders>
              <w:top w:val="single" w:sz="8" w:color="F0FFFF"/>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w w:val="86"/>
              </w:rPr>
              <w:t>$ 75,413</w:t>
            </w:r>
          </w:p>
        </w:tc>
        <w:tc>
          <w:tcPr>
            <w:tcW w:w="100" w:type="dxa"/>
            <w:vAlign w:val="bottom"/>
            <w:tcBorders>
              <w:top w:val="single" w:sz="8" w:color="F0FFFF"/>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5"/>
              </w:rPr>
              <w:t>Allocation</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Beginning</w:t>
            </w:r>
          </w:p>
        </w:tc>
        <w:tc>
          <w:tcPr>
            <w:tcW w:w="600" w:type="dxa"/>
            <w:vAlign w:val="bottom"/>
            <w:gridSpan w:val="5"/>
          </w:tcPr>
          <w:p>
            <w:pPr>
              <w:jc w:val="center"/>
              <w:ind w:right="40"/>
              <w:spacing w:after="0" w:line="135" w:lineRule="exact"/>
              <w:rPr>
                <w:sz w:val="20"/>
                <w:szCs w:val="20"/>
                <w:color w:val="auto"/>
              </w:rPr>
            </w:pPr>
            <w:r>
              <w:rPr>
                <w:rFonts w:ascii="Arial" w:cs="Arial" w:eastAsia="Arial" w:hAnsi="Arial"/>
                <w:sz w:val="13"/>
                <w:szCs w:val="13"/>
                <w:b w:val="1"/>
                <w:bCs w:val="1"/>
                <w:color w:val="auto"/>
                <w:w w:val="89"/>
              </w:rPr>
              <w:t>Charge-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w w:val="95"/>
              </w:rPr>
              <w:t>Ending</w:t>
            </w:r>
          </w:p>
        </w:tc>
        <w:tc>
          <w:tcPr>
            <w:tcW w:w="680" w:type="dxa"/>
            <w:vAlign w:val="bottom"/>
            <w:gridSpan w:val="2"/>
          </w:tcPr>
          <w:p>
            <w:pPr>
              <w:jc w:val="center"/>
              <w:ind w:right="37"/>
              <w:spacing w:after="0" w:line="135" w:lineRule="exact"/>
              <w:rPr>
                <w:sz w:val="20"/>
                <w:szCs w:val="20"/>
                <w:color w:val="auto"/>
              </w:rPr>
            </w:pPr>
            <w:r>
              <w:rPr>
                <w:rFonts w:ascii="Arial" w:cs="Arial" w:eastAsia="Arial" w:hAnsi="Arial"/>
                <w:sz w:val="13"/>
                <w:szCs w:val="13"/>
                <w:b w:val="1"/>
                <w:bCs w:val="1"/>
                <w:color w:val="auto"/>
                <w:w w:val="84"/>
              </w:rPr>
              <w:t>Beginning</w:t>
            </w:r>
          </w:p>
        </w:tc>
        <w:tc>
          <w:tcPr>
            <w:tcW w:w="60" w:type="dxa"/>
            <w:vAlign w:val="bottom"/>
          </w:tcPr>
          <w:p>
            <w:pPr>
              <w:spacing w:after="0"/>
              <w:rPr>
                <w:sz w:val="11"/>
                <w:szCs w:val="11"/>
                <w:color w:val="auto"/>
              </w:rPr>
            </w:pPr>
          </w:p>
        </w:tc>
        <w:tc>
          <w:tcPr>
            <w:tcW w:w="660" w:type="dxa"/>
            <w:vAlign w:val="bottom"/>
            <w:gridSpan w:val="4"/>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Charge-</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81"/>
              </w:rPr>
              <w:t>of</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Ending</w:t>
            </w:r>
          </w:p>
        </w:tc>
        <w:tc>
          <w:tcPr>
            <w:tcW w:w="0" w:type="dxa"/>
            <w:vAlign w:val="bottom"/>
          </w:tcPr>
          <w:p>
            <w:pPr>
              <w:spacing w:after="0"/>
              <w:rPr>
                <w:sz w:val="1"/>
                <w:szCs w:val="1"/>
                <w:color w:val="auto"/>
              </w:rPr>
            </w:pPr>
          </w:p>
        </w:tc>
      </w:tr>
      <w:tr>
        <w:trPr>
          <w:trHeight w:val="160"/>
        </w:trPr>
        <w:tc>
          <w:tcPr>
            <w:tcW w:w="3060" w:type="dxa"/>
            <w:vAlign w:val="bottom"/>
            <w:gridSpan w:val="2"/>
          </w:tcPr>
          <w:p>
            <w:pPr>
              <w:spacing w:after="0"/>
              <w:rPr>
                <w:sz w:val="20"/>
                <w:szCs w:val="20"/>
                <w:color w:val="auto"/>
              </w:rPr>
            </w:pPr>
            <w:r>
              <w:rPr>
                <w:rFonts w:ascii="Arial" w:cs="Arial" w:eastAsia="Arial" w:hAnsi="Arial"/>
                <w:sz w:val="13"/>
                <w:szCs w:val="13"/>
                <w:b w:val="1"/>
                <w:bCs w:val="1"/>
                <w:color w:val="auto"/>
              </w:rPr>
              <w:t>Six Months Ended June 30,</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8"/>
              </w:rPr>
              <w:t>Balance</w:t>
            </w:r>
          </w:p>
        </w:tc>
        <w:tc>
          <w:tcPr>
            <w:tcW w:w="80" w:type="dxa"/>
            <w:vAlign w:val="bottom"/>
          </w:tcPr>
          <w:p>
            <w:pPr>
              <w:spacing w:after="0"/>
              <w:rPr>
                <w:sz w:val="13"/>
                <w:szCs w:val="13"/>
                <w:color w:val="auto"/>
              </w:rPr>
            </w:pPr>
          </w:p>
        </w:tc>
        <w:tc>
          <w:tcPr>
            <w:tcW w:w="52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2"/>
              </w:rPr>
              <w:t>Offs</w:t>
            </w:r>
          </w:p>
        </w:tc>
        <w:tc>
          <w:tcPr>
            <w:tcW w:w="8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w w:val="89"/>
              </w:rPr>
              <w:t>Recoveries</w:t>
            </w:r>
          </w:p>
        </w:tc>
        <w:tc>
          <w:tcPr>
            <w:tcW w:w="660" w:type="dxa"/>
            <w:vAlign w:val="bottom"/>
            <w:gridSpan w:val="3"/>
          </w:tcPr>
          <w:p>
            <w:pPr>
              <w:jc w:val="right"/>
              <w:ind w:right="77"/>
              <w:spacing w:after="0"/>
              <w:rPr>
                <w:sz w:val="20"/>
                <w:szCs w:val="20"/>
                <w:color w:val="auto"/>
              </w:rPr>
            </w:pPr>
            <w:r>
              <w:rPr>
                <w:rFonts w:ascii="Arial" w:cs="Arial" w:eastAsia="Arial" w:hAnsi="Arial"/>
                <w:sz w:val="13"/>
                <w:szCs w:val="13"/>
                <w:b w:val="1"/>
                <w:bCs w:val="1"/>
                <w:color w:val="auto"/>
                <w:w w:val="84"/>
              </w:rPr>
              <w:t>Provision</w:t>
            </w:r>
          </w:p>
        </w:tc>
        <w:tc>
          <w:tcPr>
            <w:tcW w:w="40" w:type="dxa"/>
            <w:vAlign w:val="bottom"/>
          </w:tcPr>
          <w:p>
            <w:pPr>
              <w:spacing w:after="0"/>
              <w:rPr>
                <w:sz w:val="13"/>
                <w:szCs w:val="13"/>
                <w:color w:val="auto"/>
              </w:rPr>
            </w:pPr>
          </w:p>
        </w:tc>
        <w:tc>
          <w:tcPr>
            <w:tcW w:w="620" w:type="dxa"/>
            <w:vAlign w:val="bottom"/>
          </w:tcPr>
          <w:p>
            <w:pPr>
              <w:jc w:val="right"/>
              <w:ind w:right="97"/>
              <w:spacing w:after="0"/>
              <w:rPr>
                <w:sz w:val="20"/>
                <w:szCs w:val="20"/>
                <w:color w:val="auto"/>
              </w:rPr>
            </w:pPr>
            <w:r>
              <w:rPr>
                <w:rFonts w:ascii="Arial" w:cs="Arial" w:eastAsia="Arial" w:hAnsi="Arial"/>
                <w:sz w:val="13"/>
                <w:szCs w:val="13"/>
                <w:b w:val="1"/>
                <w:bCs w:val="1"/>
                <w:color w:val="auto"/>
                <w:w w:val="88"/>
              </w:rPr>
              <w:t>Balance</w:t>
            </w:r>
          </w:p>
        </w:tc>
        <w:tc>
          <w:tcPr>
            <w:tcW w:w="60" w:type="dxa"/>
            <w:vAlign w:val="bottom"/>
          </w:tcPr>
          <w:p>
            <w:pPr>
              <w:spacing w:after="0"/>
              <w:rPr>
                <w:sz w:val="13"/>
                <w:szCs w:val="13"/>
                <w:color w:val="auto"/>
              </w:rPr>
            </w:pPr>
          </w:p>
        </w:tc>
        <w:tc>
          <w:tcPr>
            <w:tcW w:w="620" w:type="dxa"/>
            <w:vAlign w:val="bottom"/>
          </w:tcPr>
          <w:p>
            <w:pPr>
              <w:jc w:val="center"/>
              <w:ind w:right="97"/>
              <w:spacing w:after="0"/>
              <w:rPr>
                <w:sz w:val="20"/>
                <w:szCs w:val="20"/>
                <w:color w:val="auto"/>
              </w:rPr>
            </w:pPr>
            <w:r>
              <w:rPr>
                <w:rFonts w:ascii="Arial" w:cs="Arial" w:eastAsia="Arial" w:hAnsi="Arial"/>
                <w:sz w:val="13"/>
                <w:szCs w:val="13"/>
                <w:b w:val="1"/>
                <w:bCs w:val="1"/>
                <w:color w:val="auto"/>
                <w:w w:val="84"/>
              </w:rPr>
              <w:t>Balance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4"/>
              </w:rPr>
              <w:t>Offs</w:t>
            </w:r>
          </w:p>
        </w:tc>
        <w:tc>
          <w:tcPr>
            <w:tcW w:w="660" w:type="dxa"/>
            <w:vAlign w:val="bottom"/>
            <w:gridSpan w:val="4"/>
          </w:tcPr>
          <w:p>
            <w:pPr>
              <w:spacing w:after="0"/>
              <w:rPr>
                <w:sz w:val="20"/>
                <w:szCs w:val="20"/>
                <w:color w:val="auto"/>
              </w:rPr>
            </w:pPr>
            <w:r>
              <w:rPr>
                <w:rFonts w:ascii="Arial" w:cs="Arial" w:eastAsia="Arial" w:hAnsi="Arial"/>
                <w:sz w:val="13"/>
                <w:szCs w:val="13"/>
                <w:b w:val="1"/>
                <w:bCs w:val="1"/>
                <w:color w:val="auto"/>
                <w:w w:val="89"/>
              </w:rPr>
              <w:t>Recoveries</w:t>
            </w:r>
          </w:p>
        </w:tc>
        <w:tc>
          <w:tcPr>
            <w:tcW w:w="740" w:type="dxa"/>
            <w:vAlign w:val="bottom"/>
            <w:gridSpan w:val="4"/>
          </w:tcPr>
          <w:p>
            <w:pPr>
              <w:spacing w:after="0"/>
              <w:rPr>
                <w:sz w:val="20"/>
                <w:szCs w:val="20"/>
                <w:color w:val="auto"/>
              </w:rPr>
            </w:pPr>
            <w:r>
              <w:rPr>
                <w:rFonts w:ascii="Arial" w:cs="Arial" w:eastAsia="Arial" w:hAnsi="Arial"/>
                <w:sz w:val="13"/>
                <w:szCs w:val="13"/>
                <w:b w:val="1"/>
                <w:bCs w:val="1"/>
                <w:color w:val="auto"/>
                <w:w w:val="97"/>
              </w:rPr>
              <w:t>Unallocated</w:t>
            </w:r>
          </w:p>
        </w:tc>
        <w:tc>
          <w:tcPr>
            <w:tcW w:w="660" w:type="dxa"/>
            <w:vAlign w:val="bottom"/>
            <w:gridSpan w:val="4"/>
          </w:tcPr>
          <w:p>
            <w:pPr>
              <w:ind w:left="20"/>
              <w:spacing w:after="0"/>
              <w:rPr>
                <w:sz w:val="20"/>
                <w:szCs w:val="20"/>
                <w:color w:val="auto"/>
              </w:rPr>
            </w:pPr>
            <w:r>
              <w:rPr>
                <w:rFonts w:ascii="Arial" w:cs="Arial" w:eastAsia="Arial" w:hAnsi="Arial"/>
                <w:sz w:val="13"/>
                <w:szCs w:val="13"/>
                <w:b w:val="1"/>
                <w:bCs w:val="1"/>
                <w:color w:val="auto"/>
              </w:rPr>
              <w:t>Provision</w:t>
            </w:r>
          </w:p>
        </w:tc>
        <w:tc>
          <w:tcPr>
            <w:tcW w:w="56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84"/>
              </w:rPr>
              <w:t>Balance</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0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040" w:type="dxa"/>
            <w:vAlign w:val="bottom"/>
            <w:shd w:val="clear" w:color="auto" w:fill="F0FFFF"/>
          </w:tcPr>
          <w:p>
            <w:pPr>
              <w:spacing w:after="0" w:line="135" w:lineRule="exact"/>
              <w:rPr>
                <w:sz w:val="20"/>
                <w:szCs w:val="20"/>
                <w:color w:val="auto"/>
              </w:rPr>
            </w:pPr>
            <w:r>
              <w:rPr>
                <w:rFonts w:ascii="Arial" w:cs="Arial" w:eastAsia="Arial" w:hAnsi="Arial"/>
                <w:sz w:val="13"/>
                <w:szCs w:val="13"/>
                <w:color w:val="auto"/>
              </w:rPr>
              <w:t>Owner occupied commercial real estate</w:t>
            </w:r>
          </w:p>
        </w:tc>
        <w:tc>
          <w:tcPr>
            <w:tcW w:w="1040" w:type="dxa"/>
            <w:vAlign w:val="bottom"/>
            <w:gridSpan w:val="2"/>
            <w:shd w:val="clear" w:color="auto" w:fill="F0FFFF"/>
          </w:tcPr>
          <w:p>
            <w:pPr>
              <w:jc w:val="right"/>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w w:val="95"/>
              </w:rPr>
              <w:t>16,041</w:t>
            </w: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jc w:val="right"/>
              <w:spacing w:after="0" w:line="135" w:lineRule="exact"/>
              <w:rPr>
                <w:sz w:val="20"/>
                <w:szCs w:val="20"/>
                <w:color w:val="auto"/>
              </w:rPr>
            </w:pPr>
            <w:r>
              <w:rPr>
                <w:rFonts w:ascii="Arial" w:cs="Arial" w:eastAsia="Arial" w:hAnsi="Arial"/>
                <w:sz w:val="13"/>
                <w:szCs w:val="13"/>
                <w:color w:val="auto"/>
                <w:w w:val="82"/>
              </w:rPr>
              <w:t>$</w:t>
            </w:r>
          </w:p>
        </w:tc>
        <w:tc>
          <w:tcPr>
            <w:tcW w:w="480" w:type="dxa"/>
            <w:vAlign w:val="bottom"/>
            <w:gridSpan w:val="3"/>
            <w:shd w:val="clear" w:color="auto" w:fill="F0FFFF"/>
          </w:tcPr>
          <w:p>
            <w:pPr>
              <w:jc w:val="right"/>
              <w:ind w:right="18"/>
              <w:spacing w:after="0" w:line="135" w:lineRule="exact"/>
              <w:rPr>
                <w:sz w:val="20"/>
                <w:szCs w:val="20"/>
                <w:color w:val="auto"/>
              </w:rPr>
            </w:pPr>
            <w:r>
              <w:rPr>
                <w:rFonts w:ascii="Arial" w:cs="Arial" w:eastAsia="Arial" w:hAnsi="Arial"/>
                <w:sz w:val="13"/>
                <w:szCs w:val="13"/>
                <w:color w:val="auto"/>
              </w:rPr>
              <w:t>(731)</w:t>
            </w:r>
          </w:p>
        </w:tc>
        <w:tc>
          <w:tcPr>
            <w:tcW w:w="40" w:type="dxa"/>
            <w:vAlign w:val="bottom"/>
            <w:shd w:val="clear" w:color="auto" w:fill="F0FFFF"/>
          </w:tcPr>
          <w:p>
            <w:pPr>
              <w:spacing w:after="0"/>
              <w:rPr>
                <w:sz w:val="11"/>
                <w:szCs w:val="11"/>
                <w:color w:val="auto"/>
              </w:rPr>
            </w:pPr>
          </w:p>
        </w:tc>
        <w:tc>
          <w:tcPr>
            <w:tcW w:w="200" w:type="dxa"/>
            <w:vAlign w:val="bottom"/>
            <w:gridSpan w:val="3"/>
            <w:shd w:val="clear" w:color="auto" w:fill="F0FFFF"/>
          </w:tcPr>
          <w:p>
            <w:pPr>
              <w:ind w:left="80"/>
              <w:spacing w:after="0" w:line="135" w:lineRule="exact"/>
              <w:rPr>
                <w:sz w:val="20"/>
                <w:szCs w:val="20"/>
                <w:color w:val="auto"/>
              </w:rPr>
            </w:pPr>
            <w:r>
              <w:rPr>
                <w:rFonts w:ascii="Arial" w:cs="Arial" w:eastAsia="Arial" w:hAnsi="Arial"/>
                <w:sz w:val="13"/>
                <w:szCs w:val="13"/>
                <w:color w:val="auto"/>
              </w:rPr>
              <w:t>$</w:t>
            </w:r>
          </w:p>
        </w:tc>
        <w:tc>
          <w:tcPr>
            <w:tcW w:w="540" w:type="dxa"/>
            <w:vAlign w:val="bottom"/>
            <w:tcBorders>
              <w:right w:val="single" w:sz="8" w:color="F0FFFF"/>
            </w:tcBorders>
            <w:shd w:val="clear" w:color="auto" w:fill="F0FFFF"/>
          </w:tcPr>
          <w:p>
            <w:pPr>
              <w:jc w:val="right"/>
              <w:ind w:right="157"/>
              <w:spacing w:after="0" w:line="135" w:lineRule="exact"/>
              <w:rPr>
                <w:sz w:val="20"/>
                <w:szCs w:val="20"/>
                <w:color w:val="auto"/>
              </w:rPr>
            </w:pPr>
            <w:r>
              <w:rPr>
                <w:rFonts w:ascii="Arial" w:cs="Arial" w:eastAsia="Arial" w:hAnsi="Arial"/>
                <w:sz w:val="13"/>
                <w:szCs w:val="13"/>
                <w:color w:val="auto"/>
              </w:rPr>
              <w:t>89</w:t>
            </w:r>
          </w:p>
        </w:tc>
        <w:tc>
          <w:tcPr>
            <w:tcW w:w="120" w:type="dxa"/>
            <w:vAlign w:val="bottom"/>
            <w:gridSpan w:val="2"/>
            <w:shd w:val="clear" w:color="auto" w:fill="F0FFFF"/>
          </w:tcPr>
          <w:p>
            <w:pPr>
              <w:jc w:val="right"/>
              <w:ind w:right="5"/>
              <w:spacing w:after="0"/>
              <w:rPr>
                <w:sz w:val="20"/>
                <w:szCs w:val="20"/>
                <w:color w:val="auto"/>
              </w:rPr>
            </w:pPr>
            <w:r>
              <w:rPr>
                <w:rFonts w:ascii="Arial" w:cs="Arial" w:eastAsia="Arial" w:hAnsi="Arial"/>
                <w:sz w:val="9"/>
                <w:szCs w:val="9"/>
                <w:color w:val="auto"/>
                <w:w w:val="78"/>
              </w:rPr>
              <w:t>$</w:t>
            </w:r>
          </w:p>
        </w:tc>
        <w:tc>
          <w:tcPr>
            <w:tcW w:w="540" w:type="dxa"/>
            <w:vAlign w:val="bottom"/>
            <w:tcBorders>
              <w:right w:val="single" w:sz="8" w:color="F0FFFF"/>
            </w:tcBorders>
            <w:shd w:val="clear" w:color="auto" w:fill="F0FFFF"/>
          </w:tcPr>
          <w:p>
            <w:pPr>
              <w:jc w:val="right"/>
              <w:ind w:right="157"/>
              <w:spacing w:after="0" w:line="135" w:lineRule="exact"/>
              <w:rPr>
                <w:sz w:val="20"/>
                <w:szCs w:val="20"/>
                <w:color w:val="auto"/>
              </w:rPr>
            </w:pPr>
            <w:r>
              <w:rPr>
                <w:rFonts w:ascii="Arial" w:cs="Arial" w:eastAsia="Arial" w:hAnsi="Arial"/>
                <w:sz w:val="13"/>
                <w:szCs w:val="13"/>
                <w:color w:val="auto"/>
              </w:rPr>
              <w:t>940</w:t>
            </w:r>
          </w:p>
        </w:tc>
        <w:tc>
          <w:tcPr>
            <w:tcW w:w="660" w:type="dxa"/>
            <w:vAlign w:val="bottom"/>
            <w:tcBorders>
              <w:right w:val="single" w:sz="8" w:color="F0FFFF"/>
            </w:tcBorders>
            <w:gridSpan w:val="2"/>
            <w:shd w:val="clear" w:color="auto" w:fill="F0FFFF"/>
          </w:tcPr>
          <w:p>
            <w:pPr>
              <w:jc w:val="right"/>
              <w:ind w:right="137"/>
              <w:spacing w:after="0" w:line="135" w:lineRule="exact"/>
              <w:rPr>
                <w:sz w:val="20"/>
                <w:szCs w:val="20"/>
                <w:color w:val="auto"/>
              </w:rPr>
            </w:pPr>
            <w:r>
              <w:rPr>
                <w:rFonts w:ascii="Arial" w:cs="Arial" w:eastAsia="Arial" w:hAnsi="Arial"/>
                <w:sz w:val="13"/>
                <w:szCs w:val="13"/>
                <w:color w:val="auto"/>
                <w:w w:val="86"/>
              </w:rPr>
              <w:t>$ 16,339</w:t>
            </w:r>
          </w:p>
        </w:tc>
        <w:tc>
          <w:tcPr>
            <w:tcW w:w="680" w:type="dxa"/>
            <w:vAlign w:val="bottom"/>
            <w:tcBorders>
              <w:right w:val="single" w:sz="8" w:color="F0FFFF"/>
            </w:tcBorders>
            <w:gridSpan w:val="2"/>
            <w:shd w:val="clear" w:color="auto" w:fill="F0FFFF"/>
          </w:tcPr>
          <w:p>
            <w:pPr>
              <w:jc w:val="right"/>
              <w:ind w:right="157"/>
              <w:spacing w:after="0" w:line="135" w:lineRule="exact"/>
              <w:rPr>
                <w:sz w:val="20"/>
                <w:szCs w:val="20"/>
                <w:color w:val="auto"/>
              </w:rPr>
            </w:pPr>
            <w:r>
              <w:rPr>
                <w:rFonts w:ascii="Arial" w:cs="Arial" w:eastAsia="Arial" w:hAnsi="Arial"/>
                <w:sz w:val="13"/>
                <w:szCs w:val="13"/>
                <w:color w:val="auto"/>
                <w:w w:val="86"/>
              </w:rPr>
              <w:t>$ 17,164</w:t>
            </w:r>
          </w:p>
        </w:tc>
        <w:tc>
          <w:tcPr>
            <w:tcW w:w="140" w:type="dxa"/>
            <w:vAlign w:val="bottom"/>
            <w:gridSpan w:val="2"/>
            <w:shd w:val="clear" w:color="auto" w:fill="F0FFFF"/>
          </w:tcPr>
          <w:p>
            <w:pPr>
              <w:jc w:val="right"/>
              <w:ind w:right="17"/>
              <w:spacing w:after="0"/>
              <w:rPr>
                <w:sz w:val="20"/>
                <w:szCs w:val="20"/>
                <w:color w:val="auto"/>
              </w:rPr>
            </w:pPr>
            <w:r>
              <w:rPr>
                <w:rFonts w:ascii="Arial" w:cs="Arial" w:eastAsia="Arial" w:hAnsi="Arial"/>
                <w:sz w:val="9"/>
                <w:szCs w:val="9"/>
                <w:color w:val="auto"/>
                <w:w w:val="78"/>
              </w:rPr>
              <w:t>$</w:t>
            </w:r>
          </w:p>
        </w:tc>
        <w:tc>
          <w:tcPr>
            <w:tcW w:w="480" w:type="dxa"/>
            <w:vAlign w:val="bottom"/>
            <w:gridSpan w:val="2"/>
            <w:shd w:val="clear" w:color="auto" w:fill="F0FFFF"/>
          </w:tcPr>
          <w:p>
            <w:pPr>
              <w:jc w:val="right"/>
              <w:ind w:right="38"/>
              <w:spacing w:after="0" w:line="135" w:lineRule="exact"/>
              <w:rPr>
                <w:sz w:val="20"/>
                <w:szCs w:val="20"/>
                <w:color w:val="auto"/>
              </w:rPr>
            </w:pPr>
            <w:r>
              <w:rPr>
                <w:rFonts w:ascii="Arial" w:cs="Arial" w:eastAsia="Arial" w:hAnsi="Arial"/>
                <w:sz w:val="13"/>
                <w:szCs w:val="13"/>
                <w:color w:val="auto"/>
                <w:w w:val="92"/>
              </w:rPr>
              <w:t>(1,284)</w:t>
            </w: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line="135" w:lineRule="exact"/>
              <w:rPr>
                <w:sz w:val="20"/>
                <w:szCs w:val="20"/>
                <w:color w:val="auto"/>
              </w:rPr>
            </w:pPr>
            <w:r>
              <w:rPr>
                <w:rFonts w:ascii="Arial" w:cs="Arial" w:eastAsia="Arial" w:hAnsi="Arial"/>
                <w:sz w:val="13"/>
                <w:szCs w:val="13"/>
                <w:color w:val="auto"/>
              </w:rPr>
              <w:t>$</w:t>
            </w:r>
          </w:p>
        </w:tc>
        <w:tc>
          <w:tcPr>
            <w:tcW w:w="320" w:type="dxa"/>
            <w:vAlign w:val="bottom"/>
            <w:shd w:val="clear" w:color="auto" w:fill="F0FFFF"/>
          </w:tcPr>
          <w:p>
            <w:pPr>
              <w:jc w:val="right"/>
              <w:spacing w:after="0" w:line="135" w:lineRule="exact"/>
              <w:rPr>
                <w:sz w:val="20"/>
                <w:szCs w:val="20"/>
                <w:color w:val="auto"/>
              </w:rPr>
            </w:pPr>
            <w:r>
              <w:rPr>
                <w:rFonts w:ascii="Arial" w:cs="Arial" w:eastAsia="Arial" w:hAnsi="Arial"/>
                <w:sz w:val="13"/>
                <w:szCs w:val="13"/>
                <w:color w:val="auto"/>
                <w:w w:val="92"/>
              </w:rPr>
              <w:t>2,843</w:t>
            </w:r>
          </w:p>
        </w:tc>
        <w:tc>
          <w:tcPr>
            <w:tcW w:w="120" w:type="dxa"/>
            <w:vAlign w:val="bottom"/>
            <w:shd w:val="clear" w:color="auto" w:fill="F0FFFF"/>
          </w:tcPr>
          <w:p>
            <w:pPr>
              <w:spacing w:after="0"/>
              <w:rPr>
                <w:sz w:val="11"/>
                <w:szCs w:val="11"/>
                <w:color w:val="auto"/>
              </w:rPr>
            </w:pPr>
          </w:p>
        </w:tc>
        <w:tc>
          <w:tcPr>
            <w:tcW w:w="100" w:type="dxa"/>
            <w:vAlign w:val="bottom"/>
            <w:tcBorders>
              <w:right w:val="single" w:sz="8" w:color="F0FFFF"/>
            </w:tcBorders>
            <w:shd w:val="clear" w:color="auto" w:fill="F0FFFF"/>
          </w:tcPr>
          <w:p>
            <w:pPr>
              <w:spacing w:after="0"/>
              <w:rPr>
                <w:sz w:val="11"/>
                <w:szCs w:val="11"/>
                <w:color w:val="auto"/>
              </w:rPr>
            </w:pPr>
          </w:p>
        </w:tc>
        <w:tc>
          <w:tcPr>
            <w:tcW w:w="140" w:type="dxa"/>
            <w:vAlign w:val="bottom"/>
            <w:shd w:val="clear" w:color="auto" w:fill="F0FFFF"/>
          </w:tcPr>
          <w:p>
            <w:pPr>
              <w:spacing w:after="0" w:line="135"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1,278</w:t>
            </w:r>
          </w:p>
        </w:tc>
        <w:tc>
          <w:tcPr>
            <w:tcW w:w="120" w:type="dxa"/>
            <w:vAlign w:val="bottom"/>
            <w:shd w:val="clear" w:color="auto" w:fill="F0FFFF"/>
          </w:tcPr>
          <w:p>
            <w:pPr>
              <w:spacing w:after="0"/>
              <w:rPr>
                <w:sz w:val="11"/>
                <w:szCs w:val="11"/>
                <w:color w:val="auto"/>
              </w:rPr>
            </w:pPr>
          </w:p>
        </w:tc>
        <w:tc>
          <w:tcPr>
            <w:tcW w:w="540" w:type="dxa"/>
            <w:vAlign w:val="bottom"/>
            <w:gridSpan w:val="3"/>
            <w:shd w:val="clear" w:color="auto" w:fill="F0FFFF"/>
          </w:tcPr>
          <w:p>
            <w:pPr>
              <w:jc w:val="right"/>
              <w:ind w:right="60"/>
              <w:spacing w:after="0" w:line="135" w:lineRule="exact"/>
              <w:rPr>
                <w:sz w:val="20"/>
                <w:szCs w:val="20"/>
                <w:color w:val="auto"/>
              </w:rPr>
            </w:pPr>
            <w:r>
              <w:rPr>
                <w:rFonts w:ascii="Arial" w:cs="Arial" w:eastAsia="Arial" w:hAnsi="Arial"/>
                <w:sz w:val="13"/>
                <w:szCs w:val="13"/>
                <w:color w:val="auto"/>
                <w:w w:val="88"/>
              </w:rPr>
              <w:t>$ (2,197)</w:t>
            </w:r>
          </w:p>
        </w:tc>
        <w:tc>
          <w:tcPr>
            <w:tcW w:w="120" w:type="dxa"/>
            <w:vAlign w:val="bottom"/>
            <w:shd w:val="clear" w:color="auto" w:fill="F0FFFF"/>
          </w:tcPr>
          <w:p>
            <w:pPr>
              <w:spacing w:after="0"/>
              <w:rPr>
                <w:sz w:val="11"/>
                <w:szCs w:val="11"/>
                <w:color w:val="auto"/>
              </w:rPr>
            </w:pPr>
          </w:p>
        </w:tc>
        <w:tc>
          <w:tcPr>
            <w:tcW w:w="560" w:type="dxa"/>
            <w:vAlign w:val="bottom"/>
            <w:gridSpan w:val="2"/>
            <w:shd w:val="clear" w:color="auto" w:fill="F0FFFF"/>
          </w:tcPr>
          <w:p>
            <w:pPr>
              <w:jc w:val="right"/>
              <w:ind w:right="100"/>
              <w:spacing w:after="0" w:line="135" w:lineRule="exact"/>
              <w:rPr>
                <w:sz w:val="20"/>
                <w:szCs w:val="20"/>
                <w:color w:val="auto"/>
              </w:rPr>
            </w:pPr>
            <w:r>
              <w:rPr>
                <w:rFonts w:ascii="Arial" w:cs="Arial" w:eastAsia="Arial" w:hAnsi="Arial"/>
                <w:sz w:val="13"/>
                <w:szCs w:val="13"/>
                <w:color w:val="auto"/>
                <w:w w:val="86"/>
              </w:rPr>
              <w:t>$ 17,804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tcPr>
          <w:p>
            <w:pPr>
              <w:spacing w:after="0" w:line="135" w:lineRule="exact"/>
              <w:rPr>
                <w:sz w:val="20"/>
                <w:szCs w:val="20"/>
                <w:color w:val="auto"/>
              </w:rPr>
            </w:pPr>
            <w:r>
              <w:rPr>
                <w:rFonts w:ascii="Arial" w:cs="Arial" w:eastAsia="Arial" w:hAnsi="Arial"/>
                <w:sz w:val="13"/>
                <w:szCs w:val="13"/>
                <w:color w:val="auto"/>
              </w:rPr>
              <w:t>Income producing commercial real estate</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5"/>
              </w:rPr>
              <w:t>10,296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3"/>
          </w:tcPr>
          <w:p>
            <w:pPr>
              <w:jc w:val="right"/>
              <w:ind w:right="18"/>
              <w:spacing w:after="0" w:line="135" w:lineRule="exact"/>
              <w:rPr>
                <w:sz w:val="20"/>
                <w:szCs w:val="20"/>
                <w:color w:val="auto"/>
              </w:rPr>
            </w:pPr>
            <w:r>
              <w:rPr>
                <w:rFonts w:ascii="Arial" w:cs="Arial" w:eastAsia="Arial" w:hAnsi="Arial"/>
                <w:sz w:val="13"/>
                <w:szCs w:val="13"/>
                <w:color w:val="auto"/>
              </w:rPr>
              <w:t>(322)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357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117"/>
              <w:spacing w:after="0" w:line="135" w:lineRule="exact"/>
              <w:rPr>
                <w:sz w:val="20"/>
                <w:szCs w:val="20"/>
                <w:color w:val="auto"/>
              </w:rPr>
            </w:pPr>
            <w:r>
              <w:rPr>
                <w:rFonts w:ascii="Arial" w:cs="Arial" w:eastAsia="Arial" w:hAnsi="Arial"/>
                <w:sz w:val="13"/>
                <w:szCs w:val="13"/>
                <w:color w:val="auto"/>
                <w:w w:val="82"/>
              </w:rPr>
              <w:t>(2,131)</w:t>
            </w:r>
          </w:p>
        </w:tc>
        <w:tc>
          <w:tcPr>
            <w:tcW w:w="66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8,200</w:t>
            </w:r>
          </w:p>
        </w:tc>
        <w:tc>
          <w:tcPr>
            <w:tcW w:w="68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7,174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38"/>
              <w:spacing w:after="0" w:line="135" w:lineRule="exact"/>
              <w:rPr>
                <w:sz w:val="20"/>
                <w:szCs w:val="20"/>
                <w:color w:val="auto"/>
              </w:rPr>
            </w:pPr>
            <w:r>
              <w:rPr>
                <w:rFonts w:ascii="Arial" w:cs="Arial" w:eastAsia="Arial" w:hAnsi="Arial"/>
                <w:sz w:val="13"/>
                <w:szCs w:val="13"/>
                <w:color w:val="auto"/>
              </w:rPr>
              <w:t>(837)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197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688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4,539</w:t>
            </w:r>
          </w:p>
        </w:tc>
        <w:tc>
          <w:tcPr>
            <w:tcW w:w="12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11,761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shd w:val="clear" w:color="auto" w:fill="F0FFFF"/>
          </w:tcPr>
          <w:p>
            <w:pPr>
              <w:spacing w:after="0" w:line="135" w:lineRule="exact"/>
              <w:rPr>
                <w:sz w:val="20"/>
                <w:szCs w:val="20"/>
                <w:color w:val="auto"/>
              </w:rPr>
            </w:pPr>
            <w:r>
              <w:rPr>
                <w:rFonts w:ascii="Arial" w:cs="Arial" w:eastAsia="Arial" w:hAnsi="Arial"/>
                <w:sz w:val="13"/>
                <w:szCs w:val="13"/>
                <w:color w:val="auto"/>
              </w:rPr>
              <w:t>Commercial &amp; industrial</w:t>
            </w:r>
          </w:p>
        </w:tc>
        <w:tc>
          <w:tcPr>
            <w:tcW w:w="9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2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3,255</w:t>
            </w: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80" w:type="dxa"/>
            <w:vAlign w:val="bottom"/>
            <w:gridSpan w:val="3"/>
            <w:shd w:val="clear" w:color="auto" w:fill="F0FFFF"/>
          </w:tcPr>
          <w:p>
            <w:pPr>
              <w:jc w:val="right"/>
              <w:ind w:right="18"/>
              <w:spacing w:after="0" w:line="135" w:lineRule="exact"/>
              <w:rPr>
                <w:sz w:val="20"/>
                <w:szCs w:val="20"/>
                <w:color w:val="auto"/>
              </w:rPr>
            </w:pPr>
            <w:r>
              <w:rPr>
                <w:rFonts w:ascii="Arial" w:cs="Arial" w:eastAsia="Arial" w:hAnsi="Arial"/>
                <w:sz w:val="13"/>
                <w:szCs w:val="13"/>
                <w:color w:val="auto"/>
              </w:rPr>
              <w:t>(631)</w:t>
            </w:r>
          </w:p>
        </w:tc>
        <w:tc>
          <w:tcPr>
            <w:tcW w:w="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40" w:type="dxa"/>
            <w:vAlign w:val="bottom"/>
            <w:tcBorders>
              <w:right w:val="single" w:sz="8" w:color="F0FFFF"/>
            </w:tcBorders>
            <w:shd w:val="clear" w:color="auto" w:fill="F0FFFF"/>
          </w:tcPr>
          <w:p>
            <w:pPr>
              <w:jc w:val="right"/>
              <w:ind w:right="157"/>
              <w:spacing w:after="0" w:line="135" w:lineRule="exact"/>
              <w:rPr>
                <w:sz w:val="20"/>
                <w:szCs w:val="20"/>
                <w:color w:val="auto"/>
              </w:rPr>
            </w:pPr>
            <w:r>
              <w:rPr>
                <w:rFonts w:ascii="Arial" w:cs="Arial" w:eastAsia="Arial" w:hAnsi="Arial"/>
                <w:sz w:val="13"/>
                <w:szCs w:val="13"/>
                <w:color w:val="auto"/>
              </w:rPr>
              <w:t>917</w:t>
            </w:r>
          </w:p>
        </w:tc>
        <w:tc>
          <w:tcPr>
            <w:tcW w:w="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40" w:type="dxa"/>
            <w:vAlign w:val="bottom"/>
            <w:tcBorders>
              <w:right w:val="single" w:sz="8" w:color="F0FFFF"/>
            </w:tcBorders>
            <w:shd w:val="clear" w:color="auto" w:fill="F0FFFF"/>
          </w:tcPr>
          <w:p>
            <w:pPr>
              <w:jc w:val="right"/>
              <w:ind w:right="157"/>
              <w:spacing w:after="0" w:line="135" w:lineRule="exact"/>
              <w:rPr>
                <w:sz w:val="20"/>
                <w:szCs w:val="20"/>
                <w:color w:val="auto"/>
              </w:rPr>
            </w:pPr>
            <w:r>
              <w:rPr>
                <w:rFonts w:ascii="Arial" w:cs="Arial" w:eastAsia="Arial" w:hAnsi="Arial"/>
                <w:sz w:val="13"/>
                <w:szCs w:val="13"/>
                <w:color w:val="auto"/>
                <w:w w:val="92"/>
              </w:rPr>
              <w:t>1,187</w:t>
            </w:r>
          </w:p>
        </w:tc>
        <w:tc>
          <w:tcPr>
            <w:tcW w:w="660" w:type="dxa"/>
            <w:vAlign w:val="bottom"/>
            <w:tcBorders>
              <w:right w:val="single" w:sz="8" w:color="F0FFFF"/>
            </w:tcBorders>
            <w:gridSpan w:val="2"/>
            <w:shd w:val="clear" w:color="auto" w:fill="F0FFFF"/>
          </w:tcPr>
          <w:p>
            <w:pPr>
              <w:jc w:val="right"/>
              <w:ind w:right="137"/>
              <w:spacing w:after="0" w:line="135" w:lineRule="exact"/>
              <w:rPr>
                <w:sz w:val="20"/>
                <w:szCs w:val="20"/>
                <w:color w:val="auto"/>
              </w:rPr>
            </w:pPr>
            <w:r>
              <w:rPr>
                <w:rFonts w:ascii="Arial" w:cs="Arial" w:eastAsia="Arial" w:hAnsi="Arial"/>
                <w:sz w:val="13"/>
                <w:szCs w:val="13"/>
                <w:color w:val="auto"/>
              </w:rPr>
              <w:t>4,728</w:t>
            </w:r>
          </w:p>
        </w:tc>
        <w:tc>
          <w:tcPr>
            <w:tcW w:w="680" w:type="dxa"/>
            <w:vAlign w:val="bottom"/>
            <w:tcBorders>
              <w:right w:val="single" w:sz="8" w:color="F0FFFF"/>
            </w:tcBorders>
            <w:gridSpan w:val="2"/>
            <w:shd w:val="clear" w:color="auto" w:fill="F0FFFF"/>
          </w:tcPr>
          <w:p>
            <w:pPr>
              <w:jc w:val="right"/>
              <w:ind w:right="157"/>
              <w:spacing w:after="0" w:line="135" w:lineRule="exact"/>
              <w:rPr>
                <w:sz w:val="20"/>
                <w:szCs w:val="20"/>
                <w:color w:val="auto"/>
              </w:rPr>
            </w:pPr>
            <w:r>
              <w:rPr>
                <w:rFonts w:ascii="Arial" w:cs="Arial" w:eastAsia="Arial" w:hAnsi="Arial"/>
                <w:sz w:val="13"/>
                <w:szCs w:val="13"/>
                <w:color w:val="auto"/>
              </w:rPr>
              <w:t>6,527</w:t>
            </w:r>
          </w:p>
        </w:tc>
        <w:tc>
          <w:tcPr>
            <w:tcW w:w="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80" w:type="dxa"/>
            <w:vAlign w:val="bottom"/>
            <w:gridSpan w:val="2"/>
            <w:shd w:val="clear" w:color="auto" w:fill="F0FFFF"/>
          </w:tcPr>
          <w:p>
            <w:pPr>
              <w:jc w:val="right"/>
              <w:ind w:right="38"/>
              <w:spacing w:after="0" w:line="135" w:lineRule="exact"/>
              <w:rPr>
                <w:sz w:val="20"/>
                <w:szCs w:val="20"/>
                <w:color w:val="auto"/>
              </w:rPr>
            </w:pPr>
            <w:r>
              <w:rPr>
                <w:rFonts w:ascii="Arial" w:cs="Arial" w:eastAsia="Arial" w:hAnsi="Arial"/>
                <w:sz w:val="13"/>
                <w:szCs w:val="13"/>
                <w:color w:val="auto"/>
                <w:w w:val="92"/>
              </w:rPr>
              <w:t>(1,975)</w:t>
            </w: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44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891</w:t>
            </w:r>
          </w:p>
        </w:tc>
        <w:tc>
          <w:tcPr>
            <w:tcW w:w="100" w:type="dxa"/>
            <w:vAlign w:val="bottom"/>
            <w:tcBorders>
              <w:right w:val="single" w:sz="8" w:color="F0FFFF"/>
            </w:tcBorders>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48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318</w:t>
            </w: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60" w:type="dxa"/>
            <w:vAlign w:val="bottom"/>
            <w:gridSpan w:val="2"/>
            <w:shd w:val="clear" w:color="auto" w:fill="F0FFFF"/>
          </w:tcPr>
          <w:p>
            <w:pPr>
              <w:jc w:val="right"/>
              <w:ind w:right="60"/>
              <w:spacing w:after="0" w:line="135" w:lineRule="exact"/>
              <w:rPr>
                <w:sz w:val="20"/>
                <w:szCs w:val="20"/>
                <w:color w:val="auto"/>
              </w:rPr>
            </w:pPr>
            <w:r>
              <w:rPr>
                <w:rFonts w:ascii="Arial" w:cs="Arial" w:eastAsia="Arial" w:hAnsi="Arial"/>
                <w:sz w:val="13"/>
                <w:szCs w:val="13"/>
                <w:color w:val="auto"/>
                <w:w w:val="92"/>
              </w:rPr>
              <w:t>(1,876)</w:t>
            </w:r>
          </w:p>
        </w:tc>
        <w:tc>
          <w:tcPr>
            <w:tcW w:w="120" w:type="dxa"/>
            <w:vAlign w:val="bottom"/>
            <w:shd w:val="clear" w:color="auto" w:fill="F0FFFF"/>
          </w:tcPr>
          <w:p>
            <w:pPr>
              <w:spacing w:after="0"/>
              <w:rPr>
                <w:sz w:val="11"/>
                <w:szCs w:val="11"/>
                <w:color w:val="auto"/>
              </w:rPr>
            </w:pPr>
          </w:p>
        </w:tc>
        <w:tc>
          <w:tcPr>
            <w:tcW w:w="560" w:type="dxa"/>
            <w:vAlign w:val="bottom"/>
            <w:gridSpan w:val="2"/>
            <w:shd w:val="clear" w:color="auto" w:fill="F0FFFF"/>
          </w:tcPr>
          <w:p>
            <w:pPr>
              <w:jc w:val="right"/>
              <w:ind w:right="100"/>
              <w:spacing w:after="0" w:line="135" w:lineRule="exact"/>
              <w:rPr>
                <w:sz w:val="20"/>
                <w:szCs w:val="20"/>
                <w:color w:val="auto"/>
              </w:rPr>
            </w:pPr>
            <w:r>
              <w:rPr>
                <w:rFonts w:ascii="Arial" w:cs="Arial" w:eastAsia="Arial" w:hAnsi="Arial"/>
                <w:sz w:val="13"/>
                <w:szCs w:val="13"/>
                <w:color w:val="auto"/>
              </w:rPr>
              <w:t>3,885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tcPr>
          <w:p>
            <w:pPr>
              <w:spacing w:after="0" w:line="135" w:lineRule="exact"/>
              <w:rPr>
                <w:sz w:val="20"/>
                <w:szCs w:val="20"/>
                <w:color w:val="auto"/>
              </w:rPr>
            </w:pPr>
            <w:r>
              <w:rPr>
                <w:rFonts w:ascii="Arial" w:cs="Arial" w:eastAsia="Arial" w:hAnsi="Arial"/>
                <w:sz w:val="13"/>
                <w:szCs w:val="13"/>
                <w:color w:val="auto"/>
              </w:rPr>
              <w:t>Commercial construction</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4,747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3"/>
          </w:tcPr>
          <w:p>
            <w:pPr>
              <w:jc w:val="right"/>
              <w:ind w:right="18"/>
              <w:spacing w:after="0" w:line="135" w:lineRule="exact"/>
              <w:rPr>
                <w:sz w:val="20"/>
                <w:szCs w:val="20"/>
                <w:color w:val="auto"/>
              </w:rPr>
            </w:pPr>
            <w:r>
              <w:rPr>
                <w:rFonts w:ascii="Arial" w:cs="Arial" w:eastAsia="Arial" w:hAnsi="Arial"/>
                <w:sz w:val="13"/>
                <w:szCs w:val="13"/>
                <w:color w:val="auto"/>
              </w:rPr>
              <w:t>(169)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51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266</w:t>
            </w:r>
          </w:p>
        </w:tc>
        <w:tc>
          <w:tcPr>
            <w:tcW w:w="66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4,895</w:t>
            </w:r>
          </w:p>
        </w:tc>
        <w:tc>
          <w:tcPr>
            <w:tcW w:w="68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3,669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38"/>
              <w:spacing w:after="0" w:line="135" w:lineRule="exact"/>
              <w:rPr>
                <w:sz w:val="20"/>
                <w:szCs w:val="20"/>
                <w:color w:val="auto"/>
              </w:rPr>
            </w:pPr>
            <w:r>
              <w:rPr>
                <w:rFonts w:ascii="Arial" w:cs="Arial" w:eastAsia="Arial" w:hAnsi="Arial"/>
                <w:sz w:val="13"/>
                <w:szCs w:val="13"/>
                <w:color w:val="auto"/>
              </w:rPr>
              <w:t>(132)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388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142</w:t>
            </w:r>
          </w:p>
        </w:tc>
        <w:tc>
          <w:tcPr>
            <w:tcW w:w="12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4,067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shd w:val="clear" w:color="auto" w:fill="F0FFFF"/>
          </w:tcPr>
          <w:p>
            <w:pPr>
              <w:ind w:left="20"/>
              <w:spacing w:after="0" w:line="135" w:lineRule="exact"/>
              <w:rPr>
                <w:sz w:val="20"/>
                <w:szCs w:val="20"/>
                <w:color w:val="auto"/>
              </w:rPr>
            </w:pPr>
            <w:r>
              <w:rPr>
                <w:rFonts w:ascii="Arial" w:cs="Arial" w:eastAsia="Arial" w:hAnsi="Arial"/>
                <w:sz w:val="13"/>
                <w:szCs w:val="13"/>
                <w:color w:val="auto"/>
              </w:rPr>
              <w:t>Residential mortgage</w:t>
            </w:r>
          </w:p>
        </w:tc>
        <w:tc>
          <w:tcPr>
            <w:tcW w:w="9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2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w w:val="95"/>
              </w:rPr>
              <w:t>20,311</w:t>
            </w: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80" w:type="dxa"/>
            <w:vAlign w:val="bottom"/>
            <w:gridSpan w:val="3"/>
            <w:shd w:val="clear" w:color="auto" w:fill="F0FFFF"/>
          </w:tcPr>
          <w:p>
            <w:pPr>
              <w:jc w:val="right"/>
              <w:ind w:right="18"/>
              <w:spacing w:after="0" w:line="135" w:lineRule="exact"/>
              <w:rPr>
                <w:sz w:val="20"/>
                <w:szCs w:val="20"/>
                <w:color w:val="auto"/>
              </w:rPr>
            </w:pPr>
            <w:r>
              <w:rPr>
                <w:rFonts w:ascii="Arial" w:cs="Arial" w:eastAsia="Arial" w:hAnsi="Arial"/>
                <w:sz w:val="13"/>
                <w:szCs w:val="13"/>
                <w:color w:val="auto"/>
                <w:w w:val="97"/>
              </w:rPr>
              <w:t>(1,687)</w:t>
            </w:r>
          </w:p>
        </w:tc>
        <w:tc>
          <w:tcPr>
            <w:tcW w:w="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40" w:type="dxa"/>
            <w:vAlign w:val="bottom"/>
            <w:tcBorders>
              <w:right w:val="single" w:sz="8" w:color="F0FFFF"/>
            </w:tcBorders>
            <w:shd w:val="clear" w:color="auto" w:fill="F0FFFF"/>
          </w:tcPr>
          <w:p>
            <w:pPr>
              <w:jc w:val="right"/>
              <w:ind w:right="157"/>
              <w:spacing w:after="0" w:line="135" w:lineRule="exact"/>
              <w:rPr>
                <w:sz w:val="20"/>
                <w:szCs w:val="20"/>
                <w:color w:val="auto"/>
              </w:rPr>
            </w:pPr>
            <w:r>
              <w:rPr>
                <w:rFonts w:ascii="Arial" w:cs="Arial" w:eastAsia="Arial" w:hAnsi="Arial"/>
                <w:sz w:val="13"/>
                <w:szCs w:val="13"/>
                <w:color w:val="auto"/>
              </w:rPr>
              <w:t>484</w:t>
            </w:r>
          </w:p>
        </w:tc>
        <w:tc>
          <w:tcPr>
            <w:tcW w:w="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40" w:type="dxa"/>
            <w:vAlign w:val="bottom"/>
            <w:tcBorders>
              <w:right w:val="single" w:sz="8" w:color="F0FFFF"/>
            </w:tcBorders>
            <w:shd w:val="clear" w:color="auto" w:fill="F0FFFF"/>
          </w:tcPr>
          <w:p>
            <w:pPr>
              <w:jc w:val="right"/>
              <w:ind w:right="117"/>
              <w:spacing w:after="0" w:line="135" w:lineRule="exact"/>
              <w:rPr>
                <w:sz w:val="20"/>
                <w:szCs w:val="20"/>
                <w:color w:val="auto"/>
              </w:rPr>
            </w:pPr>
            <w:r>
              <w:rPr>
                <w:rFonts w:ascii="Arial" w:cs="Arial" w:eastAsia="Arial" w:hAnsi="Arial"/>
                <w:sz w:val="13"/>
                <w:szCs w:val="13"/>
                <w:color w:val="auto"/>
              </w:rPr>
              <w:t>(56)</w:t>
            </w:r>
          </w:p>
        </w:tc>
        <w:tc>
          <w:tcPr>
            <w:tcW w:w="660" w:type="dxa"/>
            <w:vAlign w:val="bottom"/>
            <w:tcBorders>
              <w:right w:val="single" w:sz="8" w:color="F0FFFF"/>
            </w:tcBorders>
            <w:gridSpan w:val="2"/>
            <w:shd w:val="clear" w:color="auto" w:fill="F0FFFF"/>
          </w:tcPr>
          <w:p>
            <w:pPr>
              <w:jc w:val="right"/>
              <w:ind w:right="137"/>
              <w:spacing w:after="0" w:line="135" w:lineRule="exact"/>
              <w:rPr>
                <w:sz w:val="20"/>
                <w:szCs w:val="20"/>
                <w:color w:val="auto"/>
              </w:rPr>
            </w:pPr>
            <w:r>
              <w:rPr>
                <w:rFonts w:ascii="Arial" w:cs="Arial" w:eastAsia="Arial" w:hAnsi="Arial"/>
                <w:sz w:val="13"/>
                <w:szCs w:val="13"/>
                <w:color w:val="auto"/>
              </w:rPr>
              <w:t>19,052</w:t>
            </w:r>
          </w:p>
        </w:tc>
        <w:tc>
          <w:tcPr>
            <w:tcW w:w="680" w:type="dxa"/>
            <w:vAlign w:val="bottom"/>
            <w:tcBorders>
              <w:right w:val="single" w:sz="8" w:color="F0FFFF"/>
            </w:tcBorders>
            <w:gridSpan w:val="2"/>
            <w:shd w:val="clear" w:color="auto" w:fill="F0FFFF"/>
          </w:tcPr>
          <w:p>
            <w:pPr>
              <w:jc w:val="right"/>
              <w:ind w:right="157"/>
              <w:spacing w:after="0" w:line="135" w:lineRule="exact"/>
              <w:rPr>
                <w:sz w:val="20"/>
                <w:szCs w:val="20"/>
                <w:color w:val="auto"/>
              </w:rPr>
            </w:pPr>
            <w:r>
              <w:rPr>
                <w:rFonts w:ascii="Arial" w:cs="Arial" w:eastAsia="Arial" w:hAnsi="Arial"/>
                <w:sz w:val="13"/>
                <w:szCs w:val="13"/>
                <w:color w:val="auto"/>
              </w:rPr>
              <w:t>15,446</w:t>
            </w:r>
          </w:p>
        </w:tc>
        <w:tc>
          <w:tcPr>
            <w:tcW w:w="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80" w:type="dxa"/>
            <w:vAlign w:val="bottom"/>
            <w:gridSpan w:val="2"/>
            <w:shd w:val="clear" w:color="auto" w:fill="F0FFFF"/>
          </w:tcPr>
          <w:p>
            <w:pPr>
              <w:jc w:val="right"/>
              <w:ind w:right="38"/>
              <w:spacing w:after="0" w:line="135" w:lineRule="exact"/>
              <w:rPr>
                <w:sz w:val="20"/>
                <w:szCs w:val="20"/>
                <w:color w:val="auto"/>
              </w:rPr>
            </w:pPr>
            <w:r>
              <w:rPr>
                <w:rFonts w:ascii="Arial" w:cs="Arial" w:eastAsia="Arial" w:hAnsi="Arial"/>
                <w:sz w:val="13"/>
                <w:szCs w:val="13"/>
                <w:color w:val="auto"/>
                <w:w w:val="92"/>
              </w:rPr>
              <w:t>(4,381)</w:t>
            </w: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44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357</w:t>
            </w:r>
          </w:p>
        </w:tc>
        <w:tc>
          <w:tcPr>
            <w:tcW w:w="100" w:type="dxa"/>
            <w:vAlign w:val="bottom"/>
            <w:tcBorders>
              <w:right w:val="single" w:sz="8" w:color="F0FFFF"/>
            </w:tcBorders>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48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1,452</w:t>
            </w: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60" w:type="dxa"/>
            <w:vAlign w:val="bottom"/>
            <w:gridSpan w:val="2"/>
            <w:shd w:val="clear" w:color="auto" w:fill="F0FFFF"/>
          </w:tcPr>
          <w:p>
            <w:pPr>
              <w:jc w:val="right"/>
              <w:ind w:right="100"/>
              <w:spacing w:after="0" w:line="135" w:lineRule="exact"/>
              <w:rPr>
                <w:sz w:val="20"/>
                <w:szCs w:val="20"/>
                <w:color w:val="auto"/>
              </w:rPr>
            </w:pPr>
            <w:r>
              <w:rPr>
                <w:rFonts w:ascii="Arial" w:cs="Arial" w:eastAsia="Arial" w:hAnsi="Arial"/>
                <w:sz w:val="13"/>
                <w:szCs w:val="13"/>
                <w:color w:val="auto"/>
              </w:rPr>
              <w:t>3,889</w:t>
            </w:r>
          </w:p>
        </w:tc>
        <w:tc>
          <w:tcPr>
            <w:tcW w:w="120" w:type="dxa"/>
            <w:vAlign w:val="bottom"/>
            <w:shd w:val="clear" w:color="auto" w:fill="F0FFFF"/>
          </w:tcPr>
          <w:p>
            <w:pPr>
              <w:spacing w:after="0"/>
              <w:rPr>
                <w:sz w:val="11"/>
                <w:szCs w:val="11"/>
                <w:color w:val="auto"/>
              </w:rPr>
            </w:pPr>
          </w:p>
        </w:tc>
        <w:tc>
          <w:tcPr>
            <w:tcW w:w="560" w:type="dxa"/>
            <w:vAlign w:val="bottom"/>
            <w:gridSpan w:val="2"/>
            <w:shd w:val="clear" w:color="auto" w:fill="F0FFFF"/>
          </w:tcPr>
          <w:p>
            <w:pPr>
              <w:jc w:val="right"/>
              <w:ind w:right="100"/>
              <w:spacing w:after="0" w:line="135" w:lineRule="exact"/>
              <w:rPr>
                <w:sz w:val="20"/>
                <w:szCs w:val="20"/>
                <w:color w:val="auto"/>
              </w:rPr>
            </w:pPr>
            <w:r>
              <w:rPr>
                <w:rFonts w:ascii="Arial" w:cs="Arial" w:eastAsia="Arial" w:hAnsi="Arial"/>
                <w:sz w:val="13"/>
                <w:szCs w:val="13"/>
                <w:color w:val="auto"/>
              </w:rPr>
              <w:t>16,763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tcPr>
          <w:p>
            <w:pPr>
              <w:ind w:left="20"/>
              <w:spacing w:after="0" w:line="135" w:lineRule="exact"/>
              <w:rPr>
                <w:sz w:val="20"/>
                <w:szCs w:val="20"/>
                <w:color w:val="auto"/>
              </w:rPr>
            </w:pPr>
            <w:r>
              <w:rPr>
                <w:rFonts w:ascii="Arial" w:cs="Arial" w:eastAsia="Arial" w:hAnsi="Arial"/>
                <w:sz w:val="13"/>
                <w:szCs w:val="13"/>
                <w:color w:val="auto"/>
              </w:rPr>
              <w:t>Home equity lines of credit</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4,574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3"/>
          </w:tcPr>
          <w:p>
            <w:pPr>
              <w:jc w:val="right"/>
              <w:ind w:right="18"/>
              <w:spacing w:after="0" w:line="135" w:lineRule="exact"/>
              <w:rPr>
                <w:sz w:val="20"/>
                <w:szCs w:val="20"/>
                <w:color w:val="auto"/>
              </w:rPr>
            </w:pPr>
            <w:r>
              <w:rPr>
                <w:rFonts w:ascii="Arial" w:cs="Arial" w:eastAsia="Arial" w:hAnsi="Arial"/>
                <w:sz w:val="13"/>
                <w:szCs w:val="13"/>
                <w:color w:val="auto"/>
              </w:rPr>
              <w:t>(421)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40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157"/>
              <w:spacing w:after="0" w:line="135" w:lineRule="exact"/>
              <w:rPr>
                <w:sz w:val="20"/>
                <w:szCs w:val="20"/>
                <w:color w:val="auto"/>
              </w:rPr>
            </w:pPr>
            <w:r>
              <w:rPr>
                <w:rFonts w:ascii="Arial" w:cs="Arial" w:eastAsia="Arial" w:hAnsi="Arial"/>
                <w:sz w:val="13"/>
                <w:szCs w:val="13"/>
                <w:color w:val="auto"/>
                <w:w w:val="92"/>
              </w:rPr>
              <w:t>1,286</w:t>
            </w:r>
          </w:p>
        </w:tc>
        <w:tc>
          <w:tcPr>
            <w:tcW w:w="66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5,479</w:t>
            </w:r>
          </w:p>
        </w:tc>
        <w:tc>
          <w:tcPr>
            <w:tcW w:w="68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5,528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38"/>
              <w:spacing w:after="0" w:line="135" w:lineRule="exact"/>
              <w:rPr>
                <w:sz w:val="20"/>
                <w:szCs w:val="20"/>
                <w:color w:val="auto"/>
              </w:rPr>
            </w:pPr>
            <w:r>
              <w:rPr>
                <w:rFonts w:ascii="Arial" w:cs="Arial" w:eastAsia="Arial" w:hAnsi="Arial"/>
                <w:sz w:val="13"/>
                <w:szCs w:val="13"/>
                <w:color w:val="auto"/>
                <w:w w:val="92"/>
              </w:rPr>
              <w:t>(1,627)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168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391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1,878</w:t>
            </w:r>
          </w:p>
        </w:tc>
        <w:tc>
          <w:tcPr>
            <w:tcW w:w="12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6,338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shd w:val="clear" w:color="auto" w:fill="F0FFFF"/>
          </w:tcPr>
          <w:p>
            <w:pPr>
              <w:spacing w:after="0" w:line="135" w:lineRule="exact"/>
              <w:rPr>
                <w:sz w:val="20"/>
                <w:szCs w:val="20"/>
                <w:color w:val="auto"/>
              </w:rPr>
            </w:pPr>
            <w:r>
              <w:rPr>
                <w:rFonts w:ascii="Arial" w:cs="Arial" w:eastAsia="Arial" w:hAnsi="Arial"/>
                <w:sz w:val="13"/>
                <w:szCs w:val="13"/>
                <w:color w:val="auto"/>
              </w:rPr>
              <w:t>Residential construction</w:t>
            </w:r>
          </w:p>
        </w:tc>
        <w:tc>
          <w:tcPr>
            <w:tcW w:w="9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2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w w:val="95"/>
              </w:rPr>
              <w:t>10,603</w:t>
            </w: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80" w:type="dxa"/>
            <w:vAlign w:val="bottom"/>
            <w:gridSpan w:val="3"/>
            <w:shd w:val="clear" w:color="auto" w:fill="F0FFFF"/>
          </w:tcPr>
          <w:p>
            <w:pPr>
              <w:jc w:val="right"/>
              <w:ind w:right="18"/>
              <w:spacing w:after="0" w:line="135" w:lineRule="exact"/>
              <w:rPr>
                <w:sz w:val="20"/>
                <w:szCs w:val="20"/>
                <w:color w:val="auto"/>
              </w:rPr>
            </w:pPr>
            <w:r>
              <w:rPr>
                <w:rFonts w:ascii="Arial" w:cs="Arial" w:eastAsia="Arial" w:hAnsi="Arial"/>
                <w:sz w:val="13"/>
                <w:szCs w:val="13"/>
                <w:color w:val="auto"/>
                <w:w w:val="97"/>
              </w:rPr>
              <w:t>(1,639)</w:t>
            </w:r>
          </w:p>
        </w:tc>
        <w:tc>
          <w:tcPr>
            <w:tcW w:w="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40" w:type="dxa"/>
            <w:vAlign w:val="bottom"/>
            <w:tcBorders>
              <w:right w:val="single" w:sz="8" w:color="F0FFFF"/>
            </w:tcBorders>
            <w:shd w:val="clear" w:color="auto" w:fill="F0FFFF"/>
          </w:tcPr>
          <w:p>
            <w:pPr>
              <w:jc w:val="right"/>
              <w:ind w:right="157"/>
              <w:spacing w:after="0" w:line="135" w:lineRule="exact"/>
              <w:rPr>
                <w:sz w:val="20"/>
                <w:szCs w:val="20"/>
                <w:color w:val="auto"/>
              </w:rPr>
            </w:pPr>
            <w:r>
              <w:rPr>
                <w:rFonts w:ascii="Arial" w:cs="Arial" w:eastAsia="Arial" w:hAnsi="Arial"/>
                <w:sz w:val="13"/>
                <w:szCs w:val="13"/>
                <w:color w:val="auto"/>
              </w:rPr>
              <w:t>471</w:t>
            </w:r>
          </w:p>
        </w:tc>
        <w:tc>
          <w:tcPr>
            <w:tcW w:w="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40" w:type="dxa"/>
            <w:vAlign w:val="bottom"/>
            <w:tcBorders>
              <w:right w:val="single" w:sz="8" w:color="F0FFFF"/>
            </w:tcBorders>
            <w:shd w:val="clear" w:color="auto" w:fill="F0FFFF"/>
          </w:tcPr>
          <w:p>
            <w:pPr>
              <w:jc w:val="right"/>
              <w:ind w:right="117"/>
              <w:spacing w:after="0" w:line="135" w:lineRule="exact"/>
              <w:rPr>
                <w:sz w:val="20"/>
                <w:szCs w:val="20"/>
                <w:color w:val="auto"/>
              </w:rPr>
            </w:pPr>
            <w:r>
              <w:rPr>
                <w:rFonts w:ascii="Arial" w:cs="Arial" w:eastAsia="Arial" w:hAnsi="Arial"/>
                <w:sz w:val="13"/>
                <w:szCs w:val="13"/>
                <w:color w:val="auto"/>
              </w:rPr>
              <w:t>(98)</w:t>
            </w:r>
          </w:p>
        </w:tc>
        <w:tc>
          <w:tcPr>
            <w:tcW w:w="660" w:type="dxa"/>
            <w:vAlign w:val="bottom"/>
            <w:tcBorders>
              <w:right w:val="single" w:sz="8" w:color="F0FFFF"/>
            </w:tcBorders>
            <w:gridSpan w:val="2"/>
            <w:shd w:val="clear" w:color="auto" w:fill="F0FFFF"/>
          </w:tcPr>
          <w:p>
            <w:pPr>
              <w:jc w:val="right"/>
              <w:ind w:right="137"/>
              <w:spacing w:after="0" w:line="135" w:lineRule="exact"/>
              <w:rPr>
                <w:sz w:val="20"/>
                <w:szCs w:val="20"/>
                <w:color w:val="auto"/>
              </w:rPr>
            </w:pPr>
            <w:r>
              <w:rPr>
                <w:rFonts w:ascii="Arial" w:cs="Arial" w:eastAsia="Arial" w:hAnsi="Arial"/>
                <w:sz w:val="13"/>
                <w:szCs w:val="13"/>
                <w:color w:val="auto"/>
              </w:rPr>
              <w:t>9,337</w:t>
            </w:r>
          </w:p>
        </w:tc>
        <w:tc>
          <w:tcPr>
            <w:tcW w:w="680" w:type="dxa"/>
            <w:vAlign w:val="bottom"/>
            <w:tcBorders>
              <w:right w:val="single" w:sz="8" w:color="F0FFFF"/>
            </w:tcBorders>
            <w:gridSpan w:val="2"/>
            <w:shd w:val="clear" w:color="auto" w:fill="F0FFFF"/>
          </w:tcPr>
          <w:p>
            <w:pPr>
              <w:jc w:val="right"/>
              <w:ind w:right="157"/>
              <w:spacing w:after="0" w:line="135" w:lineRule="exact"/>
              <w:rPr>
                <w:sz w:val="20"/>
                <w:szCs w:val="20"/>
                <w:color w:val="auto"/>
              </w:rPr>
            </w:pPr>
            <w:r>
              <w:rPr>
                <w:rFonts w:ascii="Arial" w:cs="Arial" w:eastAsia="Arial" w:hAnsi="Arial"/>
                <w:sz w:val="13"/>
                <w:szCs w:val="13"/>
                <w:color w:val="auto"/>
              </w:rPr>
              <w:t>12,532</w:t>
            </w:r>
          </w:p>
        </w:tc>
        <w:tc>
          <w:tcPr>
            <w:tcW w:w="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80" w:type="dxa"/>
            <w:vAlign w:val="bottom"/>
            <w:gridSpan w:val="2"/>
            <w:shd w:val="clear" w:color="auto" w:fill="F0FFFF"/>
          </w:tcPr>
          <w:p>
            <w:pPr>
              <w:jc w:val="right"/>
              <w:ind w:right="38"/>
              <w:spacing w:after="0" w:line="135" w:lineRule="exact"/>
              <w:rPr>
                <w:sz w:val="20"/>
                <w:szCs w:val="20"/>
                <w:color w:val="auto"/>
              </w:rPr>
            </w:pPr>
            <w:r>
              <w:rPr>
                <w:rFonts w:ascii="Arial" w:cs="Arial" w:eastAsia="Arial" w:hAnsi="Arial"/>
                <w:sz w:val="13"/>
                <w:szCs w:val="13"/>
                <w:color w:val="auto"/>
                <w:w w:val="92"/>
              </w:rPr>
              <w:t>(2,251)</w:t>
            </w: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44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369</w:t>
            </w:r>
          </w:p>
        </w:tc>
        <w:tc>
          <w:tcPr>
            <w:tcW w:w="100" w:type="dxa"/>
            <w:vAlign w:val="bottom"/>
            <w:tcBorders>
              <w:right w:val="single" w:sz="8" w:color="F0FFFF"/>
            </w:tcBorders>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48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1,728</w:t>
            </w: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60" w:type="dxa"/>
            <w:vAlign w:val="bottom"/>
            <w:gridSpan w:val="2"/>
            <w:shd w:val="clear" w:color="auto" w:fill="F0FFFF"/>
          </w:tcPr>
          <w:p>
            <w:pPr>
              <w:jc w:val="right"/>
              <w:ind w:right="60"/>
              <w:spacing w:after="0" w:line="135" w:lineRule="exact"/>
              <w:rPr>
                <w:sz w:val="20"/>
                <w:szCs w:val="20"/>
                <w:color w:val="auto"/>
              </w:rPr>
            </w:pPr>
            <w:r>
              <w:rPr>
                <w:rFonts w:ascii="Arial" w:cs="Arial" w:eastAsia="Arial" w:hAnsi="Arial"/>
                <w:sz w:val="13"/>
                <w:szCs w:val="13"/>
                <w:color w:val="auto"/>
                <w:w w:val="92"/>
              </w:rPr>
              <w:t>(1,170)</w:t>
            </w:r>
          </w:p>
        </w:tc>
        <w:tc>
          <w:tcPr>
            <w:tcW w:w="120" w:type="dxa"/>
            <w:vAlign w:val="bottom"/>
            <w:shd w:val="clear" w:color="auto" w:fill="F0FFFF"/>
          </w:tcPr>
          <w:p>
            <w:pPr>
              <w:spacing w:after="0"/>
              <w:rPr>
                <w:sz w:val="11"/>
                <w:szCs w:val="11"/>
                <w:color w:val="auto"/>
              </w:rPr>
            </w:pPr>
          </w:p>
        </w:tc>
        <w:tc>
          <w:tcPr>
            <w:tcW w:w="560" w:type="dxa"/>
            <w:vAlign w:val="bottom"/>
            <w:gridSpan w:val="2"/>
            <w:shd w:val="clear" w:color="auto" w:fill="F0FFFF"/>
          </w:tcPr>
          <w:p>
            <w:pPr>
              <w:jc w:val="right"/>
              <w:ind w:right="100"/>
              <w:spacing w:after="0" w:line="135" w:lineRule="exact"/>
              <w:rPr>
                <w:sz w:val="20"/>
                <w:szCs w:val="20"/>
                <w:color w:val="auto"/>
              </w:rPr>
            </w:pPr>
            <w:r>
              <w:rPr>
                <w:rFonts w:ascii="Arial" w:cs="Arial" w:eastAsia="Arial" w:hAnsi="Arial"/>
                <w:sz w:val="13"/>
                <w:szCs w:val="13"/>
                <w:color w:val="auto"/>
              </w:rPr>
              <w:t>11,208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tcPr>
          <w:p>
            <w:pPr>
              <w:spacing w:after="0" w:line="135" w:lineRule="exact"/>
              <w:rPr>
                <w:sz w:val="20"/>
                <w:szCs w:val="20"/>
                <w:color w:val="auto"/>
              </w:rPr>
            </w:pPr>
            <w:r>
              <w:rPr>
                <w:rFonts w:ascii="Arial" w:cs="Arial" w:eastAsia="Arial" w:hAnsi="Arial"/>
                <w:sz w:val="13"/>
                <w:szCs w:val="13"/>
                <w:color w:val="auto"/>
              </w:rPr>
              <w:t>Consumer installment</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731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3"/>
          </w:tcPr>
          <w:p>
            <w:pPr>
              <w:jc w:val="right"/>
              <w:ind w:right="18"/>
              <w:spacing w:after="0" w:line="135" w:lineRule="exact"/>
              <w:rPr>
                <w:sz w:val="20"/>
                <w:szCs w:val="20"/>
                <w:color w:val="auto"/>
              </w:rPr>
            </w:pPr>
            <w:r>
              <w:rPr>
                <w:rFonts w:ascii="Arial" w:cs="Arial" w:eastAsia="Arial" w:hAnsi="Arial"/>
                <w:sz w:val="13"/>
                <w:szCs w:val="13"/>
                <w:color w:val="auto"/>
              </w:rPr>
              <w:t>(675)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563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69</w:t>
            </w:r>
          </w:p>
        </w:tc>
        <w:tc>
          <w:tcPr>
            <w:tcW w:w="66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688</w:t>
            </w:r>
          </w:p>
        </w:tc>
        <w:tc>
          <w:tcPr>
            <w:tcW w:w="68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1,353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jc w:val="right"/>
              <w:ind w:right="38"/>
              <w:spacing w:after="0" w:line="135" w:lineRule="exact"/>
              <w:rPr>
                <w:sz w:val="20"/>
                <w:szCs w:val="20"/>
                <w:color w:val="auto"/>
              </w:rPr>
            </w:pPr>
            <w:r>
              <w:rPr>
                <w:rFonts w:ascii="Arial" w:cs="Arial" w:eastAsia="Arial" w:hAnsi="Arial"/>
                <w:sz w:val="13"/>
                <w:szCs w:val="13"/>
                <w:color w:val="auto"/>
                <w:w w:val="92"/>
              </w:rPr>
              <w:t>(1,131)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718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(341)</w:t>
            </w:r>
          </w:p>
        </w:tc>
        <w:tc>
          <w:tcPr>
            <w:tcW w:w="12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599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shd w:val="clear" w:color="auto" w:fill="F0FFFF"/>
          </w:tcPr>
          <w:p>
            <w:pPr>
              <w:spacing w:after="0" w:line="135" w:lineRule="exact"/>
              <w:rPr>
                <w:sz w:val="20"/>
                <w:szCs w:val="20"/>
                <w:color w:val="auto"/>
              </w:rPr>
            </w:pPr>
            <w:r>
              <w:rPr>
                <w:rFonts w:ascii="Arial" w:cs="Arial" w:eastAsia="Arial" w:hAnsi="Arial"/>
                <w:sz w:val="13"/>
                <w:szCs w:val="13"/>
                <w:color w:val="auto"/>
              </w:rPr>
              <w:t>Indirect auto</w:t>
            </w:r>
          </w:p>
        </w:tc>
        <w:tc>
          <w:tcPr>
            <w:tcW w:w="9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2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1,061</w:t>
            </w: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80" w:type="dxa"/>
            <w:vAlign w:val="bottom"/>
            <w:gridSpan w:val="3"/>
            <w:shd w:val="clear" w:color="auto" w:fill="F0FFFF"/>
          </w:tcPr>
          <w:p>
            <w:pPr>
              <w:jc w:val="right"/>
              <w:ind w:right="18"/>
              <w:spacing w:after="0" w:line="135" w:lineRule="exact"/>
              <w:rPr>
                <w:sz w:val="20"/>
                <w:szCs w:val="20"/>
                <w:color w:val="auto"/>
              </w:rPr>
            </w:pPr>
            <w:r>
              <w:rPr>
                <w:rFonts w:ascii="Arial" w:cs="Arial" w:eastAsia="Arial" w:hAnsi="Arial"/>
                <w:sz w:val="13"/>
                <w:szCs w:val="13"/>
                <w:color w:val="auto"/>
              </w:rPr>
              <w:t>(258)</w:t>
            </w:r>
          </w:p>
        </w:tc>
        <w:tc>
          <w:tcPr>
            <w:tcW w:w="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40" w:type="dxa"/>
            <w:vAlign w:val="bottom"/>
            <w:tcBorders>
              <w:right w:val="single" w:sz="8" w:color="F0FFFF"/>
            </w:tcBorders>
            <w:shd w:val="clear" w:color="auto" w:fill="F0FFFF"/>
          </w:tcPr>
          <w:p>
            <w:pPr>
              <w:jc w:val="right"/>
              <w:ind w:right="157"/>
              <w:spacing w:after="0" w:line="135" w:lineRule="exact"/>
              <w:rPr>
                <w:sz w:val="20"/>
                <w:szCs w:val="20"/>
                <w:color w:val="auto"/>
              </w:rPr>
            </w:pPr>
            <w:r>
              <w:rPr>
                <w:rFonts w:ascii="Arial" w:cs="Arial" w:eastAsia="Arial" w:hAnsi="Arial"/>
                <w:sz w:val="13"/>
                <w:szCs w:val="13"/>
                <w:color w:val="auto"/>
              </w:rPr>
              <w:t>21</w:t>
            </w:r>
          </w:p>
        </w:tc>
        <w:tc>
          <w:tcPr>
            <w:tcW w:w="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40" w:type="dxa"/>
            <w:vAlign w:val="bottom"/>
            <w:tcBorders>
              <w:right w:val="single" w:sz="8" w:color="F0FFFF"/>
            </w:tcBorders>
            <w:shd w:val="clear" w:color="auto" w:fill="F0FFFF"/>
          </w:tcPr>
          <w:p>
            <w:pPr>
              <w:jc w:val="right"/>
              <w:ind w:right="157"/>
              <w:spacing w:after="0" w:line="135" w:lineRule="exact"/>
              <w:rPr>
                <w:sz w:val="20"/>
                <w:szCs w:val="20"/>
                <w:color w:val="auto"/>
              </w:rPr>
            </w:pPr>
            <w:r>
              <w:rPr>
                <w:rFonts w:ascii="Arial" w:cs="Arial" w:eastAsia="Arial" w:hAnsi="Arial"/>
                <w:sz w:val="13"/>
                <w:szCs w:val="13"/>
                <w:color w:val="auto"/>
              </w:rPr>
              <w:t>587</w:t>
            </w:r>
          </w:p>
        </w:tc>
        <w:tc>
          <w:tcPr>
            <w:tcW w:w="660" w:type="dxa"/>
            <w:vAlign w:val="bottom"/>
            <w:tcBorders>
              <w:right w:val="single" w:sz="8" w:color="F0FFFF"/>
            </w:tcBorders>
            <w:gridSpan w:val="2"/>
            <w:shd w:val="clear" w:color="auto" w:fill="F0FFFF"/>
          </w:tcPr>
          <w:p>
            <w:pPr>
              <w:jc w:val="right"/>
              <w:ind w:right="137"/>
              <w:spacing w:after="0" w:line="135" w:lineRule="exact"/>
              <w:rPr>
                <w:sz w:val="20"/>
                <w:szCs w:val="20"/>
                <w:color w:val="auto"/>
              </w:rPr>
            </w:pPr>
            <w:r>
              <w:rPr>
                <w:rFonts w:ascii="Arial" w:cs="Arial" w:eastAsia="Arial" w:hAnsi="Arial"/>
                <w:sz w:val="13"/>
                <w:szCs w:val="13"/>
                <w:color w:val="auto"/>
              </w:rPr>
              <w:t>1,411</w:t>
            </w:r>
          </w:p>
        </w:tc>
        <w:tc>
          <w:tcPr>
            <w:tcW w:w="680" w:type="dxa"/>
            <w:vAlign w:val="bottom"/>
            <w:tcBorders>
              <w:right w:val="single" w:sz="8" w:color="F0FFFF"/>
            </w:tcBorders>
            <w:gridSpan w:val="2"/>
            <w:shd w:val="clear" w:color="auto" w:fill="F0FFFF"/>
          </w:tcPr>
          <w:p>
            <w:pPr>
              <w:jc w:val="right"/>
              <w:ind w:right="157"/>
              <w:spacing w:after="0" w:line="135" w:lineRule="exact"/>
              <w:rPr>
                <w:sz w:val="20"/>
                <w:szCs w:val="20"/>
                <w:color w:val="auto"/>
              </w:rPr>
            </w:pPr>
            <w:r>
              <w:rPr>
                <w:rFonts w:ascii="Arial" w:cs="Arial" w:eastAsia="Arial" w:hAnsi="Arial"/>
                <w:sz w:val="13"/>
                <w:szCs w:val="13"/>
                <w:color w:val="auto"/>
              </w:rPr>
              <w:t>1,126</w:t>
            </w:r>
          </w:p>
        </w:tc>
        <w:tc>
          <w:tcPr>
            <w:tcW w:w="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80" w:type="dxa"/>
            <w:vAlign w:val="bottom"/>
            <w:gridSpan w:val="2"/>
            <w:shd w:val="clear" w:color="auto" w:fill="F0FFFF"/>
          </w:tcPr>
          <w:p>
            <w:pPr>
              <w:jc w:val="right"/>
              <w:ind w:right="38"/>
              <w:spacing w:after="0" w:line="135" w:lineRule="exact"/>
              <w:rPr>
                <w:sz w:val="20"/>
                <w:szCs w:val="20"/>
                <w:color w:val="auto"/>
              </w:rPr>
            </w:pPr>
            <w:r>
              <w:rPr>
                <w:rFonts w:ascii="Arial" w:cs="Arial" w:eastAsia="Arial" w:hAnsi="Arial"/>
                <w:sz w:val="13"/>
                <w:szCs w:val="13"/>
                <w:color w:val="auto"/>
              </w:rPr>
              <w:t>(166)</w:t>
            </w: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320" w:type="dxa"/>
            <w:vAlign w:val="bottom"/>
            <w:shd w:val="clear" w:color="auto" w:fill="F0FFFF"/>
          </w:tcPr>
          <w:p>
            <w:pPr>
              <w:jc w:val="right"/>
              <w:spacing w:after="0" w:line="135" w:lineRule="exact"/>
              <w:rPr>
                <w:sz w:val="20"/>
                <w:szCs w:val="20"/>
                <w:color w:val="auto"/>
              </w:rPr>
            </w:pPr>
            <w:r>
              <w:rPr>
                <w:rFonts w:ascii="Arial" w:cs="Arial" w:eastAsia="Arial" w:hAnsi="Arial"/>
                <w:sz w:val="13"/>
                <w:szCs w:val="13"/>
                <w:color w:val="auto"/>
              </w:rPr>
              <w:t>27</w:t>
            </w:r>
          </w:p>
        </w:tc>
        <w:tc>
          <w:tcPr>
            <w:tcW w:w="120" w:type="dxa"/>
            <w:vAlign w:val="bottom"/>
            <w:shd w:val="clear" w:color="auto" w:fill="F0FFFF"/>
          </w:tcPr>
          <w:p>
            <w:pPr>
              <w:spacing w:after="0"/>
              <w:rPr>
                <w:sz w:val="11"/>
                <w:szCs w:val="11"/>
                <w:color w:val="auto"/>
              </w:rPr>
            </w:pPr>
          </w:p>
        </w:tc>
        <w:tc>
          <w:tcPr>
            <w:tcW w:w="100" w:type="dxa"/>
            <w:vAlign w:val="bottom"/>
            <w:tcBorders>
              <w:right w:val="single" w:sz="8" w:color="F0FFFF"/>
            </w:tcBorders>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48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60" w:type="dxa"/>
            <w:vAlign w:val="bottom"/>
            <w:gridSpan w:val="2"/>
            <w:shd w:val="clear" w:color="auto" w:fill="F0FFFF"/>
          </w:tcPr>
          <w:p>
            <w:pPr>
              <w:jc w:val="right"/>
              <w:ind w:right="60"/>
              <w:spacing w:after="0" w:line="135" w:lineRule="exact"/>
              <w:rPr>
                <w:sz w:val="20"/>
                <w:szCs w:val="20"/>
                <w:color w:val="auto"/>
              </w:rPr>
            </w:pPr>
            <w:r>
              <w:rPr>
                <w:rFonts w:ascii="Arial" w:cs="Arial" w:eastAsia="Arial" w:hAnsi="Arial"/>
                <w:sz w:val="13"/>
                <w:szCs w:val="13"/>
                <w:color w:val="auto"/>
              </w:rPr>
              <w:t>(164)</w:t>
            </w:r>
          </w:p>
        </w:tc>
        <w:tc>
          <w:tcPr>
            <w:tcW w:w="120" w:type="dxa"/>
            <w:vAlign w:val="bottom"/>
            <w:shd w:val="clear" w:color="auto" w:fill="F0FFFF"/>
          </w:tcPr>
          <w:p>
            <w:pPr>
              <w:spacing w:after="0"/>
              <w:rPr>
                <w:sz w:val="11"/>
                <w:szCs w:val="11"/>
                <w:color w:val="auto"/>
              </w:rPr>
            </w:pPr>
          </w:p>
        </w:tc>
        <w:tc>
          <w:tcPr>
            <w:tcW w:w="560" w:type="dxa"/>
            <w:vAlign w:val="bottom"/>
            <w:gridSpan w:val="2"/>
            <w:shd w:val="clear" w:color="auto" w:fill="F0FFFF"/>
          </w:tcPr>
          <w:p>
            <w:pPr>
              <w:jc w:val="right"/>
              <w:ind w:right="100"/>
              <w:spacing w:after="0" w:line="135" w:lineRule="exact"/>
              <w:rPr>
                <w:sz w:val="20"/>
                <w:szCs w:val="20"/>
                <w:color w:val="auto"/>
              </w:rPr>
            </w:pPr>
            <w:r>
              <w:rPr>
                <w:rFonts w:ascii="Arial" w:cs="Arial" w:eastAsia="Arial" w:hAnsi="Arial"/>
                <w:sz w:val="13"/>
                <w:szCs w:val="13"/>
                <w:color w:val="auto"/>
              </w:rPr>
              <w:t>823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Pr>
          <w:p>
            <w:pPr>
              <w:ind w:left="20"/>
              <w:spacing w:after="0"/>
              <w:rPr>
                <w:sz w:val="20"/>
                <w:szCs w:val="20"/>
                <w:color w:val="auto"/>
              </w:rPr>
            </w:pPr>
            <w:r>
              <w:rPr>
                <w:rFonts w:ascii="Arial" w:cs="Arial" w:eastAsia="Arial" w:hAnsi="Arial"/>
                <w:sz w:val="13"/>
                <w:szCs w:val="13"/>
                <w:color w:val="auto"/>
              </w:rPr>
              <w:t>Unallocated</w:t>
            </w: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37"/>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57"/>
              <w:spacing w:after="0"/>
              <w:rPr>
                <w:sz w:val="20"/>
                <w:szCs w:val="20"/>
                <w:color w:val="auto"/>
              </w:rPr>
            </w:pPr>
            <w:r>
              <w:rPr>
                <w:rFonts w:ascii="Arial" w:cs="Arial" w:eastAsia="Arial" w:hAnsi="Arial"/>
                <w:sz w:val="13"/>
                <w:szCs w:val="13"/>
                <w:color w:val="auto"/>
              </w:rPr>
              <w:t>6,243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w w:val="92"/>
              </w:rPr>
              <w:t>(6,243)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40" w:type="dxa"/>
            <w:vAlign w:val="bottom"/>
            <w:tcBorders>
              <w:top w:val="single" w:sz="8" w:color="F0FFFF"/>
            </w:tcBorders>
            <w:shd w:val="clear" w:color="auto" w:fill="F0FFFF"/>
          </w:tcPr>
          <w:p>
            <w:pPr>
              <w:ind w:left="180"/>
              <w:spacing w:after="0" w:line="135" w:lineRule="exact"/>
              <w:rPr>
                <w:sz w:val="20"/>
                <w:szCs w:val="20"/>
                <w:color w:val="auto"/>
              </w:rPr>
            </w:pPr>
            <w:r>
              <w:rPr>
                <w:rFonts w:ascii="Arial" w:cs="Arial" w:eastAsia="Arial" w:hAnsi="Arial"/>
                <w:sz w:val="13"/>
                <w:szCs w:val="13"/>
                <w:color w:val="auto"/>
              </w:rPr>
              <w:t>Total allowance for loan losses</w:t>
            </w:r>
          </w:p>
        </w:tc>
        <w:tc>
          <w:tcPr>
            <w:tcW w:w="960" w:type="dxa"/>
            <w:vAlign w:val="bottom"/>
            <w:tcBorders>
              <w:top w:val="single" w:sz="8" w:color="F0FFFF"/>
            </w:tcBorders>
            <w:shd w:val="clear" w:color="auto" w:fill="F0FFFF"/>
          </w:tcPr>
          <w:p>
            <w:pPr>
              <w:spacing w:after="0"/>
              <w:rPr>
                <w:sz w:val="11"/>
                <w:szCs w:val="11"/>
                <w:color w:val="auto"/>
              </w:rPr>
            </w:pPr>
          </w:p>
        </w:tc>
        <w:tc>
          <w:tcPr>
            <w:tcW w:w="80" w:type="dxa"/>
            <w:vAlign w:val="bottom"/>
            <w:tcBorders>
              <w:top w:val="single" w:sz="8" w:color="auto"/>
            </w:tcBorders>
            <w:shd w:val="clear" w:color="auto" w:fill="F0FFFF"/>
          </w:tcPr>
          <w:p>
            <w:pPr>
              <w:spacing w:after="0"/>
              <w:rPr>
                <w:sz w:val="11"/>
                <w:szCs w:val="11"/>
                <w:color w:val="auto"/>
              </w:rPr>
            </w:pPr>
          </w:p>
        </w:tc>
        <w:tc>
          <w:tcPr>
            <w:tcW w:w="400" w:type="dxa"/>
            <w:vAlign w:val="bottom"/>
            <w:tcBorders>
              <w:top w:val="single" w:sz="8" w:color="auto"/>
            </w:tcBorders>
            <w:shd w:val="clear" w:color="auto" w:fill="F0FFFF"/>
          </w:tcPr>
          <w:p>
            <w:pPr>
              <w:jc w:val="right"/>
              <w:spacing w:after="0" w:line="135" w:lineRule="exact"/>
              <w:rPr>
                <w:sz w:val="20"/>
                <w:szCs w:val="20"/>
                <w:color w:val="auto"/>
              </w:rPr>
            </w:pPr>
            <w:r>
              <w:rPr>
                <w:rFonts w:ascii="Arial" w:cs="Arial" w:eastAsia="Arial" w:hAnsi="Arial"/>
                <w:sz w:val="13"/>
                <w:szCs w:val="13"/>
                <w:color w:val="auto"/>
                <w:w w:val="95"/>
              </w:rPr>
              <w:t>71,619</w:t>
            </w:r>
          </w:p>
        </w:tc>
        <w:tc>
          <w:tcPr>
            <w:tcW w:w="120" w:type="dxa"/>
            <w:vAlign w:val="bottom"/>
            <w:tcBorders>
              <w:top w:val="single" w:sz="8" w:color="F0FFFF"/>
            </w:tcBorders>
            <w:shd w:val="clear" w:color="auto" w:fill="F0FFFF"/>
          </w:tcPr>
          <w:p>
            <w:pPr>
              <w:spacing w:after="0"/>
              <w:rPr>
                <w:sz w:val="11"/>
                <w:szCs w:val="11"/>
                <w:color w:val="auto"/>
              </w:rPr>
            </w:pPr>
          </w:p>
        </w:tc>
        <w:tc>
          <w:tcPr>
            <w:tcW w:w="120" w:type="dxa"/>
            <w:vAlign w:val="bottom"/>
            <w:tcBorders>
              <w:top w:val="single" w:sz="8" w:color="F0FFFF"/>
            </w:tcBorders>
            <w:shd w:val="clear" w:color="auto" w:fill="F0FFFF"/>
          </w:tcPr>
          <w:p>
            <w:pPr>
              <w:spacing w:after="0"/>
              <w:rPr>
                <w:sz w:val="11"/>
                <w:szCs w:val="11"/>
                <w:color w:val="auto"/>
              </w:rPr>
            </w:pPr>
          </w:p>
        </w:tc>
        <w:tc>
          <w:tcPr>
            <w:tcW w:w="80" w:type="dxa"/>
            <w:vAlign w:val="bottom"/>
            <w:tcBorders>
              <w:top w:val="single" w:sz="8" w:color="auto"/>
            </w:tcBorders>
            <w:shd w:val="clear" w:color="auto" w:fill="F0FFFF"/>
          </w:tcPr>
          <w:p>
            <w:pPr>
              <w:spacing w:after="0"/>
              <w:rPr>
                <w:sz w:val="11"/>
                <w:szCs w:val="11"/>
                <w:color w:val="auto"/>
              </w:rPr>
            </w:pPr>
          </w:p>
        </w:tc>
        <w:tc>
          <w:tcPr>
            <w:tcW w:w="380" w:type="dxa"/>
            <w:vAlign w:val="bottom"/>
            <w:tcBorders>
              <w:top w:val="single" w:sz="8" w:color="auto"/>
            </w:tcBorders>
            <w:shd w:val="clear" w:color="auto" w:fill="F0FFFF"/>
          </w:tcPr>
          <w:p>
            <w:pPr>
              <w:jc w:val="right"/>
              <w:spacing w:after="0" w:line="135" w:lineRule="exact"/>
              <w:rPr>
                <w:sz w:val="20"/>
                <w:szCs w:val="20"/>
                <w:color w:val="auto"/>
              </w:rPr>
            </w:pPr>
            <w:r>
              <w:rPr>
                <w:rFonts w:ascii="Arial" w:cs="Arial" w:eastAsia="Arial" w:hAnsi="Arial"/>
                <w:sz w:val="13"/>
                <w:szCs w:val="13"/>
                <w:color w:val="auto"/>
                <w:w w:val="87"/>
              </w:rPr>
              <w:t>(6,533)</w:t>
            </w:r>
          </w:p>
        </w:tc>
        <w:tc>
          <w:tcPr>
            <w:tcW w:w="100" w:type="dxa"/>
            <w:vAlign w:val="bottom"/>
            <w:tcBorders>
              <w:top w:val="single" w:sz="8" w:color="F0FFFF"/>
            </w:tcBorders>
            <w:gridSpan w:val="2"/>
            <w:shd w:val="clear" w:color="auto" w:fill="F0FFFF"/>
          </w:tcPr>
          <w:p>
            <w:pPr>
              <w:spacing w:after="0"/>
              <w:rPr>
                <w:sz w:val="11"/>
                <w:szCs w:val="11"/>
                <w:color w:val="auto"/>
              </w:rPr>
            </w:pPr>
          </w:p>
        </w:tc>
        <w:tc>
          <w:tcPr>
            <w:tcW w:w="40" w:type="dxa"/>
            <w:vAlign w:val="bottom"/>
            <w:tcBorders>
              <w:top w:val="single" w:sz="8" w:color="F0FFFF"/>
            </w:tcBorders>
            <w:shd w:val="clear" w:color="auto" w:fill="F0FFFF"/>
          </w:tcPr>
          <w:p>
            <w:pPr>
              <w:spacing w:after="0"/>
              <w:rPr>
                <w:sz w:val="11"/>
                <w:szCs w:val="11"/>
                <w:color w:val="auto"/>
              </w:rPr>
            </w:pPr>
          </w:p>
        </w:tc>
        <w:tc>
          <w:tcPr>
            <w:tcW w:w="80" w:type="dxa"/>
            <w:vAlign w:val="bottom"/>
            <w:tcBorders>
              <w:top w:val="single" w:sz="8" w:color="F0FFFF"/>
            </w:tcBorders>
            <w:shd w:val="clear" w:color="auto" w:fill="F0FFFF"/>
          </w:tcPr>
          <w:p>
            <w:pPr>
              <w:spacing w:after="0"/>
              <w:rPr>
                <w:sz w:val="11"/>
                <w:szCs w:val="11"/>
                <w:color w:val="auto"/>
              </w:rPr>
            </w:pPr>
          </w:p>
        </w:tc>
        <w:tc>
          <w:tcPr>
            <w:tcW w:w="40" w:type="dxa"/>
            <w:vAlign w:val="bottom"/>
            <w:tcBorders>
              <w:top w:val="single" w:sz="8" w:color="auto"/>
            </w:tcBorders>
            <w:shd w:val="clear" w:color="auto" w:fill="F0FFFF"/>
          </w:tcPr>
          <w:p>
            <w:pPr>
              <w:spacing w:after="0"/>
              <w:rPr>
                <w:sz w:val="11"/>
                <w:szCs w:val="11"/>
                <w:color w:val="auto"/>
              </w:rPr>
            </w:pPr>
          </w:p>
        </w:tc>
        <w:tc>
          <w:tcPr>
            <w:tcW w:w="80" w:type="dxa"/>
            <w:vAlign w:val="bottom"/>
            <w:tcBorders>
              <w:top w:val="single" w:sz="8" w:color="auto"/>
            </w:tcBorders>
            <w:shd w:val="clear" w:color="auto" w:fill="F0FFFF"/>
          </w:tcPr>
          <w:p>
            <w:pPr>
              <w:spacing w:after="0"/>
              <w:rPr>
                <w:sz w:val="11"/>
                <w:szCs w:val="11"/>
                <w:color w:val="auto"/>
              </w:rPr>
            </w:pPr>
          </w:p>
        </w:tc>
        <w:tc>
          <w:tcPr>
            <w:tcW w:w="540" w:type="dxa"/>
            <w:vAlign w:val="bottom"/>
            <w:tcBorders>
              <w:top w:val="single" w:sz="8" w:color="auto"/>
              <w:right w:val="single" w:sz="8" w:color="F0FFFF"/>
            </w:tcBorders>
            <w:shd w:val="clear" w:color="auto" w:fill="F0FFFF"/>
          </w:tcPr>
          <w:p>
            <w:pPr>
              <w:jc w:val="right"/>
              <w:ind w:right="157"/>
              <w:spacing w:after="0" w:line="135" w:lineRule="exact"/>
              <w:rPr>
                <w:sz w:val="20"/>
                <w:szCs w:val="20"/>
                <w:color w:val="auto"/>
              </w:rPr>
            </w:pPr>
            <w:r>
              <w:rPr>
                <w:rFonts w:ascii="Arial" w:cs="Arial" w:eastAsia="Arial" w:hAnsi="Arial"/>
                <w:sz w:val="13"/>
                <w:szCs w:val="13"/>
                <w:color w:val="auto"/>
                <w:w w:val="92"/>
              </w:rPr>
              <w:t>2,993</w:t>
            </w:r>
          </w:p>
        </w:tc>
        <w:tc>
          <w:tcPr>
            <w:tcW w:w="40" w:type="dxa"/>
            <w:vAlign w:val="bottom"/>
            <w:tcBorders>
              <w:top w:val="single" w:sz="8" w:color="auto"/>
            </w:tcBorders>
            <w:shd w:val="clear" w:color="auto" w:fill="F0FFFF"/>
          </w:tcPr>
          <w:p>
            <w:pPr>
              <w:spacing w:after="0"/>
              <w:rPr>
                <w:sz w:val="11"/>
                <w:szCs w:val="11"/>
                <w:color w:val="auto"/>
              </w:rPr>
            </w:pPr>
          </w:p>
        </w:tc>
        <w:tc>
          <w:tcPr>
            <w:tcW w:w="80" w:type="dxa"/>
            <w:vAlign w:val="bottom"/>
            <w:tcBorders>
              <w:top w:val="single" w:sz="8" w:color="auto"/>
            </w:tcBorders>
            <w:shd w:val="clear" w:color="auto" w:fill="F0FFFF"/>
          </w:tcPr>
          <w:p>
            <w:pPr>
              <w:spacing w:after="0"/>
              <w:rPr>
                <w:sz w:val="11"/>
                <w:szCs w:val="11"/>
                <w:color w:val="auto"/>
              </w:rPr>
            </w:pPr>
          </w:p>
        </w:tc>
        <w:tc>
          <w:tcPr>
            <w:tcW w:w="540" w:type="dxa"/>
            <w:vAlign w:val="bottom"/>
            <w:tcBorders>
              <w:top w:val="single" w:sz="8" w:color="auto"/>
              <w:right w:val="single" w:sz="8" w:color="F0FFFF"/>
            </w:tcBorders>
            <w:shd w:val="clear" w:color="auto" w:fill="F0FFFF"/>
          </w:tcPr>
          <w:p>
            <w:pPr>
              <w:jc w:val="right"/>
              <w:ind w:right="157"/>
              <w:spacing w:after="0" w:line="135" w:lineRule="exact"/>
              <w:rPr>
                <w:sz w:val="20"/>
                <w:szCs w:val="20"/>
                <w:color w:val="auto"/>
              </w:rPr>
            </w:pPr>
            <w:r>
              <w:rPr>
                <w:rFonts w:ascii="Arial" w:cs="Arial" w:eastAsia="Arial" w:hAnsi="Arial"/>
                <w:sz w:val="13"/>
                <w:szCs w:val="13"/>
                <w:color w:val="auto"/>
                <w:w w:val="92"/>
              </w:rPr>
              <w:t>2,050</w:t>
            </w:r>
          </w:p>
        </w:tc>
        <w:tc>
          <w:tcPr>
            <w:tcW w:w="660" w:type="dxa"/>
            <w:vAlign w:val="bottom"/>
            <w:tcBorders>
              <w:top w:val="single" w:sz="8" w:color="auto"/>
              <w:right w:val="single" w:sz="8" w:color="F0FFFF"/>
            </w:tcBorders>
            <w:gridSpan w:val="2"/>
            <w:shd w:val="clear" w:color="auto" w:fill="F0FFFF"/>
          </w:tcPr>
          <w:p>
            <w:pPr>
              <w:jc w:val="right"/>
              <w:ind w:right="137"/>
              <w:spacing w:after="0" w:line="135" w:lineRule="exact"/>
              <w:rPr>
                <w:sz w:val="20"/>
                <w:szCs w:val="20"/>
                <w:color w:val="auto"/>
              </w:rPr>
            </w:pPr>
            <w:r>
              <w:rPr>
                <w:rFonts w:ascii="Arial" w:cs="Arial" w:eastAsia="Arial" w:hAnsi="Arial"/>
                <w:sz w:val="13"/>
                <w:szCs w:val="13"/>
                <w:color w:val="auto"/>
              </w:rPr>
              <w:t>70,129</w:t>
            </w:r>
          </w:p>
        </w:tc>
        <w:tc>
          <w:tcPr>
            <w:tcW w:w="680" w:type="dxa"/>
            <w:vAlign w:val="bottom"/>
            <w:tcBorders>
              <w:top w:val="single" w:sz="8" w:color="auto"/>
              <w:right w:val="single" w:sz="8" w:color="F0FFFF"/>
            </w:tcBorders>
            <w:gridSpan w:val="2"/>
            <w:shd w:val="clear" w:color="auto" w:fill="F0FFFF"/>
          </w:tcPr>
          <w:p>
            <w:pPr>
              <w:jc w:val="center"/>
              <w:ind w:right="37"/>
              <w:spacing w:after="0" w:line="135" w:lineRule="exact"/>
              <w:rPr>
                <w:sz w:val="20"/>
                <w:szCs w:val="20"/>
                <w:color w:val="auto"/>
              </w:rPr>
            </w:pPr>
            <w:r>
              <w:rPr>
                <w:rFonts w:ascii="Arial" w:cs="Arial" w:eastAsia="Arial" w:hAnsi="Arial"/>
                <w:sz w:val="13"/>
                <w:szCs w:val="13"/>
                <w:color w:val="auto"/>
                <w:w w:val="85"/>
              </w:rPr>
              <w:t>76,762</w:t>
            </w:r>
          </w:p>
        </w:tc>
        <w:tc>
          <w:tcPr>
            <w:tcW w:w="500" w:type="dxa"/>
            <w:vAlign w:val="bottom"/>
            <w:tcBorders>
              <w:top w:val="single" w:sz="8" w:color="auto"/>
            </w:tcBorders>
            <w:gridSpan w:val="3"/>
            <w:shd w:val="clear" w:color="auto" w:fill="F0FFFF"/>
          </w:tcPr>
          <w:p>
            <w:pPr>
              <w:jc w:val="right"/>
              <w:spacing w:after="0" w:line="135" w:lineRule="exact"/>
              <w:rPr>
                <w:sz w:val="20"/>
                <w:szCs w:val="20"/>
                <w:color w:val="auto"/>
              </w:rPr>
            </w:pPr>
            <w:r>
              <w:rPr>
                <w:rFonts w:ascii="Arial" w:cs="Arial" w:eastAsia="Arial" w:hAnsi="Arial"/>
                <w:sz w:val="13"/>
                <w:szCs w:val="13"/>
                <w:color w:val="auto"/>
                <w:w w:val="99"/>
              </w:rPr>
              <w:t>(13,784)</w:t>
            </w:r>
          </w:p>
        </w:tc>
        <w:tc>
          <w:tcPr>
            <w:tcW w:w="120" w:type="dxa"/>
            <w:vAlign w:val="bottom"/>
            <w:tcBorders>
              <w:top w:val="single" w:sz="8" w:color="F0FFFF"/>
            </w:tcBorders>
            <w:shd w:val="clear" w:color="auto" w:fill="F0FFFF"/>
          </w:tcPr>
          <w:p>
            <w:pPr>
              <w:spacing w:after="0"/>
              <w:rPr>
                <w:sz w:val="11"/>
                <w:szCs w:val="11"/>
                <w:color w:val="auto"/>
              </w:rPr>
            </w:pPr>
          </w:p>
        </w:tc>
        <w:tc>
          <w:tcPr>
            <w:tcW w:w="100" w:type="dxa"/>
            <w:vAlign w:val="bottom"/>
            <w:tcBorders>
              <w:top w:val="single" w:sz="8" w:color="F0FFFF"/>
            </w:tcBorders>
            <w:shd w:val="clear" w:color="auto" w:fill="F0FFFF"/>
          </w:tcPr>
          <w:p>
            <w:pPr>
              <w:spacing w:after="0"/>
              <w:rPr>
                <w:sz w:val="11"/>
                <w:szCs w:val="11"/>
                <w:color w:val="auto"/>
              </w:rPr>
            </w:pPr>
          </w:p>
        </w:tc>
        <w:tc>
          <w:tcPr>
            <w:tcW w:w="120" w:type="dxa"/>
            <w:vAlign w:val="bottom"/>
            <w:tcBorders>
              <w:top w:val="single" w:sz="8" w:color="auto"/>
            </w:tcBorders>
            <w:shd w:val="clear" w:color="auto" w:fill="F0FFFF"/>
          </w:tcPr>
          <w:p>
            <w:pPr>
              <w:spacing w:after="0"/>
              <w:rPr>
                <w:sz w:val="11"/>
                <w:szCs w:val="11"/>
                <w:color w:val="auto"/>
              </w:rPr>
            </w:pPr>
          </w:p>
        </w:tc>
        <w:tc>
          <w:tcPr>
            <w:tcW w:w="320" w:type="dxa"/>
            <w:vAlign w:val="bottom"/>
            <w:tcBorders>
              <w:top w:val="single" w:sz="8" w:color="auto"/>
            </w:tcBorders>
            <w:shd w:val="clear" w:color="auto" w:fill="F0FFFF"/>
          </w:tcPr>
          <w:p>
            <w:pPr>
              <w:jc w:val="right"/>
              <w:spacing w:after="0" w:line="135" w:lineRule="exact"/>
              <w:rPr>
                <w:sz w:val="20"/>
                <w:szCs w:val="20"/>
                <w:color w:val="auto"/>
              </w:rPr>
            </w:pPr>
            <w:r>
              <w:rPr>
                <w:rFonts w:ascii="Arial" w:cs="Arial" w:eastAsia="Arial" w:hAnsi="Arial"/>
                <w:sz w:val="13"/>
                <w:szCs w:val="13"/>
                <w:color w:val="auto"/>
                <w:w w:val="92"/>
              </w:rPr>
              <w:t>5,570</w:t>
            </w:r>
          </w:p>
        </w:tc>
        <w:tc>
          <w:tcPr>
            <w:tcW w:w="120" w:type="dxa"/>
            <w:vAlign w:val="bottom"/>
            <w:tcBorders>
              <w:top w:val="single" w:sz="8" w:color="F0FFFF"/>
            </w:tcBorders>
            <w:shd w:val="clear" w:color="auto" w:fill="F0FFFF"/>
          </w:tcPr>
          <w:p>
            <w:pPr>
              <w:spacing w:after="0"/>
              <w:rPr>
                <w:sz w:val="11"/>
                <w:szCs w:val="11"/>
                <w:color w:val="auto"/>
              </w:rPr>
            </w:pPr>
          </w:p>
        </w:tc>
        <w:tc>
          <w:tcPr>
            <w:tcW w:w="100" w:type="dxa"/>
            <w:vAlign w:val="bottom"/>
            <w:tcBorders>
              <w:top w:val="single" w:sz="8" w:color="F0FFFF"/>
              <w:right w:val="single" w:sz="8" w:color="F0FFFF"/>
            </w:tcBorders>
            <w:shd w:val="clear" w:color="auto" w:fill="F0FFFF"/>
          </w:tcPr>
          <w:p>
            <w:pPr>
              <w:spacing w:after="0"/>
              <w:rPr>
                <w:sz w:val="11"/>
                <w:szCs w:val="11"/>
                <w:color w:val="auto"/>
              </w:rPr>
            </w:pPr>
          </w:p>
        </w:tc>
        <w:tc>
          <w:tcPr>
            <w:tcW w:w="140" w:type="dxa"/>
            <w:vAlign w:val="bottom"/>
            <w:tcBorders>
              <w:top w:val="single" w:sz="8" w:color="auto"/>
            </w:tcBorders>
            <w:shd w:val="clear" w:color="auto" w:fill="F0FFFF"/>
          </w:tcPr>
          <w:p>
            <w:pPr>
              <w:spacing w:after="0"/>
              <w:rPr>
                <w:sz w:val="11"/>
                <w:szCs w:val="11"/>
                <w:color w:val="auto"/>
              </w:rPr>
            </w:pPr>
          </w:p>
        </w:tc>
        <w:tc>
          <w:tcPr>
            <w:tcW w:w="360" w:type="dxa"/>
            <w:vAlign w:val="bottom"/>
            <w:tcBorders>
              <w:top w:val="single" w:sz="8" w:color="auto"/>
            </w:tcBorders>
            <w:shd w:val="clear" w:color="auto" w:fill="F0FF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F0FFFF"/>
            </w:tcBorders>
            <w:shd w:val="clear" w:color="auto" w:fill="F0FFFF"/>
          </w:tcPr>
          <w:p>
            <w:pPr>
              <w:spacing w:after="0"/>
              <w:rPr>
                <w:sz w:val="11"/>
                <w:szCs w:val="11"/>
                <w:color w:val="auto"/>
              </w:rPr>
            </w:pPr>
          </w:p>
        </w:tc>
        <w:tc>
          <w:tcPr>
            <w:tcW w:w="120" w:type="dxa"/>
            <w:vAlign w:val="bottom"/>
            <w:tcBorders>
              <w:top w:val="single" w:sz="8" w:color="F0FFFF"/>
            </w:tcBorders>
            <w:shd w:val="clear" w:color="auto" w:fill="F0FFFF"/>
          </w:tcPr>
          <w:p>
            <w:pPr>
              <w:spacing w:after="0"/>
              <w:rPr>
                <w:sz w:val="11"/>
                <w:szCs w:val="11"/>
                <w:color w:val="auto"/>
              </w:rPr>
            </w:pPr>
          </w:p>
        </w:tc>
        <w:tc>
          <w:tcPr>
            <w:tcW w:w="80" w:type="dxa"/>
            <w:vAlign w:val="bottom"/>
            <w:tcBorders>
              <w:top w:val="single" w:sz="8" w:color="auto"/>
            </w:tcBorders>
            <w:shd w:val="clear" w:color="auto" w:fill="F0FFFF"/>
          </w:tcPr>
          <w:p>
            <w:pPr>
              <w:spacing w:after="0"/>
              <w:rPr>
                <w:sz w:val="11"/>
                <w:szCs w:val="11"/>
                <w:color w:val="auto"/>
              </w:rPr>
            </w:pPr>
          </w:p>
        </w:tc>
        <w:tc>
          <w:tcPr>
            <w:tcW w:w="360" w:type="dxa"/>
            <w:vAlign w:val="bottom"/>
            <w:tcBorders>
              <w:top w:val="single" w:sz="8" w:color="auto"/>
            </w:tcBorders>
            <w:shd w:val="clear" w:color="auto" w:fill="F0FFFF"/>
          </w:tcPr>
          <w:p>
            <w:pPr>
              <w:jc w:val="right"/>
              <w:spacing w:after="0" w:line="135" w:lineRule="exact"/>
              <w:rPr>
                <w:sz w:val="20"/>
                <w:szCs w:val="20"/>
                <w:color w:val="auto"/>
              </w:rPr>
            </w:pPr>
            <w:r>
              <w:rPr>
                <w:rFonts w:ascii="Arial" w:cs="Arial" w:eastAsia="Arial" w:hAnsi="Arial"/>
                <w:sz w:val="13"/>
                <w:szCs w:val="13"/>
                <w:color w:val="auto"/>
              </w:rPr>
              <w:t>4,700</w:t>
            </w:r>
          </w:p>
        </w:tc>
        <w:tc>
          <w:tcPr>
            <w:tcW w:w="100" w:type="dxa"/>
            <w:vAlign w:val="bottom"/>
            <w:tcBorders>
              <w:top w:val="single" w:sz="8" w:color="F0FFFF"/>
            </w:tcBorders>
            <w:shd w:val="clear" w:color="auto" w:fill="F0FFFF"/>
          </w:tcPr>
          <w:p>
            <w:pPr>
              <w:spacing w:after="0"/>
              <w:rPr>
                <w:sz w:val="11"/>
                <w:szCs w:val="11"/>
                <w:color w:val="auto"/>
              </w:rPr>
            </w:pPr>
          </w:p>
        </w:tc>
        <w:tc>
          <w:tcPr>
            <w:tcW w:w="120" w:type="dxa"/>
            <w:vAlign w:val="bottom"/>
            <w:tcBorders>
              <w:top w:val="single" w:sz="8" w:color="F0FFFF"/>
            </w:tcBorders>
            <w:shd w:val="clear" w:color="auto" w:fill="F0FFFF"/>
          </w:tcPr>
          <w:p>
            <w:pPr>
              <w:spacing w:after="0"/>
              <w:rPr>
                <w:sz w:val="11"/>
                <w:szCs w:val="11"/>
                <w:color w:val="auto"/>
              </w:rPr>
            </w:pPr>
          </w:p>
        </w:tc>
        <w:tc>
          <w:tcPr>
            <w:tcW w:w="460" w:type="dxa"/>
            <w:vAlign w:val="bottom"/>
            <w:tcBorders>
              <w:top w:val="single" w:sz="8" w:color="auto"/>
            </w:tcBorders>
            <w:shd w:val="clear" w:color="auto" w:fill="F0FFFF"/>
          </w:tcPr>
          <w:p>
            <w:pPr>
              <w:jc w:val="right"/>
              <w:spacing w:after="0" w:line="135" w:lineRule="exact"/>
              <w:rPr>
                <w:sz w:val="20"/>
                <w:szCs w:val="20"/>
                <w:color w:val="auto"/>
              </w:rPr>
            </w:pPr>
            <w:r>
              <w:rPr>
                <w:rFonts w:ascii="Arial" w:cs="Arial" w:eastAsia="Arial" w:hAnsi="Arial"/>
                <w:sz w:val="13"/>
                <w:szCs w:val="13"/>
                <w:color w:val="auto"/>
              </w:rPr>
              <w:t>73,248</w:t>
            </w:r>
          </w:p>
        </w:tc>
        <w:tc>
          <w:tcPr>
            <w:tcW w:w="100" w:type="dxa"/>
            <w:vAlign w:val="bottom"/>
            <w:tcBorders>
              <w:top w:val="single" w:sz="8" w:color="F0FFFF"/>
            </w:tcBorders>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40" w:type="dxa"/>
            <w:vAlign w:val="bottom"/>
          </w:tcPr>
          <w:p>
            <w:pPr>
              <w:spacing w:after="0"/>
              <w:rPr>
                <w:sz w:val="20"/>
                <w:szCs w:val="20"/>
                <w:color w:val="auto"/>
              </w:rPr>
            </w:pPr>
            <w:r>
              <w:rPr>
                <w:rFonts w:ascii="Arial" w:cs="Arial" w:eastAsia="Arial" w:hAnsi="Arial"/>
                <w:sz w:val="13"/>
                <w:szCs w:val="13"/>
                <w:color w:val="auto"/>
              </w:rPr>
              <w:t>Allowance for unfunded commitments</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3"/>
                <w:szCs w:val="13"/>
                <w:color w:val="auto"/>
              </w:rPr>
              <w:t>1,930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57"/>
              <w:spacing w:after="0"/>
              <w:rPr>
                <w:sz w:val="20"/>
                <w:szCs w:val="20"/>
                <w:color w:val="auto"/>
              </w:rPr>
            </w:pPr>
            <w:r>
              <w:rPr>
                <w:rFonts w:ascii="Arial" w:cs="Arial" w:eastAsia="Arial" w:hAnsi="Arial"/>
                <w:sz w:val="13"/>
                <w:szCs w:val="13"/>
                <w:color w:val="auto"/>
              </w:rPr>
              <w:t>650</w:t>
            </w:r>
          </w:p>
        </w:tc>
        <w:tc>
          <w:tcPr>
            <w:tcW w:w="660" w:type="dxa"/>
            <w:vAlign w:val="bottom"/>
            <w:gridSpan w:val="2"/>
          </w:tcPr>
          <w:p>
            <w:pPr>
              <w:jc w:val="right"/>
              <w:ind w:right="137"/>
              <w:spacing w:after="0"/>
              <w:rPr>
                <w:sz w:val="20"/>
                <w:szCs w:val="20"/>
                <w:color w:val="auto"/>
              </w:rPr>
            </w:pPr>
            <w:r>
              <w:rPr>
                <w:rFonts w:ascii="Arial" w:cs="Arial" w:eastAsia="Arial" w:hAnsi="Arial"/>
                <w:sz w:val="13"/>
                <w:szCs w:val="13"/>
                <w:color w:val="auto"/>
              </w:rPr>
              <w:t>2,580</w:t>
            </w:r>
          </w:p>
        </w:tc>
        <w:tc>
          <w:tcPr>
            <w:tcW w:w="680" w:type="dxa"/>
            <w:vAlign w:val="bottom"/>
            <w:gridSpan w:val="2"/>
          </w:tcPr>
          <w:p>
            <w:pPr>
              <w:jc w:val="right"/>
              <w:ind w:right="157"/>
              <w:spacing w:after="0"/>
              <w:rPr>
                <w:sz w:val="20"/>
                <w:szCs w:val="20"/>
                <w:color w:val="auto"/>
              </w:rPr>
            </w:pPr>
            <w:r>
              <w:rPr>
                <w:rFonts w:ascii="Arial" w:cs="Arial" w:eastAsia="Arial" w:hAnsi="Arial"/>
                <w:sz w:val="13"/>
                <w:szCs w:val="13"/>
                <w:color w:val="auto"/>
              </w:rPr>
              <w:t>2,165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2,165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40" w:type="dxa"/>
            <w:vAlign w:val="bottom"/>
            <w:shd w:val="clear" w:color="auto" w:fill="F0FFFF"/>
          </w:tcPr>
          <w:p>
            <w:pPr>
              <w:spacing w:after="0"/>
              <w:rPr>
                <w:sz w:val="2"/>
                <w:szCs w:val="2"/>
                <w:color w:val="auto"/>
              </w:rPr>
            </w:pPr>
          </w:p>
        </w:tc>
        <w:tc>
          <w:tcPr>
            <w:tcW w:w="96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gridSpan w:val="2"/>
            <w:shd w:val="clear" w:color="auto" w:fill="F0FFFF"/>
          </w:tcPr>
          <w:p>
            <w:pPr>
              <w:spacing w:after="0"/>
              <w:rPr>
                <w:sz w:val="2"/>
                <w:szCs w:val="2"/>
                <w:color w:val="auto"/>
              </w:rPr>
            </w:pPr>
          </w:p>
        </w:tc>
        <w:tc>
          <w:tcPr>
            <w:tcW w:w="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gridSpan w:val="2"/>
            <w:shd w:val="clear" w:color="auto" w:fill="000000"/>
          </w:tcPr>
          <w:p>
            <w:pPr>
              <w:spacing w:after="0"/>
              <w:rPr>
                <w:sz w:val="2"/>
                <w:szCs w:val="2"/>
                <w:color w:val="auto"/>
              </w:rPr>
            </w:pPr>
          </w:p>
        </w:tc>
        <w:tc>
          <w:tcPr>
            <w:tcW w:w="540" w:type="dxa"/>
            <w:vAlign w:val="bottom"/>
            <w:tcBorders>
              <w:right w:val="single" w:sz="8" w:color="F0FFFF"/>
            </w:tcBorders>
            <w:shd w:val="clear" w:color="auto" w:fill="000000"/>
          </w:tcPr>
          <w:p>
            <w:pPr>
              <w:spacing w:after="0"/>
              <w:rPr>
                <w:sz w:val="2"/>
                <w:szCs w:val="2"/>
                <w:color w:val="auto"/>
              </w:rPr>
            </w:pPr>
          </w:p>
        </w:tc>
        <w:tc>
          <w:tcPr>
            <w:tcW w:w="120" w:type="dxa"/>
            <w:vAlign w:val="bottom"/>
            <w:gridSpan w:val="2"/>
            <w:shd w:val="clear" w:color="auto" w:fill="000000"/>
          </w:tcPr>
          <w:p>
            <w:pPr>
              <w:spacing w:after="0"/>
              <w:rPr>
                <w:sz w:val="2"/>
                <w:szCs w:val="2"/>
                <w:color w:val="auto"/>
              </w:rPr>
            </w:pPr>
          </w:p>
        </w:tc>
        <w:tc>
          <w:tcPr>
            <w:tcW w:w="540" w:type="dxa"/>
            <w:vAlign w:val="bottom"/>
            <w:tcBorders>
              <w:right w:val="single" w:sz="8" w:color="F0FFFF"/>
            </w:tcBorders>
            <w:shd w:val="clear" w:color="auto" w:fill="000000"/>
          </w:tcPr>
          <w:p>
            <w:pPr>
              <w:spacing w:after="0"/>
              <w:rPr>
                <w:sz w:val="2"/>
                <w:szCs w:val="2"/>
                <w:color w:val="auto"/>
              </w:rPr>
            </w:pPr>
          </w:p>
        </w:tc>
        <w:tc>
          <w:tcPr>
            <w:tcW w:w="660" w:type="dxa"/>
            <w:vAlign w:val="bottom"/>
            <w:tcBorders>
              <w:right w:val="single" w:sz="8" w:color="F0FFFF"/>
            </w:tcBorders>
            <w:gridSpan w:val="2"/>
            <w:shd w:val="clear" w:color="auto" w:fill="000000"/>
          </w:tcPr>
          <w:p>
            <w:pPr>
              <w:spacing w:after="0"/>
              <w:rPr>
                <w:sz w:val="2"/>
                <w:szCs w:val="2"/>
                <w:color w:val="auto"/>
              </w:rPr>
            </w:pPr>
          </w:p>
        </w:tc>
        <w:tc>
          <w:tcPr>
            <w:tcW w:w="680" w:type="dxa"/>
            <w:vAlign w:val="bottom"/>
            <w:tcBorders>
              <w:right w:val="single" w:sz="8" w:color="F0FFFF"/>
            </w:tcBorders>
            <w:gridSpan w:val="2"/>
            <w:shd w:val="clear" w:color="auto" w:fill="000000"/>
          </w:tcPr>
          <w:p>
            <w:pPr>
              <w:spacing w:after="0"/>
              <w:rPr>
                <w:sz w:val="2"/>
                <w:szCs w:val="2"/>
                <w:color w:val="auto"/>
              </w:rPr>
            </w:pPr>
          </w:p>
        </w:tc>
        <w:tc>
          <w:tcPr>
            <w:tcW w:w="500" w:type="dxa"/>
            <w:vAlign w:val="bottom"/>
            <w:gridSpan w:val="3"/>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tcBorders>
              <w:right w:val="single" w:sz="8" w:color="F0FFFF"/>
            </w:tcBorders>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040" w:type="dxa"/>
            <w:vAlign w:val="bottom"/>
            <w:shd w:val="clear" w:color="auto" w:fill="F0FFFF"/>
          </w:tcPr>
          <w:p>
            <w:pPr>
              <w:ind w:left="180"/>
              <w:spacing w:after="0"/>
              <w:rPr>
                <w:sz w:val="20"/>
                <w:szCs w:val="20"/>
                <w:color w:val="auto"/>
              </w:rPr>
            </w:pPr>
            <w:r>
              <w:rPr>
                <w:rFonts w:ascii="Arial" w:cs="Arial" w:eastAsia="Arial" w:hAnsi="Arial"/>
                <w:sz w:val="13"/>
                <w:szCs w:val="13"/>
                <w:color w:val="auto"/>
              </w:rPr>
              <w:t>Total allowance for credit losses</w:t>
            </w:r>
          </w:p>
        </w:tc>
        <w:tc>
          <w:tcPr>
            <w:tcW w:w="1040" w:type="dxa"/>
            <w:vAlign w:val="bottom"/>
            <w:gridSpan w:val="2"/>
            <w:shd w:val="clear" w:color="auto" w:fill="F0FFFF"/>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F0FFFF"/>
          </w:tcPr>
          <w:p>
            <w:pPr>
              <w:jc w:val="right"/>
              <w:ind w:right="120"/>
              <w:spacing w:after="0"/>
              <w:rPr>
                <w:sz w:val="20"/>
                <w:szCs w:val="20"/>
                <w:color w:val="auto"/>
              </w:rPr>
            </w:pPr>
            <w:r>
              <w:rPr>
                <w:rFonts w:ascii="Arial" w:cs="Arial" w:eastAsia="Arial" w:hAnsi="Arial"/>
                <w:sz w:val="13"/>
                <w:szCs w:val="13"/>
                <w:color w:val="auto"/>
                <w:w w:val="95"/>
              </w:rPr>
              <w:t>73,549</w:t>
            </w:r>
          </w:p>
        </w:tc>
        <w:tc>
          <w:tcPr>
            <w:tcW w:w="120" w:type="dxa"/>
            <w:vAlign w:val="bottom"/>
            <w:shd w:val="clear" w:color="auto" w:fill="F0FFFF"/>
          </w:tcPr>
          <w:p>
            <w:pPr>
              <w:spacing w:after="0"/>
              <w:rPr>
                <w:sz w:val="21"/>
                <w:szCs w:val="21"/>
                <w:color w:val="auto"/>
              </w:rPr>
            </w:pPr>
          </w:p>
        </w:tc>
        <w:tc>
          <w:tcPr>
            <w:tcW w:w="80" w:type="dxa"/>
            <w:vAlign w:val="bottom"/>
            <w:shd w:val="clear" w:color="auto" w:fill="F0FF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gridSpan w:val="3"/>
            <w:shd w:val="clear" w:color="auto" w:fill="F0FFFF"/>
          </w:tcPr>
          <w:p>
            <w:pPr>
              <w:jc w:val="right"/>
              <w:ind w:right="18"/>
              <w:spacing w:after="0" w:line="229" w:lineRule="exact"/>
              <w:rPr>
                <w:sz w:val="20"/>
                <w:szCs w:val="20"/>
                <w:color w:val="auto"/>
              </w:rPr>
            </w:pPr>
            <w:r>
              <w:rPr>
                <w:rFonts w:ascii="Arial" w:cs="Arial" w:eastAsia="Arial" w:hAnsi="Arial"/>
                <w:sz w:val="13"/>
                <w:szCs w:val="13"/>
                <w:color w:val="auto"/>
                <w:w w:val="94"/>
              </w:rPr>
              <w:t>(6,533</w:t>
            </w:r>
            <w:r>
              <w:rPr>
                <w:rFonts w:ascii="Arial" w:cs="Arial" w:eastAsia="Arial" w:hAnsi="Arial"/>
                <w:sz w:val="25"/>
                <w:szCs w:val="25"/>
                <w:color w:val="auto"/>
                <w:w w:val="94"/>
                <w:vertAlign w:val="superscript"/>
              </w:rPr>
              <w:t>)</w:t>
            </w:r>
          </w:p>
        </w:tc>
        <w:tc>
          <w:tcPr>
            <w:tcW w:w="40" w:type="dxa"/>
            <w:vAlign w:val="bottom"/>
            <w:shd w:val="clear" w:color="auto" w:fill="F0FFFF"/>
          </w:tcPr>
          <w:p>
            <w:pPr>
              <w:spacing w:after="0"/>
              <w:rPr>
                <w:sz w:val="21"/>
                <w:szCs w:val="21"/>
                <w:color w:val="auto"/>
              </w:rPr>
            </w:pPr>
          </w:p>
        </w:tc>
        <w:tc>
          <w:tcPr>
            <w:tcW w:w="200" w:type="dxa"/>
            <w:vAlign w:val="bottom"/>
            <w:gridSpan w:val="3"/>
            <w:shd w:val="clear" w:color="auto" w:fill="F0FFFF"/>
          </w:tcPr>
          <w:p>
            <w:pPr>
              <w:ind w:left="80"/>
              <w:spacing w:after="0"/>
              <w:rPr>
                <w:sz w:val="20"/>
                <w:szCs w:val="20"/>
                <w:color w:val="auto"/>
              </w:rPr>
            </w:pPr>
            <w:r>
              <w:rPr>
                <w:rFonts w:ascii="Arial" w:cs="Arial" w:eastAsia="Arial" w:hAnsi="Arial"/>
                <w:sz w:val="13"/>
                <w:szCs w:val="13"/>
                <w:color w:val="auto"/>
              </w:rPr>
              <w:t>$</w:t>
            </w:r>
          </w:p>
        </w:tc>
        <w:tc>
          <w:tcPr>
            <w:tcW w:w="540" w:type="dxa"/>
            <w:vAlign w:val="bottom"/>
            <w:tcBorders>
              <w:right w:val="single" w:sz="8" w:color="F0FFFF"/>
            </w:tcBorders>
            <w:shd w:val="clear" w:color="auto" w:fill="F0FFFF"/>
          </w:tcPr>
          <w:p>
            <w:pPr>
              <w:jc w:val="right"/>
              <w:ind w:right="157"/>
              <w:spacing w:after="0"/>
              <w:rPr>
                <w:sz w:val="20"/>
                <w:szCs w:val="20"/>
                <w:color w:val="auto"/>
              </w:rPr>
            </w:pPr>
            <w:r>
              <w:rPr>
                <w:rFonts w:ascii="Arial" w:cs="Arial" w:eastAsia="Arial" w:hAnsi="Arial"/>
                <w:sz w:val="13"/>
                <w:szCs w:val="13"/>
                <w:color w:val="auto"/>
                <w:w w:val="92"/>
              </w:rPr>
              <w:t>2,993</w:t>
            </w:r>
          </w:p>
        </w:tc>
        <w:tc>
          <w:tcPr>
            <w:tcW w:w="120" w:type="dxa"/>
            <w:vAlign w:val="bottom"/>
            <w:gridSpan w:val="2"/>
            <w:shd w:val="clear" w:color="auto" w:fill="F0FFFF"/>
          </w:tcPr>
          <w:p>
            <w:pPr>
              <w:jc w:val="right"/>
              <w:ind w:right="5"/>
              <w:spacing w:after="0"/>
              <w:rPr>
                <w:sz w:val="20"/>
                <w:szCs w:val="20"/>
                <w:color w:val="auto"/>
              </w:rPr>
            </w:pPr>
            <w:r>
              <w:rPr>
                <w:rFonts w:ascii="Arial" w:cs="Arial" w:eastAsia="Arial" w:hAnsi="Arial"/>
                <w:sz w:val="9"/>
                <w:szCs w:val="9"/>
                <w:color w:val="auto"/>
                <w:w w:val="78"/>
              </w:rPr>
              <w:t>$</w:t>
            </w:r>
          </w:p>
        </w:tc>
        <w:tc>
          <w:tcPr>
            <w:tcW w:w="540" w:type="dxa"/>
            <w:vAlign w:val="bottom"/>
            <w:tcBorders>
              <w:right w:val="single" w:sz="8" w:color="F0FFFF"/>
            </w:tcBorders>
            <w:shd w:val="clear" w:color="auto" w:fill="F0FFFF"/>
          </w:tcPr>
          <w:p>
            <w:pPr>
              <w:jc w:val="right"/>
              <w:ind w:right="157"/>
              <w:spacing w:after="0"/>
              <w:rPr>
                <w:sz w:val="20"/>
                <w:szCs w:val="20"/>
                <w:color w:val="auto"/>
              </w:rPr>
            </w:pPr>
            <w:r>
              <w:rPr>
                <w:rFonts w:ascii="Arial" w:cs="Arial" w:eastAsia="Arial" w:hAnsi="Arial"/>
                <w:sz w:val="13"/>
                <w:szCs w:val="13"/>
                <w:color w:val="auto"/>
                <w:w w:val="92"/>
              </w:rPr>
              <w:t>2,700</w:t>
            </w:r>
          </w:p>
        </w:tc>
        <w:tc>
          <w:tcPr>
            <w:tcW w:w="660" w:type="dxa"/>
            <w:vAlign w:val="bottom"/>
            <w:tcBorders>
              <w:right w:val="single" w:sz="8" w:color="F0FFFF"/>
            </w:tcBorders>
            <w:gridSpan w:val="2"/>
            <w:shd w:val="clear" w:color="auto" w:fill="F0FFFF"/>
          </w:tcPr>
          <w:p>
            <w:pPr>
              <w:jc w:val="right"/>
              <w:ind w:right="137"/>
              <w:spacing w:after="0"/>
              <w:rPr>
                <w:sz w:val="20"/>
                <w:szCs w:val="20"/>
                <w:color w:val="auto"/>
              </w:rPr>
            </w:pPr>
            <w:r>
              <w:rPr>
                <w:rFonts w:ascii="Arial" w:cs="Arial" w:eastAsia="Arial" w:hAnsi="Arial"/>
                <w:sz w:val="13"/>
                <w:szCs w:val="13"/>
                <w:color w:val="auto"/>
                <w:w w:val="86"/>
              </w:rPr>
              <w:t>$ 72,709</w:t>
            </w:r>
          </w:p>
        </w:tc>
        <w:tc>
          <w:tcPr>
            <w:tcW w:w="680" w:type="dxa"/>
            <w:vAlign w:val="bottom"/>
            <w:tcBorders>
              <w:right w:val="single" w:sz="8" w:color="F0FFFF"/>
            </w:tcBorders>
            <w:gridSpan w:val="2"/>
            <w:shd w:val="clear" w:color="auto" w:fill="F0FFFF"/>
          </w:tcPr>
          <w:p>
            <w:pPr>
              <w:jc w:val="right"/>
              <w:ind w:right="157"/>
              <w:spacing w:after="0"/>
              <w:rPr>
                <w:sz w:val="20"/>
                <w:szCs w:val="20"/>
                <w:color w:val="auto"/>
              </w:rPr>
            </w:pPr>
            <w:r>
              <w:rPr>
                <w:rFonts w:ascii="Arial" w:cs="Arial" w:eastAsia="Arial" w:hAnsi="Arial"/>
                <w:sz w:val="13"/>
                <w:szCs w:val="13"/>
                <w:color w:val="auto"/>
                <w:w w:val="86"/>
              </w:rPr>
              <w:t>$ 78,927</w:t>
            </w:r>
          </w:p>
        </w:tc>
        <w:tc>
          <w:tcPr>
            <w:tcW w:w="620" w:type="dxa"/>
            <w:vAlign w:val="bottom"/>
            <w:gridSpan w:val="4"/>
            <w:shd w:val="clear" w:color="auto" w:fill="F0FFFF"/>
          </w:tcPr>
          <w:p>
            <w:pPr>
              <w:jc w:val="right"/>
              <w:ind w:right="38"/>
              <w:spacing w:after="0" w:line="229" w:lineRule="exact"/>
              <w:rPr>
                <w:sz w:val="20"/>
                <w:szCs w:val="20"/>
                <w:color w:val="auto"/>
              </w:rPr>
            </w:pPr>
            <w:r>
              <w:rPr>
                <w:rFonts w:ascii="Arial" w:cs="Arial" w:eastAsia="Arial" w:hAnsi="Arial"/>
                <w:sz w:val="13"/>
                <w:szCs w:val="13"/>
                <w:color w:val="auto"/>
                <w:w w:val="85"/>
              </w:rPr>
              <w:t>$ (13,784</w:t>
            </w:r>
            <w:r>
              <w:rPr>
                <w:rFonts w:ascii="Arial" w:cs="Arial" w:eastAsia="Arial" w:hAnsi="Arial"/>
                <w:sz w:val="25"/>
                <w:szCs w:val="25"/>
                <w:color w:val="auto"/>
                <w:w w:val="85"/>
                <w:vertAlign w:val="superscript"/>
              </w:rPr>
              <w:t>)</w:t>
            </w:r>
          </w:p>
        </w:tc>
        <w:tc>
          <w:tcPr>
            <w:tcW w:w="1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0"/>
                <w:szCs w:val="20"/>
                <w:color w:val="auto"/>
              </w:rPr>
            </w:pPr>
            <w:r>
              <w:rPr>
                <w:rFonts w:ascii="Arial" w:cs="Arial" w:eastAsia="Arial" w:hAnsi="Arial"/>
                <w:sz w:val="13"/>
                <w:szCs w:val="13"/>
                <w:color w:val="auto"/>
              </w:rPr>
              <w:t>$</w:t>
            </w:r>
          </w:p>
        </w:tc>
        <w:tc>
          <w:tcPr>
            <w:tcW w:w="320" w:type="dxa"/>
            <w:vAlign w:val="bottom"/>
            <w:shd w:val="clear" w:color="auto" w:fill="F0FFFF"/>
          </w:tcPr>
          <w:p>
            <w:pPr>
              <w:jc w:val="right"/>
              <w:spacing w:after="0"/>
              <w:rPr>
                <w:sz w:val="20"/>
                <w:szCs w:val="20"/>
                <w:color w:val="auto"/>
              </w:rPr>
            </w:pPr>
            <w:r>
              <w:rPr>
                <w:rFonts w:ascii="Arial" w:cs="Arial" w:eastAsia="Arial" w:hAnsi="Arial"/>
                <w:sz w:val="13"/>
                <w:szCs w:val="13"/>
                <w:color w:val="auto"/>
                <w:w w:val="92"/>
              </w:rPr>
              <w:t>5,570</w:t>
            </w:r>
          </w:p>
        </w:tc>
        <w:tc>
          <w:tcPr>
            <w:tcW w:w="120" w:type="dxa"/>
            <w:vAlign w:val="bottom"/>
            <w:shd w:val="clear" w:color="auto" w:fill="F0FFFF"/>
          </w:tcPr>
          <w:p>
            <w:pPr>
              <w:spacing w:after="0"/>
              <w:rPr>
                <w:sz w:val="21"/>
                <w:szCs w:val="21"/>
                <w:color w:val="auto"/>
              </w:rPr>
            </w:pPr>
          </w:p>
        </w:tc>
        <w:tc>
          <w:tcPr>
            <w:tcW w:w="100" w:type="dxa"/>
            <w:vAlign w:val="bottom"/>
            <w:tcBorders>
              <w:right w:val="single" w:sz="8" w:color="F0FFFF"/>
            </w:tcBorders>
            <w:shd w:val="clear" w:color="auto" w:fill="F0FFFF"/>
          </w:tcPr>
          <w:p>
            <w:pPr>
              <w:spacing w:after="0"/>
              <w:rPr>
                <w:sz w:val="21"/>
                <w:szCs w:val="21"/>
                <w:color w:val="auto"/>
              </w:rPr>
            </w:pPr>
          </w:p>
        </w:tc>
        <w:tc>
          <w:tcPr>
            <w:tcW w:w="140" w:type="dxa"/>
            <w:vAlign w:val="bottom"/>
            <w:shd w:val="clear" w:color="auto" w:fill="F0FFFF"/>
          </w:tcPr>
          <w:p>
            <w:pPr>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F0FF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0"/>
                <w:szCs w:val="20"/>
                <w:color w:val="auto"/>
              </w:rPr>
            </w:pPr>
            <w:r>
              <w:rPr>
                <w:rFonts w:ascii="Arial" w:cs="Arial" w:eastAsia="Arial" w:hAnsi="Arial"/>
                <w:sz w:val="13"/>
                <w:szCs w:val="13"/>
                <w:color w:val="auto"/>
                <w:w w:val="82"/>
              </w:rPr>
              <w:t>$</w:t>
            </w:r>
          </w:p>
        </w:tc>
        <w:tc>
          <w:tcPr>
            <w:tcW w:w="460" w:type="dxa"/>
            <w:vAlign w:val="bottom"/>
            <w:gridSpan w:val="2"/>
            <w:shd w:val="clear" w:color="auto" w:fill="F0FFFF"/>
          </w:tcPr>
          <w:p>
            <w:pPr>
              <w:jc w:val="right"/>
              <w:ind w:right="100"/>
              <w:spacing w:after="0"/>
              <w:rPr>
                <w:sz w:val="20"/>
                <w:szCs w:val="20"/>
                <w:color w:val="auto"/>
              </w:rPr>
            </w:pPr>
            <w:r>
              <w:rPr>
                <w:rFonts w:ascii="Arial" w:cs="Arial" w:eastAsia="Arial" w:hAnsi="Arial"/>
                <w:sz w:val="13"/>
                <w:szCs w:val="13"/>
                <w:color w:val="auto"/>
              </w:rPr>
              <w:t>4,700</w:t>
            </w:r>
          </w:p>
        </w:tc>
        <w:tc>
          <w:tcPr>
            <w:tcW w:w="120" w:type="dxa"/>
            <w:vAlign w:val="bottom"/>
            <w:shd w:val="clear" w:color="auto" w:fill="F0FFFF"/>
          </w:tcPr>
          <w:p>
            <w:pPr>
              <w:spacing w:after="0"/>
              <w:rPr>
                <w:sz w:val="21"/>
                <w:szCs w:val="21"/>
                <w:color w:val="auto"/>
              </w:rPr>
            </w:pPr>
          </w:p>
        </w:tc>
        <w:tc>
          <w:tcPr>
            <w:tcW w:w="560" w:type="dxa"/>
            <w:vAlign w:val="bottom"/>
            <w:gridSpan w:val="2"/>
            <w:shd w:val="clear" w:color="auto" w:fill="F0FFFF"/>
          </w:tcPr>
          <w:p>
            <w:pPr>
              <w:jc w:val="right"/>
              <w:ind w:right="100"/>
              <w:spacing w:after="0"/>
              <w:rPr>
                <w:sz w:val="20"/>
                <w:szCs w:val="20"/>
                <w:color w:val="auto"/>
              </w:rPr>
            </w:pPr>
            <w:r>
              <w:rPr>
                <w:rFonts w:ascii="Arial" w:cs="Arial" w:eastAsia="Arial" w:hAnsi="Arial"/>
                <w:sz w:val="13"/>
                <w:szCs w:val="13"/>
                <w:color w:val="auto"/>
                <w:w w:val="86"/>
              </w:rPr>
              <w:t>$ 75,413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Borders>
              <w:top w:val="single" w:sz="8" w:color="F0FFFF"/>
            </w:tcBorders>
          </w:tcPr>
          <w:p>
            <w:pPr>
              <w:spacing w:after="0" w:line="20" w:lineRule="exact"/>
              <w:rPr>
                <w:sz w:val="1"/>
                <w:szCs w:val="1"/>
                <w:color w:val="auto"/>
              </w:rPr>
            </w:pPr>
          </w:p>
        </w:tc>
        <w:tc>
          <w:tcPr>
            <w:tcW w:w="96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the first quarter of 2014, United modified its allowance for loan losses methodology to incorporate a loss emergence period. The increase in precision resulting from the use of the loss emergence period led to the full allocation of the portion of the allowance that had previously been unallocated.</w:t>
      </w:r>
    </w:p>
    <w:p>
      <w:pPr>
        <w:spacing w:after="0" w:line="3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The following table represents the recorded investment in loans by portfolio segment and the balance of the allowance for loan losses assigned to each segment based on the method of evaluating the loans for impairment as of June 30, 2015, December 31, 2014 and June 30, 2014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7"/>
          </w:tcPr>
          <w:p>
            <w:pPr>
              <w:ind w:left="360"/>
              <w:spacing w:after="0"/>
              <w:rPr>
                <w:sz w:val="20"/>
                <w:szCs w:val="20"/>
                <w:color w:val="auto"/>
              </w:rPr>
            </w:pPr>
            <w:r>
              <w:rPr>
                <w:rFonts w:ascii="Arial" w:cs="Arial" w:eastAsia="Arial" w:hAnsi="Arial"/>
                <w:sz w:val="13"/>
                <w:szCs w:val="13"/>
                <w:b w:val="1"/>
                <w:bCs w:val="1"/>
                <w:color w:val="auto"/>
              </w:rPr>
              <w:t>June 30, 2015</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w w:val="95"/>
              </w:rPr>
              <w:t>December 31, 2014</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2"/>
              </w:rPr>
              <w:t>June 30, 2014</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4"/>
          </w:tcPr>
          <w:p>
            <w:pPr>
              <w:jc w:val="center"/>
              <w:ind w:right="80"/>
              <w:spacing w:after="0" w:line="117" w:lineRule="exact"/>
              <w:rPr>
                <w:sz w:val="20"/>
                <w:szCs w:val="20"/>
                <w:color w:val="auto"/>
              </w:rPr>
            </w:pPr>
            <w:r>
              <w:rPr>
                <w:rFonts w:ascii="Arial" w:cs="Arial" w:eastAsia="Arial" w:hAnsi="Arial"/>
                <w:sz w:val="13"/>
                <w:szCs w:val="13"/>
                <w:b w:val="1"/>
                <w:bCs w:val="1"/>
                <w:color w:val="auto"/>
                <w:w w:val="84"/>
              </w:rPr>
              <w:t>Purchased</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89"/>
              </w:rPr>
              <w:t>Individually</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with</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4"/>
          </w:tcPr>
          <w:p>
            <w:pPr>
              <w:spacing w:after="0" w:line="135" w:lineRule="exact"/>
              <w:rPr>
                <w:sz w:val="20"/>
                <w:szCs w:val="20"/>
                <w:color w:val="auto"/>
              </w:rPr>
            </w:pPr>
            <w:r>
              <w:rPr>
                <w:rFonts w:ascii="Arial" w:cs="Arial" w:eastAsia="Arial" w:hAnsi="Arial"/>
                <w:sz w:val="13"/>
                <w:szCs w:val="13"/>
                <w:b w:val="1"/>
                <w:bCs w:val="1"/>
                <w:color w:val="auto"/>
              </w:rPr>
              <w:t>Individually</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4"/>
          </w:tcPr>
          <w:p>
            <w:pPr>
              <w:spacing w:after="0" w:line="135" w:lineRule="exact"/>
              <w:rPr>
                <w:sz w:val="20"/>
                <w:szCs w:val="20"/>
                <w:color w:val="auto"/>
              </w:rPr>
            </w:pPr>
            <w:r>
              <w:rPr>
                <w:rFonts w:ascii="Arial" w:cs="Arial" w:eastAsia="Arial" w:hAnsi="Arial"/>
                <w:sz w:val="13"/>
                <w:szCs w:val="13"/>
                <w:b w:val="1"/>
                <w:bCs w:val="1"/>
                <w:color w:val="auto"/>
              </w:rPr>
              <w:t>Individually</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evaluated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Collectively</w:t>
            </w:r>
          </w:p>
        </w:tc>
        <w:tc>
          <w:tcPr>
            <w:tcW w:w="760" w:type="dxa"/>
            <w:vAlign w:val="bottom"/>
            <w:gridSpan w:val="4"/>
          </w:tcPr>
          <w:p>
            <w:pPr>
              <w:spacing w:after="0" w:line="135" w:lineRule="exact"/>
              <w:rPr>
                <w:sz w:val="20"/>
                <w:szCs w:val="20"/>
                <w:color w:val="auto"/>
              </w:rPr>
            </w:pPr>
            <w:r>
              <w:rPr>
                <w:rFonts w:ascii="Arial" w:cs="Arial" w:eastAsia="Arial" w:hAnsi="Arial"/>
                <w:sz w:val="13"/>
                <w:szCs w:val="13"/>
                <w:b w:val="1"/>
                <w:bCs w:val="1"/>
                <w:color w:val="auto"/>
                <w:w w:val="98"/>
              </w:rPr>
              <w:t>deteriorated</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3"/>
              </w:rPr>
              <w:t>evaluated</w:t>
            </w:r>
          </w:p>
        </w:tc>
        <w:tc>
          <w:tcPr>
            <w:tcW w:w="60" w:type="dxa"/>
            <w:vAlign w:val="bottom"/>
          </w:tcPr>
          <w:p>
            <w:pPr>
              <w:spacing w:after="0"/>
              <w:rPr>
                <w:sz w:val="11"/>
                <w:szCs w:val="11"/>
                <w:color w:val="auto"/>
              </w:rPr>
            </w:pPr>
          </w:p>
        </w:tc>
        <w:tc>
          <w:tcPr>
            <w:tcW w:w="78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Collectively</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evaluated</w:t>
            </w:r>
          </w:p>
        </w:tc>
        <w:tc>
          <w:tcPr>
            <w:tcW w:w="60" w:type="dxa"/>
            <w:vAlign w:val="bottom"/>
          </w:tcPr>
          <w:p>
            <w:pPr>
              <w:spacing w:after="0"/>
              <w:rPr>
                <w:sz w:val="11"/>
                <w:szCs w:val="11"/>
                <w:color w:val="auto"/>
              </w:rPr>
            </w:pPr>
          </w:p>
        </w:tc>
        <w:tc>
          <w:tcPr>
            <w:tcW w:w="78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Collectively</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for</w:t>
            </w:r>
          </w:p>
        </w:tc>
        <w:tc>
          <w:tcPr>
            <w:tcW w:w="80" w:type="dxa"/>
            <w:vAlign w:val="bottom"/>
          </w:tcPr>
          <w:p>
            <w:pPr>
              <w:spacing w:after="0"/>
              <w:rPr>
                <w:sz w:val="11"/>
                <w:szCs w:val="11"/>
                <w:color w:val="auto"/>
              </w:rPr>
            </w:pPr>
          </w:p>
        </w:tc>
        <w:tc>
          <w:tcPr>
            <w:tcW w:w="860" w:type="dxa"/>
            <w:vAlign w:val="bottom"/>
            <w:gridSpan w:val="4"/>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evaluated for</w:t>
            </w:r>
          </w:p>
        </w:tc>
        <w:tc>
          <w:tcPr>
            <w:tcW w:w="100" w:type="dxa"/>
            <w:vAlign w:val="bottom"/>
          </w:tcPr>
          <w:p>
            <w:pPr>
              <w:spacing w:after="0"/>
              <w:rPr>
                <w:sz w:val="11"/>
                <w:szCs w:val="11"/>
                <w:color w:val="auto"/>
              </w:rPr>
            </w:pPr>
          </w:p>
        </w:tc>
        <w:tc>
          <w:tcPr>
            <w:tcW w:w="66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credit</w:t>
            </w:r>
          </w:p>
        </w:tc>
        <w:tc>
          <w:tcPr>
            <w:tcW w:w="100" w:type="dxa"/>
            <w:vAlign w:val="bottom"/>
          </w:tcPr>
          <w:p>
            <w:pPr>
              <w:spacing w:after="0"/>
              <w:rPr>
                <w:sz w:val="11"/>
                <w:szCs w:val="11"/>
                <w:color w:val="auto"/>
              </w:rPr>
            </w:pPr>
          </w:p>
        </w:tc>
        <w:tc>
          <w:tcPr>
            <w:tcW w:w="6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Ending</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for</w:t>
            </w:r>
          </w:p>
        </w:tc>
        <w:tc>
          <w:tcPr>
            <w:tcW w:w="84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evaluated for</w:t>
            </w:r>
          </w:p>
        </w:tc>
        <w:tc>
          <w:tcPr>
            <w:tcW w:w="10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b w:val="1"/>
                <w:bCs w:val="1"/>
                <w:color w:val="auto"/>
                <w:w w:val="99"/>
              </w:rPr>
              <w:t>Ending</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for</w:t>
            </w:r>
          </w:p>
        </w:tc>
        <w:tc>
          <w:tcPr>
            <w:tcW w:w="840" w:type="dxa"/>
            <w:vAlign w:val="bottom"/>
            <w:gridSpan w:val="4"/>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evaluated for</w:t>
            </w:r>
          </w:p>
        </w:tc>
        <w:tc>
          <w:tcPr>
            <w:tcW w:w="10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b w:val="1"/>
                <w:bCs w:val="1"/>
                <w:color w:val="auto"/>
                <w:w w:val="99"/>
              </w:rPr>
              <w:t>Ending</w:t>
            </w:r>
          </w:p>
        </w:tc>
        <w:tc>
          <w:tcPr>
            <w:tcW w:w="0" w:type="dxa"/>
            <w:vAlign w:val="bottom"/>
          </w:tcPr>
          <w:p>
            <w:pPr>
              <w:spacing w:after="0"/>
              <w:rPr>
                <w:sz w:val="1"/>
                <w:szCs w:val="1"/>
                <w:color w:val="auto"/>
              </w:rPr>
            </w:pPr>
          </w:p>
        </w:tc>
      </w:tr>
      <w:tr>
        <w:trPr>
          <w:trHeight w:val="160"/>
        </w:trPr>
        <w:tc>
          <w:tcPr>
            <w:tcW w:w="3500" w:type="dxa"/>
            <w:vAlign w:val="bottom"/>
            <w:gridSpan w:val="4"/>
          </w:tcPr>
          <w:p>
            <w:pPr>
              <w:spacing w:after="0"/>
              <w:rPr>
                <w:sz w:val="20"/>
                <w:szCs w:val="20"/>
                <w:color w:val="auto"/>
              </w:rPr>
            </w:pPr>
            <w:r>
              <w:rPr>
                <w:rFonts w:ascii="Arial" w:cs="Arial" w:eastAsia="Arial" w:hAnsi="Arial"/>
                <w:sz w:val="13"/>
                <w:szCs w:val="13"/>
                <w:b w:val="1"/>
                <w:bCs w:val="1"/>
                <w:color w:val="auto"/>
              </w:rPr>
              <w:t>Allowance for Loan Losses</w:t>
            </w:r>
          </w:p>
        </w:tc>
        <w:tc>
          <w:tcPr>
            <w:tcW w:w="660" w:type="dxa"/>
            <w:vAlign w:val="bottom"/>
            <w:gridSpan w:val="3"/>
          </w:tcPr>
          <w:p>
            <w:pPr>
              <w:spacing w:after="0"/>
              <w:rPr>
                <w:sz w:val="20"/>
                <w:szCs w:val="20"/>
                <w:color w:val="auto"/>
              </w:rPr>
            </w:pPr>
            <w:r>
              <w:rPr>
                <w:rFonts w:ascii="Arial" w:cs="Arial" w:eastAsia="Arial" w:hAnsi="Arial"/>
                <w:sz w:val="13"/>
                <w:szCs w:val="13"/>
                <w:b w:val="1"/>
                <w:bCs w:val="1"/>
                <w:color w:val="auto"/>
                <w:w w:val="91"/>
              </w:rPr>
              <w:t>impairment</w:t>
            </w:r>
          </w:p>
        </w:tc>
        <w:tc>
          <w:tcPr>
            <w:tcW w:w="80" w:type="dxa"/>
            <w:vAlign w:val="bottom"/>
          </w:tcPr>
          <w:p>
            <w:pPr>
              <w:spacing w:after="0"/>
              <w:rPr>
                <w:sz w:val="13"/>
                <w:szCs w:val="13"/>
                <w:color w:val="auto"/>
              </w:rPr>
            </w:pPr>
          </w:p>
        </w:tc>
        <w:tc>
          <w:tcPr>
            <w:tcW w:w="86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1"/>
              </w:rPr>
              <w:t>impairment</w:t>
            </w:r>
          </w:p>
        </w:tc>
        <w:tc>
          <w:tcPr>
            <w:tcW w:w="100" w:type="dxa"/>
            <w:vAlign w:val="bottom"/>
          </w:tcPr>
          <w:p>
            <w:pPr>
              <w:spacing w:after="0"/>
              <w:rPr>
                <w:sz w:val="13"/>
                <w:szCs w:val="13"/>
                <w:color w:val="auto"/>
              </w:rPr>
            </w:pPr>
          </w:p>
        </w:tc>
        <w:tc>
          <w:tcPr>
            <w:tcW w:w="66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0"/>
              </w:rPr>
              <w:t>quality</w:t>
            </w:r>
          </w:p>
        </w:tc>
        <w:tc>
          <w:tcPr>
            <w:tcW w:w="100" w:type="dxa"/>
            <w:vAlign w:val="bottom"/>
          </w:tcPr>
          <w:p>
            <w:pPr>
              <w:spacing w:after="0"/>
              <w:rPr>
                <w:sz w:val="13"/>
                <w:szCs w:val="13"/>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4"/>
              </w:rPr>
              <w:t>Balance</w:t>
            </w:r>
          </w:p>
        </w:tc>
        <w:tc>
          <w:tcPr>
            <w:tcW w:w="100" w:type="dxa"/>
            <w:vAlign w:val="bottom"/>
          </w:tcPr>
          <w:p>
            <w:pPr>
              <w:spacing w:after="0"/>
              <w:rPr>
                <w:sz w:val="13"/>
                <w:szCs w:val="13"/>
                <w:color w:val="auto"/>
              </w:rPr>
            </w:pPr>
          </w:p>
        </w:tc>
        <w:tc>
          <w:tcPr>
            <w:tcW w:w="760" w:type="dxa"/>
            <w:vAlign w:val="bottom"/>
            <w:gridSpan w:val="4"/>
          </w:tcPr>
          <w:p>
            <w:pPr>
              <w:ind w:left="20"/>
              <w:spacing w:after="0"/>
              <w:rPr>
                <w:sz w:val="20"/>
                <w:szCs w:val="20"/>
                <w:color w:val="auto"/>
              </w:rPr>
            </w:pPr>
            <w:r>
              <w:rPr>
                <w:rFonts w:ascii="Arial" w:cs="Arial" w:eastAsia="Arial" w:hAnsi="Arial"/>
                <w:sz w:val="13"/>
                <w:szCs w:val="13"/>
                <w:b w:val="1"/>
                <w:bCs w:val="1"/>
                <w:color w:val="auto"/>
              </w:rPr>
              <w:t>impairment</w:t>
            </w:r>
          </w:p>
        </w:tc>
        <w:tc>
          <w:tcPr>
            <w:tcW w:w="84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1"/>
              </w:rPr>
              <w:t>impairment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2"/>
              </w:rPr>
              <w:t>Balance</w:t>
            </w:r>
          </w:p>
        </w:tc>
        <w:tc>
          <w:tcPr>
            <w:tcW w:w="10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3"/>
                <w:szCs w:val="13"/>
                <w:b w:val="1"/>
                <w:bCs w:val="1"/>
                <w:color w:val="auto"/>
              </w:rPr>
              <w:t>impairment</w:t>
            </w:r>
          </w:p>
        </w:tc>
        <w:tc>
          <w:tcPr>
            <w:tcW w:w="84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8"/>
              </w:rPr>
              <w:t>impairment</w:t>
            </w:r>
          </w:p>
        </w:tc>
        <w:tc>
          <w:tcPr>
            <w:tcW w:w="10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92"/>
              </w:rPr>
              <w:t>Balance</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3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480" w:type="dxa"/>
            <w:vAlign w:val="bottom"/>
            <w:gridSpan w:val="3"/>
            <w:shd w:val="clear" w:color="auto" w:fill="F0FFFF"/>
          </w:tcPr>
          <w:p>
            <w:pPr>
              <w:spacing w:after="0" w:line="135" w:lineRule="exact"/>
              <w:rPr>
                <w:sz w:val="20"/>
                <w:szCs w:val="20"/>
                <w:color w:val="auto"/>
              </w:rPr>
            </w:pPr>
            <w:r>
              <w:rPr>
                <w:rFonts w:ascii="Arial" w:cs="Arial" w:eastAsia="Arial" w:hAnsi="Arial"/>
                <w:sz w:val="13"/>
                <w:szCs w:val="13"/>
                <w:color w:val="auto"/>
              </w:rPr>
              <w:t>Owner occupied commercial real estate</w:t>
            </w:r>
          </w:p>
        </w:tc>
        <w:tc>
          <w:tcPr>
            <w:tcW w:w="60" w:type="dxa"/>
            <w:vAlign w:val="bottom"/>
            <w:shd w:val="clear" w:color="auto" w:fill="F0FFFF"/>
          </w:tcPr>
          <w:p>
            <w:pPr>
              <w:spacing w:after="0"/>
              <w:rPr>
                <w:sz w:val="20"/>
                <w:szCs w:val="20"/>
                <w:color w:val="auto"/>
              </w:rPr>
            </w:pPr>
            <w:r>
              <w:rPr>
                <w:rFonts w:ascii="Arial" w:cs="Arial" w:eastAsia="Arial" w:hAnsi="Arial"/>
                <w:sz w:val="9"/>
                <w:szCs w:val="9"/>
                <w:color w:val="auto"/>
                <w:w w:val="78"/>
              </w:rPr>
              <w:t>$</w:t>
            </w:r>
          </w:p>
        </w:tc>
        <w:tc>
          <w:tcPr>
            <w:tcW w:w="60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1,592</w:t>
            </w:r>
          </w:p>
        </w:tc>
        <w:tc>
          <w:tcPr>
            <w:tcW w:w="160" w:type="dxa"/>
            <w:vAlign w:val="bottom"/>
            <w:gridSpan w:val="2"/>
            <w:shd w:val="clear" w:color="auto" w:fill="F0FFFF"/>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14,747</w:t>
            </w: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F0FF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jc w:val="right"/>
              <w:spacing w:after="0" w:line="135"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F0FFFF"/>
          </w:tcPr>
          <w:p>
            <w:pPr>
              <w:jc w:val="right"/>
              <w:ind w:right="80"/>
              <w:spacing w:after="0" w:line="135" w:lineRule="exact"/>
              <w:rPr>
                <w:sz w:val="20"/>
                <w:szCs w:val="20"/>
                <w:color w:val="auto"/>
              </w:rPr>
            </w:pPr>
            <w:r>
              <w:rPr>
                <w:rFonts w:ascii="Arial" w:cs="Arial" w:eastAsia="Arial" w:hAnsi="Arial"/>
                <w:sz w:val="13"/>
                <w:szCs w:val="13"/>
                <w:color w:val="auto"/>
              </w:rPr>
              <w:t>16,339</w:t>
            </w:r>
          </w:p>
        </w:tc>
        <w:tc>
          <w:tcPr>
            <w:tcW w:w="160" w:type="dxa"/>
            <w:vAlign w:val="bottom"/>
            <w:gridSpan w:val="2"/>
            <w:shd w:val="clear" w:color="auto" w:fill="F0FFFF"/>
          </w:tcPr>
          <w:p>
            <w:pPr>
              <w:ind w:left="100"/>
              <w:spacing w:after="0"/>
              <w:rPr>
                <w:sz w:val="20"/>
                <w:szCs w:val="20"/>
                <w:color w:val="auto"/>
              </w:rPr>
            </w:pPr>
            <w:r>
              <w:rPr>
                <w:rFonts w:ascii="Arial" w:cs="Arial" w:eastAsia="Arial" w:hAnsi="Arial"/>
                <w:sz w:val="9"/>
                <w:szCs w:val="9"/>
                <w:color w:val="auto"/>
                <w:w w:val="78"/>
              </w:rPr>
              <w:t>$</w:t>
            </w:r>
          </w:p>
        </w:tc>
        <w:tc>
          <w:tcPr>
            <w:tcW w:w="480" w:type="dxa"/>
            <w:vAlign w:val="bottom"/>
            <w:shd w:val="clear" w:color="auto" w:fill="F0FFFF"/>
          </w:tcPr>
          <w:p>
            <w:pPr>
              <w:jc w:val="right"/>
              <w:spacing w:after="0" w:line="135" w:lineRule="exact"/>
              <w:rPr>
                <w:sz w:val="20"/>
                <w:szCs w:val="20"/>
                <w:color w:val="auto"/>
              </w:rPr>
            </w:pPr>
            <w:r>
              <w:rPr>
                <w:rFonts w:ascii="Arial" w:cs="Arial" w:eastAsia="Arial" w:hAnsi="Arial"/>
                <w:sz w:val="13"/>
                <w:szCs w:val="13"/>
                <w:color w:val="auto"/>
              </w:rPr>
              <w:t>2,737</w:t>
            </w: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13,304</w:t>
            </w: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F0FFFF"/>
          </w:tcPr>
          <w:p>
            <w:pPr>
              <w:jc w:val="right"/>
              <w:ind w:right="100"/>
              <w:spacing w:after="0" w:line="135" w:lineRule="exact"/>
              <w:rPr>
                <w:sz w:val="20"/>
                <w:szCs w:val="20"/>
                <w:color w:val="auto"/>
              </w:rPr>
            </w:pPr>
            <w:r>
              <w:rPr>
                <w:rFonts w:ascii="Arial" w:cs="Arial" w:eastAsia="Arial" w:hAnsi="Arial"/>
                <w:sz w:val="13"/>
                <w:szCs w:val="13"/>
                <w:color w:val="auto"/>
              </w:rPr>
              <w:t>16,041</w:t>
            </w:r>
          </w:p>
        </w:tc>
        <w:tc>
          <w:tcPr>
            <w:tcW w:w="160" w:type="dxa"/>
            <w:vAlign w:val="bottom"/>
            <w:gridSpan w:val="2"/>
            <w:shd w:val="clear" w:color="auto" w:fill="F0FFFF"/>
          </w:tcPr>
          <w:p>
            <w:pPr>
              <w:ind w:left="100"/>
              <w:spacing w:after="0"/>
              <w:rPr>
                <w:sz w:val="20"/>
                <w:szCs w:val="20"/>
                <w:color w:val="auto"/>
              </w:rPr>
            </w:pPr>
            <w:r>
              <w:rPr>
                <w:rFonts w:ascii="Arial" w:cs="Arial" w:eastAsia="Arial" w:hAnsi="Arial"/>
                <w:sz w:val="9"/>
                <w:szCs w:val="9"/>
                <w:color w:val="auto"/>
                <w:w w:val="78"/>
              </w:rPr>
              <w:t>$</w:t>
            </w:r>
          </w:p>
        </w:tc>
        <w:tc>
          <w:tcPr>
            <w:tcW w:w="60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2,483</w:t>
            </w: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15,321</w:t>
            </w: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F0FFFF"/>
          </w:tcPr>
          <w:p>
            <w:pPr>
              <w:jc w:val="right"/>
              <w:ind w:right="100"/>
              <w:spacing w:after="0" w:line="135" w:lineRule="exact"/>
              <w:rPr>
                <w:sz w:val="20"/>
                <w:szCs w:val="20"/>
                <w:color w:val="auto"/>
              </w:rPr>
            </w:pPr>
            <w:r>
              <w:rPr>
                <w:rFonts w:ascii="Arial" w:cs="Arial" w:eastAsia="Arial" w:hAnsi="Arial"/>
                <w:sz w:val="13"/>
                <w:szCs w:val="13"/>
                <w:color w:val="auto"/>
              </w:rPr>
              <w:t>17,804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gridSpan w:val="3"/>
          </w:tcPr>
          <w:p>
            <w:pPr>
              <w:spacing w:after="0" w:line="135" w:lineRule="exact"/>
              <w:rPr>
                <w:sz w:val="20"/>
                <w:szCs w:val="20"/>
                <w:color w:val="auto"/>
              </w:rPr>
            </w:pPr>
            <w:r>
              <w:rPr>
                <w:rFonts w:ascii="Arial" w:cs="Arial" w:eastAsia="Arial" w:hAnsi="Arial"/>
                <w:sz w:val="13"/>
                <w:szCs w:val="13"/>
                <w:color w:val="auto"/>
              </w:rPr>
              <w:t>Income producing commercial real estate</w:t>
            </w:r>
          </w:p>
        </w:tc>
        <w:tc>
          <w:tcPr>
            <w:tcW w:w="6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782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7,418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8,200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1,917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8,379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10,296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1,404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10,357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11,761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gridSpan w:val="3"/>
            <w:shd w:val="clear" w:color="auto" w:fill="F0FFFF"/>
          </w:tcPr>
          <w:p>
            <w:pPr>
              <w:spacing w:after="0" w:line="135" w:lineRule="exact"/>
              <w:rPr>
                <w:sz w:val="20"/>
                <w:szCs w:val="20"/>
                <w:color w:val="auto"/>
              </w:rPr>
            </w:pPr>
            <w:r>
              <w:rPr>
                <w:rFonts w:ascii="Arial" w:cs="Arial" w:eastAsia="Arial" w:hAnsi="Arial"/>
                <w:sz w:val="13"/>
                <w:szCs w:val="13"/>
                <w:color w:val="auto"/>
              </w:rPr>
              <w:t>Commercial &amp; industrial</w:t>
            </w:r>
          </w:p>
        </w:tc>
        <w:tc>
          <w:tcPr>
            <w:tcW w:w="60" w:type="dxa"/>
            <w:vAlign w:val="bottom"/>
            <w:shd w:val="clear" w:color="auto" w:fill="F0FFFF"/>
          </w:tcPr>
          <w:p>
            <w:pPr>
              <w:spacing w:after="0"/>
              <w:rPr>
                <w:sz w:val="11"/>
                <w:szCs w:val="11"/>
                <w:color w:val="auto"/>
              </w:rPr>
            </w:pPr>
          </w:p>
        </w:tc>
        <w:tc>
          <w:tcPr>
            <w:tcW w:w="60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137</w:t>
            </w: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60" w:type="dxa"/>
            <w:vAlign w:val="bottom"/>
            <w:shd w:val="clear" w:color="auto" w:fill="F0FFFF"/>
          </w:tcPr>
          <w:p>
            <w:pPr>
              <w:jc w:val="right"/>
              <w:spacing w:after="0" w:line="135" w:lineRule="exact"/>
              <w:rPr>
                <w:sz w:val="20"/>
                <w:szCs w:val="20"/>
                <w:color w:val="auto"/>
              </w:rPr>
            </w:pPr>
            <w:r>
              <w:rPr>
                <w:rFonts w:ascii="Arial" w:cs="Arial" w:eastAsia="Arial" w:hAnsi="Arial"/>
                <w:sz w:val="13"/>
                <w:szCs w:val="13"/>
                <w:color w:val="auto"/>
              </w:rPr>
              <w:t>4,591</w:t>
            </w: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580" w:type="dxa"/>
            <w:vAlign w:val="bottom"/>
            <w:gridSpan w:val="2"/>
            <w:shd w:val="clear" w:color="auto" w:fill="F0FF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20" w:type="dxa"/>
            <w:vAlign w:val="bottom"/>
            <w:gridSpan w:val="2"/>
            <w:shd w:val="clear" w:color="auto" w:fill="F0FFFF"/>
          </w:tcPr>
          <w:p>
            <w:pPr>
              <w:jc w:val="right"/>
              <w:ind w:right="80"/>
              <w:spacing w:after="0" w:line="135" w:lineRule="exact"/>
              <w:rPr>
                <w:sz w:val="20"/>
                <w:szCs w:val="20"/>
                <w:color w:val="auto"/>
              </w:rPr>
            </w:pPr>
            <w:r>
              <w:rPr>
                <w:rFonts w:ascii="Arial" w:cs="Arial" w:eastAsia="Arial" w:hAnsi="Arial"/>
                <w:sz w:val="13"/>
                <w:szCs w:val="13"/>
                <w:color w:val="auto"/>
              </w:rPr>
              <w:t>4,728</w:t>
            </w: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480" w:type="dxa"/>
            <w:vAlign w:val="bottom"/>
            <w:shd w:val="clear" w:color="auto" w:fill="F0FFFF"/>
          </w:tcPr>
          <w:p>
            <w:pPr>
              <w:jc w:val="right"/>
              <w:spacing w:after="0" w:line="135" w:lineRule="exact"/>
              <w:rPr>
                <w:sz w:val="20"/>
                <w:szCs w:val="20"/>
                <w:color w:val="auto"/>
              </w:rPr>
            </w:pPr>
            <w:r>
              <w:rPr>
                <w:rFonts w:ascii="Arial" w:cs="Arial" w:eastAsia="Arial" w:hAnsi="Arial"/>
                <w:sz w:val="13"/>
                <w:szCs w:val="13"/>
                <w:color w:val="auto"/>
              </w:rPr>
              <w:t>15</w:t>
            </w: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0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3,240</w:t>
            </w: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20" w:type="dxa"/>
            <w:vAlign w:val="bottom"/>
            <w:gridSpan w:val="2"/>
            <w:shd w:val="clear" w:color="auto" w:fill="F0FFFF"/>
          </w:tcPr>
          <w:p>
            <w:pPr>
              <w:jc w:val="right"/>
              <w:ind w:right="100"/>
              <w:spacing w:after="0" w:line="135" w:lineRule="exact"/>
              <w:rPr>
                <w:sz w:val="20"/>
                <w:szCs w:val="20"/>
                <w:color w:val="auto"/>
              </w:rPr>
            </w:pPr>
            <w:r>
              <w:rPr>
                <w:rFonts w:ascii="Arial" w:cs="Arial" w:eastAsia="Arial" w:hAnsi="Arial"/>
                <w:sz w:val="13"/>
                <w:szCs w:val="13"/>
                <w:color w:val="auto"/>
              </w:rPr>
              <w:t>3,255</w:t>
            </w: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60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399</w:t>
            </w: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68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3,486</w:t>
            </w: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520" w:type="dxa"/>
            <w:vAlign w:val="bottom"/>
            <w:shd w:val="clear" w:color="auto" w:fill="F0FFFF"/>
          </w:tcPr>
          <w:p>
            <w:pPr>
              <w:jc w:val="right"/>
              <w:spacing w:after="0" w:line="135" w:lineRule="exact"/>
              <w:rPr>
                <w:sz w:val="20"/>
                <w:szCs w:val="20"/>
                <w:color w:val="auto"/>
              </w:rPr>
            </w:pPr>
            <w:r>
              <w:rPr>
                <w:rFonts w:ascii="Arial" w:cs="Arial" w:eastAsia="Arial" w:hAnsi="Arial"/>
                <w:sz w:val="13"/>
                <w:szCs w:val="13"/>
                <w:color w:val="auto"/>
              </w:rPr>
              <w:t>3,885</w:t>
            </w: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gridSpan w:val="3"/>
          </w:tcPr>
          <w:p>
            <w:pPr>
              <w:spacing w:after="0" w:line="135" w:lineRule="exact"/>
              <w:rPr>
                <w:sz w:val="20"/>
                <w:szCs w:val="20"/>
                <w:color w:val="auto"/>
              </w:rPr>
            </w:pPr>
            <w:r>
              <w:rPr>
                <w:rFonts w:ascii="Arial" w:cs="Arial" w:eastAsia="Arial" w:hAnsi="Arial"/>
                <w:sz w:val="13"/>
                <w:szCs w:val="13"/>
                <w:color w:val="auto"/>
              </w:rPr>
              <w:t>Commercial construction</w:t>
            </w:r>
          </w:p>
        </w:tc>
        <w:tc>
          <w:tcPr>
            <w:tcW w:w="6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530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4,365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4,895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729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4,018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4,747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412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3,655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4,067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gridSpan w:val="3"/>
            <w:shd w:val="clear" w:color="auto" w:fill="F0FFFF"/>
          </w:tcPr>
          <w:p>
            <w:pPr>
              <w:spacing w:after="0" w:line="135" w:lineRule="exact"/>
              <w:rPr>
                <w:sz w:val="20"/>
                <w:szCs w:val="20"/>
                <w:color w:val="auto"/>
              </w:rPr>
            </w:pPr>
            <w:r>
              <w:rPr>
                <w:rFonts w:ascii="Arial" w:cs="Arial" w:eastAsia="Arial" w:hAnsi="Arial"/>
                <w:sz w:val="13"/>
                <w:szCs w:val="13"/>
                <w:color w:val="auto"/>
              </w:rPr>
              <w:t>Residential mortgage</w:t>
            </w:r>
          </w:p>
        </w:tc>
        <w:tc>
          <w:tcPr>
            <w:tcW w:w="60" w:type="dxa"/>
            <w:vAlign w:val="bottom"/>
            <w:shd w:val="clear" w:color="auto" w:fill="F0FFFF"/>
          </w:tcPr>
          <w:p>
            <w:pPr>
              <w:spacing w:after="0"/>
              <w:rPr>
                <w:sz w:val="11"/>
                <w:szCs w:val="11"/>
                <w:color w:val="auto"/>
              </w:rPr>
            </w:pPr>
          </w:p>
        </w:tc>
        <w:tc>
          <w:tcPr>
            <w:tcW w:w="60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3,107</w:t>
            </w: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8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15,945</w:t>
            </w: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580" w:type="dxa"/>
            <w:vAlign w:val="bottom"/>
            <w:gridSpan w:val="2"/>
            <w:shd w:val="clear" w:color="auto" w:fill="F0FF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20" w:type="dxa"/>
            <w:vAlign w:val="bottom"/>
            <w:gridSpan w:val="2"/>
            <w:shd w:val="clear" w:color="auto" w:fill="F0FFFF"/>
          </w:tcPr>
          <w:p>
            <w:pPr>
              <w:jc w:val="right"/>
              <w:ind w:right="80"/>
              <w:spacing w:after="0" w:line="135" w:lineRule="exact"/>
              <w:rPr>
                <w:sz w:val="20"/>
                <w:szCs w:val="20"/>
                <w:color w:val="auto"/>
              </w:rPr>
            </w:pPr>
            <w:r>
              <w:rPr>
                <w:rFonts w:ascii="Arial" w:cs="Arial" w:eastAsia="Arial" w:hAnsi="Arial"/>
                <w:sz w:val="13"/>
                <w:szCs w:val="13"/>
                <w:color w:val="auto"/>
              </w:rPr>
              <w:t>19,052</w:t>
            </w: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480" w:type="dxa"/>
            <w:vAlign w:val="bottom"/>
            <w:shd w:val="clear" w:color="auto" w:fill="F0FFFF"/>
          </w:tcPr>
          <w:p>
            <w:pPr>
              <w:jc w:val="right"/>
              <w:spacing w:after="0" w:line="135" w:lineRule="exact"/>
              <w:rPr>
                <w:sz w:val="20"/>
                <w:szCs w:val="20"/>
                <w:color w:val="auto"/>
              </w:rPr>
            </w:pPr>
            <w:r>
              <w:rPr>
                <w:rFonts w:ascii="Arial" w:cs="Arial" w:eastAsia="Arial" w:hAnsi="Arial"/>
                <w:sz w:val="13"/>
                <w:szCs w:val="13"/>
                <w:color w:val="auto"/>
              </w:rPr>
              <w:t>3,227</w:t>
            </w: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0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17,084</w:t>
            </w: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20" w:type="dxa"/>
            <w:vAlign w:val="bottom"/>
            <w:gridSpan w:val="2"/>
            <w:shd w:val="clear" w:color="auto" w:fill="F0FFFF"/>
          </w:tcPr>
          <w:p>
            <w:pPr>
              <w:jc w:val="right"/>
              <w:ind w:right="100"/>
              <w:spacing w:after="0" w:line="135" w:lineRule="exact"/>
              <w:rPr>
                <w:sz w:val="20"/>
                <w:szCs w:val="20"/>
                <w:color w:val="auto"/>
              </w:rPr>
            </w:pPr>
            <w:r>
              <w:rPr>
                <w:rFonts w:ascii="Arial" w:cs="Arial" w:eastAsia="Arial" w:hAnsi="Arial"/>
                <w:sz w:val="13"/>
                <w:szCs w:val="13"/>
                <w:color w:val="auto"/>
              </w:rPr>
              <w:t>20,311</w:t>
            </w: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480" w:type="dxa"/>
            <w:vAlign w:val="bottom"/>
            <w:shd w:val="clear" w:color="auto" w:fill="F0FFFF"/>
          </w:tcPr>
          <w:p>
            <w:pPr>
              <w:jc w:val="right"/>
              <w:spacing w:after="0" w:line="135" w:lineRule="exact"/>
              <w:rPr>
                <w:sz w:val="20"/>
                <w:szCs w:val="20"/>
                <w:color w:val="auto"/>
              </w:rPr>
            </w:pPr>
            <w:r>
              <w:rPr>
                <w:rFonts w:ascii="Arial" w:cs="Arial" w:eastAsia="Arial" w:hAnsi="Arial"/>
                <w:sz w:val="13"/>
                <w:szCs w:val="13"/>
                <w:color w:val="auto"/>
              </w:rPr>
              <w:t>3,117</w:t>
            </w: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68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13,646</w:t>
            </w: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20" w:type="dxa"/>
            <w:vAlign w:val="bottom"/>
            <w:gridSpan w:val="2"/>
            <w:shd w:val="clear" w:color="auto" w:fill="F0FFFF"/>
          </w:tcPr>
          <w:p>
            <w:pPr>
              <w:jc w:val="right"/>
              <w:ind w:right="100"/>
              <w:spacing w:after="0" w:line="135" w:lineRule="exact"/>
              <w:rPr>
                <w:sz w:val="20"/>
                <w:szCs w:val="20"/>
                <w:color w:val="auto"/>
              </w:rPr>
            </w:pPr>
            <w:r>
              <w:rPr>
                <w:rFonts w:ascii="Arial" w:cs="Arial" w:eastAsia="Arial" w:hAnsi="Arial"/>
                <w:sz w:val="13"/>
                <w:szCs w:val="13"/>
                <w:color w:val="auto"/>
              </w:rPr>
              <w:t>16,763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gridSpan w:val="3"/>
          </w:tcPr>
          <w:p>
            <w:pPr>
              <w:spacing w:after="0" w:line="135" w:lineRule="exact"/>
              <w:rPr>
                <w:sz w:val="20"/>
                <w:szCs w:val="20"/>
                <w:color w:val="auto"/>
              </w:rPr>
            </w:pPr>
            <w:r>
              <w:rPr>
                <w:rFonts w:ascii="Arial" w:cs="Arial" w:eastAsia="Arial" w:hAnsi="Arial"/>
                <w:sz w:val="13"/>
                <w:szCs w:val="13"/>
                <w:color w:val="auto"/>
              </w:rPr>
              <w:t>Home equity lines of credit</w:t>
            </w:r>
          </w:p>
        </w:tc>
        <w:tc>
          <w:tcPr>
            <w:tcW w:w="6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5,453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5,479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47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4,527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4,574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6,223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6,338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gridSpan w:val="3"/>
            <w:shd w:val="clear" w:color="auto" w:fill="F0FFFF"/>
          </w:tcPr>
          <w:p>
            <w:pPr>
              <w:spacing w:after="0" w:line="135" w:lineRule="exact"/>
              <w:rPr>
                <w:sz w:val="20"/>
                <w:szCs w:val="20"/>
                <w:color w:val="auto"/>
              </w:rPr>
            </w:pPr>
            <w:r>
              <w:rPr>
                <w:rFonts w:ascii="Arial" w:cs="Arial" w:eastAsia="Arial" w:hAnsi="Arial"/>
                <w:sz w:val="13"/>
                <w:szCs w:val="13"/>
                <w:color w:val="auto"/>
              </w:rPr>
              <w:t>Residential construction</w:t>
            </w:r>
          </w:p>
        </w:tc>
        <w:tc>
          <w:tcPr>
            <w:tcW w:w="60" w:type="dxa"/>
            <w:vAlign w:val="bottom"/>
            <w:shd w:val="clear" w:color="auto" w:fill="F0FFFF"/>
          </w:tcPr>
          <w:p>
            <w:pPr>
              <w:spacing w:after="0"/>
              <w:rPr>
                <w:sz w:val="11"/>
                <w:szCs w:val="11"/>
                <w:color w:val="auto"/>
              </w:rPr>
            </w:pPr>
          </w:p>
        </w:tc>
        <w:tc>
          <w:tcPr>
            <w:tcW w:w="60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506</w:t>
            </w: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60" w:type="dxa"/>
            <w:vAlign w:val="bottom"/>
            <w:shd w:val="clear" w:color="auto" w:fill="F0FFFF"/>
          </w:tcPr>
          <w:p>
            <w:pPr>
              <w:jc w:val="right"/>
              <w:spacing w:after="0" w:line="135" w:lineRule="exact"/>
              <w:rPr>
                <w:sz w:val="20"/>
                <w:szCs w:val="20"/>
                <w:color w:val="auto"/>
              </w:rPr>
            </w:pPr>
            <w:r>
              <w:rPr>
                <w:rFonts w:ascii="Arial" w:cs="Arial" w:eastAsia="Arial" w:hAnsi="Arial"/>
                <w:sz w:val="13"/>
                <w:szCs w:val="13"/>
                <w:color w:val="auto"/>
              </w:rPr>
              <w:t>8,831</w:t>
            </w: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580" w:type="dxa"/>
            <w:vAlign w:val="bottom"/>
            <w:gridSpan w:val="2"/>
            <w:shd w:val="clear" w:color="auto" w:fill="F0FF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20" w:type="dxa"/>
            <w:vAlign w:val="bottom"/>
            <w:gridSpan w:val="2"/>
            <w:shd w:val="clear" w:color="auto" w:fill="F0FFFF"/>
          </w:tcPr>
          <w:p>
            <w:pPr>
              <w:jc w:val="right"/>
              <w:ind w:right="80"/>
              <w:spacing w:after="0" w:line="135" w:lineRule="exact"/>
              <w:rPr>
                <w:sz w:val="20"/>
                <w:szCs w:val="20"/>
                <w:color w:val="auto"/>
              </w:rPr>
            </w:pPr>
            <w:r>
              <w:rPr>
                <w:rFonts w:ascii="Arial" w:cs="Arial" w:eastAsia="Arial" w:hAnsi="Arial"/>
                <w:sz w:val="13"/>
                <w:szCs w:val="13"/>
                <w:color w:val="auto"/>
              </w:rPr>
              <w:t>9,337</w:t>
            </w: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480" w:type="dxa"/>
            <w:vAlign w:val="bottom"/>
            <w:shd w:val="clear" w:color="auto" w:fill="F0FFFF"/>
          </w:tcPr>
          <w:p>
            <w:pPr>
              <w:jc w:val="right"/>
              <w:spacing w:after="0" w:line="135" w:lineRule="exact"/>
              <w:rPr>
                <w:sz w:val="20"/>
                <w:szCs w:val="20"/>
                <w:color w:val="auto"/>
              </w:rPr>
            </w:pPr>
            <w:r>
              <w:rPr>
                <w:rFonts w:ascii="Arial" w:cs="Arial" w:eastAsia="Arial" w:hAnsi="Arial"/>
                <w:sz w:val="13"/>
                <w:szCs w:val="13"/>
                <w:color w:val="auto"/>
              </w:rPr>
              <w:t>1,192</w:t>
            </w: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580" w:type="dxa"/>
            <w:vAlign w:val="bottom"/>
            <w:shd w:val="clear" w:color="auto" w:fill="F0FFFF"/>
          </w:tcPr>
          <w:p>
            <w:pPr>
              <w:jc w:val="right"/>
              <w:spacing w:after="0" w:line="135" w:lineRule="exact"/>
              <w:rPr>
                <w:sz w:val="20"/>
                <w:szCs w:val="20"/>
                <w:color w:val="auto"/>
              </w:rPr>
            </w:pPr>
            <w:r>
              <w:rPr>
                <w:rFonts w:ascii="Arial" w:cs="Arial" w:eastAsia="Arial" w:hAnsi="Arial"/>
                <w:sz w:val="13"/>
                <w:szCs w:val="13"/>
                <w:color w:val="auto"/>
              </w:rPr>
              <w:t>9,411</w:t>
            </w: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20" w:type="dxa"/>
            <w:vAlign w:val="bottom"/>
            <w:gridSpan w:val="2"/>
            <w:shd w:val="clear" w:color="auto" w:fill="F0FFFF"/>
          </w:tcPr>
          <w:p>
            <w:pPr>
              <w:jc w:val="right"/>
              <w:ind w:right="100"/>
              <w:spacing w:after="0" w:line="135" w:lineRule="exact"/>
              <w:rPr>
                <w:sz w:val="20"/>
                <w:szCs w:val="20"/>
                <w:color w:val="auto"/>
              </w:rPr>
            </w:pPr>
            <w:r>
              <w:rPr>
                <w:rFonts w:ascii="Arial" w:cs="Arial" w:eastAsia="Arial" w:hAnsi="Arial"/>
                <w:sz w:val="13"/>
                <w:szCs w:val="13"/>
                <w:color w:val="auto"/>
              </w:rPr>
              <w:t>10,603</w:t>
            </w: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60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1,054</w:t>
            </w: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68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10,154</w:t>
            </w: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20" w:type="dxa"/>
            <w:vAlign w:val="bottom"/>
            <w:gridSpan w:val="2"/>
            <w:shd w:val="clear" w:color="auto" w:fill="F0FFFF"/>
          </w:tcPr>
          <w:p>
            <w:pPr>
              <w:jc w:val="right"/>
              <w:ind w:right="100"/>
              <w:spacing w:after="0" w:line="135" w:lineRule="exact"/>
              <w:rPr>
                <w:sz w:val="20"/>
                <w:szCs w:val="20"/>
                <w:color w:val="auto"/>
              </w:rPr>
            </w:pPr>
            <w:r>
              <w:rPr>
                <w:rFonts w:ascii="Arial" w:cs="Arial" w:eastAsia="Arial" w:hAnsi="Arial"/>
                <w:sz w:val="13"/>
                <w:szCs w:val="13"/>
                <w:color w:val="auto"/>
              </w:rPr>
              <w:t>11,208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gridSpan w:val="3"/>
          </w:tcPr>
          <w:p>
            <w:pPr>
              <w:spacing w:after="0" w:line="135" w:lineRule="exact"/>
              <w:rPr>
                <w:sz w:val="20"/>
                <w:szCs w:val="20"/>
                <w:color w:val="auto"/>
              </w:rPr>
            </w:pPr>
            <w:r>
              <w:rPr>
                <w:rFonts w:ascii="Arial" w:cs="Arial" w:eastAsia="Arial" w:hAnsi="Arial"/>
                <w:sz w:val="13"/>
                <w:szCs w:val="13"/>
                <w:color w:val="auto"/>
              </w:rPr>
              <w:t>Consumer installment</w:t>
            </w:r>
          </w:p>
        </w:tc>
        <w:tc>
          <w:tcPr>
            <w:tcW w:w="6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682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688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18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713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731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33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566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599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80" w:type="dxa"/>
            <w:vAlign w:val="bottom"/>
            <w:gridSpan w:val="3"/>
            <w:shd w:val="clear" w:color="auto" w:fill="F0FFFF"/>
          </w:tcPr>
          <w:p>
            <w:pPr>
              <w:spacing w:after="0"/>
              <w:rPr>
                <w:sz w:val="20"/>
                <w:szCs w:val="20"/>
                <w:color w:val="auto"/>
              </w:rPr>
            </w:pPr>
            <w:r>
              <w:rPr>
                <w:rFonts w:ascii="Arial" w:cs="Arial" w:eastAsia="Arial" w:hAnsi="Arial"/>
                <w:sz w:val="13"/>
                <w:szCs w:val="13"/>
                <w:color w:val="auto"/>
              </w:rPr>
              <w:t>Indirect auto</w:t>
            </w:r>
          </w:p>
        </w:tc>
        <w:tc>
          <w:tcPr>
            <w:tcW w:w="60" w:type="dxa"/>
            <w:vAlign w:val="bottom"/>
            <w:shd w:val="clear" w:color="auto" w:fill="F0FFFF"/>
          </w:tcPr>
          <w:p>
            <w:pPr>
              <w:spacing w:after="0"/>
              <w:rPr>
                <w:sz w:val="14"/>
                <w:szCs w:val="14"/>
                <w:color w:val="auto"/>
              </w:rPr>
            </w:pPr>
          </w:p>
        </w:tc>
        <w:tc>
          <w:tcPr>
            <w:tcW w:w="600" w:type="dxa"/>
            <w:vAlign w:val="bottom"/>
            <w:gridSpan w:val="2"/>
            <w:shd w:val="clear" w:color="auto" w:fill="F0FF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3"/>
                <w:szCs w:val="13"/>
                <w:color w:val="auto"/>
              </w:rPr>
              <w:t>1,411</w:t>
            </w: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580" w:type="dxa"/>
            <w:vAlign w:val="bottom"/>
            <w:gridSpan w:val="2"/>
            <w:shd w:val="clear" w:color="auto" w:fill="F0FF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20" w:type="dxa"/>
            <w:vAlign w:val="bottom"/>
            <w:gridSpan w:val="2"/>
            <w:shd w:val="clear" w:color="auto" w:fill="F0FFFF"/>
          </w:tcPr>
          <w:p>
            <w:pPr>
              <w:jc w:val="right"/>
              <w:ind w:right="80"/>
              <w:spacing w:after="0"/>
              <w:rPr>
                <w:sz w:val="20"/>
                <w:szCs w:val="20"/>
                <w:color w:val="auto"/>
              </w:rPr>
            </w:pPr>
            <w:r>
              <w:rPr>
                <w:rFonts w:ascii="Arial" w:cs="Arial" w:eastAsia="Arial" w:hAnsi="Arial"/>
                <w:sz w:val="13"/>
                <w:szCs w:val="13"/>
                <w:color w:val="auto"/>
              </w:rPr>
              <w:t>1,411</w:t>
            </w:r>
          </w:p>
        </w:tc>
        <w:tc>
          <w:tcPr>
            <w:tcW w:w="10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600" w:type="dxa"/>
            <w:vAlign w:val="bottom"/>
            <w:gridSpan w:val="2"/>
            <w:shd w:val="clear" w:color="auto" w:fill="F0FF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700" w:type="dxa"/>
            <w:vAlign w:val="bottom"/>
            <w:gridSpan w:val="2"/>
            <w:shd w:val="clear" w:color="auto" w:fill="F0FFFF"/>
          </w:tcPr>
          <w:p>
            <w:pPr>
              <w:jc w:val="right"/>
              <w:ind w:right="120"/>
              <w:spacing w:after="0"/>
              <w:rPr>
                <w:sz w:val="20"/>
                <w:szCs w:val="20"/>
                <w:color w:val="auto"/>
              </w:rPr>
            </w:pPr>
            <w:r>
              <w:rPr>
                <w:rFonts w:ascii="Arial" w:cs="Arial" w:eastAsia="Arial" w:hAnsi="Arial"/>
                <w:sz w:val="13"/>
                <w:szCs w:val="13"/>
                <w:color w:val="auto"/>
              </w:rPr>
              <w:t>1,061</w:t>
            </w: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20" w:type="dxa"/>
            <w:vAlign w:val="bottom"/>
            <w:gridSpan w:val="2"/>
            <w:shd w:val="clear" w:color="auto" w:fill="F0FFFF"/>
          </w:tcPr>
          <w:p>
            <w:pPr>
              <w:jc w:val="right"/>
              <w:ind w:right="100"/>
              <w:spacing w:after="0"/>
              <w:rPr>
                <w:sz w:val="20"/>
                <w:szCs w:val="20"/>
                <w:color w:val="auto"/>
              </w:rPr>
            </w:pPr>
            <w:r>
              <w:rPr>
                <w:rFonts w:ascii="Arial" w:cs="Arial" w:eastAsia="Arial" w:hAnsi="Arial"/>
                <w:sz w:val="13"/>
                <w:szCs w:val="13"/>
                <w:color w:val="auto"/>
              </w:rPr>
              <w:t>1,061</w:t>
            </w:r>
          </w:p>
        </w:tc>
        <w:tc>
          <w:tcPr>
            <w:tcW w:w="10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600" w:type="dxa"/>
            <w:vAlign w:val="bottom"/>
            <w:gridSpan w:val="2"/>
            <w:shd w:val="clear" w:color="auto" w:fill="F0FF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680" w:type="dxa"/>
            <w:vAlign w:val="bottom"/>
            <w:gridSpan w:val="2"/>
            <w:shd w:val="clear" w:color="auto" w:fill="F0FFFF"/>
          </w:tcPr>
          <w:p>
            <w:pPr>
              <w:jc w:val="right"/>
              <w:ind w:right="120"/>
              <w:spacing w:after="0"/>
              <w:rPr>
                <w:sz w:val="20"/>
                <w:szCs w:val="20"/>
                <w:color w:val="auto"/>
              </w:rPr>
            </w:pPr>
            <w:r>
              <w:rPr>
                <w:rFonts w:ascii="Arial" w:cs="Arial" w:eastAsia="Arial" w:hAnsi="Arial"/>
                <w:sz w:val="13"/>
                <w:szCs w:val="13"/>
                <w:color w:val="auto"/>
              </w:rPr>
              <w:t>823</w:t>
            </w:r>
          </w:p>
        </w:tc>
        <w:tc>
          <w:tcPr>
            <w:tcW w:w="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20" w:type="dxa"/>
            <w:vAlign w:val="bottom"/>
            <w:gridSpan w:val="2"/>
            <w:shd w:val="clear" w:color="auto" w:fill="F0FFFF"/>
          </w:tcPr>
          <w:p>
            <w:pPr>
              <w:jc w:val="right"/>
              <w:ind w:right="100"/>
              <w:spacing w:after="0"/>
              <w:rPr>
                <w:sz w:val="20"/>
                <w:szCs w:val="20"/>
                <w:color w:val="auto"/>
              </w:rPr>
            </w:pPr>
            <w:r>
              <w:rPr>
                <w:rFonts w:ascii="Arial" w:cs="Arial" w:eastAsia="Arial" w:hAnsi="Arial"/>
                <w:sz w:val="13"/>
                <w:szCs w:val="13"/>
                <w:color w:val="auto"/>
              </w:rPr>
              <w:t>823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tcBorders>
              <w:top w:val="single" w:sz="8" w:color="F0FFFF"/>
            </w:tcBorders>
            <w:gridSpan w:val="3"/>
          </w:tcPr>
          <w:p>
            <w:pPr>
              <w:ind w:left="180"/>
              <w:spacing w:after="0" w:line="122" w:lineRule="exact"/>
              <w:rPr>
                <w:sz w:val="20"/>
                <w:szCs w:val="20"/>
                <w:color w:val="auto"/>
              </w:rPr>
            </w:pPr>
            <w:r>
              <w:rPr>
                <w:rFonts w:ascii="Arial" w:cs="Arial" w:eastAsia="Arial" w:hAnsi="Arial"/>
                <w:sz w:val="13"/>
                <w:szCs w:val="13"/>
                <w:color w:val="auto"/>
              </w:rPr>
              <w:t>Total allowance for loan losses</w:t>
            </w:r>
          </w:p>
        </w:tc>
        <w:tc>
          <w:tcPr>
            <w:tcW w:w="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3"/>
                <w:szCs w:val="13"/>
                <w:color w:val="auto"/>
              </w:rPr>
              <w:t>6,686</w:t>
            </w:r>
          </w:p>
        </w:tc>
        <w:tc>
          <w:tcPr>
            <w:tcW w:w="120" w:type="dxa"/>
            <w:vAlign w:val="bottom"/>
            <w:tcBorders>
              <w:top w:val="single" w:sz="8" w:color="F0FFFF"/>
            </w:tcBorders>
          </w:tcPr>
          <w:p>
            <w:pPr>
              <w:spacing w:after="0"/>
              <w:rPr>
                <w:sz w:val="10"/>
                <w:szCs w:val="10"/>
                <w:color w:val="auto"/>
              </w:rPr>
            </w:pPr>
          </w:p>
        </w:tc>
        <w:tc>
          <w:tcPr>
            <w:tcW w:w="80" w:type="dxa"/>
            <w:vAlign w:val="bottom"/>
            <w:tcBorders>
              <w:top w:val="single" w:sz="8" w:color="F0FF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3"/>
                <w:szCs w:val="13"/>
                <w:color w:val="auto"/>
              </w:rPr>
              <w:t>63,443</w:t>
            </w:r>
          </w:p>
        </w:tc>
        <w:tc>
          <w:tcPr>
            <w:tcW w:w="120" w:type="dxa"/>
            <w:vAlign w:val="bottom"/>
            <w:tcBorders>
              <w:top w:val="single" w:sz="8" w:color="F0FFFF"/>
            </w:tcBorders>
          </w:tcPr>
          <w:p>
            <w:pPr>
              <w:spacing w:after="0"/>
              <w:rPr>
                <w:sz w:val="10"/>
                <w:szCs w:val="10"/>
                <w:color w:val="auto"/>
              </w:rPr>
            </w:pPr>
          </w:p>
        </w:tc>
        <w:tc>
          <w:tcPr>
            <w:tcW w:w="100" w:type="dxa"/>
            <w:vAlign w:val="bottom"/>
            <w:tcBorders>
              <w:top w:val="single" w:sz="8" w:color="F0FF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F0FFFF"/>
            </w:tcBorders>
          </w:tcPr>
          <w:p>
            <w:pPr>
              <w:spacing w:after="0"/>
              <w:rPr>
                <w:sz w:val="10"/>
                <w:szCs w:val="10"/>
                <w:color w:val="auto"/>
              </w:rPr>
            </w:pPr>
          </w:p>
        </w:tc>
        <w:tc>
          <w:tcPr>
            <w:tcW w:w="80" w:type="dxa"/>
            <w:vAlign w:val="bottom"/>
            <w:tcBorders>
              <w:top w:val="single" w:sz="8" w:color="F0FF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3"/>
                <w:szCs w:val="13"/>
                <w:color w:val="auto"/>
              </w:rPr>
              <w:t>70,129</w:t>
            </w:r>
          </w:p>
        </w:tc>
        <w:tc>
          <w:tcPr>
            <w:tcW w:w="80" w:type="dxa"/>
            <w:vAlign w:val="bottom"/>
            <w:tcBorders>
              <w:top w:val="single" w:sz="8" w:color="F0FFFF"/>
            </w:tcBorders>
          </w:tcPr>
          <w:p>
            <w:pPr>
              <w:spacing w:after="0"/>
              <w:rPr>
                <w:sz w:val="10"/>
                <w:szCs w:val="10"/>
                <w:color w:val="auto"/>
              </w:rPr>
            </w:pPr>
          </w:p>
        </w:tc>
        <w:tc>
          <w:tcPr>
            <w:tcW w:w="100" w:type="dxa"/>
            <w:vAlign w:val="bottom"/>
            <w:tcBorders>
              <w:top w:val="single" w:sz="8" w:color="F0FF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3"/>
                <w:szCs w:val="13"/>
                <w:color w:val="auto"/>
              </w:rPr>
              <w:t>9,882</w:t>
            </w:r>
          </w:p>
        </w:tc>
        <w:tc>
          <w:tcPr>
            <w:tcW w:w="120" w:type="dxa"/>
            <w:vAlign w:val="bottom"/>
            <w:tcBorders>
              <w:top w:val="single" w:sz="8" w:color="F0FFFF"/>
            </w:tcBorders>
          </w:tcPr>
          <w:p>
            <w:pPr>
              <w:spacing w:after="0"/>
              <w:rPr>
                <w:sz w:val="10"/>
                <w:szCs w:val="10"/>
                <w:color w:val="auto"/>
              </w:rPr>
            </w:pPr>
          </w:p>
        </w:tc>
        <w:tc>
          <w:tcPr>
            <w:tcW w:w="100" w:type="dxa"/>
            <w:vAlign w:val="bottom"/>
            <w:tcBorders>
              <w:top w:val="single" w:sz="8" w:color="F0FF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3"/>
                <w:szCs w:val="13"/>
                <w:color w:val="auto"/>
              </w:rPr>
              <w:t>61,737</w:t>
            </w:r>
          </w:p>
        </w:tc>
        <w:tc>
          <w:tcPr>
            <w:tcW w:w="120" w:type="dxa"/>
            <w:vAlign w:val="bottom"/>
            <w:tcBorders>
              <w:top w:val="single" w:sz="8" w:color="F0FFFF"/>
            </w:tcBorders>
          </w:tcPr>
          <w:p>
            <w:pPr>
              <w:spacing w:after="0"/>
              <w:rPr>
                <w:sz w:val="10"/>
                <w:szCs w:val="10"/>
                <w:color w:val="auto"/>
              </w:rPr>
            </w:pPr>
          </w:p>
        </w:tc>
        <w:tc>
          <w:tcPr>
            <w:tcW w:w="80" w:type="dxa"/>
            <w:vAlign w:val="bottom"/>
            <w:tcBorders>
              <w:top w:val="single" w:sz="8" w:color="F0FF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3"/>
                <w:szCs w:val="13"/>
                <w:color w:val="auto"/>
              </w:rPr>
              <w:t>71,619</w:t>
            </w:r>
          </w:p>
        </w:tc>
        <w:tc>
          <w:tcPr>
            <w:tcW w:w="100" w:type="dxa"/>
            <w:vAlign w:val="bottom"/>
            <w:tcBorders>
              <w:top w:val="single" w:sz="8" w:color="F0FFFF"/>
            </w:tcBorders>
          </w:tcPr>
          <w:p>
            <w:pPr>
              <w:spacing w:after="0"/>
              <w:rPr>
                <w:sz w:val="10"/>
                <w:szCs w:val="10"/>
                <w:color w:val="auto"/>
              </w:rPr>
            </w:pPr>
          </w:p>
        </w:tc>
        <w:tc>
          <w:tcPr>
            <w:tcW w:w="100" w:type="dxa"/>
            <w:vAlign w:val="bottom"/>
            <w:tcBorders>
              <w:top w:val="single" w:sz="8" w:color="F0FF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3"/>
                <w:szCs w:val="13"/>
                <w:color w:val="auto"/>
              </w:rPr>
              <w:t>9,017</w:t>
            </w:r>
          </w:p>
        </w:tc>
        <w:tc>
          <w:tcPr>
            <w:tcW w:w="120" w:type="dxa"/>
            <w:vAlign w:val="bottom"/>
            <w:tcBorders>
              <w:top w:val="single" w:sz="8" w:color="F0FFFF"/>
            </w:tcBorders>
          </w:tcPr>
          <w:p>
            <w:pPr>
              <w:spacing w:after="0"/>
              <w:rPr>
                <w:sz w:val="10"/>
                <w:szCs w:val="10"/>
                <w:color w:val="auto"/>
              </w:rPr>
            </w:pPr>
          </w:p>
        </w:tc>
        <w:tc>
          <w:tcPr>
            <w:tcW w:w="100" w:type="dxa"/>
            <w:vAlign w:val="bottom"/>
            <w:tcBorders>
              <w:top w:val="single" w:sz="8" w:color="F0FF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3"/>
                <w:szCs w:val="13"/>
                <w:color w:val="auto"/>
              </w:rPr>
              <w:t>64,231</w:t>
            </w:r>
          </w:p>
        </w:tc>
        <w:tc>
          <w:tcPr>
            <w:tcW w:w="120" w:type="dxa"/>
            <w:vAlign w:val="bottom"/>
            <w:tcBorders>
              <w:top w:val="single" w:sz="8" w:color="F0FFFF"/>
            </w:tcBorders>
          </w:tcPr>
          <w:p>
            <w:pPr>
              <w:spacing w:after="0"/>
              <w:rPr>
                <w:sz w:val="10"/>
                <w:szCs w:val="10"/>
                <w:color w:val="auto"/>
              </w:rPr>
            </w:pPr>
          </w:p>
        </w:tc>
        <w:tc>
          <w:tcPr>
            <w:tcW w:w="100" w:type="dxa"/>
            <w:vAlign w:val="bottom"/>
            <w:tcBorders>
              <w:top w:val="single" w:sz="8" w:color="F0FF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3"/>
                <w:szCs w:val="13"/>
                <w:color w:val="auto"/>
              </w:rPr>
              <w:t>73,248</w:t>
            </w:r>
          </w:p>
        </w:tc>
        <w:tc>
          <w:tcPr>
            <w:tcW w:w="100" w:type="dxa"/>
            <w:vAlign w:val="bottom"/>
            <w:tcBorders>
              <w:top w:val="single" w:sz="8" w:color="F0FFFF"/>
            </w:tcBorders>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80" w:type="dxa"/>
            <w:vAlign w:val="bottom"/>
            <w:gridSpan w:val="3"/>
            <w:shd w:val="clear" w:color="auto" w:fill="F0FFFF"/>
          </w:tcPr>
          <w:p>
            <w:pPr>
              <w:spacing w:after="0"/>
              <w:rPr>
                <w:sz w:val="20"/>
                <w:szCs w:val="20"/>
                <w:color w:val="auto"/>
              </w:rPr>
            </w:pPr>
            <w:r>
              <w:rPr>
                <w:rFonts w:ascii="Arial" w:cs="Arial" w:eastAsia="Arial" w:hAnsi="Arial"/>
                <w:sz w:val="13"/>
                <w:szCs w:val="13"/>
                <w:color w:val="auto"/>
              </w:rPr>
              <w:t>Allowance for unfunded commitments</w:t>
            </w:r>
          </w:p>
        </w:tc>
        <w:tc>
          <w:tcPr>
            <w:tcW w:w="60" w:type="dxa"/>
            <w:vAlign w:val="bottom"/>
            <w:shd w:val="clear" w:color="auto" w:fill="F0FFFF"/>
          </w:tcPr>
          <w:p>
            <w:pPr>
              <w:spacing w:after="0"/>
              <w:rPr>
                <w:sz w:val="14"/>
                <w:szCs w:val="14"/>
                <w:color w:val="auto"/>
              </w:rPr>
            </w:pPr>
          </w:p>
        </w:tc>
        <w:tc>
          <w:tcPr>
            <w:tcW w:w="600" w:type="dxa"/>
            <w:vAlign w:val="bottom"/>
            <w:gridSpan w:val="2"/>
            <w:shd w:val="clear" w:color="auto" w:fill="F0FF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3"/>
                <w:szCs w:val="13"/>
                <w:color w:val="auto"/>
              </w:rPr>
              <w:t>2,580</w:t>
            </w: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580" w:type="dxa"/>
            <w:vAlign w:val="bottom"/>
            <w:gridSpan w:val="2"/>
            <w:shd w:val="clear" w:color="auto" w:fill="F0FF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20" w:type="dxa"/>
            <w:vAlign w:val="bottom"/>
            <w:gridSpan w:val="2"/>
            <w:shd w:val="clear" w:color="auto" w:fill="F0FFFF"/>
          </w:tcPr>
          <w:p>
            <w:pPr>
              <w:jc w:val="right"/>
              <w:ind w:right="80"/>
              <w:spacing w:after="0"/>
              <w:rPr>
                <w:sz w:val="20"/>
                <w:szCs w:val="20"/>
                <w:color w:val="auto"/>
              </w:rPr>
            </w:pPr>
            <w:r>
              <w:rPr>
                <w:rFonts w:ascii="Arial" w:cs="Arial" w:eastAsia="Arial" w:hAnsi="Arial"/>
                <w:sz w:val="13"/>
                <w:szCs w:val="13"/>
                <w:color w:val="auto"/>
              </w:rPr>
              <w:t>2,580</w:t>
            </w:r>
          </w:p>
        </w:tc>
        <w:tc>
          <w:tcPr>
            <w:tcW w:w="10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600" w:type="dxa"/>
            <w:vAlign w:val="bottom"/>
            <w:gridSpan w:val="2"/>
            <w:shd w:val="clear" w:color="auto" w:fill="F0FF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700" w:type="dxa"/>
            <w:vAlign w:val="bottom"/>
            <w:gridSpan w:val="2"/>
            <w:shd w:val="clear" w:color="auto" w:fill="F0FFFF"/>
          </w:tcPr>
          <w:p>
            <w:pPr>
              <w:jc w:val="right"/>
              <w:ind w:right="120"/>
              <w:spacing w:after="0"/>
              <w:rPr>
                <w:sz w:val="20"/>
                <w:szCs w:val="20"/>
                <w:color w:val="auto"/>
              </w:rPr>
            </w:pPr>
            <w:r>
              <w:rPr>
                <w:rFonts w:ascii="Arial" w:cs="Arial" w:eastAsia="Arial" w:hAnsi="Arial"/>
                <w:sz w:val="13"/>
                <w:szCs w:val="13"/>
                <w:color w:val="auto"/>
              </w:rPr>
              <w:t>1,930</w:t>
            </w: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20" w:type="dxa"/>
            <w:vAlign w:val="bottom"/>
            <w:gridSpan w:val="2"/>
            <w:shd w:val="clear" w:color="auto" w:fill="F0FFFF"/>
          </w:tcPr>
          <w:p>
            <w:pPr>
              <w:jc w:val="right"/>
              <w:ind w:right="100"/>
              <w:spacing w:after="0"/>
              <w:rPr>
                <w:sz w:val="20"/>
                <w:szCs w:val="20"/>
                <w:color w:val="auto"/>
              </w:rPr>
            </w:pPr>
            <w:r>
              <w:rPr>
                <w:rFonts w:ascii="Arial" w:cs="Arial" w:eastAsia="Arial" w:hAnsi="Arial"/>
                <w:sz w:val="13"/>
                <w:szCs w:val="13"/>
                <w:color w:val="auto"/>
              </w:rPr>
              <w:t>1,930</w:t>
            </w:r>
          </w:p>
        </w:tc>
        <w:tc>
          <w:tcPr>
            <w:tcW w:w="10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600" w:type="dxa"/>
            <w:vAlign w:val="bottom"/>
            <w:gridSpan w:val="2"/>
            <w:shd w:val="clear" w:color="auto" w:fill="F0FF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680" w:type="dxa"/>
            <w:vAlign w:val="bottom"/>
            <w:gridSpan w:val="2"/>
            <w:shd w:val="clear" w:color="auto" w:fill="F0FFFF"/>
          </w:tcPr>
          <w:p>
            <w:pPr>
              <w:jc w:val="right"/>
              <w:ind w:right="120"/>
              <w:spacing w:after="0"/>
              <w:rPr>
                <w:sz w:val="20"/>
                <w:szCs w:val="20"/>
                <w:color w:val="auto"/>
              </w:rPr>
            </w:pPr>
            <w:r>
              <w:rPr>
                <w:rFonts w:ascii="Arial" w:cs="Arial" w:eastAsia="Arial" w:hAnsi="Arial"/>
                <w:sz w:val="13"/>
                <w:szCs w:val="13"/>
                <w:color w:val="auto"/>
              </w:rPr>
              <w:t>2,165</w:t>
            </w:r>
          </w:p>
        </w:tc>
        <w:tc>
          <w:tcPr>
            <w:tcW w:w="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520" w:type="dxa"/>
            <w:vAlign w:val="bottom"/>
            <w:shd w:val="clear" w:color="auto" w:fill="F0FFFF"/>
          </w:tcPr>
          <w:p>
            <w:pPr>
              <w:jc w:val="right"/>
              <w:spacing w:after="0"/>
              <w:rPr>
                <w:sz w:val="20"/>
                <w:szCs w:val="20"/>
                <w:color w:val="auto"/>
              </w:rPr>
            </w:pPr>
            <w:r>
              <w:rPr>
                <w:rFonts w:ascii="Arial" w:cs="Arial" w:eastAsia="Arial" w:hAnsi="Arial"/>
                <w:sz w:val="13"/>
                <w:szCs w:val="13"/>
                <w:color w:val="auto"/>
              </w:rPr>
              <w:t>2,165</w:t>
            </w:r>
          </w:p>
        </w:tc>
        <w:tc>
          <w:tcPr>
            <w:tcW w:w="10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480" w:type="dxa"/>
            <w:vAlign w:val="bottom"/>
            <w:tcBorders>
              <w:top w:val="single" w:sz="8" w:color="F0FFFF"/>
            </w:tcBorders>
            <w:gridSpan w:val="3"/>
          </w:tcPr>
          <w:p>
            <w:pPr>
              <w:ind w:left="180"/>
              <w:spacing w:after="0" w:line="136" w:lineRule="exact"/>
              <w:rPr>
                <w:sz w:val="20"/>
                <w:szCs w:val="20"/>
                <w:color w:val="auto"/>
              </w:rPr>
            </w:pPr>
            <w:r>
              <w:rPr>
                <w:rFonts w:ascii="Arial" w:cs="Arial" w:eastAsia="Arial" w:hAnsi="Arial"/>
                <w:sz w:val="13"/>
                <w:szCs w:val="13"/>
                <w:color w:val="auto"/>
              </w:rPr>
              <w:t>Total allowance for credit losses</w:t>
            </w: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6,686</w:t>
            </w:r>
          </w:p>
        </w:tc>
        <w:tc>
          <w:tcPr>
            <w:tcW w:w="120" w:type="dxa"/>
            <w:vAlign w:val="bottom"/>
            <w:tcBorders>
              <w:top w:val="single" w:sz="8" w:color="F0FFFF"/>
            </w:tcBorders>
          </w:tcPr>
          <w:p>
            <w:pPr>
              <w:spacing w:after="0"/>
              <w:rPr>
                <w:sz w:val="11"/>
                <w:szCs w:val="11"/>
                <w:color w:val="auto"/>
              </w:rPr>
            </w:pPr>
          </w:p>
        </w:tc>
        <w:tc>
          <w:tcPr>
            <w:tcW w:w="80" w:type="dxa"/>
            <w:vAlign w:val="bottom"/>
            <w:tcBorders>
              <w:top w:val="single" w:sz="8" w:color="F0FF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66,023</w:t>
            </w:r>
          </w:p>
        </w:tc>
        <w:tc>
          <w:tcPr>
            <w:tcW w:w="120" w:type="dxa"/>
            <w:vAlign w:val="bottom"/>
            <w:tcBorders>
              <w:top w:val="single" w:sz="8" w:color="F0FFFF"/>
            </w:tcBorders>
          </w:tcPr>
          <w:p>
            <w:pPr>
              <w:spacing w:after="0"/>
              <w:rPr>
                <w:sz w:val="11"/>
                <w:szCs w:val="11"/>
                <w:color w:val="auto"/>
              </w:rPr>
            </w:pPr>
          </w:p>
        </w:tc>
        <w:tc>
          <w:tcPr>
            <w:tcW w:w="100" w:type="dxa"/>
            <w:vAlign w:val="bottom"/>
            <w:tcBorders>
              <w:top w:val="single" w:sz="8" w:color="F0FFFF"/>
            </w:tcBorders>
          </w:tcPr>
          <w:p>
            <w:pPr>
              <w:spacing w:after="0"/>
              <w:rPr>
                <w:sz w:val="11"/>
                <w:szCs w:val="11"/>
                <w:color w:val="auto"/>
              </w:rPr>
            </w:pPr>
          </w:p>
        </w:tc>
        <w:tc>
          <w:tcPr>
            <w:tcW w:w="100" w:type="dxa"/>
            <w:vAlign w:val="bottom"/>
            <w:tcBorders>
              <w:top w:val="single" w:sz="8" w:color="auto"/>
              <w:bottom w:val="single" w:sz="8" w:color="auto"/>
            </w:tcBorders>
          </w:tcPr>
          <w:p>
            <w:pPr>
              <w:spacing w:after="0" w:line="136" w:lineRule="exact"/>
              <w:rPr>
                <w:sz w:val="20"/>
                <w:szCs w:val="20"/>
                <w:color w:val="auto"/>
              </w:rPr>
            </w:pPr>
            <w:r>
              <w:rPr>
                <w:rFonts w:ascii="Arial" w:cs="Arial" w:eastAsia="Arial" w:hAnsi="Arial"/>
                <w:sz w:val="13"/>
                <w:szCs w:val="13"/>
                <w:color w:val="auto"/>
              </w:rPr>
              <w:t>$</w:t>
            </w:r>
          </w:p>
        </w:tc>
        <w:tc>
          <w:tcPr>
            <w:tcW w:w="4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F0FFFF"/>
            </w:tcBorders>
          </w:tcPr>
          <w:p>
            <w:pPr>
              <w:spacing w:after="0"/>
              <w:rPr>
                <w:sz w:val="11"/>
                <w:szCs w:val="11"/>
                <w:color w:val="auto"/>
              </w:rPr>
            </w:pPr>
          </w:p>
        </w:tc>
        <w:tc>
          <w:tcPr>
            <w:tcW w:w="80" w:type="dxa"/>
            <w:vAlign w:val="bottom"/>
            <w:tcBorders>
              <w:top w:val="single" w:sz="8" w:color="F0FF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72,709</w:t>
            </w:r>
          </w:p>
        </w:tc>
        <w:tc>
          <w:tcPr>
            <w:tcW w:w="80" w:type="dxa"/>
            <w:vAlign w:val="bottom"/>
            <w:tcBorders>
              <w:top w:val="single" w:sz="8" w:color="F0FFFF"/>
            </w:tcBorders>
          </w:tcPr>
          <w:p>
            <w:pPr>
              <w:spacing w:after="0"/>
              <w:rPr>
                <w:sz w:val="11"/>
                <w:szCs w:val="11"/>
                <w:color w:val="auto"/>
              </w:rPr>
            </w:pPr>
          </w:p>
        </w:tc>
        <w:tc>
          <w:tcPr>
            <w:tcW w:w="100" w:type="dxa"/>
            <w:vAlign w:val="bottom"/>
            <w:tcBorders>
              <w:top w:val="single" w:sz="8" w:color="F0FF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9,882</w:t>
            </w:r>
          </w:p>
        </w:tc>
        <w:tc>
          <w:tcPr>
            <w:tcW w:w="120" w:type="dxa"/>
            <w:vAlign w:val="bottom"/>
            <w:tcBorders>
              <w:top w:val="single" w:sz="8" w:color="F0FFFF"/>
            </w:tcBorders>
          </w:tcPr>
          <w:p>
            <w:pPr>
              <w:spacing w:after="0"/>
              <w:rPr>
                <w:sz w:val="11"/>
                <w:szCs w:val="11"/>
                <w:color w:val="auto"/>
              </w:rPr>
            </w:pPr>
          </w:p>
        </w:tc>
        <w:tc>
          <w:tcPr>
            <w:tcW w:w="100" w:type="dxa"/>
            <w:vAlign w:val="bottom"/>
            <w:tcBorders>
              <w:top w:val="single" w:sz="8" w:color="F0FFFF"/>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63,667</w:t>
            </w:r>
          </w:p>
        </w:tc>
        <w:tc>
          <w:tcPr>
            <w:tcW w:w="120" w:type="dxa"/>
            <w:vAlign w:val="bottom"/>
            <w:tcBorders>
              <w:top w:val="single" w:sz="8" w:color="F0FFFF"/>
            </w:tcBorders>
          </w:tcPr>
          <w:p>
            <w:pPr>
              <w:spacing w:after="0"/>
              <w:rPr>
                <w:sz w:val="11"/>
                <w:szCs w:val="11"/>
                <w:color w:val="auto"/>
              </w:rPr>
            </w:pPr>
          </w:p>
        </w:tc>
        <w:tc>
          <w:tcPr>
            <w:tcW w:w="80" w:type="dxa"/>
            <w:vAlign w:val="bottom"/>
            <w:tcBorders>
              <w:top w:val="single" w:sz="8" w:color="F0FF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73,549</w:t>
            </w:r>
          </w:p>
        </w:tc>
        <w:tc>
          <w:tcPr>
            <w:tcW w:w="100" w:type="dxa"/>
            <w:vAlign w:val="bottom"/>
            <w:tcBorders>
              <w:top w:val="single" w:sz="8" w:color="F0FFFF"/>
            </w:tcBorders>
          </w:tcPr>
          <w:p>
            <w:pPr>
              <w:spacing w:after="0"/>
              <w:rPr>
                <w:sz w:val="11"/>
                <w:szCs w:val="11"/>
                <w:color w:val="auto"/>
              </w:rPr>
            </w:pPr>
          </w:p>
        </w:tc>
        <w:tc>
          <w:tcPr>
            <w:tcW w:w="100" w:type="dxa"/>
            <w:vAlign w:val="bottom"/>
            <w:tcBorders>
              <w:top w:val="single" w:sz="8" w:color="F0FF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9,017</w:t>
            </w:r>
          </w:p>
        </w:tc>
        <w:tc>
          <w:tcPr>
            <w:tcW w:w="120" w:type="dxa"/>
            <w:vAlign w:val="bottom"/>
            <w:tcBorders>
              <w:top w:val="single" w:sz="8" w:color="F0FFFF"/>
            </w:tcBorders>
          </w:tcPr>
          <w:p>
            <w:pPr>
              <w:spacing w:after="0"/>
              <w:rPr>
                <w:sz w:val="11"/>
                <w:szCs w:val="11"/>
                <w:color w:val="auto"/>
              </w:rPr>
            </w:pPr>
          </w:p>
        </w:tc>
        <w:tc>
          <w:tcPr>
            <w:tcW w:w="100" w:type="dxa"/>
            <w:vAlign w:val="bottom"/>
            <w:tcBorders>
              <w:top w:val="single" w:sz="8" w:color="F0FFFF"/>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66,396</w:t>
            </w:r>
          </w:p>
        </w:tc>
        <w:tc>
          <w:tcPr>
            <w:tcW w:w="120" w:type="dxa"/>
            <w:vAlign w:val="bottom"/>
            <w:tcBorders>
              <w:top w:val="single" w:sz="8" w:color="F0FFFF"/>
            </w:tcBorders>
          </w:tcPr>
          <w:p>
            <w:pPr>
              <w:spacing w:after="0"/>
              <w:rPr>
                <w:sz w:val="11"/>
                <w:szCs w:val="11"/>
                <w:color w:val="auto"/>
              </w:rPr>
            </w:pPr>
          </w:p>
        </w:tc>
        <w:tc>
          <w:tcPr>
            <w:tcW w:w="100" w:type="dxa"/>
            <w:vAlign w:val="bottom"/>
            <w:tcBorders>
              <w:top w:val="single" w:sz="8" w:color="F0FF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color w:val="auto"/>
              </w:rPr>
              <w:t>75,413</w:t>
            </w:r>
          </w:p>
        </w:tc>
        <w:tc>
          <w:tcPr>
            <w:tcW w:w="100" w:type="dxa"/>
            <w:vAlign w:val="bottom"/>
            <w:tcBorders>
              <w:top w:val="single" w:sz="8" w:color="F0FFFF"/>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bottom w:val="single" w:sz="8" w:color="F0FFFF"/>
            </w:tcBorders>
          </w:tcPr>
          <w:p>
            <w:pPr>
              <w:spacing w:after="0" w:line="20" w:lineRule="exact"/>
              <w:rPr>
                <w:sz w:val="1"/>
                <w:szCs w:val="1"/>
                <w:color w:val="auto"/>
              </w:rPr>
            </w:pPr>
          </w:p>
        </w:tc>
        <w:tc>
          <w:tcPr>
            <w:tcW w:w="23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1020" w:type="dxa"/>
            <w:vAlign w:val="bottom"/>
            <w:shd w:val="clear" w:color="auto" w:fill="F0FFFF"/>
          </w:tcPr>
          <w:p>
            <w:pPr>
              <w:spacing w:after="0"/>
              <w:rPr>
                <w:sz w:val="11"/>
                <w:szCs w:val="11"/>
                <w:color w:val="auto"/>
              </w:rPr>
            </w:pPr>
          </w:p>
        </w:tc>
        <w:tc>
          <w:tcPr>
            <w:tcW w:w="23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44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5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5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480" w:type="dxa"/>
            <w:vAlign w:val="bottom"/>
            <w:gridSpan w:val="3"/>
          </w:tcPr>
          <w:p>
            <w:pPr>
              <w:spacing w:after="0" w:line="122" w:lineRule="exact"/>
              <w:rPr>
                <w:sz w:val="20"/>
                <w:szCs w:val="20"/>
                <w:color w:val="auto"/>
              </w:rPr>
            </w:pPr>
            <w:r>
              <w:rPr>
                <w:rFonts w:ascii="Arial" w:cs="Arial" w:eastAsia="Arial" w:hAnsi="Arial"/>
                <w:sz w:val="13"/>
                <w:szCs w:val="13"/>
                <w:b w:val="1"/>
                <w:bCs w:val="1"/>
                <w:color w:val="auto"/>
              </w:rPr>
              <w:t>Loans Outstanding</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20" w:type="dxa"/>
            <w:vAlign w:val="bottom"/>
            <w:tcBorders>
              <w:top w:val="single" w:sz="8" w:color="auto"/>
            </w:tcBorders>
            <w:shd w:val="clear" w:color="auto" w:fill="F0FFFF"/>
          </w:tcPr>
          <w:p>
            <w:pPr>
              <w:spacing w:after="0"/>
              <w:rPr>
                <w:sz w:val="11"/>
                <w:szCs w:val="11"/>
                <w:color w:val="auto"/>
              </w:rPr>
            </w:pPr>
          </w:p>
        </w:tc>
        <w:tc>
          <w:tcPr>
            <w:tcW w:w="23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44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5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5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480" w:type="dxa"/>
            <w:vAlign w:val="bottom"/>
            <w:gridSpan w:val="3"/>
          </w:tcPr>
          <w:p>
            <w:pPr>
              <w:spacing w:after="0" w:line="135" w:lineRule="exact"/>
              <w:rPr>
                <w:sz w:val="20"/>
                <w:szCs w:val="20"/>
                <w:color w:val="auto"/>
              </w:rPr>
            </w:pPr>
            <w:r>
              <w:rPr>
                <w:rFonts w:ascii="Arial" w:cs="Arial" w:eastAsia="Arial" w:hAnsi="Arial"/>
                <w:sz w:val="13"/>
                <w:szCs w:val="13"/>
                <w:color w:val="auto"/>
              </w:rPr>
              <w:t>Owner occupied commercial real estate</w:t>
            </w:r>
          </w:p>
        </w:tc>
        <w:tc>
          <w:tcPr>
            <w:tcW w:w="60" w:type="dxa"/>
            <w:vAlign w:val="bottom"/>
          </w:tcPr>
          <w:p>
            <w:pPr>
              <w:spacing w:after="0"/>
              <w:rPr>
                <w:sz w:val="20"/>
                <w:szCs w:val="20"/>
                <w:color w:val="auto"/>
              </w:rPr>
            </w:pPr>
            <w:r>
              <w:rPr>
                <w:rFonts w:ascii="Arial" w:cs="Arial" w:eastAsia="Arial" w:hAnsi="Arial"/>
                <w:sz w:val="9"/>
                <w:szCs w:val="9"/>
                <w:color w:val="auto"/>
                <w:w w:val="78"/>
              </w:rPr>
              <w:t>$</w:t>
            </w: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37,547</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93"/>
              </w:rPr>
              <w:t>1,225,779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2,457</w:t>
            </w:r>
          </w:p>
        </w:tc>
        <w:tc>
          <w:tcPr>
            <w:tcW w:w="80" w:type="dxa"/>
            <w:vAlign w:val="bottom"/>
          </w:tcPr>
          <w:p>
            <w:pPr>
              <w:spacing w:after="0"/>
              <w:rPr>
                <w:sz w:val="11"/>
                <w:szCs w:val="11"/>
                <w:color w:val="auto"/>
              </w:rPr>
            </w:pPr>
          </w:p>
        </w:tc>
        <w:tc>
          <w:tcPr>
            <w:tcW w:w="10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89"/>
              </w:rPr>
              <w:t>1,265,783</w:t>
            </w:r>
          </w:p>
        </w:tc>
        <w:tc>
          <w:tcPr>
            <w:tcW w:w="160" w:type="dxa"/>
            <w:vAlign w:val="bottom"/>
            <w:gridSpan w:val="2"/>
          </w:tcPr>
          <w:p>
            <w:pPr>
              <w:ind w:left="100"/>
              <w:spacing w:after="0"/>
              <w:rPr>
                <w:sz w:val="20"/>
                <w:szCs w:val="20"/>
                <w:color w:val="auto"/>
              </w:rPr>
            </w:pPr>
            <w:r>
              <w:rPr>
                <w:rFonts w:ascii="Arial" w:cs="Arial" w:eastAsia="Arial" w:hAnsi="Arial"/>
                <w:sz w:val="9"/>
                <w:szCs w:val="9"/>
                <w:color w:val="auto"/>
                <w:w w:val="78"/>
              </w:rPr>
              <w:t>$</w:t>
            </w:r>
          </w:p>
        </w:tc>
        <w:tc>
          <w:tcPr>
            <w:tcW w:w="60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34,654</w:t>
            </w:r>
          </w:p>
        </w:tc>
        <w:tc>
          <w:tcPr>
            <w:tcW w:w="10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w w:val="96"/>
              </w:rPr>
              <w:t>1,128,826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86"/>
              </w:rPr>
              <w:t>1,163,480</w:t>
            </w:r>
          </w:p>
        </w:tc>
        <w:tc>
          <w:tcPr>
            <w:tcW w:w="160" w:type="dxa"/>
            <w:vAlign w:val="bottom"/>
            <w:gridSpan w:val="2"/>
          </w:tcPr>
          <w:p>
            <w:pPr>
              <w:ind w:left="100"/>
              <w:spacing w:after="0"/>
              <w:rPr>
                <w:sz w:val="20"/>
                <w:szCs w:val="20"/>
                <w:color w:val="auto"/>
              </w:rPr>
            </w:pPr>
            <w:r>
              <w:rPr>
                <w:rFonts w:ascii="Arial" w:cs="Arial" w:eastAsia="Arial" w:hAnsi="Arial"/>
                <w:sz w:val="9"/>
                <w:szCs w:val="9"/>
                <w:color w:val="auto"/>
                <w:w w:val="78"/>
              </w:rPr>
              <w:t>$</w:t>
            </w: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31,952</w:t>
            </w:r>
          </w:p>
        </w:tc>
        <w:tc>
          <w:tcPr>
            <w:tcW w:w="10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3"/>
              </w:rPr>
              <w:t>1,131,375</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w w:val="86"/>
              </w:rPr>
              <w:t>1,163,327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gridSpan w:val="3"/>
            <w:shd w:val="clear" w:color="auto" w:fill="F0FFFF"/>
          </w:tcPr>
          <w:p>
            <w:pPr>
              <w:spacing w:after="0" w:line="135" w:lineRule="exact"/>
              <w:rPr>
                <w:sz w:val="20"/>
                <w:szCs w:val="20"/>
                <w:color w:val="auto"/>
              </w:rPr>
            </w:pPr>
            <w:r>
              <w:rPr>
                <w:rFonts w:ascii="Arial" w:cs="Arial" w:eastAsia="Arial" w:hAnsi="Arial"/>
                <w:sz w:val="13"/>
                <w:szCs w:val="13"/>
                <w:color w:val="auto"/>
              </w:rPr>
              <w:t>Income producing commercial real estate</w:t>
            </w:r>
          </w:p>
        </w:tc>
        <w:tc>
          <w:tcPr>
            <w:tcW w:w="60" w:type="dxa"/>
            <w:vAlign w:val="bottom"/>
            <w:shd w:val="clear" w:color="auto" w:fill="F0FFFF"/>
          </w:tcPr>
          <w:p>
            <w:pPr>
              <w:spacing w:after="0"/>
              <w:rPr>
                <w:sz w:val="11"/>
                <w:szCs w:val="11"/>
                <w:color w:val="auto"/>
              </w:rPr>
            </w:pPr>
          </w:p>
        </w:tc>
        <w:tc>
          <w:tcPr>
            <w:tcW w:w="60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21,926</w:t>
            </w: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60" w:type="dxa"/>
            <w:vAlign w:val="bottom"/>
            <w:shd w:val="clear" w:color="auto" w:fill="F0FFFF"/>
          </w:tcPr>
          <w:p>
            <w:pPr>
              <w:jc w:val="right"/>
              <w:spacing w:after="0" w:line="135" w:lineRule="exact"/>
              <w:rPr>
                <w:sz w:val="20"/>
                <w:szCs w:val="20"/>
                <w:color w:val="auto"/>
              </w:rPr>
            </w:pPr>
            <w:r>
              <w:rPr>
                <w:rFonts w:ascii="Arial" w:cs="Arial" w:eastAsia="Arial" w:hAnsi="Arial"/>
                <w:sz w:val="13"/>
                <w:szCs w:val="13"/>
                <w:color w:val="auto"/>
              </w:rPr>
              <w:t>661,988</w:t>
            </w: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580" w:type="dxa"/>
            <w:vAlign w:val="bottom"/>
            <w:gridSpan w:val="2"/>
            <w:shd w:val="clear" w:color="auto" w:fill="F0FFFF"/>
          </w:tcPr>
          <w:p>
            <w:pPr>
              <w:jc w:val="right"/>
              <w:ind w:right="140"/>
              <w:spacing w:after="0" w:line="135" w:lineRule="exact"/>
              <w:rPr>
                <w:sz w:val="20"/>
                <w:szCs w:val="20"/>
                <w:color w:val="auto"/>
              </w:rPr>
            </w:pPr>
            <w:r>
              <w:rPr>
                <w:rFonts w:ascii="Arial" w:cs="Arial" w:eastAsia="Arial" w:hAnsi="Arial"/>
                <w:sz w:val="13"/>
                <w:szCs w:val="13"/>
                <w:color w:val="auto"/>
              </w:rPr>
              <w:t>4,854</w:t>
            </w: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20" w:type="dxa"/>
            <w:vAlign w:val="bottom"/>
            <w:gridSpan w:val="2"/>
            <w:shd w:val="clear" w:color="auto" w:fill="F0FFFF"/>
          </w:tcPr>
          <w:p>
            <w:pPr>
              <w:jc w:val="right"/>
              <w:ind w:right="80"/>
              <w:spacing w:after="0" w:line="135" w:lineRule="exact"/>
              <w:rPr>
                <w:sz w:val="20"/>
                <w:szCs w:val="20"/>
                <w:color w:val="auto"/>
              </w:rPr>
            </w:pPr>
            <w:r>
              <w:rPr>
                <w:rFonts w:ascii="Arial" w:cs="Arial" w:eastAsia="Arial" w:hAnsi="Arial"/>
                <w:sz w:val="13"/>
                <w:szCs w:val="13"/>
                <w:color w:val="auto"/>
              </w:rPr>
              <w:t>688,768</w:t>
            </w: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600" w:type="dxa"/>
            <w:vAlign w:val="bottom"/>
            <w:gridSpan w:val="2"/>
            <w:shd w:val="clear" w:color="auto" w:fill="F0FFFF"/>
          </w:tcPr>
          <w:p>
            <w:pPr>
              <w:jc w:val="right"/>
              <w:ind w:right="57"/>
              <w:spacing w:after="0" w:line="135" w:lineRule="exact"/>
              <w:rPr>
                <w:sz w:val="20"/>
                <w:szCs w:val="20"/>
                <w:color w:val="auto"/>
              </w:rPr>
            </w:pPr>
            <w:r>
              <w:rPr>
                <w:rFonts w:ascii="Arial" w:cs="Arial" w:eastAsia="Arial" w:hAnsi="Arial"/>
                <w:sz w:val="13"/>
                <w:szCs w:val="13"/>
                <w:color w:val="auto"/>
              </w:rPr>
              <w:t>24,484</w:t>
            </w: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0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574,053</w:t>
            </w: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20" w:type="dxa"/>
            <w:vAlign w:val="bottom"/>
            <w:gridSpan w:val="2"/>
            <w:shd w:val="clear" w:color="auto" w:fill="F0FFFF"/>
          </w:tcPr>
          <w:p>
            <w:pPr>
              <w:jc w:val="right"/>
              <w:ind w:right="100"/>
              <w:spacing w:after="0" w:line="135" w:lineRule="exact"/>
              <w:rPr>
                <w:sz w:val="20"/>
                <w:szCs w:val="20"/>
                <w:color w:val="auto"/>
              </w:rPr>
            </w:pPr>
            <w:r>
              <w:rPr>
                <w:rFonts w:ascii="Arial" w:cs="Arial" w:eastAsia="Arial" w:hAnsi="Arial"/>
                <w:sz w:val="13"/>
                <w:szCs w:val="13"/>
                <w:color w:val="auto"/>
              </w:rPr>
              <w:t>598,537</w:t>
            </w: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60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26,045</w:t>
            </w: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68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572,273</w:t>
            </w: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520" w:type="dxa"/>
            <w:vAlign w:val="bottom"/>
            <w:shd w:val="clear" w:color="auto" w:fill="F0FFFF"/>
          </w:tcPr>
          <w:p>
            <w:pPr>
              <w:jc w:val="right"/>
              <w:spacing w:after="0" w:line="135" w:lineRule="exact"/>
              <w:rPr>
                <w:sz w:val="20"/>
                <w:szCs w:val="20"/>
                <w:color w:val="auto"/>
              </w:rPr>
            </w:pPr>
            <w:r>
              <w:rPr>
                <w:rFonts w:ascii="Arial" w:cs="Arial" w:eastAsia="Arial" w:hAnsi="Arial"/>
                <w:sz w:val="13"/>
                <w:szCs w:val="13"/>
                <w:color w:val="auto"/>
              </w:rPr>
              <w:t>598,318</w:t>
            </w: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gridSpan w:val="3"/>
          </w:tcPr>
          <w:p>
            <w:pPr>
              <w:spacing w:after="0" w:line="135" w:lineRule="exact"/>
              <w:rPr>
                <w:sz w:val="20"/>
                <w:szCs w:val="20"/>
                <w:color w:val="auto"/>
              </w:rPr>
            </w:pPr>
            <w:r>
              <w:rPr>
                <w:rFonts w:ascii="Arial" w:cs="Arial" w:eastAsia="Arial" w:hAnsi="Arial"/>
                <w:sz w:val="13"/>
                <w:szCs w:val="13"/>
                <w:color w:val="auto"/>
              </w:rPr>
              <w:t>Commercial &amp; industrial</w:t>
            </w:r>
          </w:p>
        </w:tc>
        <w:tc>
          <w:tcPr>
            <w:tcW w:w="6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5,023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787,247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521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792,791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3"/>
                <w:szCs w:val="13"/>
                <w:color w:val="auto"/>
              </w:rPr>
              <w:t>3,977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706,279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710,256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3,641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550,448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554,089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gridSpan w:val="3"/>
            <w:shd w:val="clear" w:color="auto" w:fill="F0FFFF"/>
          </w:tcPr>
          <w:p>
            <w:pPr>
              <w:spacing w:after="0" w:line="135" w:lineRule="exact"/>
              <w:rPr>
                <w:sz w:val="20"/>
                <w:szCs w:val="20"/>
                <w:color w:val="auto"/>
              </w:rPr>
            </w:pPr>
            <w:r>
              <w:rPr>
                <w:rFonts w:ascii="Arial" w:cs="Arial" w:eastAsia="Arial" w:hAnsi="Arial"/>
                <w:sz w:val="13"/>
                <w:szCs w:val="13"/>
                <w:color w:val="auto"/>
              </w:rPr>
              <w:t>Commercial construction</w:t>
            </w:r>
          </w:p>
        </w:tc>
        <w:tc>
          <w:tcPr>
            <w:tcW w:w="60" w:type="dxa"/>
            <w:vAlign w:val="bottom"/>
            <w:shd w:val="clear" w:color="auto" w:fill="F0FFFF"/>
          </w:tcPr>
          <w:p>
            <w:pPr>
              <w:spacing w:after="0"/>
              <w:rPr>
                <w:sz w:val="11"/>
                <w:szCs w:val="11"/>
                <w:color w:val="auto"/>
              </w:rPr>
            </w:pPr>
          </w:p>
        </w:tc>
        <w:tc>
          <w:tcPr>
            <w:tcW w:w="60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12,123</w:t>
            </w: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60" w:type="dxa"/>
            <w:vAlign w:val="bottom"/>
            <w:shd w:val="clear" w:color="auto" w:fill="F0FFFF"/>
          </w:tcPr>
          <w:p>
            <w:pPr>
              <w:jc w:val="right"/>
              <w:spacing w:after="0" w:line="135" w:lineRule="exact"/>
              <w:rPr>
                <w:sz w:val="20"/>
                <w:szCs w:val="20"/>
                <w:color w:val="auto"/>
              </w:rPr>
            </w:pPr>
            <w:r>
              <w:rPr>
                <w:rFonts w:ascii="Arial" w:cs="Arial" w:eastAsia="Arial" w:hAnsi="Arial"/>
                <w:sz w:val="13"/>
                <w:szCs w:val="13"/>
                <w:color w:val="auto"/>
              </w:rPr>
              <w:t>223,631</w:t>
            </w: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580" w:type="dxa"/>
            <w:vAlign w:val="bottom"/>
            <w:gridSpan w:val="2"/>
            <w:shd w:val="clear" w:color="auto" w:fill="F0FFFF"/>
          </w:tcPr>
          <w:p>
            <w:pPr>
              <w:jc w:val="right"/>
              <w:ind w:right="140"/>
              <w:spacing w:after="0" w:line="135" w:lineRule="exact"/>
              <w:rPr>
                <w:sz w:val="20"/>
                <w:szCs w:val="20"/>
                <w:color w:val="auto"/>
              </w:rPr>
            </w:pPr>
            <w:r>
              <w:rPr>
                <w:rFonts w:ascii="Arial" w:cs="Arial" w:eastAsia="Arial" w:hAnsi="Arial"/>
                <w:sz w:val="13"/>
                <w:szCs w:val="13"/>
                <w:color w:val="auto"/>
              </w:rPr>
              <w:t>2,066</w:t>
            </w: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20" w:type="dxa"/>
            <w:vAlign w:val="bottom"/>
            <w:gridSpan w:val="2"/>
            <w:shd w:val="clear" w:color="auto" w:fill="F0FFFF"/>
          </w:tcPr>
          <w:p>
            <w:pPr>
              <w:jc w:val="right"/>
              <w:ind w:right="80"/>
              <w:spacing w:after="0" w:line="135" w:lineRule="exact"/>
              <w:rPr>
                <w:sz w:val="20"/>
                <w:szCs w:val="20"/>
                <w:color w:val="auto"/>
              </w:rPr>
            </w:pPr>
            <w:r>
              <w:rPr>
                <w:rFonts w:ascii="Arial" w:cs="Arial" w:eastAsia="Arial" w:hAnsi="Arial"/>
                <w:sz w:val="13"/>
                <w:szCs w:val="13"/>
                <w:color w:val="auto"/>
              </w:rPr>
              <w:t>237,820</w:t>
            </w: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600" w:type="dxa"/>
            <w:vAlign w:val="bottom"/>
            <w:gridSpan w:val="2"/>
            <w:shd w:val="clear" w:color="auto" w:fill="F0FFFF"/>
          </w:tcPr>
          <w:p>
            <w:pPr>
              <w:jc w:val="right"/>
              <w:ind w:right="57"/>
              <w:spacing w:after="0" w:line="135" w:lineRule="exact"/>
              <w:rPr>
                <w:sz w:val="20"/>
                <w:szCs w:val="20"/>
                <w:color w:val="auto"/>
              </w:rPr>
            </w:pPr>
            <w:r>
              <w:rPr>
                <w:rFonts w:ascii="Arial" w:cs="Arial" w:eastAsia="Arial" w:hAnsi="Arial"/>
                <w:sz w:val="13"/>
                <w:szCs w:val="13"/>
                <w:color w:val="auto"/>
              </w:rPr>
              <w:t>12,321</w:t>
            </w: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0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183,709</w:t>
            </w: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20" w:type="dxa"/>
            <w:vAlign w:val="bottom"/>
            <w:gridSpan w:val="2"/>
            <w:shd w:val="clear" w:color="auto" w:fill="F0FFFF"/>
          </w:tcPr>
          <w:p>
            <w:pPr>
              <w:jc w:val="right"/>
              <w:ind w:right="100"/>
              <w:spacing w:after="0" w:line="135" w:lineRule="exact"/>
              <w:rPr>
                <w:sz w:val="20"/>
                <w:szCs w:val="20"/>
                <w:color w:val="auto"/>
              </w:rPr>
            </w:pPr>
            <w:r>
              <w:rPr>
                <w:rFonts w:ascii="Arial" w:cs="Arial" w:eastAsia="Arial" w:hAnsi="Arial"/>
                <w:sz w:val="13"/>
                <w:szCs w:val="13"/>
                <w:color w:val="auto"/>
              </w:rPr>
              <w:t>196,030</w:t>
            </w: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60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11,214</w:t>
            </w: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68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148,541</w:t>
            </w: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520" w:type="dxa"/>
            <w:vAlign w:val="bottom"/>
            <w:shd w:val="clear" w:color="auto" w:fill="F0FFFF"/>
          </w:tcPr>
          <w:p>
            <w:pPr>
              <w:jc w:val="right"/>
              <w:spacing w:after="0" w:line="135" w:lineRule="exact"/>
              <w:rPr>
                <w:sz w:val="20"/>
                <w:szCs w:val="20"/>
                <w:color w:val="auto"/>
              </w:rPr>
            </w:pPr>
            <w:r>
              <w:rPr>
                <w:rFonts w:ascii="Arial" w:cs="Arial" w:eastAsia="Arial" w:hAnsi="Arial"/>
                <w:sz w:val="13"/>
                <w:szCs w:val="13"/>
                <w:color w:val="auto"/>
              </w:rPr>
              <w:t>159,755</w:t>
            </w: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gridSpan w:val="3"/>
          </w:tcPr>
          <w:p>
            <w:pPr>
              <w:spacing w:after="0" w:line="135" w:lineRule="exact"/>
              <w:rPr>
                <w:sz w:val="20"/>
                <w:szCs w:val="20"/>
                <w:color w:val="auto"/>
              </w:rPr>
            </w:pPr>
            <w:r>
              <w:rPr>
                <w:rFonts w:ascii="Arial" w:cs="Arial" w:eastAsia="Arial" w:hAnsi="Arial"/>
                <w:sz w:val="13"/>
                <w:szCs w:val="13"/>
                <w:color w:val="auto"/>
              </w:rPr>
              <w:t>Residential mortgage</w:t>
            </w:r>
          </w:p>
        </w:tc>
        <w:tc>
          <w:tcPr>
            <w:tcW w:w="6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20,538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914,981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935,646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18,775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847,014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865,789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20,455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840,070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860,525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gridSpan w:val="3"/>
            <w:shd w:val="clear" w:color="auto" w:fill="F0FFFF"/>
          </w:tcPr>
          <w:p>
            <w:pPr>
              <w:spacing w:after="0" w:line="135" w:lineRule="exact"/>
              <w:rPr>
                <w:sz w:val="20"/>
                <w:szCs w:val="20"/>
                <w:color w:val="auto"/>
              </w:rPr>
            </w:pPr>
            <w:r>
              <w:rPr>
                <w:rFonts w:ascii="Arial" w:cs="Arial" w:eastAsia="Arial" w:hAnsi="Arial"/>
                <w:sz w:val="13"/>
                <w:szCs w:val="13"/>
                <w:color w:val="auto"/>
              </w:rPr>
              <w:t>Home equity lines of credit</w:t>
            </w:r>
          </w:p>
        </w:tc>
        <w:tc>
          <w:tcPr>
            <w:tcW w:w="60" w:type="dxa"/>
            <w:vAlign w:val="bottom"/>
            <w:shd w:val="clear" w:color="auto" w:fill="F0FFFF"/>
          </w:tcPr>
          <w:p>
            <w:pPr>
              <w:spacing w:after="0"/>
              <w:rPr>
                <w:sz w:val="11"/>
                <w:szCs w:val="11"/>
                <w:color w:val="auto"/>
              </w:rPr>
            </w:pPr>
          </w:p>
        </w:tc>
        <w:tc>
          <w:tcPr>
            <w:tcW w:w="60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551</w:t>
            </w: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60" w:type="dxa"/>
            <w:vAlign w:val="bottom"/>
            <w:shd w:val="clear" w:color="auto" w:fill="F0FFFF"/>
          </w:tcPr>
          <w:p>
            <w:pPr>
              <w:jc w:val="right"/>
              <w:spacing w:after="0" w:line="135" w:lineRule="exact"/>
              <w:rPr>
                <w:sz w:val="20"/>
                <w:szCs w:val="20"/>
                <w:color w:val="auto"/>
              </w:rPr>
            </w:pPr>
            <w:r>
              <w:rPr>
                <w:rFonts w:ascii="Arial" w:cs="Arial" w:eastAsia="Arial" w:hAnsi="Arial"/>
                <w:sz w:val="13"/>
                <w:szCs w:val="13"/>
                <w:color w:val="auto"/>
              </w:rPr>
              <w:t>490,132</w:t>
            </w: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580" w:type="dxa"/>
            <w:vAlign w:val="bottom"/>
            <w:gridSpan w:val="2"/>
            <w:shd w:val="clear" w:color="auto" w:fill="F0FFFF"/>
          </w:tcPr>
          <w:p>
            <w:pPr>
              <w:jc w:val="right"/>
              <w:ind w:right="140"/>
              <w:spacing w:after="0" w:line="135" w:lineRule="exact"/>
              <w:rPr>
                <w:sz w:val="20"/>
                <w:szCs w:val="20"/>
                <w:color w:val="auto"/>
              </w:rPr>
            </w:pPr>
            <w:r>
              <w:rPr>
                <w:rFonts w:ascii="Arial" w:cs="Arial" w:eastAsia="Arial" w:hAnsi="Arial"/>
                <w:sz w:val="13"/>
                <w:szCs w:val="13"/>
                <w:color w:val="auto"/>
              </w:rPr>
              <w:t>70</w:t>
            </w: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20" w:type="dxa"/>
            <w:vAlign w:val="bottom"/>
            <w:gridSpan w:val="2"/>
            <w:shd w:val="clear" w:color="auto" w:fill="F0FFFF"/>
          </w:tcPr>
          <w:p>
            <w:pPr>
              <w:jc w:val="right"/>
              <w:ind w:right="80"/>
              <w:spacing w:after="0" w:line="135" w:lineRule="exact"/>
              <w:rPr>
                <w:sz w:val="20"/>
                <w:szCs w:val="20"/>
                <w:color w:val="auto"/>
              </w:rPr>
            </w:pPr>
            <w:r>
              <w:rPr>
                <w:rFonts w:ascii="Arial" w:cs="Arial" w:eastAsia="Arial" w:hAnsi="Arial"/>
                <w:sz w:val="13"/>
                <w:szCs w:val="13"/>
                <w:color w:val="auto"/>
              </w:rPr>
              <w:t>490,753</w:t>
            </w: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600" w:type="dxa"/>
            <w:vAlign w:val="bottom"/>
            <w:gridSpan w:val="2"/>
            <w:shd w:val="clear" w:color="auto" w:fill="F0FFFF"/>
          </w:tcPr>
          <w:p>
            <w:pPr>
              <w:jc w:val="right"/>
              <w:ind w:right="57"/>
              <w:spacing w:after="0" w:line="135" w:lineRule="exact"/>
              <w:rPr>
                <w:sz w:val="20"/>
                <w:szCs w:val="20"/>
                <w:color w:val="auto"/>
              </w:rPr>
            </w:pPr>
            <w:r>
              <w:rPr>
                <w:rFonts w:ascii="Arial" w:cs="Arial" w:eastAsia="Arial" w:hAnsi="Arial"/>
                <w:sz w:val="13"/>
                <w:szCs w:val="13"/>
                <w:color w:val="auto"/>
              </w:rPr>
              <w:t>478</w:t>
            </w: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0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465,394</w:t>
            </w: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20" w:type="dxa"/>
            <w:vAlign w:val="bottom"/>
            <w:gridSpan w:val="2"/>
            <w:shd w:val="clear" w:color="auto" w:fill="F0FFFF"/>
          </w:tcPr>
          <w:p>
            <w:pPr>
              <w:jc w:val="right"/>
              <w:ind w:right="100"/>
              <w:spacing w:after="0" w:line="135" w:lineRule="exact"/>
              <w:rPr>
                <w:sz w:val="20"/>
                <w:szCs w:val="20"/>
                <w:color w:val="auto"/>
              </w:rPr>
            </w:pPr>
            <w:r>
              <w:rPr>
                <w:rFonts w:ascii="Arial" w:cs="Arial" w:eastAsia="Arial" w:hAnsi="Arial"/>
                <w:sz w:val="13"/>
                <w:szCs w:val="13"/>
                <w:color w:val="auto"/>
              </w:rPr>
              <w:t>465,872</w:t>
            </w: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60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540</w:t>
            </w: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68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450,895</w:t>
            </w: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520" w:type="dxa"/>
            <w:vAlign w:val="bottom"/>
            <w:shd w:val="clear" w:color="auto" w:fill="F0FFFF"/>
          </w:tcPr>
          <w:p>
            <w:pPr>
              <w:jc w:val="right"/>
              <w:spacing w:after="0" w:line="135" w:lineRule="exact"/>
              <w:rPr>
                <w:sz w:val="20"/>
                <w:szCs w:val="20"/>
                <w:color w:val="auto"/>
              </w:rPr>
            </w:pPr>
            <w:r>
              <w:rPr>
                <w:rFonts w:ascii="Arial" w:cs="Arial" w:eastAsia="Arial" w:hAnsi="Arial"/>
                <w:sz w:val="13"/>
                <w:szCs w:val="13"/>
                <w:color w:val="auto"/>
              </w:rPr>
              <w:t>451,435</w:t>
            </w: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gridSpan w:val="3"/>
          </w:tcPr>
          <w:p>
            <w:pPr>
              <w:spacing w:after="0" w:line="135" w:lineRule="exact"/>
              <w:rPr>
                <w:sz w:val="20"/>
                <w:szCs w:val="20"/>
                <w:color w:val="auto"/>
              </w:rPr>
            </w:pPr>
            <w:r>
              <w:rPr>
                <w:rFonts w:ascii="Arial" w:cs="Arial" w:eastAsia="Arial" w:hAnsi="Arial"/>
                <w:sz w:val="13"/>
                <w:szCs w:val="13"/>
                <w:color w:val="auto"/>
              </w:rPr>
              <w:t>Residential construction</w:t>
            </w:r>
          </w:p>
        </w:tc>
        <w:tc>
          <w:tcPr>
            <w:tcW w:w="6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8,631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290,289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298,920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11,604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287,023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298,627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13,320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288,417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301,737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80" w:type="dxa"/>
            <w:vAlign w:val="bottom"/>
            <w:gridSpan w:val="3"/>
            <w:shd w:val="clear" w:color="auto" w:fill="F0FFFF"/>
          </w:tcPr>
          <w:p>
            <w:pPr>
              <w:spacing w:after="0" w:line="135" w:lineRule="exact"/>
              <w:rPr>
                <w:sz w:val="20"/>
                <w:szCs w:val="20"/>
                <w:color w:val="auto"/>
              </w:rPr>
            </w:pPr>
            <w:r>
              <w:rPr>
                <w:rFonts w:ascii="Arial" w:cs="Arial" w:eastAsia="Arial" w:hAnsi="Arial"/>
                <w:sz w:val="13"/>
                <w:szCs w:val="13"/>
                <w:color w:val="auto"/>
              </w:rPr>
              <w:t>Consumer installment</w:t>
            </w:r>
          </w:p>
        </w:tc>
        <w:tc>
          <w:tcPr>
            <w:tcW w:w="60" w:type="dxa"/>
            <w:vAlign w:val="bottom"/>
            <w:shd w:val="clear" w:color="auto" w:fill="F0FFFF"/>
          </w:tcPr>
          <w:p>
            <w:pPr>
              <w:spacing w:after="0"/>
              <w:rPr>
                <w:sz w:val="11"/>
                <w:szCs w:val="11"/>
                <w:color w:val="auto"/>
              </w:rPr>
            </w:pPr>
          </w:p>
        </w:tc>
        <w:tc>
          <w:tcPr>
            <w:tcW w:w="60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141</w:t>
            </w: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60" w:type="dxa"/>
            <w:vAlign w:val="bottom"/>
            <w:shd w:val="clear" w:color="auto" w:fill="F0FFFF"/>
          </w:tcPr>
          <w:p>
            <w:pPr>
              <w:jc w:val="right"/>
              <w:spacing w:after="0" w:line="135" w:lineRule="exact"/>
              <w:rPr>
                <w:sz w:val="20"/>
                <w:szCs w:val="20"/>
                <w:color w:val="auto"/>
              </w:rPr>
            </w:pPr>
            <w:r>
              <w:rPr>
                <w:rFonts w:ascii="Arial" w:cs="Arial" w:eastAsia="Arial" w:hAnsi="Arial"/>
                <w:sz w:val="13"/>
                <w:szCs w:val="13"/>
                <w:color w:val="auto"/>
              </w:rPr>
              <w:t>105,790</w:t>
            </w: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580" w:type="dxa"/>
            <w:vAlign w:val="bottom"/>
            <w:gridSpan w:val="2"/>
            <w:shd w:val="clear" w:color="auto" w:fill="F0FF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20" w:type="dxa"/>
            <w:vAlign w:val="bottom"/>
            <w:gridSpan w:val="2"/>
            <w:shd w:val="clear" w:color="auto" w:fill="F0FFFF"/>
          </w:tcPr>
          <w:p>
            <w:pPr>
              <w:jc w:val="right"/>
              <w:ind w:right="80"/>
              <w:spacing w:after="0" w:line="135" w:lineRule="exact"/>
              <w:rPr>
                <w:sz w:val="20"/>
                <w:szCs w:val="20"/>
                <w:color w:val="auto"/>
              </w:rPr>
            </w:pPr>
            <w:r>
              <w:rPr>
                <w:rFonts w:ascii="Arial" w:cs="Arial" w:eastAsia="Arial" w:hAnsi="Arial"/>
                <w:sz w:val="13"/>
                <w:szCs w:val="13"/>
                <w:color w:val="auto"/>
              </w:rPr>
              <w:t>105,931</w:t>
            </w: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600" w:type="dxa"/>
            <w:vAlign w:val="bottom"/>
            <w:gridSpan w:val="2"/>
            <w:shd w:val="clear" w:color="auto" w:fill="F0FFFF"/>
          </w:tcPr>
          <w:p>
            <w:pPr>
              <w:jc w:val="right"/>
              <w:ind w:right="57"/>
              <w:spacing w:after="0" w:line="135" w:lineRule="exact"/>
              <w:rPr>
                <w:sz w:val="20"/>
                <w:szCs w:val="20"/>
                <w:color w:val="auto"/>
              </w:rPr>
            </w:pPr>
            <w:r>
              <w:rPr>
                <w:rFonts w:ascii="Arial" w:cs="Arial" w:eastAsia="Arial" w:hAnsi="Arial"/>
                <w:sz w:val="13"/>
                <w:szCs w:val="13"/>
                <w:color w:val="auto"/>
              </w:rPr>
              <w:t>179</w:t>
            </w: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0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104,720</w:t>
            </w: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20" w:type="dxa"/>
            <w:vAlign w:val="bottom"/>
            <w:gridSpan w:val="2"/>
            <w:shd w:val="clear" w:color="auto" w:fill="F0FFFF"/>
          </w:tcPr>
          <w:p>
            <w:pPr>
              <w:jc w:val="right"/>
              <w:ind w:right="100"/>
              <w:spacing w:after="0" w:line="135" w:lineRule="exact"/>
              <w:rPr>
                <w:sz w:val="20"/>
                <w:szCs w:val="20"/>
                <w:color w:val="auto"/>
              </w:rPr>
            </w:pPr>
            <w:r>
              <w:rPr>
                <w:rFonts w:ascii="Arial" w:cs="Arial" w:eastAsia="Arial" w:hAnsi="Arial"/>
                <w:sz w:val="13"/>
                <w:szCs w:val="13"/>
                <w:color w:val="auto"/>
              </w:rPr>
              <w:t>104,899</w:t>
            </w: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60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329</w:t>
            </w: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68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104,831</w:t>
            </w: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520" w:type="dxa"/>
            <w:vAlign w:val="bottom"/>
            <w:shd w:val="clear" w:color="auto" w:fill="F0FFFF"/>
          </w:tcPr>
          <w:p>
            <w:pPr>
              <w:jc w:val="right"/>
              <w:spacing w:after="0" w:line="135" w:lineRule="exact"/>
              <w:rPr>
                <w:sz w:val="20"/>
                <w:szCs w:val="20"/>
                <w:color w:val="auto"/>
              </w:rPr>
            </w:pPr>
            <w:r>
              <w:rPr>
                <w:rFonts w:ascii="Arial" w:cs="Arial" w:eastAsia="Arial" w:hAnsi="Arial"/>
                <w:sz w:val="13"/>
                <w:szCs w:val="13"/>
                <w:color w:val="auto"/>
              </w:rPr>
              <w:t>105,160</w:t>
            </w: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80" w:type="dxa"/>
            <w:vAlign w:val="bottom"/>
            <w:gridSpan w:val="3"/>
          </w:tcPr>
          <w:p>
            <w:pPr>
              <w:spacing w:after="0"/>
              <w:rPr>
                <w:sz w:val="20"/>
                <w:szCs w:val="20"/>
                <w:color w:val="auto"/>
              </w:rPr>
            </w:pPr>
            <w:r>
              <w:rPr>
                <w:rFonts w:ascii="Arial" w:cs="Arial" w:eastAsia="Arial" w:hAnsi="Arial"/>
                <w:sz w:val="13"/>
                <w:szCs w:val="13"/>
                <w:color w:val="auto"/>
              </w:rPr>
              <w:t>Indirect auto</w:t>
            </w:r>
          </w:p>
        </w:tc>
        <w:tc>
          <w:tcPr>
            <w:tcW w:w="6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357,105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357,105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268,629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268,629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215,939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215,939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3480" w:type="dxa"/>
            <w:vAlign w:val="bottom"/>
            <w:tcBorders>
              <w:top w:val="single" w:sz="8" w:color="F0FFFF"/>
              <w:bottom w:val="single" w:sz="8" w:color="F0FFFF"/>
            </w:tcBorders>
            <w:gridSpan w:val="3"/>
            <w:shd w:val="clear" w:color="auto" w:fill="F0FFFF"/>
          </w:tcPr>
          <w:p>
            <w:pPr>
              <w:ind w:left="180"/>
              <w:spacing w:after="0" w:line="147" w:lineRule="exact"/>
              <w:rPr>
                <w:sz w:val="20"/>
                <w:szCs w:val="20"/>
                <w:color w:val="auto"/>
              </w:rPr>
            </w:pPr>
            <w:r>
              <w:rPr>
                <w:rFonts w:ascii="Arial" w:cs="Arial" w:eastAsia="Arial" w:hAnsi="Arial"/>
                <w:sz w:val="13"/>
                <w:szCs w:val="13"/>
                <w:color w:val="auto"/>
              </w:rPr>
              <w:t>Total loans</w:t>
            </w:r>
          </w:p>
        </w:tc>
        <w:tc>
          <w:tcPr>
            <w:tcW w:w="6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w w:val="97"/>
              </w:rPr>
              <w:t>106,480</w:t>
            </w:r>
          </w:p>
        </w:tc>
        <w:tc>
          <w:tcPr>
            <w:tcW w:w="120" w:type="dxa"/>
            <w:vAlign w:val="bottom"/>
            <w:tcBorders>
              <w:top w:val="single" w:sz="8" w:color="F0FFFF"/>
              <w:bottom w:val="single" w:sz="8" w:color="F0FFFF"/>
            </w:tcBorders>
            <w:shd w:val="clear" w:color="auto" w:fill="F0FFFF"/>
          </w:tcPr>
          <w:p>
            <w:pPr>
              <w:spacing w:after="0"/>
              <w:rPr>
                <w:sz w:val="14"/>
                <w:szCs w:val="14"/>
                <w:color w:val="auto"/>
              </w:rPr>
            </w:pPr>
          </w:p>
        </w:tc>
        <w:tc>
          <w:tcPr>
            <w:tcW w:w="80" w:type="dxa"/>
            <w:vAlign w:val="bottom"/>
            <w:tcBorders>
              <w:top w:val="single" w:sz="8" w:color="F0FFFF"/>
              <w:bottom w:val="single" w:sz="8" w:color="F0FFFF"/>
            </w:tcBorders>
            <w:shd w:val="clear" w:color="auto" w:fill="F0FFFF"/>
          </w:tcPr>
          <w:p>
            <w:pPr>
              <w:spacing w:after="0"/>
              <w:rPr>
                <w:sz w:val="14"/>
                <w:szCs w:val="14"/>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w w:val="93"/>
              </w:rPr>
              <w:t>5,056,942</w:t>
            </w:r>
          </w:p>
        </w:tc>
        <w:tc>
          <w:tcPr>
            <w:tcW w:w="120" w:type="dxa"/>
            <w:vAlign w:val="bottom"/>
            <w:tcBorders>
              <w:top w:val="single" w:sz="8" w:color="F0FFFF"/>
              <w:bottom w:val="single" w:sz="8" w:color="F0FFFF"/>
            </w:tcBorders>
            <w:shd w:val="clear" w:color="auto" w:fill="F0FFFF"/>
          </w:tcPr>
          <w:p>
            <w:pPr>
              <w:spacing w:after="0"/>
              <w:rPr>
                <w:sz w:val="14"/>
                <w:szCs w:val="14"/>
                <w:color w:val="auto"/>
              </w:rPr>
            </w:pPr>
          </w:p>
        </w:tc>
        <w:tc>
          <w:tcPr>
            <w:tcW w:w="100" w:type="dxa"/>
            <w:vAlign w:val="bottom"/>
            <w:tcBorders>
              <w:top w:val="single" w:sz="8" w:color="F0FFFF"/>
              <w:bottom w:val="single" w:sz="8" w:color="F0FFFF"/>
            </w:tcBorders>
            <w:shd w:val="clear" w:color="auto" w:fill="F0FFFF"/>
          </w:tcPr>
          <w:p>
            <w:pPr>
              <w:spacing w:after="0"/>
              <w:rPr>
                <w:sz w:val="14"/>
                <w:szCs w:val="14"/>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3"/>
                <w:szCs w:val="13"/>
                <w:color w:val="auto"/>
              </w:rPr>
              <w:t>$</w:t>
            </w:r>
          </w:p>
        </w:tc>
        <w:tc>
          <w:tcPr>
            <w:tcW w:w="4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rPr>
              <w:t>10,095</w:t>
            </w:r>
          </w:p>
        </w:tc>
        <w:tc>
          <w:tcPr>
            <w:tcW w:w="140" w:type="dxa"/>
            <w:vAlign w:val="bottom"/>
            <w:tcBorders>
              <w:top w:val="single" w:sz="8" w:color="F0FFFF"/>
              <w:bottom w:val="single" w:sz="8" w:color="F0FFFF"/>
            </w:tcBorders>
            <w:shd w:val="clear" w:color="auto" w:fill="F0FFFF"/>
          </w:tcPr>
          <w:p>
            <w:pPr>
              <w:spacing w:after="0"/>
              <w:rPr>
                <w:sz w:val="14"/>
                <w:szCs w:val="14"/>
                <w:color w:val="auto"/>
              </w:rPr>
            </w:pPr>
          </w:p>
        </w:tc>
        <w:tc>
          <w:tcPr>
            <w:tcW w:w="80" w:type="dxa"/>
            <w:vAlign w:val="bottom"/>
            <w:tcBorders>
              <w:top w:val="single" w:sz="8" w:color="F0FFFF"/>
              <w:bottom w:val="single" w:sz="8" w:color="F0FFFF"/>
            </w:tcBorders>
            <w:shd w:val="clear" w:color="auto" w:fill="F0FFFF"/>
          </w:tcPr>
          <w:p>
            <w:pPr>
              <w:spacing w:after="0"/>
              <w:rPr>
                <w:sz w:val="14"/>
                <w:szCs w:val="14"/>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w w:val="89"/>
              </w:rPr>
              <w:t>5,173,517</w:t>
            </w:r>
          </w:p>
        </w:tc>
        <w:tc>
          <w:tcPr>
            <w:tcW w:w="80" w:type="dxa"/>
            <w:vAlign w:val="bottom"/>
            <w:tcBorders>
              <w:top w:val="single" w:sz="8" w:color="F0FFFF"/>
              <w:bottom w:val="single" w:sz="8" w:color="F0FFFF"/>
            </w:tcBorders>
            <w:shd w:val="clear" w:color="auto" w:fill="F0FFFF"/>
          </w:tcPr>
          <w:p>
            <w:pPr>
              <w:spacing w:after="0"/>
              <w:rPr>
                <w:sz w:val="14"/>
                <w:szCs w:val="14"/>
                <w:color w:val="auto"/>
              </w:rPr>
            </w:pPr>
          </w:p>
        </w:tc>
        <w:tc>
          <w:tcPr>
            <w:tcW w:w="100" w:type="dxa"/>
            <w:vAlign w:val="bottom"/>
            <w:tcBorders>
              <w:top w:val="single" w:sz="8" w:color="F0FFFF"/>
              <w:bottom w:val="single" w:sz="8" w:color="F0FFFF"/>
            </w:tcBorders>
            <w:shd w:val="clear" w:color="auto" w:fill="F0FFFF"/>
          </w:tcPr>
          <w:p>
            <w:pPr>
              <w:spacing w:after="0"/>
              <w:rPr>
                <w:sz w:val="14"/>
                <w:szCs w:val="14"/>
                <w:color w:val="auto"/>
              </w:rPr>
            </w:pPr>
          </w:p>
        </w:tc>
        <w:tc>
          <w:tcPr>
            <w:tcW w:w="6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w w:val="97"/>
              </w:rPr>
              <w:t>106,472</w:t>
            </w:r>
          </w:p>
        </w:tc>
        <w:tc>
          <w:tcPr>
            <w:tcW w:w="120" w:type="dxa"/>
            <w:vAlign w:val="bottom"/>
            <w:tcBorders>
              <w:top w:val="single" w:sz="8" w:color="F0FFFF"/>
              <w:bottom w:val="single" w:sz="8" w:color="F0FFFF"/>
            </w:tcBorders>
            <w:shd w:val="clear" w:color="auto" w:fill="F0FFFF"/>
          </w:tcPr>
          <w:p>
            <w:pPr>
              <w:spacing w:after="0"/>
              <w:rPr>
                <w:sz w:val="14"/>
                <w:szCs w:val="14"/>
                <w:color w:val="auto"/>
              </w:rPr>
            </w:pPr>
          </w:p>
        </w:tc>
        <w:tc>
          <w:tcPr>
            <w:tcW w:w="100" w:type="dxa"/>
            <w:vAlign w:val="bottom"/>
            <w:tcBorders>
              <w:top w:val="single" w:sz="8" w:color="F0FFFF"/>
              <w:bottom w:val="single" w:sz="8" w:color="F0FFFF"/>
            </w:tcBorders>
            <w:shd w:val="clear" w:color="auto" w:fill="F0FFFF"/>
          </w:tcPr>
          <w:p>
            <w:pPr>
              <w:spacing w:after="0"/>
              <w:rPr>
                <w:sz w:val="14"/>
                <w:szCs w:val="14"/>
                <w:color w:val="auto"/>
              </w:rPr>
            </w:pPr>
          </w:p>
        </w:tc>
        <w:tc>
          <w:tcPr>
            <w:tcW w:w="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w w:val="96"/>
              </w:rPr>
              <w:t>4,565,647</w:t>
            </w:r>
          </w:p>
        </w:tc>
        <w:tc>
          <w:tcPr>
            <w:tcW w:w="120" w:type="dxa"/>
            <w:vAlign w:val="bottom"/>
            <w:tcBorders>
              <w:top w:val="single" w:sz="8" w:color="F0FFFF"/>
              <w:bottom w:val="single" w:sz="8" w:color="F0FFFF"/>
            </w:tcBorders>
            <w:shd w:val="clear" w:color="auto" w:fill="F0FFFF"/>
          </w:tcPr>
          <w:p>
            <w:pPr>
              <w:spacing w:after="0"/>
              <w:rPr>
                <w:sz w:val="14"/>
                <w:szCs w:val="14"/>
                <w:color w:val="auto"/>
              </w:rPr>
            </w:pPr>
          </w:p>
        </w:tc>
        <w:tc>
          <w:tcPr>
            <w:tcW w:w="80" w:type="dxa"/>
            <w:vAlign w:val="bottom"/>
            <w:tcBorders>
              <w:top w:val="single" w:sz="8" w:color="F0FFFF"/>
              <w:bottom w:val="single" w:sz="8" w:color="F0FFFF"/>
            </w:tcBorders>
            <w:shd w:val="clear" w:color="auto" w:fill="F0FFFF"/>
          </w:tcPr>
          <w:p>
            <w:pPr>
              <w:spacing w:after="0"/>
              <w:rPr>
                <w:sz w:val="14"/>
                <w:szCs w:val="14"/>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w w:val="86"/>
              </w:rPr>
              <w:t>4,672,119</w:t>
            </w:r>
          </w:p>
        </w:tc>
        <w:tc>
          <w:tcPr>
            <w:tcW w:w="100" w:type="dxa"/>
            <w:vAlign w:val="bottom"/>
            <w:tcBorders>
              <w:top w:val="single" w:sz="8" w:color="F0FFFF"/>
              <w:bottom w:val="single" w:sz="8" w:color="F0FFFF"/>
            </w:tcBorders>
            <w:shd w:val="clear" w:color="auto" w:fill="F0FFFF"/>
          </w:tcPr>
          <w:p>
            <w:pPr>
              <w:spacing w:after="0"/>
              <w:rPr>
                <w:sz w:val="14"/>
                <w:szCs w:val="14"/>
                <w:color w:val="auto"/>
              </w:rPr>
            </w:pPr>
          </w:p>
        </w:tc>
        <w:tc>
          <w:tcPr>
            <w:tcW w:w="100" w:type="dxa"/>
            <w:vAlign w:val="bottom"/>
            <w:tcBorders>
              <w:top w:val="single" w:sz="8" w:color="F0FFFF"/>
              <w:bottom w:val="single" w:sz="8" w:color="F0FFFF"/>
            </w:tcBorders>
            <w:shd w:val="clear" w:color="auto" w:fill="F0FFFF"/>
          </w:tcPr>
          <w:p>
            <w:pPr>
              <w:spacing w:after="0"/>
              <w:rPr>
                <w:sz w:val="14"/>
                <w:szCs w:val="14"/>
                <w:color w:val="auto"/>
              </w:rPr>
            </w:pPr>
          </w:p>
        </w:tc>
        <w:tc>
          <w:tcPr>
            <w:tcW w:w="6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w w:val="97"/>
              </w:rPr>
              <w:t>107,496</w:t>
            </w:r>
          </w:p>
        </w:tc>
        <w:tc>
          <w:tcPr>
            <w:tcW w:w="120" w:type="dxa"/>
            <w:vAlign w:val="bottom"/>
            <w:tcBorders>
              <w:top w:val="single" w:sz="8" w:color="F0FFFF"/>
              <w:bottom w:val="single" w:sz="8" w:color="F0FFFF"/>
            </w:tcBorders>
            <w:shd w:val="clear" w:color="auto" w:fill="F0FFFF"/>
          </w:tcPr>
          <w:p>
            <w:pPr>
              <w:spacing w:after="0"/>
              <w:rPr>
                <w:sz w:val="14"/>
                <w:szCs w:val="14"/>
                <w:color w:val="auto"/>
              </w:rPr>
            </w:pPr>
          </w:p>
        </w:tc>
        <w:tc>
          <w:tcPr>
            <w:tcW w:w="100" w:type="dxa"/>
            <w:vAlign w:val="bottom"/>
            <w:tcBorders>
              <w:top w:val="single" w:sz="8" w:color="F0FFFF"/>
              <w:bottom w:val="single" w:sz="8" w:color="F0FFFF"/>
            </w:tcBorders>
            <w:shd w:val="clear" w:color="auto" w:fill="F0FFFF"/>
          </w:tcPr>
          <w:p>
            <w:pPr>
              <w:spacing w:after="0"/>
              <w:rPr>
                <w:sz w:val="14"/>
                <w:szCs w:val="14"/>
                <w:color w:val="auto"/>
              </w:rPr>
            </w:pPr>
          </w:p>
        </w:tc>
        <w:tc>
          <w:tcPr>
            <w:tcW w:w="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w w:val="93"/>
              </w:rPr>
              <w:t>4,302,789</w:t>
            </w:r>
          </w:p>
        </w:tc>
        <w:tc>
          <w:tcPr>
            <w:tcW w:w="120" w:type="dxa"/>
            <w:vAlign w:val="bottom"/>
            <w:tcBorders>
              <w:top w:val="single" w:sz="8" w:color="F0FFFF"/>
              <w:bottom w:val="single" w:sz="8" w:color="F0FFFF"/>
            </w:tcBorders>
            <w:shd w:val="clear" w:color="auto" w:fill="F0FFFF"/>
          </w:tcPr>
          <w:p>
            <w:pPr>
              <w:spacing w:after="0"/>
              <w:rPr>
                <w:sz w:val="14"/>
                <w:szCs w:val="14"/>
                <w:color w:val="auto"/>
              </w:rPr>
            </w:pPr>
          </w:p>
        </w:tc>
        <w:tc>
          <w:tcPr>
            <w:tcW w:w="100" w:type="dxa"/>
            <w:vAlign w:val="bottom"/>
            <w:tcBorders>
              <w:top w:val="single" w:sz="8" w:color="F0FFFF"/>
              <w:bottom w:val="single" w:sz="8" w:color="F0FFFF"/>
            </w:tcBorders>
            <w:shd w:val="clear" w:color="auto" w:fill="F0FFFF"/>
          </w:tcPr>
          <w:p>
            <w:pPr>
              <w:spacing w:after="0"/>
              <w:rPr>
                <w:sz w:val="14"/>
                <w:szCs w:val="14"/>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3"/>
                <w:szCs w:val="13"/>
                <w:color w:val="auto"/>
                <w:w w:val="86"/>
              </w:rPr>
              <w:t>4,410,285</w:t>
            </w:r>
          </w:p>
        </w:tc>
        <w:tc>
          <w:tcPr>
            <w:tcW w:w="100" w:type="dxa"/>
            <w:vAlign w:val="bottom"/>
            <w:tcBorders>
              <w:top w:val="single" w:sz="8" w:color="F0FFFF"/>
              <w:bottom w:val="single" w:sz="8" w:color="F0FFFF"/>
            </w:tcBorders>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top w:val="single" w:sz="8" w:color="F0FFFF"/>
            </w:tcBorders>
          </w:tcPr>
          <w:p>
            <w:pPr>
              <w:spacing w:after="0" w:line="20" w:lineRule="exact"/>
              <w:rPr>
                <w:sz w:val="1"/>
                <w:szCs w:val="1"/>
                <w:color w:val="auto"/>
              </w:rPr>
            </w:pPr>
          </w:p>
        </w:tc>
        <w:tc>
          <w:tcPr>
            <w:tcW w:w="23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bottom w:val="single" w:sz="8" w:color="auto"/>
            </w:tcBorders>
          </w:tcPr>
          <w:p>
            <w:pPr>
              <w:spacing w:after="0" w:line="20" w:lineRule="exact"/>
              <w:rPr>
                <w:sz w:val="1"/>
                <w:szCs w:val="1"/>
                <w:color w:val="auto"/>
              </w:rPr>
            </w:pPr>
          </w:p>
        </w:tc>
        <w:tc>
          <w:tcPr>
            <w:tcW w:w="4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44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54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bottom w:val="single" w:sz="8" w:color="auto"/>
            </w:tcBorders>
          </w:tcPr>
          <w:p>
            <w:pPr>
              <w:spacing w:after="0" w:line="20" w:lineRule="exact"/>
              <w:rPr>
                <w:sz w:val="1"/>
                <w:szCs w:val="1"/>
                <w:color w:val="auto"/>
              </w:rPr>
            </w:pPr>
          </w:p>
        </w:tc>
        <w:tc>
          <w:tcPr>
            <w:tcW w:w="4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bottom w:val="single" w:sz="8" w:color="auto"/>
            </w:tcBorders>
          </w:tcPr>
          <w:p>
            <w:pPr>
              <w:spacing w:after="0" w:line="20" w:lineRule="exact"/>
              <w:rPr>
                <w:sz w:val="1"/>
                <w:szCs w:val="1"/>
                <w:color w:val="auto"/>
              </w:rPr>
            </w:pPr>
          </w:p>
        </w:tc>
        <w:tc>
          <w:tcPr>
            <w:tcW w:w="5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5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bottom w:val="single" w:sz="8" w:color="auto"/>
            </w:tcBorders>
          </w:tcPr>
          <w:p>
            <w:pPr>
              <w:spacing w:after="0" w:line="20" w:lineRule="exact"/>
              <w:rPr>
                <w:sz w:val="1"/>
                <w:szCs w:val="1"/>
                <w:color w:val="auto"/>
              </w:rPr>
            </w:pPr>
          </w:p>
        </w:tc>
        <w:tc>
          <w:tcPr>
            <w:tcW w:w="4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5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85"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Excluding loans accounted for under ASC Topic 310-30, management considers all loans that are on nonaccrual with a balance of $500,000 or greater and all troubled debt restructurings (“TDRs”) to be impaired. In addition, management reviews all accruing substandard loans greater than $2 million to determine if the loan is impaired. A loan is considered impaired when, based on current events and circumstances, it is probable that all amounts due according to the original contractual terms of the loan will not be collected. All TDRs are considered impaired regardless of accrual status. Impairment is measured based on the present value of expected future cash flows, discounted at the loan’s effective interest rate, the loan’s observable market price, or the fair value of the collateral if the loan is collateral dependent. For TDRs less than $500,000, impairment is estimated based on the average impairment of TDRs greater than $500,000 by loan category. For loan types that do not have TDRs greater than $500,000, the average impairment for all TDR loans is used to quantify the amount of required specific reserve. A specific reserve is established for impaired loans for the amount of calculated impairment. Interest payments received on impaired nonaccrual loans are applied as a reduction of the outstanding principal balance. For impaired loans not on nonaccrual status, interest is accrued according to the terms of the loan agreement. Loans are evaluated for impairment quarterly and specific reserves are established in the allowance for loan losses for any measured impairment.</w:t>
      </w:r>
    </w:p>
    <w:p>
      <w:pPr>
        <w:spacing w:after="0" w:line="2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Each quarter, United’s management prepares an analysis of the allowance for credit losses to determine the appropriate balance that measures and quantifies the amount of probable incurred losses in the loan portfolio and unfunded loan commitments. The allowance is comprised of specific reserves on individually impaired loans, which are determined as described above, and general reserves which are determined based on historical loss experience as adjusted for current trends and economic conditions multiplied by a loss emergence period factor. Management uses eight quarters of historical loss experience to determine the loss factors to be used in the reserve calculation for loans evaluated in the aggregate. Eight quarters has been determined to be an appropriate time period as it is recent enough to be relevant to current conditions and covers a length of time sufficient to minimize distortions caused by nonrecurring and unusual activity that might otherwise influence a shorter time period. In previous years, the loss rates were weighted toward more recent quarters by multiplying each quarter’s annualized historical net charge-off rate by 1 through 8, with 8 representing the most recent quarter and 1 representing the oldest quarter. Management adopted this method of weighting quarterly loss rates to capture the rapidly deteriorating credit conditions in its loss factors during the financial crisis. In the first quarter of 2014, in light of stabilizing credit conditions, management concluded that it was appropriate to apply a more level weighting to capture the full range and impacts of credit losses experienced during the most recent economic and credit cycle. For the four quarters of 2014, management applied a weighting factor of 1.75 to the most recent four quarters and a weighting of 1.00 for the four oldest quarters. Beginning with the first quarter of 2015, management began applying equal weight to all eight quarters to capture the full range of the loss cycle. Management believes the current weightings are more appropriate to measure the probable losses incurred within the loan portfolio.</w:t>
      </w:r>
    </w:p>
    <w:p>
      <w:pPr>
        <w:spacing w:after="0" w:line="6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Also, beginning in the first quarter of 2014, management updated its method for measuring the loss emergence period in the calculation of the allowance for credit losses. The rapidly deteriorating credit conditions during the peak of the credit cycle shortened the length of time between management’s estimation of the incurrence of a loss and its recognition as a charge-off. In most cases, the loss emergence period was within a twelve month period which made the use of annualized loss factors appropriate for measuring the amount of incurred yet unconfirmed credit losses within the loan portfolio. As United has moved out beyond the peak of the financial crisis, management has observed that the loss emergence period has extended. Management calculates the loss emergence period for each pool of loans based on the average length of time between the date a loan first exceeds 30 days past due and the date the loan is charged off.</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updates to the weightings to the eight quarters of loss history and the update to our estimation of the loss emergence period did not have a material effect on the total allowance for loan losses or the provision for loan losses, however, the revised loss emergence period resulted in the full allocation of the previously unallocated portion of the allowance for loan losses.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junior lien home equity loans, management has limited ability to monitor the delinquency status of the first lien unless the first lien is also held by United. As a result, management applies the weighted average historical loss factor for this category and appropriately adjusts it to reflect the increased risk of loss from these credits.</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 carefully reviews the resulting loss factors for each category of the loan portfolio and evaluates whether qualitative adjustments are necessary to take into consideration recent credit trends such as increases or decreases in past due, nonaccrual, criticized and classified loans, and other macro environmental factors such as changes in unemployment rates, lease vacancy rates and trends in property values and absorption rates.</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believes that its method of determining the balance of the allowance for credit losses provides a reasonable and reliable basis for measuring and reporting losses that are incurred in the loan portfolio as of the reporting date.</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a loan officer determines that a loan is uncollectible, he or she is responsible for recommending that the loan be charged off. Full or partial charge-offs may also be recommended by the Collections Department, the Special Assets Department and the Foreclosure/OREO Department. Nonaccrual real estate loans that are collateral dependent are generally charged down to 80% of the appraised value of the underlying collateral at the time they are placed on nonaccrual status.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Commercial and consumer asset quality committees consisting of the Chief Credit Officer, a Senior Risk Officer and the Senior Credit Officers meet monthly to review charge-offs that have occurred during the previous month.</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Generally, closed-end retail loans (installment and residential mortgage loans) past due 90 cumulative days are written down to their collateral value less estimated selling costs unless the loan is well secured and in process of collection (within the next 90 days). Open-end (revolving) unsecured retail loans which are past due 90 cumulative days from their contractual due date are generally charged-off.</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presents loans individually evaluated for impairment by class of loans as of June 30, 2015, December 31, 2014 and June 30, 2014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5"/>
              </w:rPr>
              <w:t>June 30, 2015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4"/>
          </w:tcPr>
          <w:p>
            <w:pPr>
              <w:ind w:left="120"/>
              <w:spacing w:after="0"/>
              <w:rPr>
                <w:sz w:val="20"/>
                <w:szCs w:val="20"/>
                <w:color w:val="auto"/>
              </w:rPr>
            </w:pPr>
            <w:r>
              <w:rPr>
                <w:rFonts w:ascii="Arial" w:cs="Arial" w:eastAsia="Arial" w:hAnsi="Arial"/>
                <w:sz w:val="13"/>
                <w:szCs w:val="13"/>
                <w:b w:val="1"/>
                <w:bCs w:val="1"/>
                <w:color w:val="auto"/>
                <w:w w:val="87"/>
              </w:rPr>
              <w:t>December 31, 2014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5"/>
              </w:rPr>
              <w:t>June 30, 2014</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87"/>
              </w:rPr>
              <w:t>Allowance</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87"/>
              </w:rPr>
              <w:t>Allowance</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87"/>
              </w:rPr>
              <w:t>Allowance</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0"/>
              </w:rPr>
              <w:t>Unpaid</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for Loan</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0"/>
              </w:rPr>
              <w:t>Unpaid</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for Loan</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0"/>
              </w:rPr>
              <w:t>Unpaid</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for Loan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Principal</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w w:val="96"/>
              </w:rPr>
              <w:t>Recorded</w:t>
            </w:r>
          </w:p>
        </w:tc>
        <w:tc>
          <w:tcPr>
            <w:tcW w:w="10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75"/>
              </w:rPr>
              <w:t>Losses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Principal</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Recorded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0"/>
              </w:rPr>
              <w:t>Losses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Principal</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right"/>
              <w:ind w:right="360"/>
              <w:spacing w:after="0" w:line="135" w:lineRule="exact"/>
              <w:rPr>
                <w:sz w:val="20"/>
                <w:szCs w:val="20"/>
                <w:color w:val="auto"/>
              </w:rPr>
            </w:pPr>
            <w:r>
              <w:rPr>
                <w:rFonts w:ascii="Arial" w:cs="Arial" w:eastAsia="Arial" w:hAnsi="Arial"/>
                <w:sz w:val="13"/>
                <w:szCs w:val="13"/>
                <w:b w:val="1"/>
                <w:bCs w:val="1"/>
                <w:color w:val="auto"/>
                <w:w w:val="96"/>
              </w:rPr>
              <w:t>Recorded</w:t>
            </w:r>
          </w:p>
        </w:tc>
        <w:tc>
          <w:tcPr>
            <w:tcW w:w="80" w:type="dxa"/>
            <w:vAlign w:val="bottom"/>
          </w:tcPr>
          <w:p>
            <w:pPr>
              <w:spacing w:after="0"/>
              <w:rPr>
                <w:sz w:val="11"/>
                <w:szCs w:val="11"/>
                <w:color w:val="auto"/>
              </w:rPr>
            </w:pPr>
          </w:p>
        </w:tc>
        <w:tc>
          <w:tcPr>
            <w:tcW w:w="7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75"/>
              </w:rPr>
              <w:t>Losses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Balance</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0"/>
              </w:rPr>
              <w:t>Investment</w:t>
            </w:r>
          </w:p>
        </w:tc>
        <w:tc>
          <w:tcPr>
            <w:tcW w:w="100" w:type="dxa"/>
            <w:vAlign w:val="bottom"/>
          </w:tcPr>
          <w:p>
            <w:pPr>
              <w:spacing w:after="0"/>
              <w:rPr>
                <w:sz w:val="13"/>
                <w:szCs w:val="13"/>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Allocated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4"/>
              </w:rPr>
              <w:t>Balance</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Investment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Allocated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Balance</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0"/>
              </w:rPr>
              <w:t>Investment</w:t>
            </w:r>
          </w:p>
        </w:tc>
        <w:tc>
          <w:tcPr>
            <w:tcW w:w="80" w:type="dxa"/>
            <w:vAlign w:val="bottom"/>
          </w:tcPr>
          <w:p>
            <w:pPr>
              <w:spacing w:after="0"/>
              <w:rPr>
                <w:sz w:val="13"/>
                <w:szCs w:val="13"/>
                <w:color w:val="auto"/>
              </w:rPr>
            </w:pPr>
          </w:p>
        </w:tc>
        <w:tc>
          <w:tcPr>
            <w:tcW w:w="70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5"/>
              </w:rPr>
              <w:t>Allocated</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9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900" w:type="dxa"/>
            <w:vAlign w:val="bottom"/>
            <w:shd w:val="clear" w:color="auto" w:fill="F0FFFF"/>
          </w:tcPr>
          <w:p>
            <w:pPr>
              <w:spacing w:after="0" w:line="135" w:lineRule="exact"/>
              <w:rPr>
                <w:sz w:val="20"/>
                <w:szCs w:val="20"/>
                <w:color w:val="auto"/>
              </w:rPr>
            </w:pPr>
            <w:r>
              <w:rPr>
                <w:rFonts w:ascii="Arial" w:cs="Arial" w:eastAsia="Arial" w:hAnsi="Arial"/>
                <w:sz w:val="13"/>
                <w:szCs w:val="13"/>
                <w:color w:val="auto"/>
              </w:rPr>
              <w:t>With no related allowance recorded:</w:t>
            </w:r>
          </w:p>
        </w:tc>
        <w:tc>
          <w:tcPr>
            <w:tcW w:w="100" w:type="dxa"/>
            <w:vAlign w:val="bottom"/>
            <w:shd w:val="clear" w:color="auto" w:fill="F0FFFF"/>
          </w:tcPr>
          <w:p>
            <w:pPr>
              <w:spacing w:after="0"/>
              <w:rPr>
                <w:sz w:val="11"/>
                <w:szCs w:val="11"/>
                <w:color w:val="auto"/>
              </w:rPr>
            </w:pPr>
          </w:p>
        </w:tc>
        <w:tc>
          <w:tcPr>
            <w:tcW w:w="52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3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52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3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tcPr>
          <w:p>
            <w:pPr>
              <w:ind w:left="120"/>
              <w:spacing w:after="0" w:line="135" w:lineRule="exact"/>
              <w:rPr>
                <w:sz w:val="20"/>
                <w:szCs w:val="20"/>
                <w:color w:val="auto"/>
              </w:rPr>
            </w:pPr>
            <w:r>
              <w:rPr>
                <w:rFonts w:ascii="Arial" w:cs="Arial" w:eastAsia="Arial" w:hAnsi="Arial"/>
                <w:sz w:val="13"/>
                <w:szCs w:val="13"/>
                <w:color w:val="auto"/>
              </w:rPr>
              <w:t>Owner occupied commercial real estate</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14,138</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12,939</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12,025</w:t>
            </w:r>
          </w:p>
        </w:tc>
        <w:tc>
          <w:tcPr>
            <w:tcW w:w="2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11,325</w:t>
            </w:r>
          </w:p>
        </w:tc>
        <w:tc>
          <w:tcPr>
            <w:tcW w:w="1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14,445</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12,985</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shd w:val="clear" w:color="auto" w:fill="F0FFFF"/>
          </w:tcPr>
          <w:p>
            <w:pPr>
              <w:ind w:left="120"/>
              <w:spacing w:after="0" w:line="135" w:lineRule="exact"/>
              <w:rPr>
                <w:sz w:val="20"/>
                <w:szCs w:val="20"/>
                <w:color w:val="auto"/>
              </w:rPr>
            </w:pPr>
            <w:r>
              <w:rPr>
                <w:rFonts w:ascii="Arial" w:cs="Arial" w:eastAsia="Arial" w:hAnsi="Arial"/>
                <w:sz w:val="13"/>
                <w:szCs w:val="13"/>
                <w:color w:val="auto"/>
              </w:rPr>
              <w:t>Income producing commercial real estate</w:t>
            </w:r>
          </w:p>
        </w:tc>
        <w:tc>
          <w:tcPr>
            <w:tcW w:w="100" w:type="dxa"/>
            <w:vAlign w:val="bottom"/>
            <w:shd w:val="clear" w:color="auto" w:fill="F0FFFF"/>
          </w:tcPr>
          <w:p>
            <w:pPr>
              <w:spacing w:after="0"/>
              <w:rPr>
                <w:sz w:val="11"/>
                <w:szCs w:val="11"/>
                <w:color w:val="auto"/>
              </w:rPr>
            </w:pPr>
          </w:p>
        </w:tc>
        <w:tc>
          <w:tcPr>
            <w:tcW w:w="660" w:type="dxa"/>
            <w:vAlign w:val="bottom"/>
            <w:gridSpan w:val="2"/>
            <w:shd w:val="clear" w:color="auto" w:fill="F0FFFF"/>
          </w:tcPr>
          <w:p>
            <w:pPr>
              <w:jc w:val="right"/>
              <w:ind w:right="140"/>
              <w:spacing w:after="0" w:line="135" w:lineRule="exact"/>
              <w:rPr>
                <w:sz w:val="20"/>
                <w:szCs w:val="20"/>
                <w:color w:val="auto"/>
              </w:rPr>
            </w:pPr>
            <w:r>
              <w:rPr>
                <w:rFonts w:ascii="Arial" w:cs="Arial" w:eastAsia="Arial" w:hAnsi="Arial"/>
                <w:sz w:val="13"/>
                <w:szCs w:val="13"/>
                <w:color w:val="auto"/>
              </w:rPr>
              <w:t>9,696</w:t>
            </w:r>
          </w:p>
        </w:tc>
        <w:tc>
          <w:tcPr>
            <w:tcW w:w="16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940" w:type="dxa"/>
            <w:vAlign w:val="bottom"/>
            <w:gridSpan w:val="2"/>
            <w:shd w:val="clear" w:color="auto" w:fill="F0FFFF"/>
          </w:tcPr>
          <w:p>
            <w:pPr>
              <w:jc w:val="right"/>
              <w:ind w:right="300"/>
              <w:spacing w:after="0" w:line="135" w:lineRule="exact"/>
              <w:rPr>
                <w:sz w:val="20"/>
                <w:szCs w:val="20"/>
                <w:color w:val="auto"/>
              </w:rPr>
            </w:pPr>
            <w:r>
              <w:rPr>
                <w:rFonts w:ascii="Arial" w:cs="Arial" w:eastAsia="Arial" w:hAnsi="Arial"/>
                <w:sz w:val="13"/>
                <w:szCs w:val="13"/>
                <w:color w:val="auto"/>
              </w:rPr>
              <w:t>9,553</w:t>
            </w:r>
          </w:p>
        </w:tc>
        <w:tc>
          <w:tcPr>
            <w:tcW w:w="100" w:type="dxa"/>
            <w:vAlign w:val="bottom"/>
            <w:shd w:val="clear" w:color="auto" w:fill="F0FFFF"/>
          </w:tcPr>
          <w:p>
            <w:pPr>
              <w:spacing w:after="0"/>
              <w:rPr>
                <w:sz w:val="11"/>
                <w:szCs w:val="11"/>
                <w:color w:val="auto"/>
              </w:rPr>
            </w:pPr>
          </w:p>
        </w:tc>
        <w:tc>
          <w:tcPr>
            <w:tcW w:w="720" w:type="dxa"/>
            <w:vAlign w:val="bottom"/>
            <w:gridSpan w:val="2"/>
            <w:shd w:val="clear" w:color="auto" w:fill="F0FF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20" w:type="dxa"/>
            <w:vAlign w:val="bottom"/>
            <w:shd w:val="clear" w:color="auto" w:fill="F0FFFF"/>
          </w:tcPr>
          <w:p>
            <w:pPr>
              <w:jc w:val="right"/>
              <w:spacing w:after="0" w:line="135" w:lineRule="exact"/>
              <w:rPr>
                <w:sz w:val="20"/>
                <w:szCs w:val="20"/>
                <w:color w:val="auto"/>
              </w:rPr>
            </w:pPr>
            <w:r>
              <w:rPr>
                <w:rFonts w:ascii="Arial" w:cs="Arial" w:eastAsia="Arial" w:hAnsi="Arial"/>
                <w:sz w:val="13"/>
                <w:szCs w:val="13"/>
                <w:color w:val="auto"/>
              </w:rPr>
              <w:t>8,311</w:t>
            </w:r>
          </w:p>
        </w:tc>
        <w:tc>
          <w:tcPr>
            <w:tcW w:w="12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00" w:type="dxa"/>
            <w:vAlign w:val="bottom"/>
            <w:gridSpan w:val="2"/>
            <w:shd w:val="clear" w:color="auto" w:fill="F0FFFF"/>
          </w:tcPr>
          <w:p>
            <w:pPr>
              <w:jc w:val="right"/>
              <w:ind w:right="260"/>
              <w:spacing w:after="0" w:line="135" w:lineRule="exact"/>
              <w:rPr>
                <w:sz w:val="20"/>
                <w:szCs w:val="20"/>
                <w:color w:val="auto"/>
              </w:rPr>
            </w:pPr>
            <w:r>
              <w:rPr>
                <w:rFonts w:ascii="Arial" w:cs="Arial" w:eastAsia="Arial" w:hAnsi="Arial"/>
                <w:sz w:val="13"/>
                <w:szCs w:val="13"/>
                <w:color w:val="auto"/>
              </w:rPr>
              <w:t>8,311</w:t>
            </w:r>
          </w:p>
        </w:tc>
        <w:tc>
          <w:tcPr>
            <w:tcW w:w="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40" w:type="dxa"/>
            <w:vAlign w:val="bottom"/>
            <w:gridSpan w:val="2"/>
            <w:shd w:val="clear" w:color="auto" w:fill="F0FF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60" w:type="dxa"/>
            <w:vAlign w:val="bottom"/>
            <w:gridSpan w:val="2"/>
            <w:shd w:val="clear" w:color="auto" w:fill="F0FFFF"/>
          </w:tcPr>
          <w:p>
            <w:pPr>
              <w:jc w:val="right"/>
              <w:ind w:right="140"/>
              <w:spacing w:after="0" w:line="135" w:lineRule="exact"/>
              <w:rPr>
                <w:sz w:val="20"/>
                <w:szCs w:val="20"/>
                <w:color w:val="auto"/>
              </w:rPr>
            </w:pPr>
            <w:r>
              <w:rPr>
                <w:rFonts w:ascii="Arial" w:cs="Arial" w:eastAsia="Arial" w:hAnsi="Arial"/>
                <w:sz w:val="13"/>
                <w:szCs w:val="13"/>
                <w:color w:val="auto"/>
              </w:rPr>
              <w:t>12,755</w:t>
            </w:r>
          </w:p>
        </w:tc>
        <w:tc>
          <w:tcPr>
            <w:tcW w:w="16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960" w:type="dxa"/>
            <w:vAlign w:val="bottom"/>
            <w:gridSpan w:val="2"/>
            <w:shd w:val="clear" w:color="auto" w:fill="F0FFFF"/>
          </w:tcPr>
          <w:p>
            <w:pPr>
              <w:jc w:val="right"/>
              <w:ind w:right="320"/>
              <w:spacing w:after="0" w:line="135" w:lineRule="exact"/>
              <w:rPr>
                <w:sz w:val="20"/>
                <w:szCs w:val="20"/>
                <w:color w:val="auto"/>
              </w:rPr>
            </w:pPr>
            <w:r>
              <w:rPr>
                <w:rFonts w:ascii="Arial" w:cs="Arial" w:eastAsia="Arial" w:hAnsi="Arial"/>
                <w:sz w:val="13"/>
                <w:szCs w:val="13"/>
                <w:color w:val="auto"/>
              </w:rPr>
              <w:t>11,808</w:t>
            </w:r>
          </w:p>
        </w:tc>
        <w:tc>
          <w:tcPr>
            <w:tcW w:w="80" w:type="dxa"/>
            <w:vAlign w:val="bottom"/>
            <w:shd w:val="clear" w:color="auto" w:fill="F0FFFF"/>
          </w:tcPr>
          <w:p>
            <w:pPr>
              <w:spacing w:after="0"/>
              <w:rPr>
                <w:sz w:val="11"/>
                <w:szCs w:val="11"/>
                <w:color w:val="auto"/>
              </w:rPr>
            </w:pPr>
          </w:p>
        </w:tc>
        <w:tc>
          <w:tcPr>
            <w:tcW w:w="620" w:type="dxa"/>
            <w:vAlign w:val="bottom"/>
            <w:gridSpan w:val="2"/>
            <w:shd w:val="clear" w:color="auto" w:fill="F0FF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tcPr>
          <w:p>
            <w:pPr>
              <w:ind w:left="120"/>
              <w:spacing w:after="0" w:line="135" w:lineRule="exact"/>
              <w:rPr>
                <w:sz w:val="20"/>
                <w:szCs w:val="20"/>
                <w:color w:val="auto"/>
              </w:rPr>
            </w:pPr>
            <w:r>
              <w:rPr>
                <w:rFonts w:ascii="Arial" w:cs="Arial" w:eastAsia="Arial" w:hAnsi="Arial"/>
                <w:sz w:val="13"/>
                <w:szCs w:val="13"/>
                <w:color w:val="auto"/>
              </w:rPr>
              <w:t>Commercial &amp; industrial</w:t>
            </w:r>
          </w:p>
        </w:tc>
        <w:tc>
          <w:tcPr>
            <w:tcW w:w="10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2,785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1,977</w:t>
            </w:r>
          </w:p>
        </w:tc>
        <w:tc>
          <w:tcPr>
            <w:tcW w:w="1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1,679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1,042</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1,736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1,710</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00" w:type="dxa"/>
            <w:vAlign w:val="bottom"/>
            <w:shd w:val="clear" w:color="auto" w:fill="F0FFFF"/>
          </w:tcPr>
          <w:p>
            <w:pPr>
              <w:ind w:left="120"/>
              <w:spacing w:after="0"/>
              <w:rPr>
                <w:sz w:val="20"/>
                <w:szCs w:val="20"/>
                <w:color w:val="auto"/>
              </w:rPr>
            </w:pPr>
            <w:r>
              <w:rPr>
                <w:rFonts w:ascii="Arial" w:cs="Arial" w:eastAsia="Arial" w:hAnsi="Arial"/>
                <w:sz w:val="13"/>
                <w:szCs w:val="13"/>
                <w:color w:val="auto"/>
              </w:rPr>
              <w:t>Commercial construction</w:t>
            </w:r>
          </w:p>
        </w:tc>
        <w:tc>
          <w:tcPr>
            <w:tcW w:w="100" w:type="dxa"/>
            <w:vAlign w:val="bottom"/>
            <w:shd w:val="clear" w:color="auto" w:fill="F0FFFF"/>
          </w:tcPr>
          <w:p>
            <w:pPr>
              <w:spacing w:after="0"/>
              <w:rPr>
                <w:sz w:val="14"/>
                <w:szCs w:val="14"/>
                <w:color w:val="auto"/>
              </w:rPr>
            </w:pPr>
          </w:p>
        </w:tc>
        <w:tc>
          <w:tcPr>
            <w:tcW w:w="660" w:type="dxa"/>
            <w:vAlign w:val="bottom"/>
            <w:gridSpan w:val="2"/>
            <w:shd w:val="clear" w:color="auto" w:fill="F0FF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940" w:type="dxa"/>
            <w:vAlign w:val="bottom"/>
            <w:gridSpan w:val="2"/>
            <w:shd w:val="clear" w:color="auto" w:fill="F0FF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F0FFFF"/>
          </w:tcPr>
          <w:p>
            <w:pPr>
              <w:spacing w:after="0"/>
              <w:rPr>
                <w:sz w:val="14"/>
                <w:szCs w:val="14"/>
                <w:color w:val="auto"/>
              </w:rPr>
            </w:pPr>
          </w:p>
        </w:tc>
        <w:tc>
          <w:tcPr>
            <w:tcW w:w="720" w:type="dxa"/>
            <w:vAlign w:val="bottom"/>
            <w:gridSpan w:val="2"/>
            <w:shd w:val="clear" w:color="auto" w:fill="F0FF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640" w:type="dxa"/>
            <w:vAlign w:val="bottom"/>
            <w:gridSpan w:val="2"/>
            <w:shd w:val="clear" w:color="auto" w:fill="F0FFFF"/>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900" w:type="dxa"/>
            <w:vAlign w:val="bottom"/>
            <w:gridSpan w:val="2"/>
            <w:shd w:val="clear" w:color="auto" w:fill="F0FFFF"/>
          </w:tcPr>
          <w:p>
            <w:pPr>
              <w:jc w:val="right"/>
              <w:ind w:right="260"/>
              <w:spacing w:after="0"/>
              <w:rPr>
                <w:sz w:val="20"/>
                <w:szCs w:val="20"/>
                <w:color w:val="auto"/>
              </w:rPr>
            </w:pPr>
            <w:r>
              <w:rPr>
                <w:rFonts w:ascii="Arial" w:cs="Arial" w:eastAsia="Arial" w:hAnsi="Arial"/>
                <w:sz w:val="13"/>
                <w:szCs w:val="13"/>
                <w:color w:val="auto"/>
              </w:rPr>
              <w:t>-</w:t>
            </w:r>
          </w:p>
        </w:tc>
        <w:tc>
          <w:tcPr>
            <w:tcW w:w="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740" w:type="dxa"/>
            <w:vAlign w:val="bottom"/>
            <w:gridSpan w:val="2"/>
            <w:shd w:val="clear" w:color="auto" w:fill="F0FF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60" w:type="dxa"/>
            <w:vAlign w:val="bottom"/>
            <w:gridSpan w:val="2"/>
            <w:shd w:val="clear" w:color="auto" w:fill="F0FFFF"/>
          </w:tcPr>
          <w:p>
            <w:pPr>
              <w:jc w:val="right"/>
              <w:ind w:right="140"/>
              <w:spacing w:after="0"/>
              <w:rPr>
                <w:sz w:val="20"/>
                <w:szCs w:val="20"/>
                <w:color w:val="auto"/>
              </w:rPr>
            </w:pPr>
            <w:r>
              <w:rPr>
                <w:rFonts w:ascii="Arial" w:cs="Arial" w:eastAsia="Arial" w:hAnsi="Arial"/>
                <w:sz w:val="13"/>
                <w:szCs w:val="13"/>
                <w:color w:val="auto"/>
              </w:rPr>
              <w:t>195</w:t>
            </w:r>
          </w:p>
        </w:tc>
        <w:tc>
          <w:tcPr>
            <w:tcW w:w="16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960" w:type="dxa"/>
            <w:vAlign w:val="bottom"/>
            <w:gridSpan w:val="2"/>
            <w:shd w:val="clear" w:color="auto" w:fill="F0FFFF"/>
          </w:tcPr>
          <w:p>
            <w:pPr>
              <w:jc w:val="right"/>
              <w:ind w:right="320"/>
              <w:spacing w:after="0"/>
              <w:rPr>
                <w:sz w:val="20"/>
                <w:szCs w:val="20"/>
                <w:color w:val="auto"/>
              </w:rPr>
            </w:pPr>
            <w:r>
              <w:rPr>
                <w:rFonts w:ascii="Arial" w:cs="Arial" w:eastAsia="Arial" w:hAnsi="Arial"/>
                <w:sz w:val="13"/>
                <w:szCs w:val="13"/>
                <w:color w:val="auto"/>
              </w:rPr>
              <w:t>195</w:t>
            </w:r>
          </w:p>
        </w:tc>
        <w:tc>
          <w:tcPr>
            <w:tcW w:w="80" w:type="dxa"/>
            <w:vAlign w:val="bottom"/>
            <w:shd w:val="clear" w:color="auto" w:fill="F0FFFF"/>
          </w:tcPr>
          <w:p>
            <w:pPr>
              <w:spacing w:after="0"/>
              <w:rPr>
                <w:sz w:val="14"/>
                <w:szCs w:val="14"/>
                <w:color w:val="auto"/>
              </w:rPr>
            </w:pPr>
          </w:p>
        </w:tc>
        <w:tc>
          <w:tcPr>
            <w:tcW w:w="620" w:type="dxa"/>
            <w:vAlign w:val="bottom"/>
            <w:gridSpan w:val="2"/>
            <w:shd w:val="clear" w:color="auto" w:fill="F0FF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00" w:type="dxa"/>
            <w:vAlign w:val="bottom"/>
            <w:tcBorders>
              <w:top w:val="single" w:sz="8" w:color="F0FFFF"/>
            </w:tcBorders>
          </w:tcPr>
          <w:p>
            <w:pPr>
              <w:ind w:left="200"/>
              <w:spacing w:after="0" w:line="122" w:lineRule="exact"/>
              <w:rPr>
                <w:sz w:val="20"/>
                <w:szCs w:val="20"/>
                <w:color w:val="auto"/>
              </w:rPr>
            </w:pPr>
            <w:r>
              <w:rPr>
                <w:rFonts w:ascii="Arial" w:cs="Arial" w:eastAsia="Arial" w:hAnsi="Arial"/>
                <w:sz w:val="13"/>
                <w:szCs w:val="13"/>
                <w:color w:val="auto"/>
              </w:rPr>
              <w:t>Total commercial</w:t>
            </w: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3"/>
                <w:szCs w:val="13"/>
                <w:color w:val="auto"/>
              </w:rPr>
              <w:t>26,619</w:t>
            </w:r>
          </w:p>
        </w:tc>
        <w:tc>
          <w:tcPr>
            <w:tcW w:w="140" w:type="dxa"/>
            <w:vAlign w:val="bottom"/>
            <w:tcBorders>
              <w:top w:val="single" w:sz="8" w:color="F0FFFF"/>
            </w:tcBorders>
          </w:tcPr>
          <w:p>
            <w:pPr>
              <w:spacing w:after="0"/>
              <w:rPr>
                <w:sz w:val="10"/>
                <w:szCs w:val="10"/>
                <w:color w:val="auto"/>
              </w:rPr>
            </w:pPr>
          </w:p>
        </w:tc>
        <w:tc>
          <w:tcPr>
            <w:tcW w:w="160" w:type="dxa"/>
            <w:vAlign w:val="bottom"/>
            <w:tcBorders>
              <w:top w:val="single" w:sz="8" w:color="F0FF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3"/>
                <w:szCs w:val="13"/>
                <w:color w:val="auto"/>
              </w:rPr>
              <w:t>24,469</w:t>
            </w:r>
          </w:p>
        </w:tc>
        <w:tc>
          <w:tcPr>
            <w:tcW w:w="300" w:type="dxa"/>
            <w:vAlign w:val="bottom"/>
            <w:tcBorders>
              <w:top w:val="single" w:sz="8" w:color="F0FF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F0FFFF"/>
            </w:tcBorders>
          </w:tcPr>
          <w:p>
            <w:pPr>
              <w:spacing w:after="0"/>
              <w:rPr>
                <w:sz w:val="10"/>
                <w:szCs w:val="10"/>
                <w:color w:val="auto"/>
              </w:rPr>
            </w:pPr>
          </w:p>
        </w:tc>
        <w:tc>
          <w:tcPr>
            <w:tcW w:w="160" w:type="dxa"/>
            <w:vAlign w:val="bottom"/>
            <w:tcBorders>
              <w:top w:val="single" w:sz="8" w:color="F0FF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3"/>
                <w:szCs w:val="13"/>
                <w:color w:val="auto"/>
              </w:rPr>
              <w:t>22,015</w:t>
            </w:r>
          </w:p>
        </w:tc>
        <w:tc>
          <w:tcPr>
            <w:tcW w:w="120" w:type="dxa"/>
            <w:vAlign w:val="bottom"/>
            <w:tcBorders>
              <w:top w:val="single" w:sz="8" w:color="F0FFFF"/>
            </w:tcBorders>
          </w:tcPr>
          <w:p>
            <w:pPr>
              <w:spacing w:after="0"/>
              <w:rPr>
                <w:sz w:val="10"/>
                <w:szCs w:val="10"/>
                <w:color w:val="auto"/>
              </w:rPr>
            </w:pPr>
          </w:p>
        </w:tc>
        <w:tc>
          <w:tcPr>
            <w:tcW w:w="180" w:type="dxa"/>
            <w:vAlign w:val="bottom"/>
            <w:tcBorders>
              <w:top w:val="single" w:sz="8" w:color="F0FF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3"/>
                <w:szCs w:val="13"/>
                <w:color w:val="auto"/>
              </w:rPr>
              <w:t>20,678</w:t>
            </w:r>
          </w:p>
        </w:tc>
        <w:tc>
          <w:tcPr>
            <w:tcW w:w="260" w:type="dxa"/>
            <w:vAlign w:val="bottom"/>
            <w:tcBorders>
              <w:top w:val="single" w:sz="8" w:color="F0FFFF"/>
            </w:tcBorders>
          </w:tcPr>
          <w:p>
            <w:pPr>
              <w:spacing w:after="0"/>
              <w:rPr>
                <w:sz w:val="10"/>
                <w:szCs w:val="10"/>
                <w:color w:val="auto"/>
              </w:rPr>
            </w:pPr>
          </w:p>
        </w:tc>
        <w:tc>
          <w:tcPr>
            <w:tcW w:w="40" w:type="dxa"/>
            <w:vAlign w:val="bottom"/>
            <w:tcBorders>
              <w:top w:val="single" w:sz="8" w:color="F0FF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F0FFFF"/>
            </w:tcBorders>
          </w:tcPr>
          <w:p>
            <w:pPr>
              <w:spacing w:after="0"/>
              <w:rPr>
                <w:sz w:val="10"/>
                <w:szCs w:val="10"/>
                <w:color w:val="auto"/>
              </w:rPr>
            </w:pPr>
          </w:p>
        </w:tc>
        <w:tc>
          <w:tcPr>
            <w:tcW w:w="140" w:type="dxa"/>
            <w:vAlign w:val="bottom"/>
            <w:tcBorders>
              <w:top w:val="single" w:sz="8" w:color="F0FF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3"/>
                <w:szCs w:val="13"/>
                <w:color w:val="auto"/>
              </w:rPr>
              <w:t>29,131</w:t>
            </w:r>
          </w:p>
        </w:tc>
        <w:tc>
          <w:tcPr>
            <w:tcW w:w="140" w:type="dxa"/>
            <w:vAlign w:val="bottom"/>
            <w:tcBorders>
              <w:top w:val="single" w:sz="8" w:color="F0FFFF"/>
            </w:tcBorders>
          </w:tcPr>
          <w:p>
            <w:pPr>
              <w:spacing w:after="0"/>
              <w:rPr>
                <w:sz w:val="10"/>
                <w:szCs w:val="10"/>
                <w:color w:val="auto"/>
              </w:rPr>
            </w:pPr>
          </w:p>
        </w:tc>
        <w:tc>
          <w:tcPr>
            <w:tcW w:w="160" w:type="dxa"/>
            <w:vAlign w:val="bottom"/>
            <w:tcBorders>
              <w:top w:val="single" w:sz="8" w:color="F0FF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3"/>
                <w:szCs w:val="13"/>
                <w:color w:val="auto"/>
              </w:rPr>
              <w:t>26,698</w:t>
            </w:r>
          </w:p>
        </w:tc>
        <w:tc>
          <w:tcPr>
            <w:tcW w:w="320" w:type="dxa"/>
            <w:vAlign w:val="bottom"/>
            <w:tcBorders>
              <w:top w:val="single" w:sz="8" w:color="F0FF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F0FFFF"/>
            </w:tcBorders>
          </w:tcPr>
          <w:p>
            <w:pPr>
              <w:spacing w:after="0"/>
              <w:rPr>
                <w:sz w:val="10"/>
                <w:szCs w:val="10"/>
                <w:color w:val="auto"/>
              </w:rPr>
            </w:pPr>
          </w:p>
        </w:tc>
        <w:tc>
          <w:tcPr>
            <w:tcW w:w="80" w:type="dxa"/>
            <w:vAlign w:val="bottom"/>
            <w:tcBorders>
              <w:top w:val="single" w:sz="8" w:color="F0FFFF"/>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shd w:val="clear" w:color="auto" w:fill="F0FFFF"/>
          </w:tcPr>
          <w:p>
            <w:pPr>
              <w:ind w:left="120"/>
              <w:spacing w:after="0" w:line="135" w:lineRule="exact"/>
              <w:rPr>
                <w:sz w:val="20"/>
                <w:szCs w:val="20"/>
                <w:color w:val="auto"/>
              </w:rPr>
            </w:pPr>
            <w:r>
              <w:rPr>
                <w:rFonts w:ascii="Arial" w:cs="Arial" w:eastAsia="Arial" w:hAnsi="Arial"/>
                <w:sz w:val="13"/>
                <w:szCs w:val="13"/>
                <w:color w:val="auto"/>
              </w:rPr>
              <w:t>Residential mortgage</w:t>
            </w:r>
          </w:p>
        </w:tc>
        <w:tc>
          <w:tcPr>
            <w:tcW w:w="100" w:type="dxa"/>
            <w:vAlign w:val="bottom"/>
            <w:shd w:val="clear" w:color="auto" w:fill="F0FFFF"/>
          </w:tcPr>
          <w:p>
            <w:pPr>
              <w:spacing w:after="0"/>
              <w:rPr>
                <w:sz w:val="11"/>
                <w:szCs w:val="11"/>
                <w:color w:val="auto"/>
              </w:rPr>
            </w:pPr>
          </w:p>
        </w:tc>
        <w:tc>
          <w:tcPr>
            <w:tcW w:w="660" w:type="dxa"/>
            <w:vAlign w:val="bottom"/>
            <w:gridSpan w:val="2"/>
            <w:shd w:val="clear" w:color="auto" w:fill="F0FFFF"/>
          </w:tcPr>
          <w:p>
            <w:pPr>
              <w:jc w:val="right"/>
              <w:ind w:right="140"/>
              <w:spacing w:after="0" w:line="135" w:lineRule="exact"/>
              <w:rPr>
                <w:sz w:val="20"/>
                <w:szCs w:val="20"/>
                <w:color w:val="auto"/>
              </w:rPr>
            </w:pPr>
            <w:r>
              <w:rPr>
                <w:rFonts w:ascii="Arial" w:cs="Arial" w:eastAsia="Arial" w:hAnsi="Arial"/>
                <w:sz w:val="13"/>
                <w:szCs w:val="13"/>
                <w:color w:val="auto"/>
              </w:rPr>
              <w:t>2,395</w:t>
            </w:r>
          </w:p>
        </w:tc>
        <w:tc>
          <w:tcPr>
            <w:tcW w:w="16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940" w:type="dxa"/>
            <w:vAlign w:val="bottom"/>
            <w:gridSpan w:val="2"/>
            <w:shd w:val="clear" w:color="auto" w:fill="F0FFFF"/>
          </w:tcPr>
          <w:p>
            <w:pPr>
              <w:jc w:val="right"/>
              <w:ind w:right="300"/>
              <w:spacing w:after="0" w:line="135" w:lineRule="exact"/>
              <w:rPr>
                <w:sz w:val="20"/>
                <w:szCs w:val="20"/>
                <w:color w:val="auto"/>
              </w:rPr>
            </w:pPr>
            <w:r>
              <w:rPr>
                <w:rFonts w:ascii="Arial" w:cs="Arial" w:eastAsia="Arial" w:hAnsi="Arial"/>
                <w:sz w:val="13"/>
                <w:szCs w:val="13"/>
                <w:color w:val="auto"/>
              </w:rPr>
              <w:t>1,930</w:t>
            </w:r>
          </w:p>
        </w:tc>
        <w:tc>
          <w:tcPr>
            <w:tcW w:w="100" w:type="dxa"/>
            <w:vAlign w:val="bottom"/>
            <w:shd w:val="clear" w:color="auto" w:fill="F0FFFF"/>
          </w:tcPr>
          <w:p>
            <w:pPr>
              <w:spacing w:after="0"/>
              <w:rPr>
                <w:sz w:val="11"/>
                <w:szCs w:val="11"/>
                <w:color w:val="auto"/>
              </w:rPr>
            </w:pPr>
          </w:p>
        </w:tc>
        <w:tc>
          <w:tcPr>
            <w:tcW w:w="720" w:type="dxa"/>
            <w:vAlign w:val="bottom"/>
            <w:gridSpan w:val="2"/>
            <w:shd w:val="clear" w:color="auto" w:fill="F0FF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20" w:type="dxa"/>
            <w:vAlign w:val="bottom"/>
            <w:shd w:val="clear" w:color="auto" w:fill="F0FFFF"/>
          </w:tcPr>
          <w:p>
            <w:pPr>
              <w:jc w:val="right"/>
              <w:spacing w:after="0" w:line="135" w:lineRule="exact"/>
              <w:rPr>
                <w:sz w:val="20"/>
                <w:szCs w:val="20"/>
                <w:color w:val="auto"/>
              </w:rPr>
            </w:pPr>
            <w:r>
              <w:rPr>
                <w:rFonts w:ascii="Arial" w:cs="Arial" w:eastAsia="Arial" w:hAnsi="Arial"/>
                <w:sz w:val="13"/>
                <w:szCs w:val="13"/>
                <w:color w:val="auto"/>
              </w:rPr>
              <w:t>2,569</w:t>
            </w:r>
          </w:p>
        </w:tc>
        <w:tc>
          <w:tcPr>
            <w:tcW w:w="12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00" w:type="dxa"/>
            <w:vAlign w:val="bottom"/>
            <w:gridSpan w:val="2"/>
            <w:shd w:val="clear" w:color="auto" w:fill="F0FFFF"/>
          </w:tcPr>
          <w:p>
            <w:pPr>
              <w:jc w:val="right"/>
              <w:ind w:right="260"/>
              <w:spacing w:after="0" w:line="135" w:lineRule="exact"/>
              <w:rPr>
                <w:sz w:val="20"/>
                <w:szCs w:val="20"/>
                <w:color w:val="auto"/>
              </w:rPr>
            </w:pPr>
            <w:r>
              <w:rPr>
                <w:rFonts w:ascii="Arial" w:cs="Arial" w:eastAsia="Arial" w:hAnsi="Arial"/>
                <w:sz w:val="13"/>
                <w:szCs w:val="13"/>
                <w:color w:val="auto"/>
              </w:rPr>
              <w:t>1,472</w:t>
            </w:r>
          </w:p>
        </w:tc>
        <w:tc>
          <w:tcPr>
            <w:tcW w:w="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40" w:type="dxa"/>
            <w:vAlign w:val="bottom"/>
            <w:gridSpan w:val="2"/>
            <w:shd w:val="clear" w:color="auto" w:fill="F0FF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60" w:type="dxa"/>
            <w:vAlign w:val="bottom"/>
            <w:gridSpan w:val="2"/>
            <w:shd w:val="clear" w:color="auto" w:fill="F0FFFF"/>
          </w:tcPr>
          <w:p>
            <w:pPr>
              <w:jc w:val="right"/>
              <w:ind w:right="140"/>
              <w:spacing w:after="0" w:line="135" w:lineRule="exact"/>
              <w:rPr>
                <w:sz w:val="20"/>
                <w:szCs w:val="20"/>
                <w:color w:val="auto"/>
              </w:rPr>
            </w:pPr>
            <w:r>
              <w:rPr>
                <w:rFonts w:ascii="Arial" w:cs="Arial" w:eastAsia="Arial" w:hAnsi="Arial"/>
                <w:sz w:val="13"/>
                <w:szCs w:val="13"/>
                <w:color w:val="auto"/>
              </w:rPr>
              <w:t>3,357</w:t>
            </w:r>
          </w:p>
        </w:tc>
        <w:tc>
          <w:tcPr>
            <w:tcW w:w="16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640" w:type="dxa"/>
            <w:vAlign w:val="bottom"/>
            <w:shd w:val="clear" w:color="auto" w:fill="F0FFFF"/>
          </w:tcPr>
          <w:p>
            <w:pPr>
              <w:jc w:val="right"/>
              <w:spacing w:after="0" w:line="135" w:lineRule="exact"/>
              <w:rPr>
                <w:sz w:val="20"/>
                <w:szCs w:val="20"/>
                <w:color w:val="auto"/>
              </w:rPr>
            </w:pPr>
            <w:r>
              <w:rPr>
                <w:rFonts w:ascii="Arial" w:cs="Arial" w:eastAsia="Arial" w:hAnsi="Arial"/>
                <w:sz w:val="13"/>
                <w:szCs w:val="13"/>
                <w:color w:val="auto"/>
              </w:rPr>
              <w:t>2,849</w:t>
            </w:r>
          </w:p>
        </w:tc>
        <w:tc>
          <w:tcPr>
            <w:tcW w:w="3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20" w:type="dxa"/>
            <w:vAlign w:val="bottom"/>
            <w:gridSpan w:val="2"/>
            <w:shd w:val="clear" w:color="auto" w:fill="F0FF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tcPr>
          <w:p>
            <w:pPr>
              <w:ind w:left="120"/>
              <w:spacing w:after="0" w:line="135" w:lineRule="exact"/>
              <w:rPr>
                <w:sz w:val="20"/>
                <w:szCs w:val="20"/>
                <w:color w:val="auto"/>
              </w:rPr>
            </w:pPr>
            <w:r>
              <w:rPr>
                <w:rFonts w:ascii="Arial" w:cs="Arial" w:eastAsia="Arial" w:hAnsi="Arial"/>
                <w:sz w:val="13"/>
                <w:szCs w:val="13"/>
                <w:color w:val="auto"/>
              </w:rPr>
              <w:t>Home equity lines of credit</w:t>
            </w:r>
          </w:p>
        </w:tc>
        <w:tc>
          <w:tcPr>
            <w:tcW w:w="10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shd w:val="clear" w:color="auto" w:fill="F0FFFF"/>
          </w:tcPr>
          <w:p>
            <w:pPr>
              <w:ind w:left="120"/>
              <w:spacing w:after="0" w:line="135" w:lineRule="exact"/>
              <w:rPr>
                <w:sz w:val="20"/>
                <w:szCs w:val="20"/>
                <w:color w:val="auto"/>
              </w:rPr>
            </w:pPr>
            <w:r>
              <w:rPr>
                <w:rFonts w:ascii="Arial" w:cs="Arial" w:eastAsia="Arial" w:hAnsi="Arial"/>
                <w:sz w:val="13"/>
                <w:szCs w:val="13"/>
                <w:color w:val="auto"/>
              </w:rPr>
              <w:t>Residential construction</w:t>
            </w:r>
          </w:p>
        </w:tc>
        <w:tc>
          <w:tcPr>
            <w:tcW w:w="100" w:type="dxa"/>
            <w:vAlign w:val="bottom"/>
            <w:shd w:val="clear" w:color="auto" w:fill="F0FFFF"/>
          </w:tcPr>
          <w:p>
            <w:pPr>
              <w:spacing w:after="0"/>
              <w:rPr>
                <w:sz w:val="11"/>
                <w:szCs w:val="11"/>
                <w:color w:val="auto"/>
              </w:rPr>
            </w:pPr>
          </w:p>
        </w:tc>
        <w:tc>
          <w:tcPr>
            <w:tcW w:w="660" w:type="dxa"/>
            <w:vAlign w:val="bottom"/>
            <w:gridSpan w:val="2"/>
            <w:shd w:val="clear" w:color="auto" w:fill="F0FFFF"/>
          </w:tcPr>
          <w:p>
            <w:pPr>
              <w:jc w:val="right"/>
              <w:ind w:right="140"/>
              <w:spacing w:after="0" w:line="135" w:lineRule="exact"/>
              <w:rPr>
                <w:sz w:val="20"/>
                <w:szCs w:val="20"/>
                <w:color w:val="auto"/>
              </w:rPr>
            </w:pPr>
            <w:r>
              <w:rPr>
                <w:rFonts w:ascii="Arial" w:cs="Arial" w:eastAsia="Arial" w:hAnsi="Arial"/>
                <w:sz w:val="13"/>
                <w:szCs w:val="13"/>
                <w:color w:val="auto"/>
              </w:rPr>
              <w:t>2,347</w:t>
            </w:r>
          </w:p>
        </w:tc>
        <w:tc>
          <w:tcPr>
            <w:tcW w:w="16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940" w:type="dxa"/>
            <w:vAlign w:val="bottom"/>
            <w:gridSpan w:val="2"/>
            <w:shd w:val="clear" w:color="auto" w:fill="F0FFFF"/>
          </w:tcPr>
          <w:p>
            <w:pPr>
              <w:jc w:val="right"/>
              <w:ind w:right="300"/>
              <w:spacing w:after="0" w:line="135" w:lineRule="exact"/>
              <w:rPr>
                <w:sz w:val="20"/>
                <w:szCs w:val="20"/>
                <w:color w:val="auto"/>
              </w:rPr>
            </w:pPr>
            <w:r>
              <w:rPr>
                <w:rFonts w:ascii="Arial" w:cs="Arial" w:eastAsia="Arial" w:hAnsi="Arial"/>
                <w:sz w:val="13"/>
                <w:szCs w:val="13"/>
                <w:color w:val="auto"/>
              </w:rPr>
              <w:t>2,347</w:t>
            </w:r>
          </w:p>
        </w:tc>
        <w:tc>
          <w:tcPr>
            <w:tcW w:w="100" w:type="dxa"/>
            <w:vAlign w:val="bottom"/>
            <w:shd w:val="clear" w:color="auto" w:fill="F0FFFF"/>
          </w:tcPr>
          <w:p>
            <w:pPr>
              <w:spacing w:after="0"/>
              <w:rPr>
                <w:sz w:val="11"/>
                <w:szCs w:val="11"/>
                <w:color w:val="auto"/>
              </w:rPr>
            </w:pPr>
          </w:p>
        </w:tc>
        <w:tc>
          <w:tcPr>
            <w:tcW w:w="720" w:type="dxa"/>
            <w:vAlign w:val="bottom"/>
            <w:gridSpan w:val="2"/>
            <w:shd w:val="clear" w:color="auto" w:fill="F0FF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20" w:type="dxa"/>
            <w:vAlign w:val="bottom"/>
            <w:shd w:val="clear" w:color="auto" w:fill="F0FFFF"/>
          </w:tcPr>
          <w:p>
            <w:pPr>
              <w:jc w:val="right"/>
              <w:spacing w:after="0" w:line="135" w:lineRule="exact"/>
              <w:rPr>
                <w:sz w:val="20"/>
                <w:szCs w:val="20"/>
                <w:color w:val="auto"/>
              </w:rPr>
            </w:pPr>
            <w:r>
              <w:rPr>
                <w:rFonts w:ascii="Arial" w:cs="Arial" w:eastAsia="Arial" w:hAnsi="Arial"/>
                <w:sz w:val="13"/>
                <w:szCs w:val="13"/>
                <w:color w:val="auto"/>
              </w:rPr>
              <w:t>4,338</w:t>
            </w:r>
          </w:p>
        </w:tc>
        <w:tc>
          <w:tcPr>
            <w:tcW w:w="12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00" w:type="dxa"/>
            <w:vAlign w:val="bottom"/>
            <w:gridSpan w:val="2"/>
            <w:shd w:val="clear" w:color="auto" w:fill="F0FFFF"/>
          </w:tcPr>
          <w:p>
            <w:pPr>
              <w:jc w:val="right"/>
              <w:ind w:right="260"/>
              <w:spacing w:after="0" w:line="135" w:lineRule="exact"/>
              <w:rPr>
                <w:sz w:val="20"/>
                <w:szCs w:val="20"/>
                <w:color w:val="auto"/>
              </w:rPr>
            </w:pPr>
            <w:r>
              <w:rPr>
                <w:rFonts w:ascii="Arial" w:cs="Arial" w:eastAsia="Arial" w:hAnsi="Arial"/>
                <w:sz w:val="13"/>
                <w:szCs w:val="13"/>
                <w:color w:val="auto"/>
              </w:rPr>
              <w:t>3,338</w:t>
            </w:r>
          </w:p>
        </w:tc>
        <w:tc>
          <w:tcPr>
            <w:tcW w:w="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40" w:type="dxa"/>
            <w:vAlign w:val="bottom"/>
            <w:gridSpan w:val="2"/>
            <w:shd w:val="clear" w:color="auto" w:fill="F0FF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60" w:type="dxa"/>
            <w:vAlign w:val="bottom"/>
            <w:gridSpan w:val="2"/>
            <w:shd w:val="clear" w:color="auto" w:fill="F0FFFF"/>
          </w:tcPr>
          <w:p>
            <w:pPr>
              <w:jc w:val="right"/>
              <w:ind w:right="140"/>
              <w:spacing w:after="0" w:line="135" w:lineRule="exact"/>
              <w:rPr>
                <w:sz w:val="20"/>
                <w:szCs w:val="20"/>
                <w:color w:val="auto"/>
              </w:rPr>
            </w:pPr>
            <w:r>
              <w:rPr>
                <w:rFonts w:ascii="Arial" w:cs="Arial" w:eastAsia="Arial" w:hAnsi="Arial"/>
                <w:sz w:val="13"/>
                <w:szCs w:val="13"/>
                <w:color w:val="auto"/>
              </w:rPr>
              <w:t>6,168</w:t>
            </w:r>
          </w:p>
        </w:tc>
        <w:tc>
          <w:tcPr>
            <w:tcW w:w="16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640" w:type="dxa"/>
            <w:vAlign w:val="bottom"/>
            <w:shd w:val="clear" w:color="auto" w:fill="F0FFFF"/>
          </w:tcPr>
          <w:p>
            <w:pPr>
              <w:jc w:val="right"/>
              <w:spacing w:after="0" w:line="135" w:lineRule="exact"/>
              <w:rPr>
                <w:sz w:val="20"/>
                <w:szCs w:val="20"/>
                <w:color w:val="auto"/>
              </w:rPr>
            </w:pPr>
            <w:r>
              <w:rPr>
                <w:rFonts w:ascii="Arial" w:cs="Arial" w:eastAsia="Arial" w:hAnsi="Arial"/>
                <w:sz w:val="13"/>
                <w:szCs w:val="13"/>
                <w:color w:val="auto"/>
              </w:rPr>
              <w:t>5,491</w:t>
            </w:r>
          </w:p>
        </w:tc>
        <w:tc>
          <w:tcPr>
            <w:tcW w:w="3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20" w:type="dxa"/>
            <w:vAlign w:val="bottom"/>
            <w:gridSpan w:val="2"/>
            <w:shd w:val="clear" w:color="auto" w:fill="F0FF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tcPr>
          <w:p>
            <w:pPr>
              <w:ind w:left="120"/>
              <w:spacing w:after="0" w:line="135" w:lineRule="exact"/>
              <w:rPr>
                <w:sz w:val="20"/>
                <w:szCs w:val="20"/>
                <w:color w:val="auto"/>
              </w:rPr>
            </w:pPr>
            <w:r>
              <w:rPr>
                <w:rFonts w:ascii="Arial" w:cs="Arial" w:eastAsia="Arial" w:hAnsi="Arial"/>
                <w:sz w:val="13"/>
                <w:szCs w:val="13"/>
                <w:color w:val="auto"/>
              </w:rPr>
              <w:t>Consumer installment</w:t>
            </w:r>
          </w:p>
        </w:tc>
        <w:tc>
          <w:tcPr>
            <w:tcW w:w="10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00" w:type="dxa"/>
            <w:vAlign w:val="bottom"/>
            <w:shd w:val="clear" w:color="auto" w:fill="F0FFFF"/>
          </w:tcPr>
          <w:p>
            <w:pPr>
              <w:ind w:left="120"/>
              <w:spacing w:after="0"/>
              <w:rPr>
                <w:sz w:val="20"/>
                <w:szCs w:val="20"/>
                <w:color w:val="auto"/>
              </w:rPr>
            </w:pPr>
            <w:r>
              <w:rPr>
                <w:rFonts w:ascii="Arial" w:cs="Arial" w:eastAsia="Arial" w:hAnsi="Arial"/>
                <w:sz w:val="13"/>
                <w:szCs w:val="13"/>
                <w:color w:val="auto"/>
              </w:rPr>
              <w:t>Indirect auto</w:t>
            </w:r>
          </w:p>
        </w:tc>
        <w:tc>
          <w:tcPr>
            <w:tcW w:w="100" w:type="dxa"/>
            <w:vAlign w:val="bottom"/>
            <w:shd w:val="clear" w:color="auto" w:fill="F0FFFF"/>
          </w:tcPr>
          <w:p>
            <w:pPr>
              <w:spacing w:after="0"/>
              <w:rPr>
                <w:sz w:val="14"/>
                <w:szCs w:val="14"/>
                <w:color w:val="auto"/>
              </w:rPr>
            </w:pPr>
          </w:p>
        </w:tc>
        <w:tc>
          <w:tcPr>
            <w:tcW w:w="660" w:type="dxa"/>
            <w:vAlign w:val="bottom"/>
            <w:gridSpan w:val="2"/>
            <w:shd w:val="clear" w:color="auto" w:fill="F0FF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940" w:type="dxa"/>
            <w:vAlign w:val="bottom"/>
            <w:gridSpan w:val="2"/>
            <w:shd w:val="clear" w:color="auto" w:fill="F0FFFF"/>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F0FFFF"/>
          </w:tcPr>
          <w:p>
            <w:pPr>
              <w:spacing w:after="0"/>
              <w:rPr>
                <w:sz w:val="14"/>
                <w:szCs w:val="14"/>
                <w:color w:val="auto"/>
              </w:rPr>
            </w:pPr>
          </w:p>
        </w:tc>
        <w:tc>
          <w:tcPr>
            <w:tcW w:w="720" w:type="dxa"/>
            <w:vAlign w:val="bottom"/>
            <w:gridSpan w:val="2"/>
            <w:shd w:val="clear" w:color="auto" w:fill="F0FF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640" w:type="dxa"/>
            <w:vAlign w:val="bottom"/>
            <w:gridSpan w:val="2"/>
            <w:shd w:val="clear" w:color="auto" w:fill="F0FFFF"/>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900" w:type="dxa"/>
            <w:vAlign w:val="bottom"/>
            <w:gridSpan w:val="2"/>
            <w:shd w:val="clear" w:color="auto" w:fill="F0FFFF"/>
          </w:tcPr>
          <w:p>
            <w:pPr>
              <w:jc w:val="right"/>
              <w:ind w:right="260"/>
              <w:spacing w:after="0"/>
              <w:rPr>
                <w:sz w:val="20"/>
                <w:szCs w:val="20"/>
                <w:color w:val="auto"/>
              </w:rPr>
            </w:pPr>
            <w:r>
              <w:rPr>
                <w:rFonts w:ascii="Arial" w:cs="Arial" w:eastAsia="Arial" w:hAnsi="Arial"/>
                <w:sz w:val="13"/>
                <w:szCs w:val="13"/>
                <w:color w:val="auto"/>
              </w:rPr>
              <w:t>-</w:t>
            </w:r>
          </w:p>
        </w:tc>
        <w:tc>
          <w:tcPr>
            <w:tcW w:w="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740" w:type="dxa"/>
            <w:vAlign w:val="bottom"/>
            <w:gridSpan w:val="2"/>
            <w:shd w:val="clear" w:color="auto" w:fill="F0FF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60" w:type="dxa"/>
            <w:vAlign w:val="bottom"/>
            <w:gridSpan w:val="2"/>
            <w:shd w:val="clear" w:color="auto" w:fill="F0FF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960" w:type="dxa"/>
            <w:vAlign w:val="bottom"/>
            <w:gridSpan w:val="2"/>
            <w:shd w:val="clear" w:color="auto" w:fill="F0FFFF"/>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F0FFFF"/>
          </w:tcPr>
          <w:p>
            <w:pPr>
              <w:spacing w:after="0"/>
              <w:rPr>
                <w:sz w:val="14"/>
                <w:szCs w:val="14"/>
                <w:color w:val="auto"/>
              </w:rPr>
            </w:pPr>
          </w:p>
        </w:tc>
        <w:tc>
          <w:tcPr>
            <w:tcW w:w="620" w:type="dxa"/>
            <w:vAlign w:val="bottom"/>
            <w:gridSpan w:val="2"/>
            <w:shd w:val="clear" w:color="auto" w:fill="F0FFFF"/>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00" w:type="dxa"/>
            <w:vAlign w:val="bottom"/>
            <w:tcBorders>
              <w:top w:val="single" w:sz="8" w:color="F0FFFF"/>
              <w:bottom w:val="single" w:sz="8" w:color="F0FFFF"/>
            </w:tcBorders>
          </w:tcPr>
          <w:p>
            <w:pPr>
              <w:ind w:left="200"/>
              <w:spacing w:after="0" w:line="122" w:lineRule="exact"/>
              <w:rPr>
                <w:sz w:val="20"/>
                <w:szCs w:val="20"/>
                <w:color w:val="auto"/>
              </w:rPr>
            </w:pPr>
            <w:r>
              <w:rPr>
                <w:rFonts w:ascii="Arial" w:cs="Arial" w:eastAsia="Arial" w:hAnsi="Arial"/>
                <w:sz w:val="13"/>
                <w:szCs w:val="13"/>
                <w:color w:val="auto"/>
              </w:rPr>
              <w:t>Total with no related allowance recorded</w:t>
            </w: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31,361</w:t>
            </w:r>
          </w:p>
        </w:tc>
        <w:tc>
          <w:tcPr>
            <w:tcW w:w="140" w:type="dxa"/>
            <w:vAlign w:val="bottom"/>
            <w:tcBorders>
              <w:top w:val="single" w:sz="8" w:color="F0FFFF"/>
              <w:bottom w:val="single" w:sz="8" w:color="F0FFFF"/>
            </w:tcBorders>
          </w:tcPr>
          <w:p>
            <w:pPr>
              <w:spacing w:after="0"/>
              <w:rPr>
                <w:sz w:val="11"/>
                <w:szCs w:val="11"/>
                <w:color w:val="auto"/>
              </w:rPr>
            </w:pPr>
          </w:p>
        </w:tc>
        <w:tc>
          <w:tcPr>
            <w:tcW w:w="160" w:type="dxa"/>
            <w:vAlign w:val="bottom"/>
            <w:tcBorders>
              <w:top w:val="single" w:sz="8" w:color="F0FFFF"/>
              <w:bottom w:val="single" w:sz="8" w:color="F0FF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28,746</w:t>
            </w:r>
          </w:p>
        </w:tc>
        <w:tc>
          <w:tcPr>
            <w:tcW w:w="300" w:type="dxa"/>
            <w:vAlign w:val="bottom"/>
            <w:tcBorders>
              <w:top w:val="single" w:sz="8" w:color="F0FFFF"/>
              <w:bottom w:val="single" w:sz="8" w:color="F0FF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F0FFFF"/>
              <w:bottom w:val="single" w:sz="8" w:color="F0FFFF"/>
            </w:tcBorders>
          </w:tcPr>
          <w:p>
            <w:pPr>
              <w:spacing w:after="0"/>
              <w:rPr>
                <w:sz w:val="11"/>
                <w:szCs w:val="11"/>
                <w:color w:val="auto"/>
              </w:rPr>
            </w:pPr>
          </w:p>
        </w:tc>
        <w:tc>
          <w:tcPr>
            <w:tcW w:w="160" w:type="dxa"/>
            <w:vAlign w:val="bottom"/>
            <w:tcBorders>
              <w:top w:val="single" w:sz="8" w:color="F0FFFF"/>
              <w:bottom w:val="single" w:sz="8" w:color="F0FF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28,922</w:t>
            </w:r>
          </w:p>
        </w:tc>
        <w:tc>
          <w:tcPr>
            <w:tcW w:w="120" w:type="dxa"/>
            <w:vAlign w:val="bottom"/>
            <w:tcBorders>
              <w:top w:val="single" w:sz="8" w:color="F0FFFF"/>
              <w:bottom w:val="single" w:sz="8" w:color="F0FFFF"/>
            </w:tcBorders>
          </w:tcPr>
          <w:p>
            <w:pPr>
              <w:spacing w:after="0"/>
              <w:rPr>
                <w:sz w:val="11"/>
                <w:szCs w:val="11"/>
                <w:color w:val="auto"/>
              </w:rPr>
            </w:pPr>
          </w:p>
        </w:tc>
        <w:tc>
          <w:tcPr>
            <w:tcW w:w="180" w:type="dxa"/>
            <w:vAlign w:val="bottom"/>
            <w:tcBorders>
              <w:top w:val="single" w:sz="8" w:color="F0FFFF"/>
              <w:bottom w:val="single" w:sz="8" w:color="F0FF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25,488</w:t>
            </w:r>
          </w:p>
        </w:tc>
        <w:tc>
          <w:tcPr>
            <w:tcW w:w="260" w:type="dxa"/>
            <w:vAlign w:val="bottom"/>
            <w:tcBorders>
              <w:top w:val="single" w:sz="8" w:color="F0FFFF"/>
              <w:bottom w:val="single" w:sz="8" w:color="F0FFFF"/>
            </w:tcBorders>
          </w:tcPr>
          <w:p>
            <w:pPr>
              <w:spacing w:after="0"/>
              <w:rPr>
                <w:sz w:val="11"/>
                <w:szCs w:val="11"/>
                <w:color w:val="auto"/>
              </w:rPr>
            </w:pPr>
          </w:p>
        </w:tc>
        <w:tc>
          <w:tcPr>
            <w:tcW w:w="40" w:type="dxa"/>
            <w:vAlign w:val="bottom"/>
            <w:tcBorders>
              <w:top w:val="single" w:sz="8" w:color="F0FFFF"/>
              <w:bottom w:val="single" w:sz="8" w:color="F0FF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F0FFFF"/>
              <w:bottom w:val="single" w:sz="8" w:color="F0FFFF"/>
            </w:tcBorders>
          </w:tcPr>
          <w:p>
            <w:pPr>
              <w:spacing w:after="0"/>
              <w:rPr>
                <w:sz w:val="11"/>
                <w:szCs w:val="11"/>
                <w:color w:val="auto"/>
              </w:rPr>
            </w:pPr>
          </w:p>
        </w:tc>
        <w:tc>
          <w:tcPr>
            <w:tcW w:w="140" w:type="dxa"/>
            <w:vAlign w:val="bottom"/>
            <w:tcBorders>
              <w:top w:val="single" w:sz="8" w:color="F0FFFF"/>
              <w:bottom w:val="single" w:sz="8" w:color="F0FF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38,656</w:t>
            </w:r>
          </w:p>
        </w:tc>
        <w:tc>
          <w:tcPr>
            <w:tcW w:w="140" w:type="dxa"/>
            <w:vAlign w:val="bottom"/>
            <w:tcBorders>
              <w:top w:val="single" w:sz="8" w:color="F0FFFF"/>
              <w:bottom w:val="single" w:sz="8" w:color="F0FFFF"/>
            </w:tcBorders>
          </w:tcPr>
          <w:p>
            <w:pPr>
              <w:spacing w:after="0"/>
              <w:rPr>
                <w:sz w:val="11"/>
                <w:szCs w:val="11"/>
                <w:color w:val="auto"/>
              </w:rPr>
            </w:pPr>
          </w:p>
        </w:tc>
        <w:tc>
          <w:tcPr>
            <w:tcW w:w="160" w:type="dxa"/>
            <w:vAlign w:val="bottom"/>
            <w:tcBorders>
              <w:top w:val="single" w:sz="8" w:color="F0FFFF"/>
              <w:bottom w:val="single" w:sz="8" w:color="F0FF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35,038</w:t>
            </w:r>
          </w:p>
        </w:tc>
        <w:tc>
          <w:tcPr>
            <w:tcW w:w="320" w:type="dxa"/>
            <w:vAlign w:val="bottom"/>
            <w:tcBorders>
              <w:top w:val="single" w:sz="8" w:color="F0FFFF"/>
              <w:bottom w:val="single" w:sz="8" w:color="F0FF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F0FFFF"/>
              <w:bottom w:val="single" w:sz="8" w:color="F0FFFF"/>
            </w:tcBorders>
          </w:tcPr>
          <w:p>
            <w:pPr>
              <w:spacing w:after="0"/>
              <w:rPr>
                <w:sz w:val="11"/>
                <w:szCs w:val="11"/>
                <w:color w:val="auto"/>
              </w:rPr>
            </w:pPr>
          </w:p>
        </w:tc>
        <w:tc>
          <w:tcPr>
            <w:tcW w:w="80" w:type="dxa"/>
            <w:vAlign w:val="bottom"/>
            <w:tcBorders>
              <w:top w:val="single" w:sz="8" w:color="F0FFFF"/>
              <w:bottom w:val="single" w:sz="8" w:color="F0FFFF"/>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52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3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52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3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tcPr>
          <w:p>
            <w:pPr>
              <w:ind w:left="20"/>
              <w:spacing w:after="0" w:line="135" w:lineRule="exact"/>
              <w:rPr>
                <w:sz w:val="20"/>
                <w:szCs w:val="20"/>
                <w:color w:val="auto"/>
              </w:rPr>
            </w:pPr>
            <w:r>
              <w:rPr>
                <w:rFonts w:ascii="Arial" w:cs="Arial" w:eastAsia="Arial" w:hAnsi="Arial"/>
                <w:sz w:val="13"/>
                <w:szCs w:val="13"/>
                <w:color w:val="auto"/>
              </w:rPr>
              <w:t>With an allowance recorded:</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shd w:val="clear" w:color="auto" w:fill="F0FFFF"/>
          </w:tcPr>
          <w:p>
            <w:pPr>
              <w:ind w:left="120"/>
              <w:spacing w:after="0" w:line="135" w:lineRule="exact"/>
              <w:rPr>
                <w:sz w:val="20"/>
                <w:szCs w:val="20"/>
                <w:color w:val="auto"/>
              </w:rPr>
            </w:pPr>
            <w:r>
              <w:rPr>
                <w:rFonts w:ascii="Arial" w:cs="Arial" w:eastAsia="Arial" w:hAnsi="Arial"/>
                <w:sz w:val="13"/>
                <w:szCs w:val="13"/>
                <w:color w:val="auto"/>
              </w:rPr>
              <w:t>Owner occupied commercial real estate</w:t>
            </w:r>
          </w:p>
        </w:tc>
        <w:tc>
          <w:tcPr>
            <w:tcW w:w="100" w:type="dxa"/>
            <w:vAlign w:val="bottom"/>
            <w:shd w:val="clear" w:color="auto" w:fill="F0FFFF"/>
          </w:tcPr>
          <w:p>
            <w:pPr>
              <w:spacing w:after="0"/>
              <w:rPr>
                <w:sz w:val="11"/>
                <w:szCs w:val="11"/>
                <w:color w:val="auto"/>
              </w:rPr>
            </w:pPr>
          </w:p>
        </w:tc>
        <w:tc>
          <w:tcPr>
            <w:tcW w:w="660" w:type="dxa"/>
            <w:vAlign w:val="bottom"/>
            <w:gridSpan w:val="2"/>
            <w:shd w:val="clear" w:color="auto" w:fill="F0FFFF"/>
          </w:tcPr>
          <w:p>
            <w:pPr>
              <w:jc w:val="right"/>
              <w:ind w:right="140"/>
              <w:spacing w:after="0" w:line="135" w:lineRule="exact"/>
              <w:rPr>
                <w:sz w:val="20"/>
                <w:szCs w:val="20"/>
                <w:color w:val="auto"/>
              </w:rPr>
            </w:pPr>
            <w:r>
              <w:rPr>
                <w:rFonts w:ascii="Arial" w:cs="Arial" w:eastAsia="Arial" w:hAnsi="Arial"/>
                <w:sz w:val="13"/>
                <w:szCs w:val="13"/>
                <w:color w:val="auto"/>
              </w:rPr>
              <w:t>26,301</w:t>
            </w:r>
          </w:p>
        </w:tc>
        <w:tc>
          <w:tcPr>
            <w:tcW w:w="16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940" w:type="dxa"/>
            <w:vAlign w:val="bottom"/>
            <w:gridSpan w:val="2"/>
            <w:shd w:val="clear" w:color="auto" w:fill="F0FFFF"/>
          </w:tcPr>
          <w:p>
            <w:pPr>
              <w:jc w:val="right"/>
              <w:ind w:right="300"/>
              <w:spacing w:after="0" w:line="135" w:lineRule="exact"/>
              <w:rPr>
                <w:sz w:val="20"/>
                <w:szCs w:val="20"/>
                <w:color w:val="auto"/>
              </w:rPr>
            </w:pPr>
            <w:r>
              <w:rPr>
                <w:rFonts w:ascii="Arial" w:cs="Arial" w:eastAsia="Arial" w:hAnsi="Arial"/>
                <w:sz w:val="13"/>
                <w:szCs w:val="13"/>
                <w:color w:val="auto"/>
              </w:rPr>
              <w:t>24,608</w:t>
            </w:r>
          </w:p>
        </w:tc>
        <w:tc>
          <w:tcPr>
            <w:tcW w:w="100" w:type="dxa"/>
            <w:vAlign w:val="bottom"/>
            <w:shd w:val="clear" w:color="auto" w:fill="F0FFFF"/>
          </w:tcPr>
          <w:p>
            <w:pPr>
              <w:spacing w:after="0"/>
              <w:rPr>
                <w:sz w:val="11"/>
                <w:szCs w:val="11"/>
                <w:color w:val="auto"/>
              </w:rPr>
            </w:pPr>
          </w:p>
        </w:tc>
        <w:tc>
          <w:tcPr>
            <w:tcW w:w="720" w:type="dxa"/>
            <w:vAlign w:val="bottom"/>
            <w:gridSpan w:val="2"/>
            <w:shd w:val="clear" w:color="auto" w:fill="F0FFFF"/>
          </w:tcPr>
          <w:p>
            <w:pPr>
              <w:jc w:val="right"/>
              <w:ind w:right="140"/>
              <w:spacing w:after="0" w:line="135" w:lineRule="exact"/>
              <w:rPr>
                <w:sz w:val="20"/>
                <w:szCs w:val="20"/>
                <w:color w:val="auto"/>
              </w:rPr>
            </w:pPr>
            <w:r>
              <w:rPr>
                <w:rFonts w:ascii="Arial" w:cs="Arial" w:eastAsia="Arial" w:hAnsi="Arial"/>
                <w:sz w:val="13"/>
                <w:szCs w:val="13"/>
                <w:color w:val="auto"/>
              </w:rPr>
              <w:t>1,592</w:t>
            </w:r>
          </w:p>
        </w:tc>
        <w:tc>
          <w:tcPr>
            <w:tcW w:w="1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4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24,728</w:t>
            </w:r>
          </w:p>
        </w:tc>
        <w:tc>
          <w:tcPr>
            <w:tcW w:w="1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00" w:type="dxa"/>
            <w:vAlign w:val="bottom"/>
            <w:gridSpan w:val="2"/>
            <w:shd w:val="clear" w:color="auto" w:fill="F0FFFF"/>
          </w:tcPr>
          <w:p>
            <w:pPr>
              <w:jc w:val="right"/>
              <w:ind w:right="260"/>
              <w:spacing w:after="0" w:line="135" w:lineRule="exact"/>
              <w:rPr>
                <w:sz w:val="20"/>
                <w:szCs w:val="20"/>
                <w:color w:val="auto"/>
              </w:rPr>
            </w:pPr>
            <w:r>
              <w:rPr>
                <w:rFonts w:ascii="Arial" w:cs="Arial" w:eastAsia="Arial" w:hAnsi="Arial"/>
                <w:sz w:val="13"/>
                <w:szCs w:val="13"/>
                <w:color w:val="auto"/>
              </w:rPr>
              <w:t>23,329</w:t>
            </w:r>
          </w:p>
        </w:tc>
        <w:tc>
          <w:tcPr>
            <w:tcW w:w="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40" w:type="dxa"/>
            <w:vAlign w:val="bottom"/>
            <w:gridSpan w:val="2"/>
            <w:shd w:val="clear" w:color="auto" w:fill="F0FFFF"/>
          </w:tcPr>
          <w:p>
            <w:pPr>
              <w:jc w:val="right"/>
              <w:ind w:right="160"/>
              <w:spacing w:after="0" w:line="135" w:lineRule="exact"/>
              <w:rPr>
                <w:sz w:val="20"/>
                <w:szCs w:val="20"/>
                <w:color w:val="auto"/>
              </w:rPr>
            </w:pPr>
            <w:r>
              <w:rPr>
                <w:rFonts w:ascii="Arial" w:cs="Arial" w:eastAsia="Arial" w:hAnsi="Arial"/>
                <w:sz w:val="13"/>
                <w:szCs w:val="13"/>
                <w:color w:val="auto"/>
              </w:rPr>
              <w:t>2,737</w:t>
            </w:r>
          </w:p>
        </w:tc>
        <w:tc>
          <w:tcPr>
            <w:tcW w:w="1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60" w:type="dxa"/>
            <w:vAlign w:val="bottom"/>
            <w:gridSpan w:val="2"/>
            <w:shd w:val="clear" w:color="auto" w:fill="F0FFFF"/>
          </w:tcPr>
          <w:p>
            <w:pPr>
              <w:jc w:val="right"/>
              <w:ind w:right="140"/>
              <w:spacing w:after="0" w:line="135" w:lineRule="exact"/>
              <w:rPr>
                <w:sz w:val="20"/>
                <w:szCs w:val="20"/>
                <w:color w:val="auto"/>
              </w:rPr>
            </w:pPr>
            <w:r>
              <w:rPr>
                <w:rFonts w:ascii="Arial" w:cs="Arial" w:eastAsia="Arial" w:hAnsi="Arial"/>
                <w:sz w:val="13"/>
                <w:szCs w:val="13"/>
                <w:color w:val="auto"/>
              </w:rPr>
              <w:t>20,287</w:t>
            </w:r>
          </w:p>
        </w:tc>
        <w:tc>
          <w:tcPr>
            <w:tcW w:w="16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960" w:type="dxa"/>
            <w:vAlign w:val="bottom"/>
            <w:gridSpan w:val="2"/>
            <w:shd w:val="clear" w:color="auto" w:fill="F0FFFF"/>
          </w:tcPr>
          <w:p>
            <w:pPr>
              <w:jc w:val="right"/>
              <w:ind w:right="320"/>
              <w:spacing w:after="0" w:line="135" w:lineRule="exact"/>
              <w:rPr>
                <w:sz w:val="20"/>
                <w:szCs w:val="20"/>
                <w:color w:val="auto"/>
              </w:rPr>
            </w:pPr>
            <w:r>
              <w:rPr>
                <w:rFonts w:ascii="Arial" w:cs="Arial" w:eastAsia="Arial" w:hAnsi="Arial"/>
                <w:sz w:val="13"/>
                <w:szCs w:val="13"/>
                <w:color w:val="auto"/>
              </w:rPr>
              <w:t>18,967</w:t>
            </w:r>
          </w:p>
        </w:tc>
        <w:tc>
          <w:tcPr>
            <w:tcW w:w="80" w:type="dxa"/>
            <w:vAlign w:val="bottom"/>
            <w:shd w:val="clear" w:color="auto" w:fill="F0FFFF"/>
          </w:tcPr>
          <w:p>
            <w:pPr>
              <w:spacing w:after="0"/>
              <w:rPr>
                <w:sz w:val="11"/>
                <w:szCs w:val="11"/>
                <w:color w:val="auto"/>
              </w:rPr>
            </w:pPr>
          </w:p>
        </w:tc>
        <w:tc>
          <w:tcPr>
            <w:tcW w:w="620" w:type="dxa"/>
            <w:vAlign w:val="bottom"/>
            <w:gridSpan w:val="2"/>
            <w:shd w:val="clear" w:color="auto" w:fill="F0FFFF"/>
          </w:tcPr>
          <w:p>
            <w:pPr>
              <w:jc w:val="right"/>
              <w:ind w:right="20"/>
              <w:spacing w:after="0" w:line="135" w:lineRule="exact"/>
              <w:rPr>
                <w:sz w:val="20"/>
                <w:szCs w:val="20"/>
                <w:color w:val="auto"/>
              </w:rPr>
            </w:pPr>
            <w:r>
              <w:rPr>
                <w:rFonts w:ascii="Arial" w:cs="Arial" w:eastAsia="Arial" w:hAnsi="Arial"/>
                <w:sz w:val="13"/>
                <w:szCs w:val="13"/>
                <w:color w:val="auto"/>
              </w:rPr>
              <w:t>2,483</w:t>
            </w:r>
          </w:p>
        </w:tc>
        <w:tc>
          <w:tcPr>
            <w:tcW w:w="8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tcPr>
          <w:p>
            <w:pPr>
              <w:ind w:left="120"/>
              <w:spacing w:after="0" w:line="135" w:lineRule="exact"/>
              <w:rPr>
                <w:sz w:val="20"/>
                <w:szCs w:val="20"/>
                <w:color w:val="auto"/>
              </w:rPr>
            </w:pPr>
            <w:r>
              <w:rPr>
                <w:rFonts w:ascii="Arial" w:cs="Arial" w:eastAsia="Arial" w:hAnsi="Arial"/>
                <w:sz w:val="13"/>
                <w:szCs w:val="13"/>
                <w:color w:val="auto"/>
              </w:rPr>
              <w:t>Income producing commercial real estate</w:t>
            </w:r>
          </w:p>
        </w:tc>
        <w:tc>
          <w:tcPr>
            <w:tcW w:w="10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12,460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12,373</w:t>
            </w:r>
          </w:p>
        </w:tc>
        <w:tc>
          <w:tcPr>
            <w:tcW w:w="1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782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16,352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16,173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1,917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14,706</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14,237</w:t>
            </w:r>
          </w:p>
        </w:tc>
        <w:tc>
          <w:tcPr>
            <w:tcW w:w="80" w:type="dxa"/>
            <w:vAlign w:val="bottom"/>
          </w:tcPr>
          <w:p>
            <w:pPr>
              <w:spacing w:after="0"/>
              <w:rPr>
                <w:sz w:val="11"/>
                <w:szCs w:val="11"/>
                <w:color w:val="auto"/>
              </w:rPr>
            </w:pPr>
          </w:p>
        </w:tc>
        <w:tc>
          <w:tcPr>
            <w:tcW w:w="6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1,404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shd w:val="clear" w:color="auto" w:fill="F0FFFF"/>
          </w:tcPr>
          <w:p>
            <w:pPr>
              <w:ind w:left="120"/>
              <w:spacing w:after="0" w:line="135" w:lineRule="exact"/>
              <w:rPr>
                <w:sz w:val="20"/>
                <w:szCs w:val="20"/>
                <w:color w:val="auto"/>
              </w:rPr>
            </w:pPr>
            <w:r>
              <w:rPr>
                <w:rFonts w:ascii="Arial" w:cs="Arial" w:eastAsia="Arial" w:hAnsi="Arial"/>
                <w:sz w:val="13"/>
                <w:szCs w:val="13"/>
                <w:color w:val="auto"/>
              </w:rPr>
              <w:t>Commercial &amp; industrial</w:t>
            </w:r>
          </w:p>
        </w:tc>
        <w:tc>
          <w:tcPr>
            <w:tcW w:w="100" w:type="dxa"/>
            <w:vAlign w:val="bottom"/>
            <w:shd w:val="clear" w:color="auto" w:fill="F0FFFF"/>
          </w:tcPr>
          <w:p>
            <w:pPr>
              <w:spacing w:after="0"/>
              <w:rPr>
                <w:sz w:val="11"/>
                <w:szCs w:val="11"/>
                <w:color w:val="auto"/>
              </w:rPr>
            </w:pPr>
          </w:p>
        </w:tc>
        <w:tc>
          <w:tcPr>
            <w:tcW w:w="660" w:type="dxa"/>
            <w:vAlign w:val="bottom"/>
            <w:gridSpan w:val="2"/>
            <w:shd w:val="clear" w:color="auto" w:fill="F0FFFF"/>
          </w:tcPr>
          <w:p>
            <w:pPr>
              <w:jc w:val="right"/>
              <w:ind w:right="140"/>
              <w:spacing w:after="0" w:line="135" w:lineRule="exact"/>
              <w:rPr>
                <w:sz w:val="20"/>
                <w:szCs w:val="20"/>
                <w:color w:val="auto"/>
              </w:rPr>
            </w:pPr>
            <w:r>
              <w:rPr>
                <w:rFonts w:ascii="Arial" w:cs="Arial" w:eastAsia="Arial" w:hAnsi="Arial"/>
                <w:sz w:val="13"/>
                <w:szCs w:val="13"/>
                <w:color w:val="auto"/>
              </w:rPr>
              <w:t>3,055</w:t>
            </w:r>
          </w:p>
        </w:tc>
        <w:tc>
          <w:tcPr>
            <w:tcW w:w="16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940" w:type="dxa"/>
            <w:vAlign w:val="bottom"/>
            <w:gridSpan w:val="2"/>
            <w:shd w:val="clear" w:color="auto" w:fill="F0FFFF"/>
          </w:tcPr>
          <w:p>
            <w:pPr>
              <w:jc w:val="right"/>
              <w:ind w:right="300"/>
              <w:spacing w:after="0" w:line="135" w:lineRule="exact"/>
              <w:rPr>
                <w:sz w:val="20"/>
                <w:szCs w:val="20"/>
                <w:color w:val="auto"/>
              </w:rPr>
            </w:pPr>
            <w:r>
              <w:rPr>
                <w:rFonts w:ascii="Arial" w:cs="Arial" w:eastAsia="Arial" w:hAnsi="Arial"/>
                <w:sz w:val="13"/>
                <w:szCs w:val="13"/>
                <w:color w:val="auto"/>
              </w:rPr>
              <w:t>3,046</w:t>
            </w:r>
          </w:p>
        </w:tc>
        <w:tc>
          <w:tcPr>
            <w:tcW w:w="100" w:type="dxa"/>
            <w:vAlign w:val="bottom"/>
            <w:shd w:val="clear" w:color="auto" w:fill="F0FFFF"/>
          </w:tcPr>
          <w:p>
            <w:pPr>
              <w:spacing w:after="0"/>
              <w:rPr>
                <w:sz w:val="11"/>
                <w:szCs w:val="11"/>
                <w:color w:val="auto"/>
              </w:rPr>
            </w:pPr>
          </w:p>
        </w:tc>
        <w:tc>
          <w:tcPr>
            <w:tcW w:w="720" w:type="dxa"/>
            <w:vAlign w:val="bottom"/>
            <w:gridSpan w:val="2"/>
            <w:shd w:val="clear" w:color="auto" w:fill="F0FFFF"/>
          </w:tcPr>
          <w:p>
            <w:pPr>
              <w:jc w:val="right"/>
              <w:ind w:right="140"/>
              <w:spacing w:after="0" w:line="135" w:lineRule="exact"/>
              <w:rPr>
                <w:sz w:val="20"/>
                <w:szCs w:val="20"/>
                <w:color w:val="auto"/>
              </w:rPr>
            </w:pPr>
            <w:r>
              <w:rPr>
                <w:rFonts w:ascii="Arial" w:cs="Arial" w:eastAsia="Arial" w:hAnsi="Arial"/>
                <w:sz w:val="13"/>
                <w:szCs w:val="13"/>
                <w:color w:val="auto"/>
              </w:rPr>
              <w:t>137</w:t>
            </w:r>
          </w:p>
        </w:tc>
        <w:tc>
          <w:tcPr>
            <w:tcW w:w="1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520" w:type="dxa"/>
            <w:vAlign w:val="bottom"/>
            <w:shd w:val="clear" w:color="auto" w:fill="F0FFFF"/>
          </w:tcPr>
          <w:p>
            <w:pPr>
              <w:jc w:val="right"/>
              <w:spacing w:after="0" w:line="135" w:lineRule="exact"/>
              <w:rPr>
                <w:sz w:val="20"/>
                <w:szCs w:val="20"/>
                <w:color w:val="auto"/>
              </w:rPr>
            </w:pPr>
            <w:r>
              <w:rPr>
                <w:rFonts w:ascii="Arial" w:cs="Arial" w:eastAsia="Arial" w:hAnsi="Arial"/>
                <w:sz w:val="13"/>
                <w:szCs w:val="13"/>
                <w:color w:val="auto"/>
              </w:rPr>
              <w:t>2,936</w:t>
            </w:r>
          </w:p>
        </w:tc>
        <w:tc>
          <w:tcPr>
            <w:tcW w:w="12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00" w:type="dxa"/>
            <w:vAlign w:val="bottom"/>
            <w:gridSpan w:val="2"/>
            <w:shd w:val="clear" w:color="auto" w:fill="F0FFFF"/>
          </w:tcPr>
          <w:p>
            <w:pPr>
              <w:jc w:val="right"/>
              <w:ind w:right="260"/>
              <w:spacing w:after="0" w:line="135" w:lineRule="exact"/>
              <w:rPr>
                <w:sz w:val="20"/>
                <w:szCs w:val="20"/>
                <w:color w:val="auto"/>
              </w:rPr>
            </w:pPr>
            <w:r>
              <w:rPr>
                <w:rFonts w:ascii="Arial" w:cs="Arial" w:eastAsia="Arial" w:hAnsi="Arial"/>
                <w:sz w:val="13"/>
                <w:szCs w:val="13"/>
                <w:color w:val="auto"/>
              </w:rPr>
              <w:t>2,935</w:t>
            </w:r>
          </w:p>
        </w:tc>
        <w:tc>
          <w:tcPr>
            <w:tcW w:w="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40" w:type="dxa"/>
            <w:vAlign w:val="bottom"/>
            <w:gridSpan w:val="2"/>
            <w:shd w:val="clear" w:color="auto" w:fill="F0FFFF"/>
          </w:tcPr>
          <w:p>
            <w:pPr>
              <w:jc w:val="right"/>
              <w:ind w:right="160"/>
              <w:spacing w:after="0" w:line="135" w:lineRule="exact"/>
              <w:rPr>
                <w:sz w:val="20"/>
                <w:szCs w:val="20"/>
                <w:color w:val="auto"/>
              </w:rPr>
            </w:pPr>
            <w:r>
              <w:rPr>
                <w:rFonts w:ascii="Arial" w:cs="Arial" w:eastAsia="Arial" w:hAnsi="Arial"/>
                <w:sz w:val="13"/>
                <w:szCs w:val="13"/>
                <w:color w:val="auto"/>
              </w:rPr>
              <w:t>15</w:t>
            </w:r>
          </w:p>
        </w:tc>
        <w:tc>
          <w:tcPr>
            <w:tcW w:w="1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60" w:type="dxa"/>
            <w:vAlign w:val="bottom"/>
            <w:gridSpan w:val="2"/>
            <w:shd w:val="clear" w:color="auto" w:fill="F0FFFF"/>
          </w:tcPr>
          <w:p>
            <w:pPr>
              <w:jc w:val="right"/>
              <w:ind w:right="140"/>
              <w:spacing w:after="0" w:line="135" w:lineRule="exact"/>
              <w:rPr>
                <w:sz w:val="20"/>
                <w:szCs w:val="20"/>
                <w:color w:val="auto"/>
              </w:rPr>
            </w:pPr>
            <w:r>
              <w:rPr>
                <w:rFonts w:ascii="Arial" w:cs="Arial" w:eastAsia="Arial" w:hAnsi="Arial"/>
                <w:sz w:val="13"/>
                <w:szCs w:val="13"/>
                <w:color w:val="auto"/>
              </w:rPr>
              <w:t>1,931</w:t>
            </w:r>
          </w:p>
        </w:tc>
        <w:tc>
          <w:tcPr>
            <w:tcW w:w="16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640" w:type="dxa"/>
            <w:vAlign w:val="bottom"/>
            <w:shd w:val="clear" w:color="auto" w:fill="F0FFFF"/>
          </w:tcPr>
          <w:p>
            <w:pPr>
              <w:jc w:val="right"/>
              <w:spacing w:after="0" w:line="135" w:lineRule="exact"/>
              <w:rPr>
                <w:sz w:val="20"/>
                <w:szCs w:val="20"/>
                <w:color w:val="auto"/>
              </w:rPr>
            </w:pPr>
            <w:r>
              <w:rPr>
                <w:rFonts w:ascii="Arial" w:cs="Arial" w:eastAsia="Arial" w:hAnsi="Arial"/>
                <w:sz w:val="13"/>
                <w:szCs w:val="13"/>
                <w:color w:val="auto"/>
              </w:rPr>
              <w:t>1,931</w:t>
            </w:r>
          </w:p>
        </w:tc>
        <w:tc>
          <w:tcPr>
            <w:tcW w:w="3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20" w:type="dxa"/>
            <w:vAlign w:val="bottom"/>
            <w:gridSpan w:val="2"/>
            <w:shd w:val="clear" w:color="auto" w:fill="F0FFFF"/>
          </w:tcPr>
          <w:p>
            <w:pPr>
              <w:jc w:val="right"/>
              <w:ind w:right="20"/>
              <w:spacing w:after="0" w:line="135" w:lineRule="exact"/>
              <w:rPr>
                <w:sz w:val="20"/>
                <w:szCs w:val="20"/>
                <w:color w:val="auto"/>
              </w:rPr>
            </w:pPr>
            <w:r>
              <w:rPr>
                <w:rFonts w:ascii="Arial" w:cs="Arial" w:eastAsia="Arial" w:hAnsi="Arial"/>
                <w:sz w:val="13"/>
                <w:szCs w:val="13"/>
                <w:color w:val="auto"/>
              </w:rPr>
              <w:t>399</w:t>
            </w:r>
          </w:p>
        </w:tc>
        <w:tc>
          <w:tcPr>
            <w:tcW w:w="8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00" w:type="dxa"/>
            <w:vAlign w:val="bottom"/>
          </w:tcPr>
          <w:p>
            <w:pPr>
              <w:ind w:left="120"/>
              <w:spacing w:after="0"/>
              <w:rPr>
                <w:sz w:val="20"/>
                <w:szCs w:val="20"/>
                <w:color w:val="auto"/>
              </w:rPr>
            </w:pPr>
            <w:r>
              <w:rPr>
                <w:rFonts w:ascii="Arial" w:cs="Arial" w:eastAsia="Arial" w:hAnsi="Arial"/>
                <w:sz w:val="13"/>
                <w:szCs w:val="13"/>
                <w:color w:val="auto"/>
              </w:rPr>
              <w:t>Commercial construction</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12,203</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12,123</w:t>
            </w:r>
          </w:p>
        </w:tc>
        <w:tc>
          <w:tcPr>
            <w:tcW w:w="10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530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12,401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12,321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729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11,194</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3"/>
                <w:szCs w:val="13"/>
                <w:color w:val="auto"/>
              </w:rPr>
              <w:t>11,019</w:t>
            </w:r>
          </w:p>
        </w:tc>
        <w:tc>
          <w:tcPr>
            <w:tcW w:w="8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412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tcBorders>
              <w:top w:val="single" w:sz="8" w:color="F0FFFF"/>
            </w:tcBorders>
            <w:shd w:val="clear" w:color="auto" w:fill="F0FFFF"/>
          </w:tcPr>
          <w:p>
            <w:pPr>
              <w:ind w:left="200"/>
              <w:spacing w:after="0" w:line="135" w:lineRule="exact"/>
              <w:rPr>
                <w:sz w:val="20"/>
                <w:szCs w:val="20"/>
                <w:color w:val="auto"/>
              </w:rPr>
            </w:pPr>
            <w:r>
              <w:rPr>
                <w:rFonts w:ascii="Arial" w:cs="Arial" w:eastAsia="Arial" w:hAnsi="Arial"/>
                <w:sz w:val="13"/>
                <w:szCs w:val="13"/>
                <w:color w:val="auto"/>
              </w:rPr>
              <w:t>Total commercial</w:t>
            </w:r>
          </w:p>
        </w:tc>
        <w:tc>
          <w:tcPr>
            <w:tcW w:w="100" w:type="dxa"/>
            <w:vAlign w:val="bottom"/>
            <w:tcBorders>
              <w:top w:val="single" w:sz="8" w:color="auto"/>
            </w:tcBorders>
            <w:shd w:val="clear" w:color="auto" w:fill="F0FFFF"/>
          </w:tcPr>
          <w:p>
            <w:pPr>
              <w:spacing w:after="0"/>
              <w:rPr>
                <w:sz w:val="11"/>
                <w:szCs w:val="11"/>
                <w:color w:val="auto"/>
              </w:rPr>
            </w:pPr>
          </w:p>
        </w:tc>
        <w:tc>
          <w:tcPr>
            <w:tcW w:w="520" w:type="dxa"/>
            <w:vAlign w:val="bottom"/>
            <w:tcBorders>
              <w:top w:val="single" w:sz="8" w:color="auto"/>
            </w:tcBorders>
            <w:shd w:val="clear" w:color="auto" w:fill="F0FFFF"/>
          </w:tcPr>
          <w:p>
            <w:pPr>
              <w:jc w:val="right"/>
              <w:spacing w:after="0" w:line="135" w:lineRule="exact"/>
              <w:rPr>
                <w:sz w:val="20"/>
                <w:szCs w:val="20"/>
                <w:color w:val="auto"/>
              </w:rPr>
            </w:pPr>
            <w:r>
              <w:rPr>
                <w:rFonts w:ascii="Arial" w:cs="Arial" w:eastAsia="Arial" w:hAnsi="Arial"/>
                <w:sz w:val="13"/>
                <w:szCs w:val="13"/>
                <w:color w:val="auto"/>
              </w:rPr>
              <w:t>54,019</w:t>
            </w:r>
          </w:p>
        </w:tc>
        <w:tc>
          <w:tcPr>
            <w:tcW w:w="140" w:type="dxa"/>
            <w:vAlign w:val="bottom"/>
            <w:tcBorders>
              <w:top w:val="single" w:sz="8" w:color="F0FFFF"/>
            </w:tcBorders>
            <w:shd w:val="clear" w:color="auto" w:fill="F0FFFF"/>
          </w:tcPr>
          <w:p>
            <w:pPr>
              <w:spacing w:after="0"/>
              <w:rPr>
                <w:sz w:val="11"/>
                <w:szCs w:val="11"/>
                <w:color w:val="auto"/>
              </w:rPr>
            </w:pPr>
          </w:p>
        </w:tc>
        <w:tc>
          <w:tcPr>
            <w:tcW w:w="160" w:type="dxa"/>
            <w:vAlign w:val="bottom"/>
            <w:tcBorders>
              <w:top w:val="single" w:sz="8" w:color="F0FFFF"/>
            </w:tcBorders>
            <w:shd w:val="clear" w:color="auto" w:fill="F0FFFF"/>
          </w:tcPr>
          <w:p>
            <w:pPr>
              <w:spacing w:after="0"/>
              <w:rPr>
                <w:sz w:val="11"/>
                <w:szCs w:val="11"/>
                <w:color w:val="auto"/>
              </w:rPr>
            </w:pPr>
          </w:p>
        </w:tc>
        <w:tc>
          <w:tcPr>
            <w:tcW w:w="60" w:type="dxa"/>
            <w:vAlign w:val="bottom"/>
            <w:tcBorders>
              <w:top w:val="single" w:sz="8" w:color="auto"/>
            </w:tcBorders>
            <w:shd w:val="clear" w:color="auto" w:fill="F0FFFF"/>
          </w:tcPr>
          <w:p>
            <w:pPr>
              <w:spacing w:after="0"/>
              <w:rPr>
                <w:sz w:val="11"/>
                <w:szCs w:val="11"/>
                <w:color w:val="auto"/>
              </w:rPr>
            </w:pPr>
          </w:p>
        </w:tc>
        <w:tc>
          <w:tcPr>
            <w:tcW w:w="640" w:type="dxa"/>
            <w:vAlign w:val="bottom"/>
            <w:tcBorders>
              <w:top w:val="single" w:sz="8" w:color="auto"/>
            </w:tcBorders>
            <w:shd w:val="clear" w:color="auto" w:fill="F0FFFF"/>
          </w:tcPr>
          <w:p>
            <w:pPr>
              <w:jc w:val="right"/>
              <w:spacing w:after="0" w:line="135" w:lineRule="exact"/>
              <w:rPr>
                <w:sz w:val="20"/>
                <w:szCs w:val="20"/>
                <w:color w:val="auto"/>
              </w:rPr>
            </w:pPr>
            <w:r>
              <w:rPr>
                <w:rFonts w:ascii="Arial" w:cs="Arial" w:eastAsia="Arial" w:hAnsi="Arial"/>
                <w:sz w:val="13"/>
                <w:szCs w:val="13"/>
                <w:color w:val="auto"/>
              </w:rPr>
              <w:t>52,150</w:t>
            </w:r>
          </w:p>
        </w:tc>
        <w:tc>
          <w:tcPr>
            <w:tcW w:w="300" w:type="dxa"/>
            <w:vAlign w:val="bottom"/>
            <w:tcBorders>
              <w:top w:val="single" w:sz="8" w:color="F0FFFF"/>
            </w:tcBorders>
            <w:shd w:val="clear" w:color="auto" w:fill="F0FFFF"/>
          </w:tcPr>
          <w:p>
            <w:pPr>
              <w:spacing w:after="0"/>
              <w:rPr>
                <w:sz w:val="11"/>
                <w:szCs w:val="11"/>
                <w:color w:val="auto"/>
              </w:rPr>
            </w:pPr>
          </w:p>
        </w:tc>
        <w:tc>
          <w:tcPr>
            <w:tcW w:w="100" w:type="dxa"/>
            <w:vAlign w:val="bottom"/>
            <w:tcBorders>
              <w:top w:val="single" w:sz="8" w:color="auto"/>
            </w:tcBorders>
            <w:shd w:val="clear" w:color="auto" w:fill="F0FFFF"/>
          </w:tcPr>
          <w:p>
            <w:pPr>
              <w:spacing w:after="0"/>
              <w:rPr>
                <w:sz w:val="11"/>
                <w:szCs w:val="11"/>
                <w:color w:val="auto"/>
              </w:rPr>
            </w:pPr>
          </w:p>
        </w:tc>
        <w:tc>
          <w:tcPr>
            <w:tcW w:w="580" w:type="dxa"/>
            <w:vAlign w:val="bottom"/>
            <w:tcBorders>
              <w:top w:val="single" w:sz="8" w:color="auto"/>
            </w:tcBorders>
            <w:shd w:val="clear" w:color="auto" w:fill="F0FFFF"/>
          </w:tcPr>
          <w:p>
            <w:pPr>
              <w:jc w:val="right"/>
              <w:spacing w:after="0" w:line="135" w:lineRule="exact"/>
              <w:rPr>
                <w:sz w:val="20"/>
                <w:szCs w:val="20"/>
                <w:color w:val="auto"/>
              </w:rPr>
            </w:pPr>
            <w:r>
              <w:rPr>
                <w:rFonts w:ascii="Arial" w:cs="Arial" w:eastAsia="Arial" w:hAnsi="Arial"/>
                <w:sz w:val="13"/>
                <w:szCs w:val="13"/>
                <w:color w:val="auto"/>
              </w:rPr>
              <w:t>3,041</w:t>
            </w:r>
          </w:p>
        </w:tc>
        <w:tc>
          <w:tcPr>
            <w:tcW w:w="140" w:type="dxa"/>
            <w:vAlign w:val="bottom"/>
            <w:tcBorders>
              <w:top w:val="single" w:sz="8" w:color="F0FFFF"/>
            </w:tcBorders>
            <w:shd w:val="clear" w:color="auto" w:fill="F0FFFF"/>
          </w:tcPr>
          <w:p>
            <w:pPr>
              <w:spacing w:after="0"/>
              <w:rPr>
                <w:sz w:val="11"/>
                <w:szCs w:val="11"/>
                <w:color w:val="auto"/>
              </w:rPr>
            </w:pPr>
          </w:p>
        </w:tc>
        <w:tc>
          <w:tcPr>
            <w:tcW w:w="160" w:type="dxa"/>
            <w:vAlign w:val="bottom"/>
            <w:tcBorders>
              <w:top w:val="single" w:sz="8" w:color="F0FFFF"/>
            </w:tcBorders>
            <w:shd w:val="clear" w:color="auto" w:fill="F0FFFF"/>
          </w:tcPr>
          <w:p>
            <w:pPr>
              <w:spacing w:after="0"/>
              <w:rPr>
                <w:sz w:val="11"/>
                <w:szCs w:val="11"/>
                <w:color w:val="auto"/>
              </w:rPr>
            </w:pPr>
          </w:p>
        </w:tc>
        <w:tc>
          <w:tcPr>
            <w:tcW w:w="80" w:type="dxa"/>
            <w:vAlign w:val="bottom"/>
            <w:tcBorders>
              <w:top w:val="single" w:sz="8" w:color="auto"/>
            </w:tcBorders>
            <w:shd w:val="clear" w:color="auto" w:fill="F0FFFF"/>
          </w:tcPr>
          <w:p>
            <w:pPr>
              <w:spacing w:after="0"/>
              <w:rPr>
                <w:sz w:val="11"/>
                <w:szCs w:val="11"/>
                <w:color w:val="auto"/>
              </w:rPr>
            </w:pPr>
          </w:p>
        </w:tc>
        <w:tc>
          <w:tcPr>
            <w:tcW w:w="520" w:type="dxa"/>
            <w:vAlign w:val="bottom"/>
            <w:tcBorders>
              <w:top w:val="single" w:sz="8" w:color="auto"/>
            </w:tcBorders>
            <w:shd w:val="clear" w:color="auto" w:fill="F0FFFF"/>
          </w:tcPr>
          <w:p>
            <w:pPr>
              <w:jc w:val="right"/>
              <w:spacing w:after="0" w:line="135" w:lineRule="exact"/>
              <w:rPr>
                <w:sz w:val="20"/>
                <w:szCs w:val="20"/>
                <w:color w:val="auto"/>
              </w:rPr>
            </w:pPr>
            <w:r>
              <w:rPr>
                <w:rFonts w:ascii="Arial" w:cs="Arial" w:eastAsia="Arial" w:hAnsi="Arial"/>
                <w:sz w:val="13"/>
                <w:szCs w:val="13"/>
                <w:color w:val="auto"/>
              </w:rPr>
              <w:t>56,417</w:t>
            </w:r>
          </w:p>
        </w:tc>
        <w:tc>
          <w:tcPr>
            <w:tcW w:w="120" w:type="dxa"/>
            <w:vAlign w:val="bottom"/>
            <w:tcBorders>
              <w:top w:val="single" w:sz="8" w:color="F0FFFF"/>
            </w:tcBorders>
            <w:shd w:val="clear" w:color="auto" w:fill="F0FFFF"/>
          </w:tcPr>
          <w:p>
            <w:pPr>
              <w:spacing w:after="0"/>
              <w:rPr>
                <w:sz w:val="11"/>
                <w:szCs w:val="11"/>
                <w:color w:val="auto"/>
              </w:rPr>
            </w:pPr>
          </w:p>
        </w:tc>
        <w:tc>
          <w:tcPr>
            <w:tcW w:w="180" w:type="dxa"/>
            <w:vAlign w:val="bottom"/>
            <w:tcBorders>
              <w:top w:val="single" w:sz="8" w:color="F0FFFF"/>
            </w:tcBorders>
            <w:shd w:val="clear" w:color="auto" w:fill="F0FFFF"/>
          </w:tcPr>
          <w:p>
            <w:pPr>
              <w:spacing w:after="0"/>
              <w:rPr>
                <w:sz w:val="11"/>
                <w:szCs w:val="11"/>
                <w:color w:val="auto"/>
              </w:rPr>
            </w:pPr>
          </w:p>
        </w:tc>
        <w:tc>
          <w:tcPr>
            <w:tcW w:w="80" w:type="dxa"/>
            <w:vAlign w:val="bottom"/>
            <w:tcBorders>
              <w:top w:val="single" w:sz="8" w:color="auto"/>
            </w:tcBorders>
            <w:shd w:val="clear" w:color="auto" w:fill="F0FFFF"/>
          </w:tcPr>
          <w:p>
            <w:pPr>
              <w:spacing w:after="0"/>
              <w:rPr>
                <w:sz w:val="11"/>
                <w:szCs w:val="11"/>
                <w:color w:val="auto"/>
              </w:rPr>
            </w:pPr>
          </w:p>
        </w:tc>
        <w:tc>
          <w:tcPr>
            <w:tcW w:w="640" w:type="dxa"/>
            <w:vAlign w:val="bottom"/>
            <w:tcBorders>
              <w:top w:val="single" w:sz="8" w:color="auto"/>
            </w:tcBorders>
            <w:shd w:val="clear" w:color="auto" w:fill="F0FFFF"/>
          </w:tcPr>
          <w:p>
            <w:pPr>
              <w:jc w:val="right"/>
              <w:spacing w:after="0" w:line="135" w:lineRule="exact"/>
              <w:rPr>
                <w:sz w:val="20"/>
                <w:szCs w:val="20"/>
                <w:color w:val="auto"/>
              </w:rPr>
            </w:pPr>
            <w:r>
              <w:rPr>
                <w:rFonts w:ascii="Arial" w:cs="Arial" w:eastAsia="Arial" w:hAnsi="Arial"/>
                <w:sz w:val="13"/>
                <w:szCs w:val="13"/>
                <w:color w:val="auto"/>
              </w:rPr>
              <w:t>54,758</w:t>
            </w:r>
          </w:p>
        </w:tc>
        <w:tc>
          <w:tcPr>
            <w:tcW w:w="260" w:type="dxa"/>
            <w:vAlign w:val="bottom"/>
            <w:tcBorders>
              <w:top w:val="single" w:sz="8" w:color="F0FFFF"/>
            </w:tcBorders>
            <w:shd w:val="clear" w:color="auto" w:fill="F0FFFF"/>
          </w:tcPr>
          <w:p>
            <w:pPr>
              <w:spacing w:after="0"/>
              <w:rPr>
                <w:sz w:val="11"/>
                <w:szCs w:val="11"/>
                <w:color w:val="auto"/>
              </w:rPr>
            </w:pPr>
          </w:p>
        </w:tc>
        <w:tc>
          <w:tcPr>
            <w:tcW w:w="40" w:type="dxa"/>
            <w:vAlign w:val="bottom"/>
            <w:tcBorders>
              <w:top w:val="single" w:sz="8" w:color="F0FFFF"/>
            </w:tcBorders>
            <w:shd w:val="clear" w:color="auto" w:fill="F0FFFF"/>
          </w:tcPr>
          <w:p>
            <w:pPr>
              <w:spacing w:after="0"/>
              <w:rPr>
                <w:sz w:val="11"/>
                <w:szCs w:val="11"/>
                <w:color w:val="auto"/>
              </w:rPr>
            </w:pPr>
          </w:p>
        </w:tc>
        <w:tc>
          <w:tcPr>
            <w:tcW w:w="80" w:type="dxa"/>
            <w:vAlign w:val="bottom"/>
            <w:tcBorders>
              <w:top w:val="single" w:sz="8" w:color="auto"/>
            </w:tcBorders>
            <w:shd w:val="clear" w:color="auto" w:fill="F0FFFF"/>
          </w:tcPr>
          <w:p>
            <w:pPr>
              <w:spacing w:after="0"/>
              <w:rPr>
                <w:sz w:val="11"/>
                <w:szCs w:val="11"/>
                <w:color w:val="auto"/>
              </w:rPr>
            </w:pPr>
          </w:p>
        </w:tc>
        <w:tc>
          <w:tcPr>
            <w:tcW w:w="580" w:type="dxa"/>
            <w:vAlign w:val="bottom"/>
            <w:tcBorders>
              <w:top w:val="single" w:sz="8" w:color="auto"/>
            </w:tcBorders>
            <w:shd w:val="clear" w:color="auto" w:fill="F0FFFF"/>
          </w:tcPr>
          <w:p>
            <w:pPr>
              <w:jc w:val="right"/>
              <w:spacing w:after="0" w:line="135" w:lineRule="exact"/>
              <w:rPr>
                <w:sz w:val="20"/>
                <w:szCs w:val="20"/>
                <w:color w:val="auto"/>
              </w:rPr>
            </w:pPr>
            <w:r>
              <w:rPr>
                <w:rFonts w:ascii="Arial" w:cs="Arial" w:eastAsia="Arial" w:hAnsi="Arial"/>
                <w:sz w:val="13"/>
                <w:szCs w:val="13"/>
                <w:color w:val="auto"/>
              </w:rPr>
              <w:t>5,398</w:t>
            </w:r>
          </w:p>
        </w:tc>
        <w:tc>
          <w:tcPr>
            <w:tcW w:w="160" w:type="dxa"/>
            <w:vAlign w:val="bottom"/>
            <w:tcBorders>
              <w:top w:val="single" w:sz="8" w:color="F0FFFF"/>
            </w:tcBorders>
            <w:shd w:val="clear" w:color="auto" w:fill="F0FFFF"/>
          </w:tcPr>
          <w:p>
            <w:pPr>
              <w:spacing w:after="0"/>
              <w:rPr>
                <w:sz w:val="11"/>
                <w:szCs w:val="11"/>
                <w:color w:val="auto"/>
              </w:rPr>
            </w:pPr>
          </w:p>
        </w:tc>
        <w:tc>
          <w:tcPr>
            <w:tcW w:w="140" w:type="dxa"/>
            <w:vAlign w:val="bottom"/>
            <w:tcBorders>
              <w:top w:val="single" w:sz="8" w:color="F0FFFF"/>
            </w:tcBorders>
            <w:shd w:val="clear" w:color="auto" w:fill="F0FFFF"/>
          </w:tcPr>
          <w:p>
            <w:pPr>
              <w:spacing w:after="0"/>
              <w:rPr>
                <w:sz w:val="11"/>
                <w:szCs w:val="11"/>
                <w:color w:val="auto"/>
              </w:rPr>
            </w:pPr>
          </w:p>
        </w:tc>
        <w:tc>
          <w:tcPr>
            <w:tcW w:w="100" w:type="dxa"/>
            <w:vAlign w:val="bottom"/>
            <w:tcBorders>
              <w:top w:val="single" w:sz="8" w:color="auto"/>
            </w:tcBorders>
            <w:shd w:val="clear" w:color="auto" w:fill="F0FFFF"/>
          </w:tcPr>
          <w:p>
            <w:pPr>
              <w:spacing w:after="0"/>
              <w:rPr>
                <w:sz w:val="11"/>
                <w:szCs w:val="11"/>
                <w:color w:val="auto"/>
              </w:rPr>
            </w:pPr>
          </w:p>
        </w:tc>
        <w:tc>
          <w:tcPr>
            <w:tcW w:w="520" w:type="dxa"/>
            <w:vAlign w:val="bottom"/>
            <w:tcBorders>
              <w:top w:val="single" w:sz="8" w:color="auto"/>
            </w:tcBorders>
            <w:shd w:val="clear" w:color="auto" w:fill="F0FFFF"/>
          </w:tcPr>
          <w:p>
            <w:pPr>
              <w:jc w:val="right"/>
              <w:spacing w:after="0" w:line="135" w:lineRule="exact"/>
              <w:rPr>
                <w:sz w:val="20"/>
                <w:szCs w:val="20"/>
                <w:color w:val="auto"/>
              </w:rPr>
            </w:pPr>
            <w:r>
              <w:rPr>
                <w:rFonts w:ascii="Arial" w:cs="Arial" w:eastAsia="Arial" w:hAnsi="Arial"/>
                <w:sz w:val="13"/>
                <w:szCs w:val="13"/>
                <w:color w:val="auto"/>
              </w:rPr>
              <w:t>48,118</w:t>
            </w:r>
          </w:p>
        </w:tc>
        <w:tc>
          <w:tcPr>
            <w:tcW w:w="140" w:type="dxa"/>
            <w:vAlign w:val="bottom"/>
            <w:tcBorders>
              <w:top w:val="single" w:sz="8" w:color="F0FFFF"/>
            </w:tcBorders>
            <w:shd w:val="clear" w:color="auto" w:fill="F0FFFF"/>
          </w:tcPr>
          <w:p>
            <w:pPr>
              <w:spacing w:after="0"/>
              <w:rPr>
                <w:sz w:val="11"/>
                <w:szCs w:val="11"/>
                <w:color w:val="auto"/>
              </w:rPr>
            </w:pPr>
          </w:p>
        </w:tc>
        <w:tc>
          <w:tcPr>
            <w:tcW w:w="160" w:type="dxa"/>
            <w:vAlign w:val="bottom"/>
            <w:tcBorders>
              <w:top w:val="single" w:sz="8" w:color="F0FFFF"/>
            </w:tcBorders>
            <w:shd w:val="clear" w:color="auto" w:fill="F0FFFF"/>
          </w:tcPr>
          <w:p>
            <w:pPr>
              <w:spacing w:after="0"/>
              <w:rPr>
                <w:sz w:val="11"/>
                <w:szCs w:val="11"/>
                <w:color w:val="auto"/>
              </w:rPr>
            </w:pPr>
          </w:p>
        </w:tc>
        <w:tc>
          <w:tcPr>
            <w:tcW w:w="60" w:type="dxa"/>
            <w:vAlign w:val="bottom"/>
            <w:tcBorders>
              <w:top w:val="single" w:sz="8" w:color="auto"/>
            </w:tcBorders>
            <w:shd w:val="clear" w:color="auto" w:fill="F0FFFF"/>
          </w:tcPr>
          <w:p>
            <w:pPr>
              <w:spacing w:after="0"/>
              <w:rPr>
                <w:sz w:val="11"/>
                <w:szCs w:val="11"/>
                <w:color w:val="auto"/>
              </w:rPr>
            </w:pPr>
          </w:p>
        </w:tc>
        <w:tc>
          <w:tcPr>
            <w:tcW w:w="640" w:type="dxa"/>
            <w:vAlign w:val="bottom"/>
            <w:tcBorders>
              <w:top w:val="single" w:sz="8" w:color="auto"/>
            </w:tcBorders>
            <w:shd w:val="clear" w:color="auto" w:fill="F0FFFF"/>
          </w:tcPr>
          <w:p>
            <w:pPr>
              <w:jc w:val="right"/>
              <w:spacing w:after="0" w:line="135" w:lineRule="exact"/>
              <w:rPr>
                <w:sz w:val="20"/>
                <w:szCs w:val="20"/>
                <w:color w:val="auto"/>
              </w:rPr>
            </w:pPr>
            <w:r>
              <w:rPr>
                <w:rFonts w:ascii="Arial" w:cs="Arial" w:eastAsia="Arial" w:hAnsi="Arial"/>
                <w:sz w:val="13"/>
                <w:szCs w:val="13"/>
                <w:color w:val="auto"/>
              </w:rPr>
              <w:t>46,154</w:t>
            </w:r>
          </w:p>
        </w:tc>
        <w:tc>
          <w:tcPr>
            <w:tcW w:w="320" w:type="dxa"/>
            <w:vAlign w:val="bottom"/>
            <w:tcBorders>
              <w:top w:val="single" w:sz="8" w:color="F0FFFF"/>
            </w:tcBorders>
            <w:shd w:val="clear" w:color="auto" w:fill="F0FFFF"/>
          </w:tcPr>
          <w:p>
            <w:pPr>
              <w:spacing w:after="0"/>
              <w:rPr>
                <w:sz w:val="11"/>
                <w:szCs w:val="11"/>
                <w:color w:val="auto"/>
              </w:rPr>
            </w:pPr>
          </w:p>
        </w:tc>
        <w:tc>
          <w:tcPr>
            <w:tcW w:w="80" w:type="dxa"/>
            <w:vAlign w:val="bottom"/>
            <w:tcBorders>
              <w:top w:val="single" w:sz="8" w:color="auto"/>
            </w:tcBorders>
            <w:shd w:val="clear" w:color="auto" w:fill="F0FFFF"/>
          </w:tcPr>
          <w:p>
            <w:pPr>
              <w:spacing w:after="0"/>
              <w:rPr>
                <w:sz w:val="11"/>
                <w:szCs w:val="11"/>
                <w:color w:val="auto"/>
              </w:rPr>
            </w:pPr>
          </w:p>
        </w:tc>
        <w:tc>
          <w:tcPr>
            <w:tcW w:w="600" w:type="dxa"/>
            <w:vAlign w:val="bottom"/>
            <w:tcBorders>
              <w:top w:val="single" w:sz="8" w:color="auto"/>
            </w:tcBorders>
            <w:shd w:val="clear" w:color="auto" w:fill="F0FFFF"/>
          </w:tcPr>
          <w:p>
            <w:pPr>
              <w:jc w:val="right"/>
              <w:spacing w:after="0" w:line="135" w:lineRule="exact"/>
              <w:rPr>
                <w:sz w:val="20"/>
                <w:szCs w:val="20"/>
                <w:color w:val="auto"/>
              </w:rPr>
            </w:pPr>
            <w:r>
              <w:rPr>
                <w:rFonts w:ascii="Arial" w:cs="Arial" w:eastAsia="Arial" w:hAnsi="Arial"/>
                <w:sz w:val="13"/>
                <w:szCs w:val="13"/>
                <w:color w:val="auto"/>
              </w:rPr>
              <w:t>4,698</w:t>
            </w:r>
          </w:p>
        </w:tc>
        <w:tc>
          <w:tcPr>
            <w:tcW w:w="20" w:type="dxa"/>
            <w:vAlign w:val="bottom"/>
            <w:tcBorders>
              <w:top w:val="single" w:sz="8" w:color="F0FFFF"/>
            </w:tcBorders>
            <w:shd w:val="clear" w:color="auto" w:fill="F0FFFF"/>
          </w:tcPr>
          <w:p>
            <w:pPr>
              <w:spacing w:after="0"/>
              <w:rPr>
                <w:sz w:val="11"/>
                <w:szCs w:val="11"/>
                <w:color w:val="auto"/>
              </w:rPr>
            </w:pPr>
          </w:p>
        </w:tc>
        <w:tc>
          <w:tcPr>
            <w:tcW w:w="80" w:type="dxa"/>
            <w:vAlign w:val="bottom"/>
            <w:tcBorders>
              <w:top w:val="single" w:sz="8" w:color="F0FFFF"/>
            </w:tcBorders>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tcPr>
          <w:p>
            <w:pPr>
              <w:ind w:left="120"/>
              <w:spacing w:after="0" w:line="135" w:lineRule="exact"/>
              <w:rPr>
                <w:sz w:val="20"/>
                <w:szCs w:val="20"/>
                <w:color w:val="auto"/>
              </w:rPr>
            </w:pPr>
            <w:r>
              <w:rPr>
                <w:rFonts w:ascii="Arial" w:cs="Arial" w:eastAsia="Arial" w:hAnsi="Arial"/>
                <w:sz w:val="13"/>
                <w:szCs w:val="13"/>
                <w:color w:val="auto"/>
              </w:rPr>
              <w:t>Residential mortgage</w:t>
            </w:r>
          </w:p>
        </w:tc>
        <w:tc>
          <w:tcPr>
            <w:tcW w:w="10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19,045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18,608</w:t>
            </w:r>
          </w:p>
        </w:tc>
        <w:tc>
          <w:tcPr>
            <w:tcW w:w="1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3,107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17,732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17,303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3,227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18,077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17,606</w:t>
            </w:r>
          </w:p>
        </w:tc>
        <w:tc>
          <w:tcPr>
            <w:tcW w:w="80" w:type="dxa"/>
            <w:vAlign w:val="bottom"/>
          </w:tcPr>
          <w:p>
            <w:pPr>
              <w:spacing w:after="0"/>
              <w:rPr>
                <w:sz w:val="11"/>
                <w:szCs w:val="11"/>
                <w:color w:val="auto"/>
              </w:rPr>
            </w:pPr>
          </w:p>
        </w:tc>
        <w:tc>
          <w:tcPr>
            <w:tcW w:w="6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3,117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shd w:val="clear" w:color="auto" w:fill="F0FFFF"/>
          </w:tcPr>
          <w:p>
            <w:pPr>
              <w:ind w:left="120"/>
              <w:spacing w:after="0" w:line="135" w:lineRule="exact"/>
              <w:rPr>
                <w:sz w:val="20"/>
                <w:szCs w:val="20"/>
                <w:color w:val="auto"/>
              </w:rPr>
            </w:pPr>
            <w:r>
              <w:rPr>
                <w:rFonts w:ascii="Arial" w:cs="Arial" w:eastAsia="Arial" w:hAnsi="Arial"/>
                <w:sz w:val="13"/>
                <w:szCs w:val="13"/>
                <w:color w:val="auto"/>
              </w:rPr>
              <w:t>Home equity lines of credit</w:t>
            </w:r>
          </w:p>
        </w:tc>
        <w:tc>
          <w:tcPr>
            <w:tcW w:w="100" w:type="dxa"/>
            <w:vAlign w:val="bottom"/>
            <w:shd w:val="clear" w:color="auto" w:fill="F0FFFF"/>
          </w:tcPr>
          <w:p>
            <w:pPr>
              <w:spacing w:after="0"/>
              <w:rPr>
                <w:sz w:val="11"/>
                <w:szCs w:val="11"/>
                <w:color w:val="auto"/>
              </w:rPr>
            </w:pPr>
          </w:p>
        </w:tc>
        <w:tc>
          <w:tcPr>
            <w:tcW w:w="660" w:type="dxa"/>
            <w:vAlign w:val="bottom"/>
            <w:gridSpan w:val="2"/>
            <w:shd w:val="clear" w:color="auto" w:fill="F0FFFF"/>
          </w:tcPr>
          <w:p>
            <w:pPr>
              <w:jc w:val="right"/>
              <w:ind w:right="140"/>
              <w:spacing w:after="0" w:line="135" w:lineRule="exact"/>
              <w:rPr>
                <w:sz w:val="20"/>
                <w:szCs w:val="20"/>
                <w:color w:val="auto"/>
              </w:rPr>
            </w:pPr>
            <w:r>
              <w:rPr>
                <w:rFonts w:ascii="Arial" w:cs="Arial" w:eastAsia="Arial" w:hAnsi="Arial"/>
                <w:sz w:val="13"/>
                <w:szCs w:val="13"/>
                <w:color w:val="auto"/>
              </w:rPr>
              <w:t>563</w:t>
            </w:r>
          </w:p>
        </w:tc>
        <w:tc>
          <w:tcPr>
            <w:tcW w:w="16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940" w:type="dxa"/>
            <w:vAlign w:val="bottom"/>
            <w:gridSpan w:val="2"/>
            <w:shd w:val="clear" w:color="auto" w:fill="F0FFFF"/>
          </w:tcPr>
          <w:p>
            <w:pPr>
              <w:jc w:val="right"/>
              <w:ind w:right="300"/>
              <w:spacing w:after="0" w:line="135" w:lineRule="exact"/>
              <w:rPr>
                <w:sz w:val="20"/>
                <w:szCs w:val="20"/>
                <w:color w:val="auto"/>
              </w:rPr>
            </w:pPr>
            <w:r>
              <w:rPr>
                <w:rFonts w:ascii="Arial" w:cs="Arial" w:eastAsia="Arial" w:hAnsi="Arial"/>
                <w:sz w:val="13"/>
                <w:szCs w:val="13"/>
                <w:color w:val="auto"/>
              </w:rPr>
              <w:t>551</w:t>
            </w:r>
          </w:p>
        </w:tc>
        <w:tc>
          <w:tcPr>
            <w:tcW w:w="100" w:type="dxa"/>
            <w:vAlign w:val="bottom"/>
            <w:shd w:val="clear" w:color="auto" w:fill="F0FFFF"/>
          </w:tcPr>
          <w:p>
            <w:pPr>
              <w:spacing w:after="0"/>
              <w:rPr>
                <w:sz w:val="11"/>
                <w:szCs w:val="11"/>
                <w:color w:val="auto"/>
              </w:rPr>
            </w:pPr>
          </w:p>
        </w:tc>
        <w:tc>
          <w:tcPr>
            <w:tcW w:w="720" w:type="dxa"/>
            <w:vAlign w:val="bottom"/>
            <w:gridSpan w:val="2"/>
            <w:shd w:val="clear" w:color="auto" w:fill="F0FFFF"/>
          </w:tcPr>
          <w:p>
            <w:pPr>
              <w:jc w:val="right"/>
              <w:ind w:right="140"/>
              <w:spacing w:after="0" w:line="135" w:lineRule="exact"/>
              <w:rPr>
                <w:sz w:val="20"/>
                <w:szCs w:val="20"/>
                <w:color w:val="auto"/>
              </w:rPr>
            </w:pPr>
            <w:r>
              <w:rPr>
                <w:rFonts w:ascii="Arial" w:cs="Arial" w:eastAsia="Arial" w:hAnsi="Arial"/>
                <w:sz w:val="13"/>
                <w:szCs w:val="13"/>
                <w:color w:val="auto"/>
              </w:rPr>
              <w:t>26</w:t>
            </w:r>
          </w:p>
        </w:tc>
        <w:tc>
          <w:tcPr>
            <w:tcW w:w="1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4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478</w:t>
            </w:r>
          </w:p>
        </w:tc>
        <w:tc>
          <w:tcPr>
            <w:tcW w:w="1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00" w:type="dxa"/>
            <w:vAlign w:val="bottom"/>
            <w:gridSpan w:val="2"/>
            <w:shd w:val="clear" w:color="auto" w:fill="F0FFFF"/>
          </w:tcPr>
          <w:p>
            <w:pPr>
              <w:jc w:val="right"/>
              <w:ind w:right="260"/>
              <w:spacing w:after="0" w:line="135" w:lineRule="exact"/>
              <w:rPr>
                <w:sz w:val="20"/>
                <w:szCs w:val="20"/>
                <w:color w:val="auto"/>
              </w:rPr>
            </w:pPr>
            <w:r>
              <w:rPr>
                <w:rFonts w:ascii="Arial" w:cs="Arial" w:eastAsia="Arial" w:hAnsi="Arial"/>
                <w:sz w:val="13"/>
                <w:szCs w:val="13"/>
                <w:color w:val="auto"/>
              </w:rPr>
              <w:t>478</w:t>
            </w:r>
          </w:p>
        </w:tc>
        <w:tc>
          <w:tcPr>
            <w:tcW w:w="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40" w:type="dxa"/>
            <w:vAlign w:val="bottom"/>
            <w:gridSpan w:val="2"/>
            <w:shd w:val="clear" w:color="auto" w:fill="F0FFFF"/>
          </w:tcPr>
          <w:p>
            <w:pPr>
              <w:jc w:val="right"/>
              <w:ind w:right="160"/>
              <w:spacing w:after="0" w:line="135" w:lineRule="exact"/>
              <w:rPr>
                <w:sz w:val="20"/>
                <w:szCs w:val="20"/>
                <w:color w:val="auto"/>
              </w:rPr>
            </w:pPr>
            <w:r>
              <w:rPr>
                <w:rFonts w:ascii="Arial" w:cs="Arial" w:eastAsia="Arial" w:hAnsi="Arial"/>
                <w:sz w:val="13"/>
                <w:szCs w:val="13"/>
                <w:color w:val="auto"/>
              </w:rPr>
              <w:t>47</w:t>
            </w:r>
          </w:p>
        </w:tc>
        <w:tc>
          <w:tcPr>
            <w:tcW w:w="1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60" w:type="dxa"/>
            <w:vAlign w:val="bottom"/>
            <w:gridSpan w:val="2"/>
            <w:shd w:val="clear" w:color="auto" w:fill="F0FFFF"/>
          </w:tcPr>
          <w:p>
            <w:pPr>
              <w:jc w:val="right"/>
              <w:ind w:right="140"/>
              <w:spacing w:after="0" w:line="135" w:lineRule="exact"/>
              <w:rPr>
                <w:sz w:val="20"/>
                <w:szCs w:val="20"/>
                <w:color w:val="auto"/>
              </w:rPr>
            </w:pPr>
            <w:r>
              <w:rPr>
                <w:rFonts w:ascii="Arial" w:cs="Arial" w:eastAsia="Arial" w:hAnsi="Arial"/>
                <w:sz w:val="13"/>
                <w:szCs w:val="13"/>
                <w:color w:val="auto"/>
              </w:rPr>
              <w:t>540</w:t>
            </w:r>
          </w:p>
        </w:tc>
        <w:tc>
          <w:tcPr>
            <w:tcW w:w="16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960" w:type="dxa"/>
            <w:vAlign w:val="bottom"/>
            <w:gridSpan w:val="2"/>
            <w:shd w:val="clear" w:color="auto" w:fill="F0FFFF"/>
          </w:tcPr>
          <w:p>
            <w:pPr>
              <w:jc w:val="right"/>
              <w:ind w:right="320"/>
              <w:spacing w:after="0" w:line="135" w:lineRule="exact"/>
              <w:rPr>
                <w:sz w:val="20"/>
                <w:szCs w:val="20"/>
                <w:color w:val="auto"/>
              </w:rPr>
            </w:pPr>
            <w:r>
              <w:rPr>
                <w:rFonts w:ascii="Arial" w:cs="Arial" w:eastAsia="Arial" w:hAnsi="Arial"/>
                <w:sz w:val="13"/>
                <w:szCs w:val="13"/>
                <w:color w:val="auto"/>
              </w:rPr>
              <w:t>540</w:t>
            </w:r>
          </w:p>
        </w:tc>
        <w:tc>
          <w:tcPr>
            <w:tcW w:w="80" w:type="dxa"/>
            <w:vAlign w:val="bottom"/>
            <w:shd w:val="clear" w:color="auto" w:fill="F0FFFF"/>
          </w:tcPr>
          <w:p>
            <w:pPr>
              <w:spacing w:after="0"/>
              <w:rPr>
                <w:sz w:val="11"/>
                <w:szCs w:val="11"/>
                <w:color w:val="auto"/>
              </w:rPr>
            </w:pPr>
          </w:p>
        </w:tc>
        <w:tc>
          <w:tcPr>
            <w:tcW w:w="620" w:type="dxa"/>
            <w:vAlign w:val="bottom"/>
            <w:gridSpan w:val="2"/>
            <w:shd w:val="clear" w:color="auto" w:fill="F0FFFF"/>
          </w:tcPr>
          <w:p>
            <w:pPr>
              <w:jc w:val="right"/>
              <w:ind w:right="20"/>
              <w:spacing w:after="0" w:line="135" w:lineRule="exact"/>
              <w:rPr>
                <w:sz w:val="20"/>
                <w:szCs w:val="20"/>
                <w:color w:val="auto"/>
              </w:rPr>
            </w:pPr>
            <w:r>
              <w:rPr>
                <w:rFonts w:ascii="Arial" w:cs="Arial" w:eastAsia="Arial" w:hAnsi="Arial"/>
                <w:sz w:val="13"/>
                <w:szCs w:val="13"/>
                <w:color w:val="auto"/>
              </w:rPr>
              <w:t>115</w:t>
            </w:r>
          </w:p>
        </w:tc>
        <w:tc>
          <w:tcPr>
            <w:tcW w:w="8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tcPr>
          <w:p>
            <w:pPr>
              <w:ind w:left="120"/>
              <w:spacing w:after="0" w:line="135" w:lineRule="exact"/>
              <w:rPr>
                <w:sz w:val="20"/>
                <w:szCs w:val="20"/>
                <w:color w:val="auto"/>
              </w:rPr>
            </w:pPr>
            <w:r>
              <w:rPr>
                <w:rFonts w:ascii="Arial" w:cs="Arial" w:eastAsia="Arial" w:hAnsi="Arial"/>
                <w:sz w:val="13"/>
                <w:szCs w:val="13"/>
                <w:color w:val="auto"/>
              </w:rPr>
              <w:t>Residential construction</w:t>
            </w:r>
          </w:p>
        </w:tc>
        <w:tc>
          <w:tcPr>
            <w:tcW w:w="10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7,291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6,284</w:t>
            </w:r>
          </w:p>
        </w:tc>
        <w:tc>
          <w:tcPr>
            <w:tcW w:w="10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506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8,962</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8,266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1,192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9,255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7,829</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1,054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00" w:type="dxa"/>
            <w:vAlign w:val="bottom"/>
            <w:shd w:val="clear" w:color="auto" w:fill="F0FFFF"/>
          </w:tcPr>
          <w:p>
            <w:pPr>
              <w:ind w:left="120"/>
              <w:spacing w:after="0" w:line="135" w:lineRule="exact"/>
              <w:rPr>
                <w:sz w:val="20"/>
                <w:szCs w:val="20"/>
                <w:color w:val="auto"/>
              </w:rPr>
            </w:pPr>
            <w:r>
              <w:rPr>
                <w:rFonts w:ascii="Arial" w:cs="Arial" w:eastAsia="Arial" w:hAnsi="Arial"/>
                <w:sz w:val="13"/>
                <w:szCs w:val="13"/>
                <w:color w:val="auto"/>
              </w:rPr>
              <w:t>Consumer installment</w:t>
            </w:r>
          </w:p>
        </w:tc>
        <w:tc>
          <w:tcPr>
            <w:tcW w:w="100" w:type="dxa"/>
            <w:vAlign w:val="bottom"/>
            <w:shd w:val="clear" w:color="auto" w:fill="F0FFFF"/>
          </w:tcPr>
          <w:p>
            <w:pPr>
              <w:spacing w:after="0"/>
              <w:rPr>
                <w:sz w:val="11"/>
                <w:szCs w:val="11"/>
                <w:color w:val="auto"/>
              </w:rPr>
            </w:pPr>
          </w:p>
        </w:tc>
        <w:tc>
          <w:tcPr>
            <w:tcW w:w="660" w:type="dxa"/>
            <w:vAlign w:val="bottom"/>
            <w:gridSpan w:val="2"/>
            <w:shd w:val="clear" w:color="auto" w:fill="F0FFFF"/>
          </w:tcPr>
          <w:p>
            <w:pPr>
              <w:jc w:val="right"/>
              <w:ind w:right="140"/>
              <w:spacing w:after="0" w:line="135" w:lineRule="exact"/>
              <w:rPr>
                <w:sz w:val="20"/>
                <w:szCs w:val="20"/>
                <w:color w:val="auto"/>
              </w:rPr>
            </w:pPr>
            <w:r>
              <w:rPr>
                <w:rFonts w:ascii="Arial" w:cs="Arial" w:eastAsia="Arial" w:hAnsi="Arial"/>
                <w:sz w:val="13"/>
                <w:szCs w:val="13"/>
                <w:color w:val="auto"/>
              </w:rPr>
              <w:t>163</w:t>
            </w:r>
          </w:p>
        </w:tc>
        <w:tc>
          <w:tcPr>
            <w:tcW w:w="16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940" w:type="dxa"/>
            <w:vAlign w:val="bottom"/>
            <w:gridSpan w:val="2"/>
            <w:shd w:val="clear" w:color="auto" w:fill="F0FFFF"/>
          </w:tcPr>
          <w:p>
            <w:pPr>
              <w:jc w:val="right"/>
              <w:ind w:right="300"/>
              <w:spacing w:after="0" w:line="135" w:lineRule="exact"/>
              <w:rPr>
                <w:sz w:val="20"/>
                <w:szCs w:val="20"/>
                <w:color w:val="auto"/>
              </w:rPr>
            </w:pPr>
            <w:r>
              <w:rPr>
                <w:rFonts w:ascii="Arial" w:cs="Arial" w:eastAsia="Arial" w:hAnsi="Arial"/>
                <w:sz w:val="13"/>
                <w:szCs w:val="13"/>
                <w:color w:val="auto"/>
              </w:rPr>
              <w:t>141</w:t>
            </w:r>
          </w:p>
        </w:tc>
        <w:tc>
          <w:tcPr>
            <w:tcW w:w="100" w:type="dxa"/>
            <w:vAlign w:val="bottom"/>
            <w:shd w:val="clear" w:color="auto" w:fill="F0FFFF"/>
          </w:tcPr>
          <w:p>
            <w:pPr>
              <w:spacing w:after="0"/>
              <w:rPr>
                <w:sz w:val="11"/>
                <w:szCs w:val="11"/>
                <w:color w:val="auto"/>
              </w:rPr>
            </w:pPr>
          </w:p>
        </w:tc>
        <w:tc>
          <w:tcPr>
            <w:tcW w:w="720" w:type="dxa"/>
            <w:vAlign w:val="bottom"/>
            <w:gridSpan w:val="2"/>
            <w:shd w:val="clear" w:color="auto" w:fill="F0FFFF"/>
          </w:tcPr>
          <w:p>
            <w:pPr>
              <w:jc w:val="right"/>
              <w:ind w:right="140"/>
              <w:spacing w:after="0" w:line="135" w:lineRule="exact"/>
              <w:rPr>
                <w:sz w:val="20"/>
                <w:szCs w:val="20"/>
                <w:color w:val="auto"/>
              </w:rPr>
            </w:pPr>
            <w:r>
              <w:rPr>
                <w:rFonts w:ascii="Arial" w:cs="Arial" w:eastAsia="Arial" w:hAnsi="Arial"/>
                <w:sz w:val="13"/>
                <w:szCs w:val="13"/>
                <w:color w:val="auto"/>
              </w:rPr>
              <w:t>6</w:t>
            </w:r>
          </w:p>
        </w:tc>
        <w:tc>
          <w:tcPr>
            <w:tcW w:w="1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40" w:type="dxa"/>
            <w:vAlign w:val="bottom"/>
            <w:gridSpan w:val="2"/>
            <w:shd w:val="clear" w:color="auto" w:fill="F0FFFF"/>
          </w:tcPr>
          <w:p>
            <w:pPr>
              <w:jc w:val="right"/>
              <w:ind w:right="120"/>
              <w:spacing w:after="0" w:line="135" w:lineRule="exact"/>
              <w:rPr>
                <w:sz w:val="20"/>
                <w:szCs w:val="20"/>
                <w:color w:val="auto"/>
              </w:rPr>
            </w:pPr>
            <w:r>
              <w:rPr>
                <w:rFonts w:ascii="Arial" w:cs="Arial" w:eastAsia="Arial" w:hAnsi="Arial"/>
                <w:sz w:val="13"/>
                <w:szCs w:val="13"/>
                <w:color w:val="auto"/>
              </w:rPr>
              <w:t>179</w:t>
            </w:r>
          </w:p>
        </w:tc>
        <w:tc>
          <w:tcPr>
            <w:tcW w:w="1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00" w:type="dxa"/>
            <w:vAlign w:val="bottom"/>
            <w:gridSpan w:val="2"/>
            <w:shd w:val="clear" w:color="auto" w:fill="F0FFFF"/>
          </w:tcPr>
          <w:p>
            <w:pPr>
              <w:jc w:val="right"/>
              <w:ind w:right="260"/>
              <w:spacing w:after="0" w:line="135" w:lineRule="exact"/>
              <w:rPr>
                <w:sz w:val="20"/>
                <w:szCs w:val="20"/>
                <w:color w:val="auto"/>
              </w:rPr>
            </w:pPr>
            <w:r>
              <w:rPr>
                <w:rFonts w:ascii="Arial" w:cs="Arial" w:eastAsia="Arial" w:hAnsi="Arial"/>
                <w:sz w:val="13"/>
                <w:szCs w:val="13"/>
                <w:color w:val="auto"/>
              </w:rPr>
              <w:t>179</w:t>
            </w:r>
          </w:p>
        </w:tc>
        <w:tc>
          <w:tcPr>
            <w:tcW w:w="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40" w:type="dxa"/>
            <w:vAlign w:val="bottom"/>
            <w:gridSpan w:val="2"/>
            <w:shd w:val="clear" w:color="auto" w:fill="F0FFFF"/>
          </w:tcPr>
          <w:p>
            <w:pPr>
              <w:jc w:val="right"/>
              <w:ind w:right="160"/>
              <w:spacing w:after="0" w:line="135" w:lineRule="exact"/>
              <w:rPr>
                <w:sz w:val="20"/>
                <w:szCs w:val="20"/>
                <w:color w:val="auto"/>
              </w:rPr>
            </w:pPr>
            <w:r>
              <w:rPr>
                <w:rFonts w:ascii="Arial" w:cs="Arial" w:eastAsia="Arial" w:hAnsi="Arial"/>
                <w:sz w:val="13"/>
                <w:szCs w:val="13"/>
                <w:color w:val="auto"/>
              </w:rPr>
              <w:t>18</w:t>
            </w:r>
          </w:p>
        </w:tc>
        <w:tc>
          <w:tcPr>
            <w:tcW w:w="1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60" w:type="dxa"/>
            <w:vAlign w:val="bottom"/>
            <w:gridSpan w:val="2"/>
            <w:shd w:val="clear" w:color="auto" w:fill="F0FFFF"/>
          </w:tcPr>
          <w:p>
            <w:pPr>
              <w:jc w:val="right"/>
              <w:ind w:right="140"/>
              <w:spacing w:after="0" w:line="135" w:lineRule="exact"/>
              <w:rPr>
                <w:sz w:val="20"/>
                <w:szCs w:val="20"/>
                <w:color w:val="auto"/>
              </w:rPr>
            </w:pPr>
            <w:r>
              <w:rPr>
                <w:rFonts w:ascii="Arial" w:cs="Arial" w:eastAsia="Arial" w:hAnsi="Arial"/>
                <w:sz w:val="13"/>
                <w:szCs w:val="13"/>
                <w:color w:val="auto"/>
              </w:rPr>
              <w:t>329</w:t>
            </w:r>
          </w:p>
        </w:tc>
        <w:tc>
          <w:tcPr>
            <w:tcW w:w="16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960" w:type="dxa"/>
            <w:vAlign w:val="bottom"/>
            <w:gridSpan w:val="2"/>
            <w:shd w:val="clear" w:color="auto" w:fill="F0FFFF"/>
          </w:tcPr>
          <w:p>
            <w:pPr>
              <w:jc w:val="right"/>
              <w:ind w:right="320"/>
              <w:spacing w:after="0" w:line="135" w:lineRule="exact"/>
              <w:rPr>
                <w:sz w:val="20"/>
                <w:szCs w:val="20"/>
                <w:color w:val="auto"/>
              </w:rPr>
            </w:pPr>
            <w:r>
              <w:rPr>
                <w:rFonts w:ascii="Arial" w:cs="Arial" w:eastAsia="Arial" w:hAnsi="Arial"/>
                <w:sz w:val="13"/>
                <w:szCs w:val="13"/>
                <w:color w:val="auto"/>
              </w:rPr>
              <w:t>329</w:t>
            </w:r>
          </w:p>
        </w:tc>
        <w:tc>
          <w:tcPr>
            <w:tcW w:w="80" w:type="dxa"/>
            <w:vAlign w:val="bottom"/>
            <w:shd w:val="clear" w:color="auto" w:fill="F0FFFF"/>
          </w:tcPr>
          <w:p>
            <w:pPr>
              <w:spacing w:after="0"/>
              <w:rPr>
                <w:sz w:val="11"/>
                <w:szCs w:val="11"/>
                <w:color w:val="auto"/>
              </w:rPr>
            </w:pPr>
          </w:p>
        </w:tc>
        <w:tc>
          <w:tcPr>
            <w:tcW w:w="620" w:type="dxa"/>
            <w:vAlign w:val="bottom"/>
            <w:gridSpan w:val="2"/>
            <w:shd w:val="clear" w:color="auto" w:fill="F0FFFF"/>
          </w:tcPr>
          <w:p>
            <w:pPr>
              <w:jc w:val="right"/>
              <w:ind w:right="20"/>
              <w:spacing w:after="0" w:line="135" w:lineRule="exact"/>
              <w:rPr>
                <w:sz w:val="20"/>
                <w:szCs w:val="20"/>
                <w:color w:val="auto"/>
              </w:rPr>
            </w:pPr>
            <w:r>
              <w:rPr>
                <w:rFonts w:ascii="Arial" w:cs="Arial" w:eastAsia="Arial" w:hAnsi="Arial"/>
                <w:sz w:val="13"/>
                <w:szCs w:val="13"/>
                <w:color w:val="auto"/>
              </w:rPr>
              <w:t>33</w:t>
            </w:r>
          </w:p>
        </w:tc>
        <w:tc>
          <w:tcPr>
            <w:tcW w:w="8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00" w:type="dxa"/>
            <w:vAlign w:val="bottom"/>
          </w:tcPr>
          <w:p>
            <w:pPr>
              <w:ind w:left="120"/>
              <w:spacing w:after="0"/>
              <w:rPr>
                <w:sz w:val="20"/>
                <w:szCs w:val="20"/>
                <w:color w:val="auto"/>
              </w:rPr>
            </w:pPr>
            <w:r>
              <w:rPr>
                <w:rFonts w:ascii="Arial" w:cs="Arial" w:eastAsia="Arial" w:hAnsi="Arial"/>
                <w:sz w:val="13"/>
                <w:szCs w:val="13"/>
                <w:color w:val="auto"/>
              </w:rPr>
              <w:t>Indirect auto</w:t>
            </w: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900" w:type="dxa"/>
            <w:vAlign w:val="bottom"/>
            <w:tcBorders>
              <w:top w:val="single" w:sz="8" w:color="F0FFFF"/>
              <w:bottom w:val="single" w:sz="8" w:color="F0FFFF"/>
            </w:tcBorders>
            <w:shd w:val="clear" w:color="auto" w:fill="F0FFFF"/>
          </w:tcPr>
          <w:p>
            <w:pPr>
              <w:ind w:left="200"/>
              <w:spacing w:after="0" w:line="135" w:lineRule="exact"/>
              <w:rPr>
                <w:sz w:val="20"/>
                <w:szCs w:val="20"/>
                <w:color w:val="auto"/>
              </w:rPr>
            </w:pPr>
            <w:r>
              <w:rPr>
                <w:rFonts w:ascii="Arial" w:cs="Arial" w:eastAsia="Arial" w:hAnsi="Arial"/>
                <w:sz w:val="13"/>
                <w:szCs w:val="13"/>
                <w:color w:val="auto"/>
              </w:rPr>
              <w:t>Total with an allowance recorded</w:t>
            </w:r>
          </w:p>
        </w:tc>
        <w:tc>
          <w:tcPr>
            <w:tcW w:w="100" w:type="dxa"/>
            <w:vAlign w:val="bottom"/>
            <w:tcBorders>
              <w:top w:val="single" w:sz="8" w:color="auto"/>
              <w:bottom w:val="single" w:sz="8" w:color="auto"/>
            </w:tcBorders>
            <w:shd w:val="clear" w:color="auto" w:fill="F0FFFF"/>
          </w:tcPr>
          <w:p>
            <w:pPr>
              <w:spacing w:after="0"/>
              <w:rPr>
                <w:sz w:val="13"/>
                <w:szCs w:val="13"/>
                <w:color w:val="auto"/>
              </w:rPr>
            </w:pPr>
          </w:p>
        </w:tc>
        <w:tc>
          <w:tcPr>
            <w:tcW w:w="520" w:type="dxa"/>
            <w:vAlign w:val="bottom"/>
            <w:tcBorders>
              <w:top w:val="single" w:sz="8" w:color="auto"/>
              <w:bottom w:val="single" w:sz="8" w:color="auto"/>
            </w:tcBorders>
            <w:shd w:val="clear" w:color="auto" w:fill="F0FFFF"/>
          </w:tcPr>
          <w:p>
            <w:pPr>
              <w:jc w:val="right"/>
              <w:spacing w:after="0" w:line="135" w:lineRule="exact"/>
              <w:rPr>
                <w:sz w:val="20"/>
                <w:szCs w:val="20"/>
                <w:color w:val="auto"/>
              </w:rPr>
            </w:pPr>
            <w:r>
              <w:rPr>
                <w:rFonts w:ascii="Arial" w:cs="Arial" w:eastAsia="Arial" w:hAnsi="Arial"/>
                <w:sz w:val="13"/>
                <w:szCs w:val="13"/>
                <w:color w:val="auto"/>
              </w:rPr>
              <w:t>81,081</w:t>
            </w:r>
          </w:p>
        </w:tc>
        <w:tc>
          <w:tcPr>
            <w:tcW w:w="140" w:type="dxa"/>
            <w:vAlign w:val="bottom"/>
            <w:tcBorders>
              <w:top w:val="single" w:sz="8" w:color="F0FFFF"/>
              <w:bottom w:val="single" w:sz="8" w:color="F0FFFF"/>
            </w:tcBorders>
            <w:shd w:val="clear" w:color="auto" w:fill="F0FFFF"/>
          </w:tcPr>
          <w:p>
            <w:pPr>
              <w:spacing w:after="0"/>
              <w:rPr>
                <w:sz w:val="13"/>
                <w:szCs w:val="13"/>
                <w:color w:val="auto"/>
              </w:rPr>
            </w:pPr>
          </w:p>
        </w:tc>
        <w:tc>
          <w:tcPr>
            <w:tcW w:w="160" w:type="dxa"/>
            <w:vAlign w:val="bottom"/>
            <w:tcBorders>
              <w:top w:val="single" w:sz="8" w:color="F0FFFF"/>
              <w:bottom w:val="single" w:sz="8" w:color="F0FFFF"/>
            </w:tcBorders>
            <w:shd w:val="clear" w:color="auto" w:fill="F0FFFF"/>
          </w:tcPr>
          <w:p>
            <w:pPr>
              <w:spacing w:after="0"/>
              <w:rPr>
                <w:sz w:val="13"/>
                <w:szCs w:val="13"/>
                <w:color w:val="auto"/>
              </w:rPr>
            </w:pPr>
          </w:p>
        </w:tc>
        <w:tc>
          <w:tcPr>
            <w:tcW w:w="60" w:type="dxa"/>
            <w:vAlign w:val="bottom"/>
            <w:tcBorders>
              <w:top w:val="single" w:sz="8" w:color="auto"/>
              <w:bottom w:val="single" w:sz="8" w:color="auto"/>
            </w:tcBorders>
            <w:shd w:val="clear" w:color="auto" w:fill="F0FFFF"/>
          </w:tcPr>
          <w:p>
            <w:pPr>
              <w:spacing w:after="0"/>
              <w:rPr>
                <w:sz w:val="13"/>
                <w:szCs w:val="13"/>
                <w:color w:val="auto"/>
              </w:rPr>
            </w:pPr>
          </w:p>
        </w:tc>
        <w:tc>
          <w:tcPr>
            <w:tcW w:w="640" w:type="dxa"/>
            <w:vAlign w:val="bottom"/>
            <w:tcBorders>
              <w:top w:val="single" w:sz="8" w:color="auto"/>
              <w:bottom w:val="single" w:sz="8" w:color="auto"/>
            </w:tcBorders>
            <w:shd w:val="clear" w:color="auto" w:fill="F0FFFF"/>
          </w:tcPr>
          <w:p>
            <w:pPr>
              <w:jc w:val="right"/>
              <w:spacing w:after="0" w:line="135" w:lineRule="exact"/>
              <w:rPr>
                <w:sz w:val="20"/>
                <w:szCs w:val="20"/>
                <w:color w:val="auto"/>
              </w:rPr>
            </w:pPr>
            <w:r>
              <w:rPr>
                <w:rFonts w:ascii="Arial" w:cs="Arial" w:eastAsia="Arial" w:hAnsi="Arial"/>
                <w:sz w:val="13"/>
                <w:szCs w:val="13"/>
                <w:color w:val="auto"/>
              </w:rPr>
              <w:t>77,734</w:t>
            </w:r>
          </w:p>
        </w:tc>
        <w:tc>
          <w:tcPr>
            <w:tcW w:w="300" w:type="dxa"/>
            <w:vAlign w:val="bottom"/>
            <w:tcBorders>
              <w:top w:val="single" w:sz="8" w:color="F0FFFF"/>
              <w:bottom w:val="single" w:sz="8" w:color="F0FFFF"/>
            </w:tcBorders>
            <w:shd w:val="clear" w:color="auto" w:fill="F0FFFF"/>
          </w:tcPr>
          <w:p>
            <w:pPr>
              <w:spacing w:after="0"/>
              <w:rPr>
                <w:sz w:val="13"/>
                <w:szCs w:val="13"/>
                <w:color w:val="auto"/>
              </w:rPr>
            </w:pPr>
          </w:p>
        </w:tc>
        <w:tc>
          <w:tcPr>
            <w:tcW w:w="100" w:type="dxa"/>
            <w:vAlign w:val="bottom"/>
            <w:tcBorders>
              <w:top w:val="single" w:sz="8" w:color="auto"/>
              <w:bottom w:val="single" w:sz="8" w:color="auto"/>
            </w:tcBorders>
            <w:shd w:val="clear" w:color="auto" w:fill="F0FFFF"/>
          </w:tcPr>
          <w:p>
            <w:pPr>
              <w:spacing w:after="0"/>
              <w:rPr>
                <w:sz w:val="13"/>
                <w:szCs w:val="13"/>
                <w:color w:val="auto"/>
              </w:rPr>
            </w:pPr>
          </w:p>
        </w:tc>
        <w:tc>
          <w:tcPr>
            <w:tcW w:w="580" w:type="dxa"/>
            <w:vAlign w:val="bottom"/>
            <w:tcBorders>
              <w:top w:val="single" w:sz="8" w:color="auto"/>
              <w:bottom w:val="single" w:sz="8" w:color="auto"/>
            </w:tcBorders>
            <w:shd w:val="clear" w:color="auto" w:fill="F0FFFF"/>
          </w:tcPr>
          <w:p>
            <w:pPr>
              <w:jc w:val="right"/>
              <w:spacing w:after="0" w:line="135" w:lineRule="exact"/>
              <w:rPr>
                <w:sz w:val="20"/>
                <w:szCs w:val="20"/>
                <w:color w:val="auto"/>
              </w:rPr>
            </w:pPr>
            <w:r>
              <w:rPr>
                <w:rFonts w:ascii="Arial" w:cs="Arial" w:eastAsia="Arial" w:hAnsi="Arial"/>
                <w:sz w:val="13"/>
                <w:szCs w:val="13"/>
                <w:color w:val="auto"/>
              </w:rPr>
              <w:t>6,686</w:t>
            </w:r>
          </w:p>
        </w:tc>
        <w:tc>
          <w:tcPr>
            <w:tcW w:w="140" w:type="dxa"/>
            <w:vAlign w:val="bottom"/>
            <w:tcBorders>
              <w:top w:val="single" w:sz="8" w:color="F0FFFF"/>
              <w:bottom w:val="single" w:sz="8" w:color="F0FFFF"/>
            </w:tcBorders>
            <w:shd w:val="clear" w:color="auto" w:fill="F0FFFF"/>
          </w:tcPr>
          <w:p>
            <w:pPr>
              <w:spacing w:after="0"/>
              <w:rPr>
                <w:sz w:val="13"/>
                <w:szCs w:val="13"/>
                <w:color w:val="auto"/>
              </w:rPr>
            </w:pPr>
          </w:p>
        </w:tc>
        <w:tc>
          <w:tcPr>
            <w:tcW w:w="160" w:type="dxa"/>
            <w:vAlign w:val="bottom"/>
            <w:tcBorders>
              <w:top w:val="single" w:sz="8" w:color="F0FFFF"/>
              <w:bottom w:val="single" w:sz="8" w:color="F0FFFF"/>
            </w:tcBorders>
            <w:shd w:val="clear" w:color="auto" w:fill="F0FFFF"/>
          </w:tcPr>
          <w:p>
            <w:pPr>
              <w:spacing w:after="0"/>
              <w:rPr>
                <w:sz w:val="13"/>
                <w:szCs w:val="13"/>
                <w:color w:val="auto"/>
              </w:rPr>
            </w:pPr>
          </w:p>
        </w:tc>
        <w:tc>
          <w:tcPr>
            <w:tcW w:w="80" w:type="dxa"/>
            <w:vAlign w:val="bottom"/>
            <w:tcBorders>
              <w:top w:val="single" w:sz="8" w:color="auto"/>
              <w:bottom w:val="single" w:sz="8" w:color="auto"/>
            </w:tcBorders>
            <w:shd w:val="clear" w:color="auto" w:fill="F0FFFF"/>
          </w:tcPr>
          <w:p>
            <w:pPr>
              <w:spacing w:after="0"/>
              <w:rPr>
                <w:sz w:val="13"/>
                <w:szCs w:val="13"/>
                <w:color w:val="auto"/>
              </w:rPr>
            </w:pPr>
          </w:p>
        </w:tc>
        <w:tc>
          <w:tcPr>
            <w:tcW w:w="520" w:type="dxa"/>
            <w:vAlign w:val="bottom"/>
            <w:tcBorders>
              <w:top w:val="single" w:sz="8" w:color="auto"/>
              <w:bottom w:val="single" w:sz="8" w:color="auto"/>
            </w:tcBorders>
            <w:shd w:val="clear" w:color="auto" w:fill="F0FFFF"/>
          </w:tcPr>
          <w:p>
            <w:pPr>
              <w:jc w:val="right"/>
              <w:spacing w:after="0" w:line="135" w:lineRule="exact"/>
              <w:rPr>
                <w:sz w:val="20"/>
                <w:szCs w:val="20"/>
                <w:color w:val="auto"/>
              </w:rPr>
            </w:pPr>
            <w:r>
              <w:rPr>
                <w:rFonts w:ascii="Arial" w:cs="Arial" w:eastAsia="Arial" w:hAnsi="Arial"/>
                <w:sz w:val="13"/>
                <w:szCs w:val="13"/>
                <w:color w:val="auto"/>
              </w:rPr>
              <w:t>83,768</w:t>
            </w:r>
          </w:p>
        </w:tc>
        <w:tc>
          <w:tcPr>
            <w:tcW w:w="120" w:type="dxa"/>
            <w:vAlign w:val="bottom"/>
            <w:tcBorders>
              <w:top w:val="single" w:sz="8" w:color="F0FFFF"/>
              <w:bottom w:val="single" w:sz="8" w:color="F0FFFF"/>
            </w:tcBorders>
            <w:shd w:val="clear" w:color="auto" w:fill="F0FFFF"/>
          </w:tcPr>
          <w:p>
            <w:pPr>
              <w:spacing w:after="0"/>
              <w:rPr>
                <w:sz w:val="13"/>
                <w:szCs w:val="13"/>
                <w:color w:val="auto"/>
              </w:rPr>
            </w:pPr>
          </w:p>
        </w:tc>
        <w:tc>
          <w:tcPr>
            <w:tcW w:w="180" w:type="dxa"/>
            <w:vAlign w:val="bottom"/>
            <w:tcBorders>
              <w:top w:val="single" w:sz="8" w:color="F0FFFF"/>
              <w:bottom w:val="single" w:sz="8" w:color="F0FFFF"/>
            </w:tcBorders>
            <w:shd w:val="clear" w:color="auto" w:fill="F0FFFF"/>
          </w:tcPr>
          <w:p>
            <w:pPr>
              <w:spacing w:after="0"/>
              <w:rPr>
                <w:sz w:val="13"/>
                <w:szCs w:val="13"/>
                <w:color w:val="auto"/>
              </w:rPr>
            </w:pPr>
          </w:p>
        </w:tc>
        <w:tc>
          <w:tcPr>
            <w:tcW w:w="80" w:type="dxa"/>
            <w:vAlign w:val="bottom"/>
            <w:tcBorders>
              <w:top w:val="single" w:sz="8" w:color="auto"/>
              <w:bottom w:val="single" w:sz="8" w:color="auto"/>
            </w:tcBorders>
            <w:shd w:val="clear" w:color="auto" w:fill="F0FFFF"/>
          </w:tcPr>
          <w:p>
            <w:pPr>
              <w:spacing w:after="0"/>
              <w:rPr>
                <w:sz w:val="13"/>
                <w:szCs w:val="13"/>
                <w:color w:val="auto"/>
              </w:rPr>
            </w:pPr>
          </w:p>
        </w:tc>
        <w:tc>
          <w:tcPr>
            <w:tcW w:w="640" w:type="dxa"/>
            <w:vAlign w:val="bottom"/>
            <w:tcBorders>
              <w:top w:val="single" w:sz="8" w:color="auto"/>
              <w:bottom w:val="single" w:sz="8" w:color="auto"/>
            </w:tcBorders>
            <w:shd w:val="clear" w:color="auto" w:fill="F0FFFF"/>
          </w:tcPr>
          <w:p>
            <w:pPr>
              <w:jc w:val="right"/>
              <w:spacing w:after="0" w:line="135" w:lineRule="exact"/>
              <w:rPr>
                <w:sz w:val="20"/>
                <w:szCs w:val="20"/>
                <w:color w:val="auto"/>
              </w:rPr>
            </w:pPr>
            <w:r>
              <w:rPr>
                <w:rFonts w:ascii="Arial" w:cs="Arial" w:eastAsia="Arial" w:hAnsi="Arial"/>
                <w:sz w:val="13"/>
                <w:szCs w:val="13"/>
                <w:color w:val="auto"/>
              </w:rPr>
              <w:t>80,984</w:t>
            </w:r>
          </w:p>
        </w:tc>
        <w:tc>
          <w:tcPr>
            <w:tcW w:w="260" w:type="dxa"/>
            <w:vAlign w:val="bottom"/>
            <w:tcBorders>
              <w:top w:val="single" w:sz="8" w:color="F0FFFF"/>
              <w:bottom w:val="single" w:sz="8" w:color="F0FFFF"/>
            </w:tcBorders>
            <w:shd w:val="clear" w:color="auto" w:fill="F0FFFF"/>
          </w:tcPr>
          <w:p>
            <w:pPr>
              <w:spacing w:after="0"/>
              <w:rPr>
                <w:sz w:val="13"/>
                <w:szCs w:val="13"/>
                <w:color w:val="auto"/>
              </w:rPr>
            </w:pPr>
          </w:p>
        </w:tc>
        <w:tc>
          <w:tcPr>
            <w:tcW w:w="40" w:type="dxa"/>
            <w:vAlign w:val="bottom"/>
            <w:tcBorders>
              <w:top w:val="single" w:sz="8" w:color="F0FFFF"/>
              <w:bottom w:val="single" w:sz="8" w:color="F0FFFF"/>
            </w:tcBorders>
            <w:shd w:val="clear" w:color="auto" w:fill="F0FFFF"/>
          </w:tcPr>
          <w:p>
            <w:pPr>
              <w:spacing w:after="0"/>
              <w:rPr>
                <w:sz w:val="13"/>
                <w:szCs w:val="13"/>
                <w:color w:val="auto"/>
              </w:rPr>
            </w:pPr>
          </w:p>
        </w:tc>
        <w:tc>
          <w:tcPr>
            <w:tcW w:w="80" w:type="dxa"/>
            <w:vAlign w:val="bottom"/>
            <w:tcBorders>
              <w:top w:val="single" w:sz="8" w:color="auto"/>
              <w:bottom w:val="single" w:sz="8" w:color="auto"/>
            </w:tcBorders>
            <w:shd w:val="clear" w:color="auto" w:fill="F0FFFF"/>
          </w:tcPr>
          <w:p>
            <w:pPr>
              <w:spacing w:after="0"/>
              <w:rPr>
                <w:sz w:val="13"/>
                <w:szCs w:val="13"/>
                <w:color w:val="auto"/>
              </w:rPr>
            </w:pPr>
          </w:p>
        </w:tc>
        <w:tc>
          <w:tcPr>
            <w:tcW w:w="580" w:type="dxa"/>
            <w:vAlign w:val="bottom"/>
            <w:tcBorders>
              <w:top w:val="single" w:sz="8" w:color="auto"/>
              <w:bottom w:val="single" w:sz="8" w:color="auto"/>
            </w:tcBorders>
            <w:shd w:val="clear" w:color="auto" w:fill="F0FFFF"/>
          </w:tcPr>
          <w:p>
            <w:pPr>
              <w:jc w:val="right"/>
              <w:spacing w:after="0" w:line="135" w:lineRule="exact"/>
              <w:rPr>
                <w:sz w:val="20"/>
                <w:szCs w:val="20"/>
                <w:color w:val="auto"/>
              </w:rPr>
            </w:pPr>
            <w:r>
              <w:rPr>
                <w:rFonts w:ascii="Arial" w:cs="Arial" w:eastAsia="Arial" w:hAnsi="Arial"/>
                <w:sz w:val="13"/>
                <w:szCs w:val="13"/>
                <w:color w:val="auto"/>
              </w:rPr>
              <w:t>9,882</w:t>
            </w:r>
          </w:p>
        </w:tc>
        <w:tc>
          <w:tcPr>
            <w:tcW w:w="160" w:type="dxa"/>
            <w:vAlign w:val="bottom"/>
            <w:tcBorders>
              <w:top w:val="single" w:sz="8" w:color="F0FFFF"/>
              <w:bottom w:val="single" w:sz="8" w:color="F0FFFF"/>
            </w:tcBorders>
            <w:shd w:val="clear" w:color="auto" w:fill="F0FFFF"/>
          </w:tcPr>
          <w:p>
            <w:pPr>
              <w:spacing w:after="0"/>
              <w:rPr>
                <w:sz w:val="13"/>
                <w:szCs w:val="13"/>
                <w:color w:val="auto"/>
              </w:rPr>
            </w:pPr>
          </w:p>
        </w:tc>
        <w:tc>
          <w:tcPr>
            <w:tcW w:w="140" w:type="dxa"/>
            <w:vAlign w:val="bottom"/>
            <w:tcBorders>
              <w:top w:val="single" w:sz="8" w:color="F0FFFF"/>
              <w:bottom w:val="single" w:sz="8" w:color="F0FFFF"/>
            </w:tcBorders>
            <w:shd w:val="clear" w:color="auto" w:fill="F0FFFF"/>
          </w:tcPr>
          <w:p>
            <w:pPr>
              <w:spacing w:after="0"/>
              <w:rPr>
                <w:sz w:val="13"/>
                <w:szCs w:val="13"/>
                <w:color w:val="auto"/>
              </w:rPr>
            </w:pPr>
          </w:p>
        </w:tc>
        <w:tc>
          <w:tcPr>
            <w:tcW w:w="100" w:type="dxa"/>
            <w:vAlign w:val="bottom"/>
            <w:tcBorders>
              <w:top w:val="single" w:sz="8" w:color="auto"/>
              <w:bottom w:val="single" w:sz="8" w:color="auto"/>
            </w:tcBorders>
            <w:shd w:val="clear" w:color="auto" w:fill="F0FFFF"/>
          </w:tcPr>
          <w:p>
            <w:pPr>
              <w:spacing w:after="0"/>
              <w:rPr>
                <w:sz w:val="13"/>
                <w:szCs w:val="13"/>
                <w:color w:val="auto"/>
              </w:rPr>
            </w:pPr>
          </w:p>
        </w:tc>
        <w:tc>
          <w:tcPr>
            <w:tcW w:w="520" w:type="dxa"/>
            <w:vAlign w:val="bottom"/>
            <w:tcBorders>
              <w:top w:val="single" w:sz="8" w:color="auto"/>
              <w:bottom w:val="single" w:sz="8" w:color="auto"/>
            </w:tcBorders>
            <w:shd w:val="clear" w:color="auto" w:fill="F0FFFF"/>
          </w:tcPr>
          <w:p>
            <w:pPr>
              <w:jc w:val="right"/>
              <w:spacing w:after="0" w:line="135" w:lineRule="exact"/>
              <w:rPr>
                <w:sz w:val="20"/>
                <w:szCs w:val="20"/>
                <w:color w:val="auto"/>
              </w:rPr>
            </w:pPr>
            <w:r>
              <w:rPr>
                <w:rFonts w:ascii="Arial" w:cs="Arial" w:eastAsia="Arial" w:hAnsi="Arial"/>
                <w:sz w:val="13"/>
                <w:szCs w:val="13"/>
                <w:color w:val="auto"/>
              </w:rPr>
              <w:t>76,319</w:t>
            </w:r>
          </w:p>
        </w:tc>
        <w:tc>
          <w:tcPr>
            <w:tcW w:w="140" w:type="dxa"/>
            <w:vAlign w:val="bottom"/>
            <w:tcBorders>
              <w:top w:val="single" w:sz="8" w:color="F0FFFF"/>
              <w:bottom w:val="single" w:sz="8" w:color="F0FFFF"/>
            </w:tcBorders>
            <w:shd w:val="clear" w:color="auto" w:fill="F0FFFF"/>
          </w:tcPr>
          <w:p>
            <w:pPr>
              <w:spacing w:after="0"/>
              <w:rPr>
                <w:sz w:val="13"/>
                <w:szCs w:val="13"/>
                <w:color w:val="auto"/>
              </w:rPr>
            </w:pPr>
          </w:p>
        </w:tc>
        <w:tc>
          <w:tcPr>
            <w:tcW w:w="160" w:type="dxa"/>
            <w:vAlign w:val="bottom"/>
            <w:tcBorders>
              <w:top w:val="single" w:sz="8" w:color="F0FFFF"/>
              <w:bottom w:val="single" w:sz="8" w:color="F0FFFF"/>
            </w:tcBorders>
            <w:shd w:val="clear" w:color="auto" w:fill="F0FFFF"/>
          </w:tcPr>
          <w:p>
            <w:pPr>
              <w:spacing w:after="0"/>
              <w:rPr>
                <w:sz w:val="13"/>
                <w:szCs w:val="13"/>
                <w:color w:val="auto"/>
              </w:rPr>
            </w:pPr>
          </w:p>
        </w:tc>
        <w:tc>
          <w:tcPr>
            <w:tcW w:w="60" w:type="dxa"/>
            <w:vAlign w:val="bottom"/>
            <w:tcBorders>
              <w:top w:val="single" w:sz="8" w:color="auto"/>
              <w:bottom w:val="single" w:sz="8" w:color="auto"/>
            </w:tcBorders>
            <w:shd w:val="clear" w:color="auto" w:fill="F0FFFF"/>
          </w:tcPr>
          <w:p>
            <w:pPr>
              <w:spacing w:after="0"/>
              <w:rPr>
                <w:sz w:val="13"/>
                <w:szCs w:val="13"/>
                <w:color w:val="auto"/>
              </w:rPr>
            </w:pPr>
          </w:p>
        </w:tc>
        <w:tc>
          <w:tcPr>
            <w:tcW w:w="640" w:type="dxa"/>
            <w:vAlign w:val="bottom"/>
            <w:tcBorders>
              <w:top w:val="single" w:sz="8" w:color="auto"/>
              <w:bottom w:val="single" w:sz="8" w:color="auto"/>
            </w:tcBorders>
            <w:shd w:val="clear" w:color="auto" w:fill="F0FFFF"/>
          </w:tcPr>
          <w:p>
            <w:pPr>
              <w:jc w:val="right"/>
              <w:spacing w:after="0" w:line="135" w:lineRule="exact"/>
              <w:rPr>
                <w:sz w:val="20"/>
                <w:szCs w:val="20"/>
                <w:color w:val="auto"/>
              </w:rPr>
            </w:pPr>
            <w:r>
              <w:rPr>
                <w:rFonts w:ascii="Arial" w:cs="Arial" w:eastAsia="Arial" w:hAnsi="Arial"/>
                <w:sz w:val="13"/>
                <w:szCs w:val="13"/>
                <w:color w:val="auto"/>
              </w:rPr>
              <w:t>72,458</w:t>
            </w:r>
          </w:p>
        </w:tc>
        <w:tc>
          <w:tcPr>
            <w:tcW w:w="320" w:type="dxa"/>
            <w:vAlign w:val="bottom"/>
            <w:tcBorders>
              <w:top w:val="single" w:sz="8" w:color="F0FFFF"/>
              <w:bottom w:val="single" w:sz="8" w:color="F0FFFF"/>
            </w:tcBorders>
            <w:shd w:val="clear" w:color="auto" w:fill="F0FFFF"/>
          </w:tcPr>
          <w:p>
            <w:pPr>
              <w:spacing w:after="0"/>
              <w:rPr>
                <w:sz w:val="13"/>
                <w:szCs w:val="13"/>
                <w:color w:val="auto"/>
              </w:rPr>
            </w:pPr>
          </w:p>
        </w:tc>
        <w:tc>
          <w:tcPr>
            <w:tcW w:w="80" w:type="dxa"/>
            <w:vAlign w:val="bottom"/>
            <w:tcBorders>
              <w:top w:val="single" w:sz="8" w:color="auto"/>
              <w:bottom w:val="single" w:sz="8" w:color="auto"/>
            </w:tcBorders>
            <w:shd w:val="clear" w:color="auto" w:fill="F0FFFF"/>
          </w:tcPr>
          <w:p>
            <w:pPr>
              <w:spacing w:after="0"/>
              <w:rPr>
                <w:sz w:val="13"/>
                <w:szCs w:val="13"/>
                <w:color w:val="auto"/>
              </w:rPr>
            </w:pPr>
          </w:p>
        </w:tc>
        <w:tc>
          <w:tcPr>
            <w:tcW w:w="600" w:type="dxa"/>
            <w:vAlign w:val="bottom"/>
            <w:tcBorders>
              <w:top w:val="single" w:sz="8" w:color="auto"/>
              <w:bottom w:val="single" w:sz="8" w:color="auto"/>
            </w:tcBorders>
            <w:shd w:val="clear" w:color="auto" w:fill="F0FFFF"/>
          </w:tcPr>
          <w:p>
            <w:pPr>
              <w:jc w:val="right"/>
              <w:spacing w:after="0" w:line="135" w:lineRule="exact"/>
              <w:rPr>
                <w:sz w:val="20"/>
                <w:szCs w:val="20"/>
                <w:color w:val="auto"/>
              </w:rPr>
            </w:pPr>
            <w:r>
              <w:rPr>
                <w:rFonts w:ascii="Arial" w:cs="Arial" w:eastAsia="Arial" w:hAnsi="Arial"/>
                <w:sz w:val="13"/>
                <w:szCs w:val="13"/>
                <w:color w:val="auto"/>
              </w:rPr>
              <w:t>9,017</w:t>
            </w:r>
          </w:p>
        </w:tc>
        <w:tc>
          <w:tcPr>
            <w:tcW w:w="20" w:type="dxa"/>
            <w:vAlign w:val="bottom"/>
            <w:tcBorders>
              <w:top w:val="single" w:sz="8" w:color="F0FFFF"/>
              <w:bottom w:val="single" w:sz="8" w:color="F0FFFF"/>
            </w:tcBorders>
            <w:shd w:val="clear" w:color="auto" w:fill="F0FFFF"/>
          </w:tcPr>
          <w:p>
            <w:pPr>
              <w:spacing w:after="0"/>
              <w:rPr>
                <w:sz w:val="13"/>
                <w:szCs w:val="13"/>
                <w:color w:val="auto"/>
              </w:rPr>
            </w:pPr>
          </w:p>
        </w:tc>
        <w:tc>
          <w:tcPr>
            <w:tcW w:w="80" w:type="dxa"/>
            <w:vAlign w:val="bottom"/>
            <w:tcBorders>
              <w:top w:val="single" w:sz="8" w:color="F0FFFF"/>
              <w:bottom w:val="single" w:sz="8" w:color="F0FFFF"/>
            </w:tcBorders>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00" w:type="dxa"/>
            <w:vAlign w:val="bottom"/>
          </w:tcPr>
          <w:p>
            <w:pPr>
              <w:ind w:left="300"/>
              <w:spacing w:after="0"/>
              <w:rPr>
                <w:sz w:val="20"/>
                <w:szCs w:val="20"/>
                <w:color w:val="auto"/>
              </w:rPr>
            </w:pPr>
            <w:r>
              <w:rPr>
                <w:rFonts w:ascii="Arial" w:cs="Arial" w:eastAsia="Arial" w:hAnsi="Arial"/>
                <w:sz w:val="13"/>
                <w:szCs w:val="13"/>
                <w:color w:val="auto"/>
              </w:rPr>
              <w:t>Total</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112,442</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106,480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6,686</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112,690</w:t>
            </w:r>
          </w:p>
        </w:tc>
        <w:tc>
          <w:tcPr>
            <w:tcW w:w="120" w:type="dxa"/>
            <w:vAlign w:val="bottom"/>
          </w:tcPr>
          <w:p>
            <w:pPr>
              <w:spacing w:after="0"/>
              <w:rPr>
                <w:sz w:val="15"/>
                <w:szCs w:val="15"/>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106,472</w:t>
            </w: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9,882</w:t>
            </w:r>
          </w:p>
        </w:tc>
        <w:tc>
          <w:tcPr>
            <w:tcW w:w="2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114,975</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107,496</w:t>
            </w:r>
          </w:p>
        </w:tc>
        <w:tc>
          <w:tcPr>
            <w:tcW w:w="3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9,017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Excluding loans accounted for under ASC Topic 310-30, there were no loans more than 90 days past due and still accruing interest at June 30, 2015, December 31, 2014 or June 30, 2014. Nonaccrual loans include both homogeneous loans that are collectively evaluated for impairment and individually evaluated impaired loans. United’s policy is to place loans on nonaccrual status when, in the opinion of management, the principal and interest on a loan is not likely to be repaid in accordance with the loan terms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applied to reduce outstanding principal.</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Loans accounted for under ASC Topic 310-30 are considered past due or delinquent when the contractual principal or interest due in accordance with the terms of the loan agreement remains unpaid after the due date of the scheduled payment. However, these loans are considered as performing, even though they may be contractually past due, as any non-payment of contractual principal or interest is considered in the periodic re-estimation of expected cash flows and is included in the resulting recognition of current period covered loan loss provision or future period yield adjustments. Loans accounted for under ASC Topic 310-30 were not classified as nonaccrual at June 30, 2015 as the carrying value of the respective loan or pool of loans cash flows were considered estimable and probable of collection. Therefore, interest income, through accretion of the difference between the carrying value of the loans and the expected cash flows, is being recognized on all acquired loans being accounted for under ASC Topic 310-30.</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gross additional interest revenue that would have been earned if the loans classified as nonaccrual had performed in accordance with the original terms was approximately $165,000 and $96,000 for the three months ended June 30, 2015 and 2014, respectively and $424,000 and $556,000 for the six months ended June 30, 2015 and 2014, respectively. The gross additional interest revenue that would have been earned for the three and six months ended June 30, 2015 and 2014 had performing TDRs performed in accordance with the original terms is immaterial.</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85"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The average balances of impaired loans and income recognized on impaired loans while they were considered impaired are presented below for the three and six months ended June 30, 2015 and 2014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2015</w:t>
            </w:r>
          </w:p>
        </w:tc>
        <w:tc>
          <w:tcPr>
            <w:tcW w:w="1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2014</w:t>
            </w:r>
          </w:p>
        </w:tc>
        <w:tc>
          <w:tcPr>
            <w:tcW w:w="3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8"/>
        </w:trPr>
        <w:tc>
          <w:tcPr>
            <w:tcW w:w="4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2"/>
              </w:rPr>
              <w:t>Interest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Cash</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92"/>
              </w:rPr>
              <w:t>Interest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Cash</w:t>
            </w:r>
          </w:p>
        </w:tc>
        <w:tc>
          <w:tcPr>
            <w:tcW w:w="100" w:type="dxa"/>
            <w:vAlign w:val="bottom"/>
            <w:gridSpan w:val="2"/>
          </w:tcPr>
          <w:p>
            <w:pPr>
              <w:spacing w:after="0"/>
              <w:rPr>
                <w:sz w:val="17"/>
                <w:szCs w:val="17"/>
                <w:color w:val="auto"/>
              </w:rPr>
            </w:pPr>
          </w:p>
        </w:tc>
      </w:tr>
      <w:tr>
        <w:trPr>
          <w:trHeight w:val="216"/>
        </w:trPr>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Revenue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3"/>
              </w:rPr>
              <w:t>Basis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3"/>
              </w:rPr>
              <w:t>Basis</w:t>
            </w:r>
          </w:p>
        </w:tc>
      </w:tr>
      <w:tr>
        <w:trPr>
          <w:trHeight w:val="216"/>
        </w:trPr>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ind w:left="20"/>
              <w:spacing w:after="0"/>
              <w:rPr>
                <w:sz w:val="20"/>
                <w:szCs w:val="20"/>
                <w:color w:val="auto"/>
              </w:rPr>
            </w:pPr>
            <w:r>
              <w:rPr>
                <w:rFonts w:ascii="Arial" w:cs="Arial" w:eastAsia="Arial" w:hAnsi="Arial"/>
                <w:sz w:val="18"/>
                <w:szCs w:val="18"/>
                <w:b w:val="1"/>
                <w:bCs w:val="1"/>
                <w:color w:val="auto"/>
              </w:rPr>
              <w:t>Recognized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Interest</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Recognized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Interest</w:t>
            </w:r>
          </w:p>
        </w:tc>
      </w:tr>
      <w:tr>
        <w:trPr>
          <w:trHeight w:val="216"/>
        </w:trPr>
        <w:tc>
          <w:tcPr>
            <w:tcW w:w="4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5"/>
              </w:rPr>
              <w:t>Average</w:t>
            </w:r>
          </w:p>
        </w:tc>
        <w:tc>
          <w:tcPr>
            <w:tcW w:w="12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During</w:t>
            </w:r>
          </w:p>
        </w:tc>
        <w:tc>
          <w:tcPr>
            <w:tcW w:w="160" w:type="dxa"/>
            <w:vAlign w:val="bottom"/>
          </w:tcPr>
          <w:p>
            <w:pPr>
              <w:spacing w:after="0"/>
              <w:rPr>
                <w:sz w:val="18"/>
                <w:szCs w:val="18"/>
                <w:color w:val="auto"/>
              </w:rPr>
            </w:pPr>
          </w:p>
        </w:tc>
        <w:tc>
          <w:tcPr>
            <w:tcW w:w="110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7"/>
              </w:rPr>
              <w:t>Revenue</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5"/>
              </w:rPr>
              <w:t>Average</w:t>
            </w:r>
          </w:p>
        </w:tc>
        <w:tc>
          <w:tcPr>
            <w:tcW w:w="12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During</w:t>
            </w:r>
          </w:p>
        </w:tc>
        <w:tc>
          <w:tcPr>
            <w:tcW w:w="20" w:type="dxa"/>
            <w:vAlign w:val="bottom"/>
          </w:tcPr>
          <w:p>
            <w:pPr>
              <w:spacing w:after="0"/>
              <w:rPr>
                <w:sz w:val="18"/>
                <w:szCs w:val="18"/>
                <w:color w:val="auto"/>
              </w:rPr>
            </w:pPr>
          </w:p>
        </w:tc>
        <w:tc>
          <w:tcPr>
            <w:tcW w:w="8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7"/>
              </w:rPr>
              <w:t>Revenue</w:t>
            </w:r>
          </w:p>
        </w:tc>
      </w:tr>
      <w:tr>
        <w:trPr>
          <w:trHeight w:val="241"/>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June 30,</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8"/>
              </w:rPr>
              <w:t>Balance</w:t>
            </w: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Impairment</w:t>
            </w:r>
          </w:p>
        </w:tc>
        <w:tc>
          <w:tcPr>
            <w:tcW w:w="160" w:type="dxa"/>
            <w:vAlign w:val="bottom"/>
          </w:tcPr>
          <w:p>
            <w:pPr>
              <w:spacing w:after="0"/>
              <w:rPr>
                <w:sz w:val="20"/>
                <w:szCs w:val="20"/>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5"/>
              </w:rPr>
              <w:t>Received</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8"/>
              </w:rPr>
              <w:t>Balance</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Impairment</w:t>
            </w:r>
          </w:p>
        </w:tc>
        <w:tc>
          <w:tcPr>
            <w:tcW w:w="20" w:type="dxa"/>
            <w:vAlign w:val="bottom"/>
          </w:tcPr>
          <w:p>
            <w:pPr>
              <w:spacing w:after="0"/>
              <w:rPr>
                <w:sz w:val="20"/>
                <w:szCs w:val="20"/>
                <w:color w:val="auto"/>
              </w:rPr>
            </w:pPr>
          </w:p>
        </w:tc>
        <w:tc>
          <w:tcPr>
            <w:tcW w:w="8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5"/>
              </w:rPr>
              <w:t>Received</w:t>
            </w:r>
          </w:p>
        </w:tc>
      </w:tr>
      <w:tr>
        <w:trPr>
          <w:trHeight w:val="216"/>
        </w:trPr>
        <w:tc>
          <w:tcPr>
            <w:tcW w:w="4500" w:type="dxa"/>
            <w:vAlign w:val="bottom"/>
            <w:tcBorders>
              <w:top w:val="single" w:sz="8" w:color="auto"/>
            </w:tcBorders>
            <w:shd w:val="clear" w:color="auto" w:fill="F0FFFF"/>
          </w:tcPr>
          <w:p>
            <w:pPr>
              <w:ind w:left="60"/>
              <w:spacing w:after="0"/>
              <w:rPr>
                <w:sz w:val="20"/>
                <w:szCs w:val="20"/>
                <w:color w:val="auto"/>
              </w:rPr>
            </w:pPr>
            <w:r>
              <w:rPr>
                <w:rFonts w:ascii="Arial" w:cs="Arial" w:eastAsia="Arial" w:hAnsi="Arial"/>
                <w:sz w:val="18"/>
                <w:szCs w:val="18"/>
                <w:color w:val="auto"/>
              </w:rPr>
              <w:t>Owner occupied commercial real estate</w:t>
            </w:r>
          </w:p>
        </w:tc>
        <w:tc>
          <w:tcPr>
            <w:tcW w:w="2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37,985</w:t>
            </w:r>
          </w:p>
        </w:tc>
        <w:tc>
          <w:tcPr>
            <w:tcW w:w="3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469</w:t>
            </w:r>
          </w:p>
        </w:tc>
        <w:tc>
          <w:tcPr>
            <w:tcW w:w="18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509</w:t>
            </w:r>
          </w:p>
        </w:tc>
        <w:tc>
          <w:tcPr>
            <w:tcW w:w="3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31,558</w:t>
            </w:r>
          </w:p>
        </w:tc>
        <w:tc>
          <w:tcPr>
            <w:tcW w:w="3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403</w:t>
            </w:r>
          </w:p>
        </w:tc>
        <w:tc>
          <w:tcPr>
            <w:tcW w:w="32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391</w:t>
            </w: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r>
      <w:tr>
        <w:trPr>
          <w:trHeight w:val="216"/>
        </w:trPr>
        <w:tc>
          <w:tcPr>
            <w:tcW w:w="4720" w:type="dxa"/>
            <w:vAlign w:val="bottom"/>
            <w:gridSpan w:val="2"/>
          </w:tcPr>
          <w:p>
            <w:pPr>
              <w:ind w:left="60"/>
              <w:spacing w:after="0"/>
              <w:rPr>
                <w:sz w:val="20"/>
                <w:szCs w:val="20"/>
                <w:color w:val="auto"/>
              </w:rPr>
            </w:pPr>
            <w:r>
              <w:rPr>
                <w:rFonts w:ascii="Arial" w:cs="Arial" w:eastAsia="Arial" w:hAnsi="Arial"/>
                <w:sz w:val="18"/>
                <w:szCs w:val="18"/>
                <w:color w:val="auto"/>
              </w:rPr>
              <w:t>Income producing commercial real estate</w:t>
            </w: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22,055</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26,415</w:t>
            </w: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317</w:t>
            </w:r>
          </w:p>
        </w:tc>
        <w:tc>
          <w:tcPr>
            <w:tcW w:w="80" w:type="dxa"/>
            <w:vAlign w:val="bottom"/>
          </w:tcPr>
          <w:p>
            <w:pPr>
              <w:spacing w:after="0"/>
              <w:rPr>
                <w:sz w:val="18"/>
                <w:szCs w:val="18"/>
                <w:color w:val="auto"/>
              </w:rPr>
            </w:pPr>
          </w:p>
        </w:tc>
      </w:tr>
      <w:tr>
        <w:trPr>
          <w:trHeight w:val="216"/>
        </w:trPr>
        <w:tc>
          <w:tcPr>
            <w:tcW w:w="4720" w:type="dxa"/>
            <w:vAlign w:val="bottom"/>
            <w:gridSpan w:val="2"/>
            <w:shd w:val="clear" w:color="auto" w:fill="F0FFFF"/>
          </w:tcPr>
          <w:p>
            <w:pPr>
              <w:ind w:left="60"/>
              <w:spacing w:after="0"/>
              <w:rPr>
                <w:sz w:val="20"/>
                <w:szCs w:val="20"/>
                <w:color w:val="auto"/>
              </w:rPr>
            </w:pPr>
            <w:r>
              <w:rPr>
                <w:rFonts w:ascii="Arial" w:cs="Arial" w:eastAsia="Arial" w:hAnsi="Arial"/>
                <w:sz w:val="18"/>
                <w:szCs w:val="18"/>
                <w:color w:val="auto"/>
              </w:rPr>
              <w:t>Commercial &amp; industrial</w:t>
            </w:r>
          </w:p>
        </w:tc>
        <w:tc>
          <w:tcPr>
            <w:tcW w:w="14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5,221</w:t>
            </w:r>
          </w:p>
        </w:tc>
        <w:tc>
          <w:tcPr>
            <w:tcW w:w="1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89</w:t>
            </w:r>
          </w:p>
        </w:tc>
        <w:tc>
          <w:tcPr>
            <w:tcW w:w="140" w:type="dxa"/>
            <w:vAlign w:val="bottom"/>
            <w:shd w:val="clear" w:color="auto" w:fill="F0FFFF"/>
          </w:tcPr>
          <w:p>
            <w:pPr>
              <w:spacing w:after="0"/>
              <w:rPr>
                <w:sz w:val="18"/>
                <w:szCs w:val="18"/>
                <w:color w:val="auto"/>
              </w:rPr>
            </w:pPr>
          </w:p>
        </w:tc>
        <w:tc>
          <w:tcPr>
            <w:tcW w:w="6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3,683</w:t>
            </w:r>
          </w:p>
        </w:tc>
        <w:tc>
          <w:tcPr>
            <w:tcW w:w="3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w:t>
            </w:r>
          </w:p>
        </w:tc>
        <w:tc>
          <w:tcPr>
            <w:tcW w:w="3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50</w:t>
            </w:r>
          </w:p>
        </w:tc>
        <w:tc>
          <w:tcPr>
            <w:tcW w:w="80" w:type="dxa"/>
            <w:vAlign w:val="bottom"/>
            <w:shd w:val="clear" w:color="auto" w:fill="F0FFFF"/>
          </w:tcPr>
          <w:p>
            <w:pPr>
              <w:spacing w:after="0"/>
              <w:rPr>
                <w:sz w:val="18"/>
                <w:szCs w:val="18"/>
                <w:color w:val="auto"/>
              </w:rPr>
            </w:pPr>
          </w:p>
        </w:tc>
      </w:tr>
      <w:tr>
        <w:trPr>
          <w:trHeight w:val="237"/>
        </w:trPr>
        <w:tc>
          <w:tcPr>
            <w:tcW w:w="4720" w:type="dxa"/>
            <w:vAlign w:val="bottom"/>
            <w:gridSpan w:val="2"/>
          </w:tcPr>
          <w:p>
            <w:pPr>
              <w:ind w:left="60"/>
              <w:spacing w:after="0"/>
              <w:rPr>
                <w:sz w:val="20"/>
                <w:szCs w:val="20"/>
                <w:color w:val="auto"/>
              </w:rPr>
            </w:pPr>
            <w:r>
              <w:rPr>
                <w:rFonts w:ascii="Arial" w:cs="Arial" w:eastAsia="Arial" w:hAnsi="Arial"/>
                <w:sz w:val="18"/>
                <w:szCs w:val="18"/>
                <w:color w:val="auto"/>
              </w:rPr>
              <w:t>Commercial construction</w:t>
            </w:r>
          </w:p>
        </w:tc>
        <w:tc>
          <w:tcPr>
            <w:tcW w:w="14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12,164</w:t>
            </w:r>
          </w:p>
        </w:tc>
        <w:tc>
          <w:tcPr>
            <w:tcW w:w="1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117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11,340</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0"/>
                <w:szCs w:val="20"/>
                <w:color w:val="auto"/>
              </w:rPr>
            </w:pPr>
          </w:p>
        </w:tc>
      </w:tr>
      <w:tr>
        <w:trPr>
          <w:trHeight w:val="216"/>
        </w:trPr>
        <w:tc>
          <w:tcPr>
            <w:tcW w:w="4720" w:type="dxa"/>
            <w:vAlign w:val="bottom"/>
            <w:tcBorders>
              <w:top w:val="single" w:sz="8" w:color="F0FFFF"/>
            </w:tcBorders>
            <w:gridSpan w:val="2"/>
            <w:shd w:val="clear" w:color="auto" w:fill="F0FFFF"/>
          </w:tcPr>
          <w:p>
            <w:pPr>
              <w:ind w:left="280"/>
              <w:spacing w:after="0"/>
              <w:rPr>
                <w:sz w:val="20"/>
                <w:szCs w:val="20"/>
                <w:color w:val="auto"/>
              </w:rPr>
            </w:pPr>
            <w:r>
              <w:rPr>
                <w:rFonts w:ascii="Arial" w:cs="Arial" w:eastAsia="Arial" w:hAnsi="Arial"/>
                <w:sz w:val="18"/>
                <w:szCs w:val="18"/>
                <w:color w:val="auto"/>
              </w:rPr>
              <w:t>Total commercial</w:t>
            </w:r>
          </w:p>
        </w:tc>
        <w:tc>
          <w:tcPr>
            <w:tcW w:w="140" w:type="dxa"/>
            <w:vAlign w:val="bottom"/>
            <w:tcBorders>
              <w:top w:val="single" w:sz="8" w:color="auto"/>
            </w:tcBorders>
            <w:shd w:val="clear" w:color="auto" w:fill="F0FFFF"/>
          </w:tcPr>
          <w:p>
            <w:pPr>
              <w:spacing w:after="0"/>
              <w:rPr>
                <w:sz w:val="18"/>
                <w:szCs w:val="18"/>
                <w:color w:val="auto"/>
              </w:rPr>
            </w:pPr>
          </w:p>
        </w:tc>
        <w:tc>
          <w:tcPr>
            <w:tcW w:w="6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77,425</w:t>
            </w:r>
          </w:p>
        </w:tc>
        <w:tc>
          <w:tcPr>
            <w:tcW w:w="3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904</w:t>
            </w:r>
          </w:p>
        </w:tc>
        <w:tc>
          <w:tcPr>
            <w:tcW w:w="18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7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967</w:t>
            </w:r>
          </w:p>
        </w:tc>
        <w:tc>
          <w:tcPr>
            <w:tcW w:w="3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6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72,996</w:t>
            </w:r>
          </w:p>
        </w:tc>
        <w:tc>
          <w:tcPr>
            <w:tcW w:w="3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863</w:t>
            </w:r>
          </w:p>
        </w:tc>
        <w:tc>
          <w:tcPr>
            <w:tcW w:w="32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7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865</w:t>
            </w: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r>
      <w:tr>
        <w:trPr>
          <w:trHeight w:val="216"/>
        </w:trPr>
        <w:tc>
          <w:tcPr>
            <w:tcW w:w="4720" w:type="dxa"/>
            <w:vAlign w:val="bottom"/>
            <w:gridSpan w:val="2"/>
          </w:tcPr>
          <w:p>
            <w:pPr>
              <w:ind w:left="60"/>
              <w:spacing w:after="0"/>
              <w:rPr>
                <w:sz w:val="20"/>
                <w:szCs w:val="20"/>
                <w:color w:val="auto"/>
              </w:rPr>
            </w:pPr>
            <w:r>
              <w:rPr>
                <w:rFonts w:ascii="Arial" w:cs="Arial" w:eastAsia="Arial" w:hAnsi="Arial"/>
                <w:sz w:val="18"/>
                <w:szCs w:val="18"/>
                <w:color w:val="auto"/>
              </w:rPr>
              <w:t>Residential mortgage</w:t>
            </w: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20,604</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20,598</w:t>
            </w: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8"/>
                <w:szCs w:val="18"/>
                <w:color w:val="auto"/>
              </w:rPr>
            </w:pPr>
          </w:p>
        </w:tc>
      </w:tr>
      <w:tr>
        <w:trPr>
          <w:trHeight w:val="216"/>
        </w:trPr>
        <w:tc>
          <w:tcPr>
            <w:tcW w:w="4720" w:type="dxa"/>
            <w:vAlign w:val="bottom"/>
            <w:gridSpan w:val="2"/>
            <w:shd w:val="clear" w:color="auto" w:fill="F0FFFF"/>
          </w:tcPr>
          <w:p>
            <w:pPr>
              <w:ind w:left="60"/>
              <w:spacing w:after="0"/>
              <w:rPr>
                <w:sz w:val="20"/>
                <w:szCs w:val="20"/>
                <w:color w:val="auto"/>
              </w:rPr>
            </w:pPr>
            <w:r>
              <w:rPr>
                <w:rFonts w:ascii="Arial" w:cs="Arial" w:eastAsia="Arial" w:hAnsi="Arial"/>
                <w:sz w:val="18"/>
                <w:szCs w:val="18"/>
                <w:color w:val="auto"/>
              </w:rPr>
              <w:t>Home equity lines of credit</w:t>
            </w:r>
          </w:p>
        </w:tc>
        <w:tc>
          <w:tcPr>
            <w:tcW w:w="14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5</w:t>
            </w: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5</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shd w:val="clear" w:color="auto" w:fill="F0FFFF"/>
          </w:tcPr>
          <w:p>
            <w:pPr>
              <w:spacing w:after="0"/>
              <w:rPr>
                <w:sz w:val="18"/>
                <w:szCs w:val="18"/>
                <w:color w:val="auto"/>
              </w:rPr>
            </w:pPr>
          </w:p>
        </w:tc>
      </w:tr>
      <w:tr>
        <w:trPr>
          <w:trHeight w:val="216"/>
        </w:trPr>
        <w:tc>
          <w:tcPr>
            <w:tcW w:w="4720" w:type="dxa"/>
            <w:vAlign w:val="bottom"/>
            <w:gridSpan w:val="2"/>
          </w:tcPr>
          <w:p>
            <w:pPr>
              <w:ind w:left="60"/>
              <w:spacing w:after="0"/>
              <w:rPr>
                <w:sz w:val="20"/>
                <w:szCs w:val="20"/>
                <w:color w:val="auto"/>
              </w:rPr>
            </w:pPr>
            <w:r>
              <w:rPr>
                <w:rFonts w:ascii="Arial" w:cs="Arial" w:eastAsia="Arial" w:hAnsi="Arial"/>
                <w:sz w:val="18"/>
                <w:szCs w:val="18"/>
                <w:color w:val="auto"/>
              </w:rPr>
              <w:t>Residential construction</w:t>
            </w: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8,748</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13,762</w:t>
            </w: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8"/>
                <w:szCs w:val="18"/>
                <w:color w:val="auto"/>
              </w:rPr>
            </w:pPr>
          </w:p>
        </w:tc>
      </w:tr>
      <w:tr>
        <w:trPr>
          <w:trHeight w:val="216"/>
        </w:trPr>
        <w:tc>
          <w:tcPr>
            <w:tcW w:w="4720" w:type="dxa"/>
            <w:vAlign w:val="bottom"/>
            <w:gridSpan w:val="2"/>
            <w:shd w:val="clear" w:color="auto" w:fill="F0FFFF"/>
          </w:tcPr>
          <w:p>
            <w:pPr>
              <w:ind w:left="60"/>
              <w:spacing w:after="0"/>
              <w:rPr>
                <w:sz w:val="20"/>
                <w:szCs w:val="20"/>
                <w:color w:val="auto"/>
              </w:rPr>
            </w:pPr>
            <w:r>
              <w:rPr>
                <w:rFonts w:ascii="Arial" w:cs="Arial" w:eastAsia="Arial" w:hAnsi="Arial"/>
                <w:sz w:val="18"/>
                <w:szCs w:val="18"/>
                <w:color w:val="auto"/>
              </w:rPr>
              <w:t>Consumer installment</w:t>
            </w:r>
          </w:p>
        </w:tc>
        <w:tc>
          <w:tcPr>
            <w:tcW w:w="14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3</w:t>
            </w: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6</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shd w:val="clear" w:color="auto" w:fill="F0FFFF"/>
          </w:tcPr>
          <w:p>
            <w:pPr>
              <w:spacing w:after="0"/>
              <w:rPr>
                <w:sz w:val="18"/>
                <w:szCs w:val="18"/>
                <w:color w:val="auto"/>
              </w:rPr>
            </w:pPr>
          </w:p>
        </w:tc>
      </w:tr>
      <w:tr>
        <w:trPr>
          <w:trHeight w:val="237"/>
        </w:trPr>
        <w:tc>
          <w:tcPr>
            <w:tcW w:w="4720" w:type="dxa"/>
            <w:vAlign w:val="bottom"/>
            <w:gridSpan w:val="2"/>
          </w:tcPr>
          <w:p>
            <w:pPr>
              <w:ind w:left="60"/>
              <w:spacing w:after="0"/>
              <w:rPr>
                <w:sz w:val="20"/>
                <w:szCs w:val="20"/>
                <w:color w:val="auto"/>
              </w:rPr>
            </w:pPr>
            <w:r>
              <w:rPr>
                <w:rFonts w:ascii="Arial" w:cs="Arial" w:eastAsia="Arial" w:hAnsi="Arial"/>
                <w:sz w:val="18"/>
                <w:szCs w:val="18"/>
                <w:color w:val="auto"/>
              </w:rPr>
              <w:t>Indirect auto</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5"/>
        </w:trPr>
        <w:tc>
          <w:tcPr>
            <w:tcW w:w="4720" w:type="dxa"/>
            <w:vAlign w:val="bottom"/>
            <w:tcBorders>
              <w:top w:val="single" w:sz="8" w:color="F0FFFF"/>
              <w:bottom w:val="single" w:sz="8" w:color="F0FFFF"/>
            </w:tcBorders>
            <w:gridSpan w:val="2"/>
            <w:shd w:val="clear" w:color="auto" w:fill="F0FFFF"/>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5"/>
              </w:rPr>
              <w:t>107,496</w:t>
            </w:r>
          </w:p>
        </w:tc>
        <w:tc>
          <w:tcPr>
            <w:tcW w:w="3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1,240</w:t>
            </w: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1,310</w:t>
            </w:r>
          </w:p>
        </w:tc>
        <w:tc>
          <w:tcPr>
            <w:tcW w:w="3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5"/>
              </w:rPr>
              <w:t>108,241</w:t>
            </w:r>
          </w:p>
        </w:tc>
        <w:tc>
          <w:tcPr>
            <w:tcW w:w="3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1,279</w:t>
            </w:r>
          </w:p>
        </w:tc>
        <w:tc>
          <w:tcPr>
            <w:tcW w:w="320" w:type="dxa"/>
            <w:vAlign w:val="bottom"/>
            <w:tcBorders>
              <w:top w:val="single" w:sz="8" w:color="F0FFFF"/>
              <w:bottom w:val="single" w:sz="8" w:color="F0FFFF"/>
            </w:tcBorders>
            <w:shd w:val="clear" w:color="auto" w:fill="F0FFFF"/>
          </w:tcPr>
          <w:p>
            <w:pPr>
              <w:spacing w:after="0"/>
              <w:rPr>
                <w:sz w:val="21"/>
                <w:szCs w:val="21"/>
                <w:color w:val="auto"/>
              </w:rPr>
            </w:pP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1,268</w:t>
            </w: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r>
      <w:tr>
        <w:trPr>
          <w:trHeight w:val="20"/>
        </w:trPr>
        <w:tc>
          <w:tcPr>
            <w:tcW w:w="45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640" w:type="dxa"/>
            <w:vAlign w:val="bottom"/>
            <w:tcBorders>
              <w:top w:val="single" w:sz="8" w:color="F0FFFF"/>
              <w:bottom w:val="single" w:sz="8" w:color="auto"/>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640" w:type="dxa"/>
            <w:vAlign w:val="bottom"/>
            <w:tcBorders>
              <w:top w:val="single" w:sz="8" w:color="F0FFFF"/>
              <w:bottom w:val="single" w:sz="8" w:color="auto"/>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r>
      <w:tr>
        <w:trPr>
          <w:trHeight w:val="190"/>
        </w:trPr>
        <w:tc>
          <w:tcPr>
            <w:tcW w:w="4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59"/>
        </w:trPr>
        <w:tc>
          <w:tcPr>
            <w:tcW w:w="4720" w:type="dxa"/>
            <w:vAlign w:val="bottom"/>
            <w:gridSpan w:val="2"/>
            <w:shd w:val="clear" w:color="auto" w:fill="F0FFFF"/>
          </w:tcPr>
          <w:p>
            <w:pPr>
              <w:ind w:left="60"/>
              <w:spacing w:after="0"/>
              <w:rPr>
                <w:sz w:val="20"/>
                <w:szCs w:val="20"/>
                <w:color w:val="auto"/>
              </w:rPr>
            </w:pPr>
            <w:r>
              <w:rPr>
                <w:rFonts w:ascii="Arial" w:cs="Arial" w:eastAsia="Arial" w:hAnsi="Arial"/>
                <w:sz w:val="18"/>
                <w:szCs w:val="18"/>
                <w:b w:val="1"/>
                <w:bCs w:val="1"/>
                <w:color w:val="auto"/>
              </w:rPr>
              <w:t>Six Months Ended June 30,</w:t>
            </w:r>
          </w:p>
        </w:tc>
        <w:tc>
          <w:tcPr>
            <w:tcW w:w="140" w:type="dxa"/>
            <w:vAlign w:val="bottom"/>
            <w:shd w:val="clear" w:color="auto" w:fill="F0FFFF"/>
          </w:tcPr>
          <w:p>
            <w:pPr>
              <w:spacing w:after="0"/>
              <w:rPr>
                <w:sz w:val="22"/>
                <w:szCs w:val="22"/>
                <w:color w:val="auto"/>
              </w:rPr>
            </w:pPr>
          </w:p>
        </w:tc>
        <w:tc>
          <w:tcPr>
            <w:tcW w:w="640" w:type="dxa"/>
            <w:vAlign w:val="bottom"/>
            <w:shd w:val="clear" w:color="auto" w:fill="F0FFFF"/>
          </w:tcPr>
          <w:p>
            <w:pPr>
              <w:spacing w:after="0"/>
              <w:rPr>
                <w:sz w:val="22"/>
                <w:szCs w:val="22"/>
                <w:color w:val="auto"/>
              </w:rPr>
            </w:pPr>
          </w:p>
        </w:tc>
        <w:tc>
          <w:tcPr>
            <w:tcW w:w="32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800" w:type="dxa"/>
            <w:vAlign w:val="bottom"/>
            <w:shd w:val="clear" w:color="auto" w:fill="F0FFFF"/>
          </w:tcPr>
          <w:p>
            <w:pPr>
              <w:spacing w:after="0"/>
              <w:rPr>
                <w:sz w:val="22"/>
                <w:szCs w:val="22"/>
                <w:color w:val="auto"/>
              </w:rPr>
            </w:pPr>
          </w:p>
        </w:tc>
        <w:tc>
          <w:tcPr>
            <w:tcW w:w="18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80" w:type="dxa"/>
            <w:vAlign w:val="bottom"/>
            <w:shd w:val="clear" w:color="auto" w:fill="F0FFFF"/>
          </w:tcPr>
          <w:p>
            <w:pPr>
              <w:spacing w:after="0"/>
              <w:rPr>
                <w:sz w:val="22"/>
                <w:szCs w:val="22"/>
                <w:color w:val="auto"/>
              </w:rPr>
            </w:pPr>
          </w:p>
        </w:tc>
        <w:tc>
          <w:tcPr>
            <w:tcW w:w="700" w:type="dxa"/>
            <w:vAlign w:val="bottom"/>
            <w:shd w:val="clear" w:color="auto" w:fill="F0FFFF"/>
          </w:tcPr>
          <w:p>
            <w:pPr>
              <w:spacing w:after="0"/>
              <w:rPr>
                <w:sz w:val="22"/>
                <w:szCs w:val="22"/>
                <w:color w:val="auto"/>
              </w:rPr>
            </w:pPr>
          </w:p>
        </w:tc>
        <w:tc>
          <w:tcPr>
            <w:tcW w:w="32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640" w:type="dxa"/>
            <w:vAlign w:val="bottom"/>
            <w:shd w:val="clear" w:color="auto" w:fill="F0FFFF"/>
          </w:tcPr>
          <w:p>
            <w:pPr>
              <w:spacing w:after="0"/>
              <w:rPr>
                <w:sz w:val="22"/>
                <w:szCs w:val="22"/>
                <w:color w:val="auto"/>
              </w:rPr>
            </w:pPr>
          </w:p>
        </w:tc>
        <w:tc>
          <w:tcPr>
            <w:tcW w:w="32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800" w:type="dxa"/>
            <w:vAlign w:val="bottom"/>
            <w:shd w:val="clear" w:color="auto" w:fill="F0FFFF"/>
          </w:tcPr>
          <w:p>
            <w:pPr>
              <w:spacing w:after="0"/>
              <w:rPr>
                <w:sz w:val="22"/>
                <w:szCs w:val="22"/>
                <w:color w:val="auto"/>
              </w:rPr>
            </w:pPr>
          </w:p>
        </w:tc>
        <w:tc>
          <w:tcPr>
            <w:tcW w:w="320" w:type="dxa"/>
            <w:vAlign w:val="bottom"/>
            <w:shd w:val="clear" w:color="auto" w:fill="F0FFFF"/>
          </w:tcPr>
          <w:p>
            <w:pPr>
              <w:spacing w:after="0"/>
              <w:rPr>
                <w:sz w:val="22"/>
                <w:szCs w:val="22"/>
                <w:color w:val="auto"/>
              </w:rPr>
            </w:pPr>
          </w:p>
        </w:tc>
        <w:tc>
          <w:tcPr>
            <w:tcW w:w="20" w:type="dxa"/>
            <w:vAlign w:val="bottom"/>
            <w:shd w:val="clear" w:color="auto" w:fill="F0FFFF"/>
          </w:tcPr>
          <w:p>
            <w:pPr>
              <w:spacing w:after="0"/>
              <w:rPr>
                <w:sz w:val="22"/>
                <w:szCs w:val="22"/>
                <w:color w:val="auto"/>
              </w:rPr>
            </w:pPr>
          </w:p>
        </w:tc>
        <w:tc>
          <w:tcPr>
            <w:tcW w:w="80" w:type="dxa"/>
            <w:vAlign w:val="bottom"/>
            <w:shd w:val="clear" w:color="auto" w:fill="F0FFFF"/>
          </w:tcPr>
          <w:p>
            <w:pPr>
              <w:spacing w:after="0"/>
              <w:rPr>
                <w:sz w:val="22"/>
                <w:szCs w:val="22"/>
                <w:color w:val="auto"/>
              </w:rPr>
            </w:pPr>
          </w:p>
        </w:tc>
        <w:tc>
          <w:tcPr>
            <w:tcW w:w="700" w:type="dxa"/>
            <w:vAlign w:val="bottom"/>
            <w:shd w:val="clear" w:color="auto" w:fill="F0FFFF"/>
          </w:tcPr>
          <w:p>
            <w:pPr>
              <w:spacing w:after="0"/>
              <w:rPr>
                <w:sz w:val="22"/>
                <w:szCs w:val="22"/>
                <w:color w:val="auto"/>
              </w:rPr>
            </w:pPr>
          </w:p>
        </w:tc>
        <w:tc>
          <w:tcPr>
            <w:tcW w:w="20" w:type="dxa"/>
            <w:vAlign w:val="bottom"/>
            <w:shd w:val="clear" w:color="auto" w:fill="F0FFFF"/>
          </w:tcPr>
          <w:p>
            <w:pPr>
              <w:spacing w:after="0"/>
              <w:rPr>
                <w:sz w:val="22"/>
                <w:szCs w:val="22"/>
                <w:color w:val="auto"/>
              </w:rPr>
            </w:pPr>
          </w:p>
        </w:tc>
        <w:tc>
          <w:tcPr>
            <w:tcW w:w="80" w:type="dxa"/>
            <w:vAlign w:val="bottom"/>
            <w:shd w:val="clear" w:color="auto" w:fill="F0FFFF"/>
          </w:tcPr>
          <w:p>
            <w:pPr>
              <w:spacing w:after="0"/>
              <w:rPr>
                <w:sz w:val="22"/>
                <w:szCs w:val="22"/>
                <w:color w:val="auto"/>
              </w:rPr>
            </w:pPr>
          </w:p>
        </w:tc>
      </w:tr>
      <w:tr>
        <w:trPr>
          <w:trHeight w:val="207"/>
        </w:trPr>
        <w:tc>
          <w:tcPr>
            <w:tcW w:w="45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Owner occupied commercial real estate</w:t>
            </w:r>
          </w:p>
        </w:tc>
        <w:tc>
          <w:tcPr>
            <w:tcW w:w="22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F0FFFF"/>
            </w:tcBorders>
            <w:gridSpan w:val="2"/>
          </w:tcPr>
          <w:p>
            <w:pPr>
              <w:jc w:val="right"/>
              <w:ind w:right="320"/>
              <w:spacing w:after="0"/>
              <w:rPr>
                <w:sz w:val="20"/>
                <w:szCs w:val="20"/>
                <w:color w:val="auto"/>
              </w:rPr>
            </w:pPr>
            <w:r>
              <w:rPr>
                <w:rFonts w:ascii="Arial" w:cs="Arial" w:eastAsia="Arial" w:hAnsi="Arial"/>
                <w:sz w:val="18"/>
                <w:szCs w:val="18"/>
                <w:color w:val="auto"/>
              </w:rPr>
              <w:t>37,487</w:t>
            </w:r>
          </w:p>
        </w:tc>
        <w:tc>
          <w:tcPr>
            <w:tcW w:w="120" w:type="dxa"/>
            <w:vAlign w:val="bottom"/>
            <w:tcBorders>
              <w:top w:val="single" w:sz="8" w:color="F0FFFF"/>
            </w:tcBorders>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F0FFFF"/>
            </w:tcBorders>
            <w:gridSpan w:val="2"/>
          </w:tcPr>
          <w:p>
            <w:pPr>
              <w:jc w:val="right"/>
              <w:ind w:right="180"/>
              <w:spacing w:after="0"/>
              <w:rPr>
                <w:sz w:val="20"/>
                <w:szCs w:val="20"/>
                <w:color w:val="auto"/>
              </w:rPr>
            </w:pPr>
            <w:r>
              <w:rPr>
                <w:rFonts w:ascii="Arial" w:cs="Arial" w:eastAsia="Arial" w:hAnsi="Arial"/>
                <w:sz w:val="18"/>
                <w:szCs w:val="18"/>
                <w:color w:val="auto"/>
              </w:rPr>
              <w:t>929</w:t>
            </w:r>
          </w:p>
        </w:tc>
        <w:tc>
          <w:tcPr>
            <w:tcW w:w="240" w:type="dxa"/>
            <w:vAlign w:val="bottom"/>
            <w:tcBorders>
              <w:top w:val="single" w:sz="8" w:color="F0FFFF"/>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F0FFFF"/>
            </w:tcBorders>
            <w:gridSpan w:val="2"/>
          </w:tcPr>
          <w:p>
            <w:pPr>
              <w:jc w:val="right"/>
              <w:ind w:right="320"/>
              <w:spacing w:after="0"/>
              <w:rPr>
                <w:sz w:val="20"/>
                <w:szCs w:val="20"/>
                <w:color w:val="auto"/>
              </w:rPr>
            </w:pPr>
            <w:r>
              <w:rPr>
                <w:rFonts w:ascii="Arial" w:cs="Arial" w:eastAsia="Arial" w:hAnsi="Arial"/>
                <w:sz w:val="18"/>
                <w:szCs w:val="18"/>
                <w:color w:val="auto"/>
              </w:rPr>
              <w:t>968</w:t>
            </w:r>
          </w:p>
        </w:tc>
        <w:tc>
          <w:tcPr>
            <w:tcW w:w="140" w:type="dxa"/>
            <w:vAlign w:val="bottom"/>
            <w:tcBorders>
              <w:top w:val="single" w:sz="8" w:color="F0FFFF"/>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F0FFFF"/>
            </w:tcBorders>
            <w:gridSpan w:val="2"/>
          </w:tcPr>
          <w:p>
            <w:pPr>
              <w:jc w:val="right"/>
              <w:ind w:right="320"/>
              <w:spacing w:after="0"/>
              <w:rPr>
                <w:sz w:val="20"/>
                <w:szCs w:val="20"/>
                <w:color w:val="auto"/>
              </w:rPr>
            </w:pPr>
            <w:r>
              <w:rPr>
                <w:rFonts w:ascii="Arial" w:cs="Arial" w:eastAsia="Arial" w:hAnsi="Arial"/>
                <w:sz w:val="18"/>
                <w:szCs w:val="18"/>
                <w:color w:val="auto"/>
              </w:rPr>
              <w:t>30,334</w:t>
            </w:r>
          </w:p>
        </w:tc>
        <w:tc>
          <w:tcPr>
            <w:tcW w:w="120" w:type="dxa"/>
            <w:vAlign w:val="bottom"/>
            <w:tcBorders>
              <w:top w:val="single" w:sz="8" w:color="F0FFFF"/>
            </w:tcBorders>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F0FFFF"/>
            </w:tcBorders>
            <w:gridSpan w:val="2"/>
          </w:tcPr>
          <w:p>
            <w:pPr>
              <w:jc w:val="right"/>
              <w:ind w:right="320"/>
              <w:spacing w:after="0"/>
              <w:rPr>
                <w:sz w:val="20"/>
                <w:szCs w:val="20"/>
                <w:color w:val="auto"/>
              </w:rPr>
            </w:pPr>
            <w:r>
              <w:rPr>
                <w:rFonts w:ascii="Arial" w:cs="Arial" w:eastAsia="Arial" w:hAnsi="Arial"/>
                <w:sz w:val="18"/>
                <w:szCs w:val="18"/>
                <w:color w:val="auto"/>
              </w:rPr>
              <w:t>761</w:t>
            </w:r>
          </w:p>
        </w:tc>
        <w:tc>
          <w:tcPr>
            <w:tcW w:w="100" w:type="dxa"/>
            <w:vAlign w:val="bottom"/>
            <w:tcBorders>
              <w:top w:val="single" w:sz="8" w:color="F0FFFF"/>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F0FFFF"/>
            </w:tcBorders>
            <w:gridSpan w:val="2"/>
          </w:tcPr>
          <w:p>
            <w:pPr>
              <w:jc w:val="right"/>
              <w:ind w:right="20"/>
              <w:spacing w:after="0"/>
              <w:rPr>
                <w:sz w:val="20"/>
                <w:szCs w:val="20"/>
                <w:color w:val="auto"/>
              </w:rPr>
            </w:pPr>
            <w:r>
              <w:rPr>
                <w:rFonts w:ascii="Arial" w:cs="Arial" w:eastAsia="Arial" w:hAnsi="Arial"/>
                <w:sz w:val="18"/>
                <w:szCs w:val="18"/>
                <w:color w:val="auto"/>
              </w:rPr>
              <w:t>771</w:t>
            </w:r>
          </w:p>
        </w:tc>
        <w:tc>
          <w:tcPr>
            <w:tcW w:w="80" w:type="dxa"/>
            <w:vAlign w:val="bottom"/>
            <w:tcBorders>
              <w:top w:val="single" w:sz="8" w:color="F0FFFF"/>
            </w:tcBorders>
          </w:tcPr>
          <w:p>
            <w:pPr>
              <w:spacing w:after="0"/>
              <w:rPr>
                <w:sz w:val="18"/>
                <w:szCs w:val="18"/>
                <w:color w:val="auto"/>
              </w:rPr>
            </w:pPr>
          </w:p>
        </w:tc>
      </w:tr>
      <w:tr>
        <w:trPr>
          <w:trHeight w:val="216"/>
        </w:trPr>
        <w:tc>
          <w:tcPr>
            <w:tcW w:w="4720" w:type="dxa"/>
            <w:vAlign w:val="bottom"/>
            <w:gridSpan w:val="2"/>
            <w:shd w:val="clear" w:color="auto" w:fill="F0FFFF"/>
          </w:tcPr>
          <w:p>
            <w:pPr>
              <w:ind w:left="60"/>
              <w:spacing w:after="0"/>
              <w:rPr>
                <w:sz w:val="20"/>
                <w:szCs w:val="20"/>
                <w:color w:val="auto"/>
              </w:rPr>
            </w:pPr>
            <w:r>
              <w:rPr>
                <w:rFonts w:ascii="Arial" w:cs="Arial" w:eastAsia="Arial" w:hAnsi="Arial"/>
                <w:sz w:val="18"/>
                <w:szCs w:val="18"/>
                <w:color w:val="auto"/>
              </w:rPr>
              <w:t>Income producing commercial real estate</w:t>
            </w:r>
          </w:p>
        </w:tc>
        <w:tc>
          <w:tcPr>
            <w:tcW w:w="14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21,740</w:t>
            </w:r>
          </w:p>
        </w:tc>
        <w:tc>
          <w:tcPr>
            <w:tcW w:w="1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540</w:t>
            </w: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529</w:t>
            </w:r>
          </w:p>
        </w:tc>
        <w:tc>
          <w:tcPr>
            <w:tcW w:w="14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26,138</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628</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650</w:t>
            </w:r>
          </w:p>
        </w:tc>
        <w:tc>
          <w:tcPr>
            <w:tcW w:w="80" w:type="dxa"/>
            <w:vAlign w:val="bottom"/>
            <w:shd w:val="clear" w:color="auto" w:fill="F0FFFF"/>
          </w:tcPr>
          <w:p>
            <w:pPr>
              <w:spacing w:after="0"/>
              <w:rPr>
                <w:sz w:val="18"/>
                <w:szCs w:val="18"/>
                <w:color w:val="auto"/>
              </w:rPr>
            </w:pPr>
          </w:p>
        </w:tc>
      </w:tr>
      <w:tr>
        <w:trPr>
          <w:trHeight w:val="216"/>
        </w:trPr>
        <w:tc>
          <w:tcPr>
            <w:tcW w:w="4720" w:type="dxa"/>
            <w:vAlign w:val="bottom"/>
            <w:gridSpan w:val="2"/>
          </w:tcPr>
          <w:p>
            <w:pPr>
              <w:ind w:left="60"/>
              <w:spacing w:after="0"/>
              <w:rPr>
                <w:sz w:val="20"/>
                <w:szCs w:val="20"/>
                <w:color w:val="auto"/>
              </w:rPr>
            </w:pPr>
            <w:r>
              <w:rPr>
                <w:rFonts w:ascii="Arial" w:cs="Arial" w:eastAsia="Arial" w:hAnsi="Arial"/>
                <w:sz w:val="18"/>
                <w:szCs w:val="18"/>
                <w:color w:val="auto"/>
              </w:rPr>
              <w:t>Commercial &amp; industrial</w:t>
            </w: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4,622</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4,122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r>
      <w:tr>
        <w:trPr>
          <w:trHeight w:val="250"/>
        </w:trPr>
        <w:tc>
          <w:tcPr>
            <w:tcW w:w="4720" w:type="dxa"/>
            <w:vAlign w:val="bottom"/>
            <w:gridSpan w:val="2"/>
            <w:shd w:val="clear" w:color="auto" w:fill="F0FFFF"/>
          </w:tcPr>
          <w:p>
            <w:pPr>
              <w:ind w:left="60"/>
              <w:spacing w:after="0"/>
              <w:rPr>
                <w:sz w:val="20"/>
                <w:szCs w:val="20"/>
                <w:color w:val="auto"/>
              </w:rPr>
            </w:pPr>
            <w:r>
              <w:rPr>
                <w:rFonts w:ascii="Arial" w:cs="Arial" w:eastAsia="Arial" w:hAnsi="Arial"/>
                <w:sz w:val="18"/>
                <w:szCs w:val="18"/>
                <w:color w:val="auto"/>
              </w:rPr>
              <w:t>Commercial construction</w:t>
            </w:r>
          </w:p>
        </w:tc>
        <w:tc>
          <w:tcPr>
            <w:tcW w:w="140" w:type="dxa"/>
            <w:vAlign w:val="bottom"/>
            <w:shd w:val="clear" w:color="auto" w:fill="F0FFFF"/>
          </w:tcPr>
          <w:p>
            <w:pPr>
              <w:spacing w:after="0"/>
              <w:rPr>
                <w:sz w:val="21"/>
                <w:szCs w:val="21"/>
                <w:color w:val="auto"/>
              </w:rPr>
            </w:pPr>
          </w:p>
        </w:tc>
        <w:tc>
          <w:tcPr>
            <w:tcW w:w="96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12,219</w:t>
            </w:r>
          </w:p>
        </w:tc>
        <w:tc>
          <w:tcPr>
            <w:tcW w:w="120" w:type="dxa"/>
            <w:vAlign w:val="bottom"/>
            <w:shd w:val="clear" w:color="auto" w:fill="F0FFFF"/>
          </w:tcPr>
          <w:p>
            <w:pPr>
              <w:spacing w:after="0"/>
              <w:rPr>
                <w:sz w:val="21"/>
                <w:szCs w:val="21"/>
                <w:color w:val="auto"/>
              </w:rPr>
            </w:pPr>
          </w:p>
        </w:tc>
        <w:tc>
          <w:tcPr>
            <w:tcW w:w="9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F0FFFF"/>
          </w:tcPr>
          <w:p>
            <w:pPr>
              <w:spacing w:after="0"/>
              <w:rPr>
                <w:sz w:val="21"/>
                <w:szCs w:val="21"/>
                <w:color w:val="auto"/>
              </w:rPr>
            </w:pPr>
          </w:p>
        </w:tc>
        <w:tc>
          <w:tcPr>
            <w:tcW w:w="96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12,027</w:t>
            </w:r>
          </w:p>
        </w:tc>
        <w:tc>
          <w:tcPr>
            <w:tcW w:w="12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216</w:t>
            </w:r>
          </w:p>
        </w:tc>
        <w:tc>
          <w:tcPr>
            <w:tcW w:w="2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7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242</w:t>
            </w:r>
          </w:p>
        </w:tc>
        <w:tc>
          <w:tcPr>
            <w:tcW w:w="80" w:type="dxa"/>
            <w:vAlign w:val="bottom"/>
            <w:shd w:val="clear" w:color="auto" w:fill="F0FFFF"/>
          </w:tcPr>
          <w:p>
            <w:pPr>
              <w:spacing w:after="0"/>
              <w:rPr>
                <w:sz w:val="21"/>
                <w:szCs w:val="21"/>
                <w:color w:val="auto"/>
              </w:rPr>
            </w:pPr>
          </w:p>
        </w:tc>
      </w:tr>
      <w:tr>
        <w:trPr>
          <w:trHeight w:val="203"/>
        </w:trPr>
        <w:tc>
          <w:tcPr>
            <w:tcW w:w="4720" w:type="dxa"/>
            <w:vAlign w:val="bottom"/>
            <w:tcBorders>
              <w:top w:val="single" w:sz="8" w:color="F0FFFF"/>
            </w:tcBorders>
            <w:gridSpan w:val="2"/>
          </w:tcPr>
          <w:p>
            <w:pPr>
              <w:ind w:left="280"/>
              <w:spacing w:after="0" w:line="203" w:lineRule="exact"/>
              <w:rPr>
                <w:sz w:val="20"/>
                <w:szCs w:val="20"/>
                <w:color w:val="auto"/>
              </w:rPr>
            </w:pPr>
            <w:r>
              <w:rPr>
                <w:rFonts w:ascii="Arial" w:cs="Arial" w:eastAsia="Arial" w:hAnsi="Arial"/>
                <w:sz w:val="18"/>
                <w:szCs w:val="18"/>
                <w:color w:val="auto"/>
              </w:rPr>
              <w:t>Total commercial</w:t>
            </w: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76,068</w:t>
            </w:r>
          </w:p>
        </w:tc>
        <w:tc>
          <w:tcPr>
            <w:tcW w:w="32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1,785</w:t>
            </w:r>
          </w:p>
        </w:tc>
        <w:tc>
          <w:tcPr>
            <w:tcW w:w="180" w:type="dxa"/>
            <w:vAlign w:val="bottom"/>
            <w:tcBorders>
              <w:top w:val="single" w:sz="8" w:color="F0FFFF"/>
            </w:tcBorders>
          </w:tcPr>
          <w:p>
            <w:pPr>
              <w:spacing w:after="0"/>
              <w:rPr>
                <w:sz w:val="17"/>
                <w:szCs w:val="17"/>
                <w:color w:val="auto"/>
              </w:rPr>
            </w:pPr>
          </w:p>
        </w:tc>
        <w:tc>
          <w:tcPr>
            <w:tcW w:w="160" w:type="dxa"/>
            <w:vAlign w:val="bottom"/>
            <w:tcBorders>
              <w:top w:val="single" w:sz="8" w:color="F0FF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1,859</w:t>
            </w:r>
          </w:p>
        </w:tc>
        <w:tc>
          <w:tcPr>
            <w:tcW w:w="32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72,621</w:t>
            </w:r>
          </w:p>
        </w:tc>
        <w:tc>
          <w:tcPr>
            <w:tcW w:w="32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1,697</w:t>
            </w:r>
          </w:p>
        </w:tc>
        <w:tc>
          <w:tcPr>
            <w:tcW w:w="32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1,764</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r>
      <w:tr>
        <w:trPr>
          <w:trHeight w:val="216"/>
        </w:trPr>
        <w:tc>
          <w:tcPr>
            <w:tcW w:w="4720" w:type="dxa"/>
            <w:vAlign w:val="bottom"/>
            <w:gridSpan w:val="2"/>
            <w:shd w:val="clear" w:color="auto" w:fill="F0FFFF"/>
          </w:tcPr>
          <w:p>
            <w:pPr>
              <w:ind w:left="60"/>
              <w:spacing w:after="0"/>
              <w:rPr>
                <w:sz w:val="20"/>
                <w:szCs w:val="20"/>
                <w:color w:val="auto"/>
              </w:rPr>
            </w:pPr>
            <w:r>
              <w:rPr>
                <w:rFonts w:ascii="Arial" w:cs="Arial" w:eastAsia="Arial" w:hAnsi="Arial"/>
                <w:sz w:val="18"/>
                <w:szCs w:val="18"/>
                <w:color w:val="auto"/>
              </w:rPr>
              <w:t>Residential mortgage</w:t>
            </w:r>
          </w:p>
        </w:tc>
        <w:tc>
          <w:tcPr>
            <w:tcW w:w="14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21,345</w:t>
            </w:r>
          </w:p>
        </w:tc>
        <w:tc>
          <w:tcPr>
            <w:tcW w:w="1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436</w:t>
            </w:r>
          </w:p>
        </w:tc>
        <w:tc>
          <w:tcPr>
            <w:tcW w:w="14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20,960</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457</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455</w:t>
            </w:r>
          </w:p>
        </w:tc>
        <w:tc>
          <w:tcPr>
            <w:tcW w:w="80" w:type="dxa"/>
            <w:vAlign w:val="bottom"/>
            <w:shd w:val="clear" w:color="auto" w:fill="F0FFFF"/>
          </w:tcPr>
          <w:p>
            <w:pPr>
              <w:spacing w:after="0"/>
              <w:rPr>
                <w:sz w:val="18"/>
                <w:szCs w:val="18"/>
                <w:color w:val="auto"/>
              </w:rPr>
            </w:pPr>
          </w:p>
        </w:tc>
      </w:tr>
      <w:tr>
        <w:trPr>
          <w:trHeight w:val="216"/>
        </w:trPr>
        <w:tc>
          <w:tcPr>
            <w:tcW w:w="4720" w:type="dxa"/>
            <w:vAlign w:val="bottom"/>
            <w:gridSpan w:val="2"/>
          </w:tcPr>
          <w:p>
            <w:pPr>
              <w:ind w:left="60"/>
              <w:spacing w:after="0"/>
              <w:rPr>
                <w:sz w:val="20"/>
                <w:szCs w:val="20"/>
                <w:color w:val="auto"/>
              </w:rPr>
            </w:pPr>
            <w:r>
              <w:rPr>
                <w:rFonts w:ascii="Arial" w:cs="Arial" w:eastAsia="Arial" w:hAnsi="Arial"/>
                <w:sz w:val="18"/>
                <w:szCs w:val="18"/>
                <w:color w:val="auto"/>
              </w:rPr>
              <w:t>Home equity lines of credit</w:t>
            </w: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r>
      <w:tr>
        <w:trPr>
          <w:trHeight w:val="216"/>
        </w:trPr>
        <w:tc>
          <w:tcPr>
            <w:tcW w:w="4720" w:type="dxa"/>
            <w:vAlign w:val="bottom"/>
            <w:gridSpan w:val="2"/>
            <w:shd w:val="clear" w:color="auto" w:fill="F0FFFF"/>
          </w:tcPr>
          <w:p>
            <w:pPr>
              <w:ind w:left="60"/>
              <w:spacing w:after="0"/>
              <w:rPr>
                <w:sz w:val="20"/>
                <w:szCs w:val="20"/>
                <w:color w:val="auto"/>
              </w:rPr>
            </w:pPr>
            <w:r>
              <w:rPr>
                <w:rFonts w:ascii="Arial" w:cs="Arial" w:eastAsia="Arial" w:hAnsi="Arial"/>
                <w:sz w:val="18"/>
                <w:szCs w:val="18"/>
                <w:color w:val="auto"/>
              </w:rPr>
              <w:t>Residential construction</w:t>
            </w:r>
          </w:p>
        </w:tc>
        <w:tc>
          <w:tcPr>
            <w:tcW w:w="14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9,662</w:t>
            </w:r>
          </w:p>
        </w:tc>
        <w:tc>
          <w:tcPr>
            <w:tcW w:w="1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248</w:t>
            </w: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258</w:t>
            </w:r>
          </w:p>
        </w:tc>
        <w:tc>
          <w:tcPr>
            <w:tcW w:w="14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13,400</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322</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325</w:t>
            </w:r>
          </w:p>
        </w:tc>
        <w:tc>
          <w:tcPr>
            <w:tcW w:w="80" w:type="dxa"/>
            <w:vAlign w:val="bottom"/>
            <w:shd w:val="clear" w:color="auto" w:fill="F0FFFF"/>
          </w:tcPr>
          <w:p>
            <w:pPr>
              <w:spacing w:after="0"/>
              <w:rPr>
                <w:sz w:val="18"/>
                <w:szCs w:val="18"/>
                <w:color w:val="auto"/>
              </w:rPr>
            </w:pPr>
          </w:p>
        </w:tc>
      </w:tr>
      <w:tr>
        <w:trPr>
          <w:trHeight w:val="216"/>
        </w:trPr>
        <w:tc>
          <w:tcPr>
            <w:tcW w:w="4720" w:type="dxa"/>
            <w:vAlign w:val="bottom"/>
            <w:gridSpan w:val="2"/>
          </w:tcPr>
          <w:p>
            <w:pPr>
              <w:ind w:left="60"/>
              <w:spacing w:after="0"/>
              <w:rPr>
                <w:sz w:val="20"/>
                <w:szCs w:val="20"/>
                <w:color w:val="auto"/>
              </w:rPr>
            </w:pPr>
            <w:r>
              <w:rPr>
                <w:rFonts w:ascii="Arial" w:cs="Arial" w:eastAsia="Arial" w:hAnsi="Arial"/>
                <w:sz w:val="18"/>
                <w:szCs w:val="18"/>
                <w:color w:val="auto"/>
              </w:rPr>
              <w:t>Consumer installment</w:t>
            </w: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r>
      <w:tr>
        <w:trPr>
          <w:trHeight w:val="250"/>
        </w:trPr>
        <w:tc>
          <w:tcPr>
            <w:tcW w:w="4720" w:type="dxa"/>
            <w:vAlign w:val="bottom"/>
            <w:tcBorders>
              <w:bottom w:val="single" w:sz="8" w:color="F0FFFF"/>
            </w:tcBorders>
            <w:gridSpan w:val="2"/>
            <w:shd w:val="clear" w:color="auto" w:fill="F0FFFF"/>
          </w:tcPr>
          <w:p>
            <w:pPr>
              <w:ind w:left="60"/>
              <w:spacing w:after="0"/>
              <w:rPr>
                <w:sz w:val="20"/>
                <w:szCs w:val="20"/>
                <w:color w:val="auto"/>
              </w:rPr>
            </w:pPr>
            <w:r>
              <w:rPr>
                <w:rFonts w:ascii="Arial" w:cs="Arial" w:eastAsia="Arial" w:hAnsi="Arial"/>
                <w:sz w:val="18"/>
                <w:szCs w:val="18"/>
                <w:color w:val="auto"/>
              </w:rPr>
              <w:t>Indirect auto</w:t>
            </w:r>
          </w:p>
        </w:tc>
        <w:tc>
          <w:tcPr>
            <w:tcW w:w="140" w:type="dxa"/>
            <w:vAlign w:val="bottom"/>
            <w:tcBorders>
              <w:bottom w:val="single" w:sz="8" w:color="auto"/>
            </w:tcBorders>
            <w:shd w:val="clear" w:color="auto" w:fill="F0FFFF"/>
          </w:tcPr>
          <w:p>
            <w:pPr>
              <w:spacing w:after="0"/>
              <w:rPr>
                <w:sz w:val="21"/>
                <w:szCs w:val="21"/>
                <w:color w:val="auto"/>
              </w:rPr>
            </w:pPr>
          </w:p>
        </w:tc>
        <w:tc>
          <w:tcPr>
            <w:tcW w:w="6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spacing w:after="0"/>
              <w:rPr>
                <w:sz w:val="21"/>
                <w:szCs w:val="21"/>
                <w:color w:val="auto"/>
              </w:rPr>
            </w:pP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auto"/>
            </w:tcBorders>
            <w:shd w:val="clear" w:color="auto" w:fill="F0FFFF"/>
          </w:tcPr>
          <w:p>
            <w:pPr>
              <w:spacing w:after="0"/>
              <w:rPr>
                <w:sz w:val="21"/>
                <w:szCs w:val="21"/>
                <w:color w:val="auto"/>
              </w:rPr>
            </w:pPr>
          </w:p>
        </w:tc>
        <w:tc>
          <w:tcPr>
            <w:tcW w:w="7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spacing w:after="0"/>
              <w:rPr>
                <w:sz w:val="21"/>
                <w:szCs w:val="21"/>
                <w:color w:val="auto"/>
              </w:rPr>
            </w:pPr>
          </w:p>
        </w:tc>
        <w:tc>
          <w:tcPr>
            <w:tcW w:w="6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spacing w:after="0"/>
              <w:rPr>
                <w:sz w:val="21"/>
                <w:szCs w:val="21"/>
                <w:color w:val="auto"/>
              </w:rPr>
            </w:pP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F0FFFF"/>
            </w:tcBorders>
            <w:shd w:val="clear" w:color="auto" w:fill="F0FFFF"/>
          </w:tcPr>
          <w:p>
            <w:pPr>
              <w:spacing w:after="0"/>
              <w:rPr>
                <w:sz w:val="21"/>
                <w:szCs w:val="21"/>
                <w:color w:val="auto"/>
              </w:rPr>
            </w:pPr>
          </w:p>
        </w:tc>
        <w:tc>
          <w:tcPr>
            <w:tcW w:w="2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auto"/>
            </w:tcBorders>
            <w:shd w:val="clear" w:color="auto" w:fill="F0FFFF"/>
          </w:tcPr>
          <w:p>
            <w:pPr>
              <w:spacing w:after="0"/>
              <w:rPr>
                <w:sz w:val="21"/>
                <w:szCs w:val="21"/>
                <w:color w:val="auto"/>
              </w:rPr>
            </w:pPr>
          </w:p>
        </w:tc>
        <w:tc>
          <w:tcPr>
            <w:tcW w:w="7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r>
      <w:tr>
        <w:trPr>
          <w:trHeight w:val="217"/>
        </w:trPr>
        <w:tc>
          <w:tcPr>
            <w:tcW w:w="472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107,750</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w:t>
            </w: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107,901</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
        </w:trPr>
        <w:tc>
          <w:tcPr>
            <w:tcW w:w="4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following table presents the recorded investment in nonaccrual loans by loan class as of June 30, 2015, December 31, 2014 and June 30, 2014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3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b w:val="1"/>
                <w:bCs w:val="1"/>
                <w:color w:val="auto"/>
                <w:w w:val="89"/>
              </w:rPr>
              <w:t>Nonaccrual Loans</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43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ind w:left="160"/>
              <w:spacing w:after="0" w:line="198" w:lineRule="exact"/>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88"/>
              </w:rPr>
              <w:t>December 31,</w:t>
            </w:r>
          </w:p>
        </w:tc>
        <w:tc>
          <w:tcPr>
            <w:tcW w:w="260" w:type="dxa"/>
            <w:vAlign w:val="bottom"/>
          </w:tcPr>
          <w:p>
            <w:pPr>
              <w:spacing w:after="0"/>
              <w:rPr>
                <w:sz w:val="17"/>
                <w:szCs w:val="17"/>
                <w:color w:val="auto"/>
              </w:rPr>
            </w:pPr>
          </w:p>
        </w:tc>
        <w:tc>
          <w:tcPr>
            <w:tcW w:w="1100" w:type="dxa"/>
            <w:vAlign w:val="bottom"/>
          </w:tcPr>
          <w:p>
            <w:pPr>
              <w:jc w:val="right"/>
              <w:ind w:right="210"/>
              <w:spacing w:after="0" w:line="198" w:lineRule="exact"/>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300" w:type="dxa"/>
            <w:vAlign w:val="bottom"/>
            <w:tcBorders>
              <w:bottom w:val="single" w:sz="8" w:color="F0FFFF"/>
            </w:tcBorders>
          </w:tcPr>
          <w:p>
            <w:pPr>
              <w:spacing w:after="0"/>
              <w:rPr>
                <w:sz w:val="20"/>
                <w:szCs w:val="20"/>
                <w:color w:val="auto"/>
              </w:rPr>
            </w:pPr>
          </w:p>
        </w:tc>
        <w:tc>
          <w:tcPr>
            <w:tcW w:w="2220" w:type="dxa"/>
            <w:vAlign w:val="bottom"/>
            <w:tcBorders>
              <w:bottom w:val="single" w:sz="8" w:color="F0FF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bottom w:val="single" w:sz="8" w:color="F0FFFF"/>
            </w:tcBorders>
          </w:tcPr>
          <w:p>
            <w:pPr>
              <w:spacing w:after="0"/>
              <w:rPr>
                <w:sz w:val="20"/>
                <w:szCs w:val="20"/>
                <w:color w:val="auto"/>
              </w:rPr>
            </w:pPr>
          </w:p>
        </w:tc>
        <w:tc>
          <w:tcPr>
            <w:tcW w:w="160" w:type="dxa"/>
            <w:vAlign w:val="bottom"/>
            <w:tcBorders>
              <w:bottom w:val="single" w:sz="8" w:color="F0FF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2014</w:t>
            </w:r>
          </w:p>
        </w:tc>
        <w:tc>
          <w:tcPr>
            <w:tcW w:w="340" w:type="dxa"/>
            <w:vAlign w:val="bottom"/>
            <w:tcBorders>
              <w:bottom w:val="single" w:sz="8" w:color="F0FF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222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4,878</w:t>
            </w:r>
          </w:p>
        </w:tc>
        <w:tc>
          <w:tcPr>
            <w:tcW w:w="1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4,133</w:t>
            </w:r>
          </w:p>
        </w:tc>
        <w:tc>
          <w:tcPr>
            <w:tcW w:w="34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2,975</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Income producing commercial real estate</w:t>
            </w:r>
          </w:p>
        </w:tc>
        <w:tc>
          <w:tcPr>
            <w:tcW w:w="2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883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717</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16"/>
        </w:trPr>
        <w:tc>
          <w:tcPr>
            <w:tcW w:w="4300" w:type="dxa"/>
            <w:vAlign w:val="bottom"/>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2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1,389</w:t>
            </w:r>
          </w:p>
        </w:tc>
        <w:tc>
          <w:tcPr>
            <w:tcW w:w="1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56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1,571</w:t>
            </w:r>
          </w:p>
        </w:tc>
        <w:tc>
          <w:tcPr>
            <w:tcW w:w="2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2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4300" w:type="dxa"/>
            <w:vAlign w:val="bottom"/>
            <w:tcBorders>
              <w:top w:val="single" w:sz="8" w:color="F0FFFF"/>
            </w:tcBorders>
            <w:shd w:val="clear" w:color="auto" w:fill="F0FFFF"/>
          </w:tcPr>
          <w:p>
            <w:pPr>
              <w:ind w:left="220"/>
              <w:spacing w:after="0"/>
              <w:rPr>
                <w:sz w:val="20"/>
                <w:szCs w:val="20"/>
                <w:color w:val="auto"/>
              </w:rPr>
            </w:pPr>
            <w:r>
              <w:rPr>
                <w:rFonts w:ascii="Arial" w:cs="Arial" w:eastAsia="Arial" w:hAnsi="Arial"/>
                <w:sz w:val="18"/>
                <w:szCs w:val="18"/>
                <w:color w:val="auto"/>
              </w:rPr>
              <w:t>Total commercial</w:t>
            </w:r>
          </w:p>
        </w:tc>
        <w:tc>
          <w:tcPr>
            <w:tcW w:w="222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1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7,209</w:t>
            </w:r>
          </w:p>
        </w:tc>
        <w:tc>
          <w:tcPr>
            <w:tcW w:w="18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12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6,504</w:t>
            </w:r>
          </w:p>
        </w:tc>
        <w:tc>
          <w:tcPr>
            <w:tcW w:w="34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1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5,204</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Residential mortgage</w:t>
            </w:r>
          </w:p>
        </w:tc>
        <w:tc>
          <w:tcPr>
            <w:tcW w:w="2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8,599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8,196</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10,201</w:t>
            </w:r>
          </w:p>
        </w:tc>
        <w:tc>
          <w:tcPr>
            <w:tcW w:w="0" w:type="dxa"/>
            <w:vAlign w:val="bottom"/>
          </w:tcPr>
          <w:p>
            <w:pPr>
              <w:spacing w:after="0"/>
              <w:rPr>
                <w:sz w:val="1"/>
                <w:szCs w:val="1"/>
                <w:color w:val="auto"/>
              </w:rPr>
            </w:pPr>
          </w:p>
        </w:tc>
      </w:tr>
      <w:tr>
        <w:trPr>
          <w:trHeight w:val="216"/>
        </w:trPr>
        <w:tc>
          <w:tcPr>
            <w:tcW w:w="4300" w:type="dxa"/>
            <w:vAlign w:val="bottom"/>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2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940</w:t>
            </w:r>
          </w:p>
        </w:tc>
        <w:tc>
          <w:tcPr>
            <w:tcW w:w="1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56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695</w:t>
            </w:r>
          </w:p>
        </w:tc>
        <w:tc>
          <w:tcPr>
            <w:tcW w:w="2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2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1,358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2,006</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16"/>
        </w:trPr>
        <w:tc>
          <w:tcPr>
            <w:tcW w:w="4300" w:type="dxa"/>
            <w:vAlign w:val="bottom"/>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2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560" w:type="dxa"/>
            <w:vAlign w:val="bottom"/>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r>
              <w:rPr>
                <w:rFonts w:ascii="Arial" w:cs="Arial" w:eastAsia="Arial" w:hAnsi="Arial"/>
                <w:sz w:val="18"/>
                <w:szCs w:val="18"/>
                <w:color w:val="auto"/>
              </w:rPr>
              <w:t>Indirect auto</w:t>
            </w:r>
          </w:p>
        </w:tc>
        <w:tc>
          <w:tcPr>
            <w:tcW w:w="2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568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346</w:t>
            </w:r>
          </w:p>
        </w:tc>
        <w:tc>
          <w:tcPr>
            <w:tcW w:w="2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55"/>
        </w:trPr>
        <w:tc>
          <w:tcPr>
            <w:tcW w:w="4300" w:type="dxa"/>
            <w:vAlign w:val="bottom"/>
            <w:tcBorders>
              <w:top w:val="single" w:sz="8" w:color="F0FFFF"/>
              <w:bottom w:val="single" w:sz="8" w:color="F0FFFF"/>
            </w:tcBorders>
            <w:shd w:val="clear" w:color="auto" w:fill="F0FFFF"/>
          </w:tcPr>
          <w:p>
            <w:pPr>
              <w:ind w:left="280"/>
              <w:spacing w:after="0"/>
              <w:rPr>
                <w:sz w:val="20"/>
                <w:szCs w:val="20"/>
                <w:color w:val="auto"/>
              </w:rPr>
            </w:pPr>
            <w:r>
              <w:rPr>
                <w:rFonts w:ascii="Arial" w:cs="Arial" w:eastAsia="Arial" w:hAnsi="Arial"/>
                <w:sz w:val="18"/>
                <w:szCs w:val="18"/>
                <w:color w:val="auto"/>
              </w:rPr>
              <w:t>Total</w:t>
            </w:r>
          </w:p>
        </w:tc>
        <w:tc>
          <w:tcPr>
            <w:tcW w:w="222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18,805</w:t>
            </w: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17,881</w:t>
            </w:r>
          </w:p>
        </w:tc>
        <w:tc>
          <w:tcPr>
            <w:tcW w:w="34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20,724</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F0FFFF"/>
            </w:tcBorders>
          </w:tcPr>
          <w:p>
            <w:pPr>
              <w:spacing w:after="0" w:line="20" w:lineRule="exact"/>
              <w:rPr>
                <w:sz w:val="1"/>
                <w:szCs w:val="1"/>
                <w:color w:val="auto"/>
              </w:rPr>
            </w:pPr>
          </w:p>
        </w:tc>
        <w:tc>
          <w:tcPr>
            <w:tcW w:w="2220" w:type="dxa"/>
            <w:vAlign w:val="bottom"/>
            <w:tcBorders>
              <w:top w:val="single" w:sz="8" w:color="F0FFFF"/>
              <w:bottom w:val="single" w:sz="8" w:color="F0FFFF"/>
            </w:tcBorders>
            <w:vMerge w:val="restart"/>
          </w:tcPr>
          <w:p>
            <w:pPr>
              <w:jc w:val="right"/>
              <w:ind w:right="630"/>
              <w:spacing w:after="0"/>
              <w:rPr>
                <w:sz w:val="20"/>
                <w:szCs w:val="20"/>
                <w:color w:val="auto"/>
              </w:rPr>
            </w:pPr>
            <w:r>
              <w:rPr>
                <w:rFonts w:ascii="Arial" w:cs="Arial" w:eastAsia="Arial" w:hAnsi="Arial"/>
                <w:sz w:val="18"/>
                <w:szCs w:val="18"/>
                <w:color w:val="auto"/>
              </w:rPr>
              <w:t>22</w:t>
            </w: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12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1220" w:type="dxa"/>
            <w:vAlign w:val="bottom"/>
            <w:tcBorders>
              <w:top w:val="single" w:sz="8" w:color="F0FFFF"/>
              <w:bottom w:val="single" w:sz="8" w:color="auto"/>
            </w:tcBorders>
          </w:tcPr>
          <w:p>
            <w:pPr>
              <w:spacing w:after="0" w:line="20" w:lineRule="exact"/>
              <w:rPr>
                <w:sz w:val="1"/>
                <w:szCs w:val="1"/>
                <w:color w:val="auto"/>
              </w:rPr>
            </w:pPr>
          </w:p>
        </w:tc>
        <w:tc>
          <w:tcPr>
            <w:tcW w:w="34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1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4300" w:type="dxa"/>
            <w:vAlign w:val="bottom"/>
            <w:tcBorders>
              <w:bottom w:val="single" w:sz="8" w:color="DCDCDC"/>
            </w:tcBorders>
          </w:tcPr>
          <w:p>
            <w:pPr>
              <w:spacing w:after="0"/>
              <w:rPr>
                <w:sz w:val="24"/>
                <w:szCs w:val="24"/>
                <w:color w:val="auto"/>
              </w:rPr>
            </w:pPr>
          </w:p>
        </w:tc>
        <w:tc>
          <w:tcPr>
            <w:tcW w:w="2220" w:type="dxa"/>
            <w:vAlign w:val="bottom"/>
            <w:tcBorders>
              <w:bottom w:val="single" w:sz="8" w:color="DCDCDC"/>
            </w:tcBorders>
            <w:vMerge w:val="continue"/>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220" w:type="dxa"/>
            <w:vAlign w:val="bottom"/>
            <w:tcBorders>
              <w:bottom w:val="single" w:sz="8" w:color="DCDCDC"/>
            </w:tcBorders>
          </w:tcPr>
          <w:p>
            <w:pPr>
              <w:spacing w:after="0"/>
              <w:rPr>
                <w:sz w:val="24"/>
                <w:szCs w:val="24"/>
                <w:color w:val="auto"/>
              </w:rPr>
            </w:pPr>
          </w:p>
        </w:tc>
        <w:tc>
          <w:tcPr>
            <w:tcW w:w="34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1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85"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presents the aging of the recorded investment in past due loans as of June 30, 2015, December 31, 2014 and June 30, 2014 by class of loans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Loans Past Due</w:t>
            </w:r>
          </w:p>
        </w:tc>
        <w:tc>
          <w:tcPr>
            <w:tcW w:w="8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Loans Not</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gridSpan w:val="4"/>
          </w:tcPr>
          <w:p>
            <w:pPr>
              <w:ind w:left="40"/>
              <w:spacing w:after="0" w:line="176" w:lineRule="exact"/>
              <w:rPr>
                <w:sz w:val="20"/>
                <w:szCs w:val="20"/>
                <w:color w:val="auto"/>
              </w:rPr>
            </w:pPr>
            <w:r>
              <w:rPr>
                <w:rFonts w:ascii="Arial" w:cs="Arial" w:eastAsia="Arial" w:hAnsi="Arial"/>
                <w:sz w:val="18"/>
                <w:szCs w:val="18"/>
                <w:b w:val="1"/>
                <w:bCs w:val="1"/>
                <w:color w:val="auto"/>
              </w:rPr>
              <w:t>As of June 30, 2015</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440"/>
              <w:spacing w:after="0" w:line="176" w:lineRule="exact"/>
              <w:rPr>
                <w:sz w:val="20"/>
                <w:szCs w:val="20"/>
                <w:color w:val="auto"/>
              </w:rPr>
            </w:pPr>
            <w:r>
              <w:rPr>
                <w:rFonts w:ascii="Arial" w:cs="Arial" w:eastAsia="Arial" w:hAnsi="Arial"/>
                <w:sz w:val="18"/>
                <w:szCs w:val="18"/>
                <w:b w:val="1"/>
                <w:bCs w:val="1"/>
                <w:color w:val="auto"/>
                <w:w w:val="90"/>
              </w:rPr>
              <w:t>30 - 59 Days</w:t>
            </w:r>
          </w:p>
        </w:tc>
        <w:tc>
          <w:tcPr>
            <w:tcW w:w="100" w:type="dxa"/>
            <w:vAlign w:val="bottom"/>
          </w:tcPr>
          <w:p>
            <w:pPr>
              <w:spacing w:after="0"/>
              <w:rPr>
                <w:sz w:val="15"/>
                <w:szCs w:val="15"/>
                <w:color w:val="auto"/>
              </w:rPr>
            </w:pPr>
          </w:p>
        </w:tc>
        <w:tc>
          <w:tcPr>
            <w:tcW w:w="1400" w:type="dxa"/>
            <w:vAlign w:val="bottom"/>
            <w:gridSpan w:val="2"/>
          </w:tcPr>
          <w:p>
            <w:pPr>
              <w:jc w:val="right"/>
              <w:ind w:right="440"/>
              <w:spacing w:after="0" w:line="176" w:lineRule="exact"/>
              <w:rPr>
                <w:sz w:val="20"/>
                <w:szCs w:val="20"/>
                <w:color w:val="auto"/>
              </w:rPr>
            </w:pPr>
            <w:r>
              <w:rPr>
                <w:rFonts w:ascii="Arial" w:cs="Arial" w:eastAsia="Arial" w:hAnsi="Arial"/>
                <w:sz w:val="18"/>
                <w:szCs w:val="18"/>
                <w:b w:val="1"/>
                <w:bCs w:val="1"/>
                <w:color w:val="auto"/>
                <w:w w:val="90"/>
              </w:rPr>
              <w:t>60 - 89 Days</w:t>
            </w:r>
          </w:p>
        </w:tc>
        <w:tc>
          <w:tcPr>
            <w:tcW w:w="100" w:type="dxa"/>
            <w:vAlign w:val="bottom"/>
          </w:tcPr>
          <w:p>
            <w:pPr>
              <w:spacing w:after="0"/>
              <w:rPr>
                <w:sz w:val="15"/>
                <w:szCs w:val="15"/>
                <w:color w:val="auto"/>
              </w:rPr>
            </w:pPr>
          </w:p>
        </w:tc>
        <w:tc>
          <w:tcPr>
            <w:tcW w:w="1180" w:type="dxa"/>
            <w:vAlign w:val="bottom"/>
            <w:gridSpan w:val="2"/>
          </w:tcPr>
          <w:p>
            <w:pPr>
              <w:jc w:val="right"/>
              <w:ind w:right="440"/>
              <w:spacing w:after="0" w:line="176" w:lineRule="exact"/>
              <w:rPr>
                <w:sz w:val="20"/>
                <w:szCs w:val="20"/>
                <w:color w:val="auto"/>
              </w:rPr>
            </w:pPr>
            <w:r>
              <w:rPr>
                <w:rFonts w:ascii="Arial" w:cs="Arial" w:eastAsia="Arial" w:hAnsi="Arial"/>
                <w:sz w:val="18"/>
                <w:szCs w:val="18"/>
                <w:b w:val="1"/>
                <w:bCs w:val="1"/>
                <w:color w:val="auto"/>
                <w:w w:val="91"/>
              </w:rPr>
              <w:t>&gt;90 Days</w:t>
            </w:r>
          </w:p>
        </w:tc>
        <w:tc>
          <w:tcPr>
            <w:tcW w:w="100" w:type="dxa"/>
            <w:vAlign w:val="bottom"/>
          </w:tcPr>
          <w:p>
            <w:pPr>
              <w:spacing w:after="0"/>
              <w:rPr>
                <w:sz w:val="15"/>
                <w:szCs w:val="15"/>
                <w:color w:val="auto"/>
              </w:rPr>
            </w:pPr>
          </w:p>
        </w:tc>
        <w:tc>
          <w:tcPr>
            <w:tcW w:w="500" w:type="dxa"/>
            <w:vAlign w:val="bottom"/>
          </w:tcPr>
          <w:p>
            <w:pPr>
              <w:jc w:val="right"/>
              <w:ind w:right="10"/>
              <w:spacing w:after="0" w:line="176" w:lineRule="exact"/>
              <w:rPr>
                <w:sz w:val="20"/>
                <w:szCs w:val="20"/>
                <w:color w:val="auto"/>
              </w:rPr>
            </w:pPr>
            <w:r>
              <w:rPr>
                <w:rFonts w:ascii="Arial" w:cs="Arial" w:eastAsia="Arial" w:hAnsi="Arial"/>
                <w:sz w:val="18"/>
                <w:szCs w:val="18"/>
                <w:b w:val="1"/>
                <w:bCs w:val="1"/>
                <w:color w:val="auto"/>
                <w:w w:val="88"/>
              </w:rPr>
              <w:t>Total</w:t>
            </w:r>
          </w:p>
        </w:tc>
        <w:tc>
          <w:tcPr>
            <w:tcW w:w="320" w:type="dxa"/>
            <w:vAlign w:val="bottom"/>
          </w:tcPr>
          <w:p>
            <w:pPr>
              <w:spacing w:after="0"/>
              <w:rPr>
                <w:sz w:val="15"/>
                <w:szCs w:val="15"/>
                <w:color w:val="auto"/>
              </w:rPr>
            </w:pPr>
          </w:p>
        </w:tc>
        <w:tc>
          <w:tcPr>
            <w:tcW w:w="116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0"/>
              </w:rPr>
              <w:t>Past Due</w:t>
            </w:r>
          </w:p>
        </w:tc>
        <w:tc>
          <w:tcPr>
            <w:tcW w:w="940" w:type="dxa"/>
            <w:vAlign w:val="bottom"/>
            <w:gridSpan w:val="2"/>
          </w:tcPr>
          <w:p>
            <w:pPr>
              <w:ind w:left="220"/>
              <w:spacing w:after="0" w:line="176"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80" w:type="dxa"/>
            <w:vAlign w:val="bottom"/>
            <w:tcBorders>
              <w:top w:val="single" w:sz="8" w:color="auto"/>
              <w:bottom w:val="single" w:sz="8" w:color="F0FFFF"/>
            </w:tcBorders>
          </w:tcPr>
          <w:p>
            <w:pPr>
              <w:spacing w:after="0"/>
              <w:rPr>
                <w:sz w:val="2"/>
                <w:szCs w:val="2"/>
                <w:color w:val="auto"/>
              </w:rPr>
            </w:pPr>
          </w:p>
        </w:tc>
        <w:tc>
          <w:tcPr>
            <w:tcW w:w="40" w:type="dxa"/>
            <w:vAlign w:val="bottom"/>
            <w:tcBorders>
              <w:top w:val="single" w:sz="8" w:color="auto"/>
              <w:bottom w:val="single" w:sz="8" w:color="F0FFFF"/>
            </w:tcBorders>
          </w:tcPr>
          <w:p>
            <w:pPr>
              <w:spacing w:after="0"/>
              <w:rPr>
                <w:sz w:val="2"/>
                <w:szCs w:val="2"/>
                <w:color w:val="auto"/>
              </w:rPr>
            </w:pPr>
          </w:p>
        </w:tc>
        <w:tc>
          <w:tcPr>
            <w:tcW w:w="360" w:type="dxa"/>
            <w:vAlign w:val="bottom"/>
            <w:tcBorders>
              <w:bottom w:val="single" w:sz="8" w:color="F0FFFF"/>
            </w:tcBorders>
          </w:tcPr>
          <w:p>
            <w:pPr>
              <w:spacing w:after="0"/>
              <w:rPr>
                <w:sz w:val="2"/>
                <w:szCs w:val="2"/>
                <w:color w:val="auto"/>
              </w:rPr>
            </w:pPr>
          </w:p>
        </w:tc>
        <w:tc>
          <w:tcPr>
            <w:tcW w:w="1660" w:type="dxa"/>
            <w:vAlign w:val="bottom"/>
            <w:tcBorders>
              <w:bottom w:val="single" w:sz="8" w:color="F0FFFF"/>
            </w:tcBorders>
          </w:tcPr>
          <w:p>
            <w:pPr>
              <w:spacing w:after="0"/>
              <w:rPr>
                <w:sz w:val="2"/>
                <w:szCs w:val="2"/>
                <w:color w:val="auto"/>
              </w:rPr>
            </w:pPr>
          </w:p>
        </w:tc>
        <w:tc>
          <w:tcPr>
            <w:tcW w:w="560" w:type="dxa"/>
            <w:vAlign w:val="bottom"/>
            <w:tcBorders>
              <w:bottom w:val="single" w:sz="8" w:color="F0FF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F0FF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F0FF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F0FF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F0FF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F0FF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F0FFFF"/>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Borders>
              <w:left w:val="single" w:sz="8" w:color="F0FFFF"/>
            </w:tcBorders>
            <w:gridSpan w:val="4"/>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560" w:type="dxa"/>
            <w:vAlign w:val="bottom"/>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2,789</w:t>
            </w:r>
          </w:p>
        </w:tc>
        <w:tc>
          <w:tcPr>
            <w:tcW w:w="320" w:type="dxa"/>
            <w:vAlign w:val="bottom"/>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337</w:t>
            </w:r>
          </w:p>
        </w:tc>
        <w:tc>
          <w:tcPr>
            <w:tcW w:w="320" w:type="dxa"/>
            <w:vAlign w:val="bottom"/>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1,646</w:t>
            </w:r>
          </w:p>
        </w:tc>
        <w:tc>
          <w:tcPr>
            <w:tcW w:w="320" w:type="dxa"/>
            <w:vAlign w:val="bottom"/>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4,772</w:t>
            </w:r>
          </w:p>
        </w:tc>
        <w:tc>
          <w:tcPr>
            <w:tcW w:w="32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86"/>
              </w:rPr>
              <w:t>$ 1,261,011</w:t>
            </w:r>
          </w:p>
        </w:tc>
        <w:tc>
          <w:tcPr>
            <w:tcW w:w="32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86"/>
              </w:rPr>
              <w:t>$ 1,265,783</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Income producing commercial real estate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1,479</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687,289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688,768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Borders>
              <w:left w:val="single" w:sz="8" w:color="F0FFFF"/>
            </w:tcBorders>
            <w:gridSpan w:val="4"/>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5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F0FFFF"/>
          </w:tcPr>
          <w:p>
            <w:pPr>
              <w:spacing w:after="0"/>
              <w:rPr>
                <w:sz w:val="18"/>
                <w:szCs w:val="18"/>
                <w:color w:val="auto"/>
              </w:rPr>
            </w:pPr>
          </w:p>
        </w:tc>
        <w:tc>
          <w:tcPr>
            <w:tcW w:w="140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2,175</w:t>
            </w:r>
          </w:p>
        </w:tc>
        <w:tc>
          <w:tcPr>
            <w:tcW w:w="116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790,616</w:t>
            </w: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792,791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Commercial construction</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670</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237,150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237,820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Borders>
              <w:top w:val="single" w:sz="8" w:color="F0FFFF"/>
              <w:left w:val="single" w:sz="8" w:color="F0FFFF"/>
            </w:tcBorders>
            <w:gridSpan w:val="4"/>
            <w:shd w:val="clear" w:color="auto" w:fill="F0FFFF"/>
          </w:tcPr>
          <w:p>
            <w:pPr>
              <w:ind w:left="200"/>
              <w:spacing w:after="0"/>
              <w:rPr>
                <w:sz w:val="20"/>
                <w:szCs w:val="20"/>
                <w:color w:val="auto"/>
              </w:rPr>
            </w:pPr>
            <w:r>
              <w:rPr>
                <w:rFonts w:ascii="Arial" w:cs="Arial" w:eastAsia="Arial" w:hAnsi="Arial"/>
                <w:sz w:val="18"/>
                <w:szCs w:val="18"/>
                <w:color w:val="auto"/>
              </w:rPr>
              <w:t>Total commercial</w:t>
            </w:r>
          </w:p>
        </w:tc>
        <w:tc>
          <w:tcPr>
            <w:tcW w:w="5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4,951</w:t>
            </w:r>
          </w:p>
        </w:tc>
        <w:tc>
          <w:tcPr>
            <w:tcW w:w="3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737</w:t>
            </w:r>
          </w:p>
        </w:tc>
        <w:tc>
          <w:tcPr>
            <w:tcW w:w="3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3,408</w:t>
            </w:r>
          </w:p>
        </w:tc>
        <w:tc>
          <w:tcPr>
            <w:tcW w:w="3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5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9,096</w:t>
            </w:r>
          </w:p>
        </w:tc>
        <w:tc>
          <w:tcPr>
            <w:tcW w:w="320" w:type="dxa"/>
            <w:vAlign w:val="bottom"/>
            <w:tcBorders>
              <w:top w:val="single" w:sz="8" w:color="F0FFFF"/>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2,976,066</w:t>
            </w:r>
          </w:p>
        </w:tc>
        <w:tc>
          <w:tcPr>
            <w:tcW w:w="320" w:type="dxa"/>
            <w:vAlign w:val="bottom"/>
            <w:tcBorders>
              <w:top w:val="single" w:sz="8" w:color="F0FFFF"/>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2,985,162</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Residential mortgage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4,888</w:t>
            </w:r>
          </w:p>
        </w:tc>
        <w:tc>
          <w:tcPr>
            <w:tcW w:w="1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8,071</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927,575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935,646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Borders>
              <w:left w:val="single" w:sz="8" w:color="F0FFFF"/>
            </w:tcBorders>
            <w:gridSpan w:val="4"/>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5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F0FFFF"/>
          </w:tcPr>
          <w:p>
            <w:pPr>
              <w:spacing w:after="0"/>
              <w:rPr>
                <w:sz w:val="18"/>
                <w:szCs w:val="18"/>
                <w:color w:val="auto"/>
              </w:rPr>
            </w:pPr>
          </w:p>
        </w:tc>
        <w:tc>
          <w:tcPr>
            <w:tcW w:w="140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2,075</w:t>
            </w:r>
          </w:p>
        </w:tc>
        <w:tc>
          <w:tcPr>
            <w:tcW w:w="116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488,678</w:t>
            </w: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490,753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Residential construction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2,110</w:t>
            </w:r>
          </w:p>
        </w:tc>
        <w:tc>
          <w:tcPr>
            <w:tcW w:w="1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2,808</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296,112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298,920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Borders>
              <w:left w:val="single" w:sz="8" w:color="F0FFFF"/>
            </w:tcBorders>
            <w:gridSpan w:val="4"/>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5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F0FFFF"/>
          </w:tcPr>
          <w:p>
            <w:pPr>
              <w:spacing w:after="0"/>
              <w:rPr>
                <w:sz w:val="18"/>
                <w:szCs w:val="18"/>
                <w:color w:val="auto"/>
              </w:rPr>
            </w:pPr>
          </w:p>
        </w:tc>
        <w:tc>
          <w:tcPr>
            <w:tcW w:w="140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655</w:t>
            </w:r>
          </w:p>
        </w:tc>
        <w:tc>
          <w:tcPr>
            <w:tcW w:w="116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105,276</w:t>
            </w: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105,931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Indirect auto</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810</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356,295</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357,105</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540" w:type="dxa"/>
            <w:vAlign w:val="bottom"/>
            <w:tcBorders>
              <w:top w:val="single" w:sz="8" w:color="F0FFFF"/>
              <w:left w:val="single" w:sz="8" w:color="F0FFFF"/>
              <w:bottom w:val="single" w:sz="8" w:color="F0FFFF"/>
            </w:tcBorders>
            <w:gridSpan w:val="4"/>
            <w:shd w:val="clear" w:color="auto" w:fill="F0FFFF"/>
          </w:tcPr>
          <w:p>
            <w:pPr>
              <w:ind w:left="120"/>
              <w:spacing w:after="0"/>
              <w:rPr>
                <w:sz w:val="20"/>
                <w:szCs w:val="20"/>
                <w:color w:val="auto"/>
              </w:rPr>
            </w:pPr>
            <w:r>
              <w:rPr>
                <w:rFonts w:ascii="Arial" w:cs="Arial" w:eastAsia="Arial" w:hAnsi="Arial"/>
                <w:sz w:val="18"/>
                <w:szCs w:val="18"/>
                <w:color w:val="auto"/>
              </w:rPr>
              <w:t>Total loans</w:t>
            </w:r>
          </w:p>
        </w:tc>
        <w:tc>
          <w:tcPr>
            <w:tcW w:w="56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13,937</w:t>
            </w:r>
          </w:p>
        </w:tc>
        <w:tc>
          <w:tcPr>
            <w:tcW w:w="3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3,422</w:t>
            </w:r>
          </w:p>
        </w:tc>
        <w:tc>
          <w:tcPr>
            <w:tcW w:w="3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6,156</w:t>
            </w:r>
          </w:p>
        </w:tc>
        <w:tc>
          <w:tcPr>
            <w:tcW w:w="3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87"/>
              </w:rPr>
              <w:t>23,515</w:t>
            </w:r>
          </w:p>
        </w:tc>
        <w:tc>
          <w:tcPr>
            <w:tcW w:w="320" w:type="dxa"/>
            <w:vAlign w:val="bottom"/>
            <w:tcBorders>
              <w:top w:val="single" w:sz="8" w:color="F0FFFF"/>
              <w:bottom w:val="single" w:sz="8" w:color="F0FFFF"/>
            </w:tcBorders>
            <w:shd w:val="clear" w:color="auto" w:fill="F0FFFF"/>
          </w:tcPr>
          <w:p>
            <w:pPr>
              <w:spacing w:after="0"/>
              <w:rPr>
                <w:sz w:val="21"/>
                <w:szCs w:val="21"/>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86"/>
              </w:rPr>
              <w:t>$ 5,150,002</w:t>
            </w:r>
          </w:p>
        </w:tc>
        <w:tc>
          <w:tcPr>
            <w:tcW w:w="320" w:type="dxa"/>
            <w:vAlign w:val="bottom"/>
            <w:tcBorders>
              <w:top w:val="single" w:sz="8" w:color="F0FFFF"/>
              <w:bottom w:val="single" w:sz="8" w:color="F0FFFF"/>
            </w:tcBorders>
            <w:shd w:val="clear" w:color="auto" w:fill="F0FFFF"/>
          </w:tcPr>
          <w:p>
            <w:pPr>
              <w:spacing w:after="0"/>
              <w:rPr>
                <w:sz w:val="21"/>
                <w:szCs w:val="21"/>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86"/>
              </w:rPr>
              <w:t>$ 5,173,517</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360" w:type="dxa"/>
            <w:vAlign w:val="bottom"/>
            <w:tcBorders>
              <w:top w:val="single" w:sz="8" w:color="F0FFFF"/>
            </w:tcBorders>
          </w:tcPr>
          <w:p>
            <w:pPr>
              <w:spacing w:after="0" w:line="20" w:lineRule="exact"/>
              <w:rPr>
                <w:sz w:val="1"/>
                <w:szCs w:val="1"/>
                <w:color w:val="auto"/>
              </w:rPr>
            </w:pPr>
          </w:p>
        </w:tc>
        <w:tc>
          <w:tcPr>
            <w:tcW w:w="1660" w:type="dxa"/>
            <w:vAlign w:val="bottom"/>
            <w:tcBorders>
              <w:top w:val="single" w:sz="8" w:color="F0FFFF"/>
            </w:tcBorders>
          </w:tcPr>
          <w:p>
            <w:pPr>
              <w:spacing w:after="0" w:line="20" w:lineRule="exact"/>
              <w:rPr>
                <w:sz w:val="1"/>
                <w:szCs w:val="1"/>
                <w:color w:val="auto"/>
              </w:rPr>
            </w:pPr>
          </w:p>
        </w:tc>
        <w:tc>
          <w:tcPr>
            <w:tcW w:w="5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500" w:type="dxa"/>
            <w:vAlign w:val="bottom"/>
            <w:tcBorders>
              <w:top w:val="single" w:sz="8" w:color="F0FFFF"/>
              <w:bottom w:val="single" w:sz="8" w:color="auto"/>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540" w:type="dxa"/>
            <w:vAlign w:val="bottom"/>
            <w:tcBorders>
              <w:left w:val="single" w:sz="8" w:color="F0FFFF"/>
            </w:tcBorders>
            <w:gridSpan w:val="4"/>
            <w:shd w:val="clear" w:color="auto" w:fill="F0FFFF"/>
          </w:tcPr>
          <w:p>
            <w:pPr>
              <w:spacing w:after="0" w:line="176" w:lineRule="exact"/>
              <w:rPr>
                <w:sz w:val="20"/>
                <w:szCs w:val="20"/>
                <w:color w:val="auto"/>
              </w:rPr>
            </w:pPr>
            <w:r>
              <w:rPr>
                <w:rFonts w:ascii="Arial" w:cs="Arial" w:eastAsia="Arial" w:hAnsi="Arial"/>
                <w:sz w:val="18"/>
                <w:szCs w:val="18"/>
                <w:b w:val="1"/>
                <w:bCs w:val="1"/>
                <w:color w:val="auto"/>
              </w:rPr>
              <w:t>As of December 31, 2014</w:t>
            </w:r>
          </w:p>
        </w:tc>
        <w:tc>
          <w:tcPr>
            <w:tcW w:w="56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080" w:type="dxa"/>
            <w:vAlign w:val="bottom"/>
            <w:shd w:val="clear" w:color="auto" w:fill="F0FFFF"/>
          </w:tcPr>
          <w:p>
            <w:pPr>
              <w:spacing w:after="0"/>
              <w:rPr>
                <w:sz w:val="15"/>
                <w:szCs w:val="15"/>
                <w:color w:val="auto"/>
              </w:rPr>
            </w:pPr>
          </w:p>
        </w:tc>
        <w:tc>
          <w:tcPr>
            <w:tcW w:w="3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080" w:type="dxa"/>
            <w:vAlign w:val="bottom"/>
            <w:shd w:val="clear" w:color="auto" w:fill="F0FFFF"/>
          </w:tcPr>
          <w:p>
            <w:pPr>
              <w:spacing w:after="0"/>
              <w:rPr>
                <w:sz w:val="15"/>
                <w:szCs w:val="15"/>
                <w:color w:val="auto"/>
              </w:rPr>
            </w:pPr>
          </w:p>
        </w:tc>
        <w:tc>
          <w:tcPr>
            <w:tcW w:w="3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860" w:type="dxa"/>
            <w:vAlign w:val="bottom"/>
            <w:shd w:val="clear" w:color="auto" w:fill="F0FFFF"/>
          </w:tcPr>
          <w:p>
            <w:pPr>
              <w:spacing w:after="0"/>
              <w:rPr>
                <w:sz w:val="15"/>
                <w:szCs w:val="15"/>
                <w:color w:val="auto"/>
              </w:rPr>
            </w:pPr>
          </w:p>
        </w:tc>
        <w:tc>
          <w:tcPr>
            <w:tcW w:w="3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500" w:type="dxa"/>
            <w:vAlign w:val="bottom"/>
            <w:shd w:val="clear" w:color="auto" w:fill="F0FFFF"/>
          </w:tcPr>
          <w:p>
            <w:pPr>
              <w:spacing w:after="0"/>
              <w:rPr>
                <w:sz w:val="15"/>
                <w:szCs w:val="15"/>
                <w:color w:val="auto"/>
              </w:rPr>
            </w:pPr>
          </w:p>
        </w:tc>
        <w:tc>
          <w:tcPr>
            <w:tcW w:w="320" w:type="dxa"/>
            <w:vAlign w:val="bottom"/>
            <w:shd w:val="clear" w:color="auto" w:fill="F0FFFF"/>
          </w:tcPr>
          <w:p>
            <w:pPr>
              <w:spacing w:after="0"/>
              <w:rPr>
                <w:sz w:val="15"/>
                <w:szCs w:val="15"/>
                <w:color w:val="auto"/>
              </w:rPr>
            </w:pPr>
          </w:p>
        </w:tc>
        <w:tc>
          <w:tcPr>
            <w:tcW w:w="840" w:type="dxa"/>
            <w:vAlign w:val="bottom"/>
            <w:shd w:val="clear" w:color="auto" w:fill="F0FFFF"/>
          </w:tcPr>
          <w:p>
            <w:pPr>
              <w:spacing w:after="0"/>
              <w:rPr>
                <w:sz w:val="15"/>
                <w:szCs w:val="15"/>
                <w:color w:val="auto"/>
              </w:rPr>
            </w:pPr>
          </w:p>
        </w:tc>
        <w:tc>
          <w:tcPr>
            <w:tcW w:w="320" w:type="dxa"/>
            <w:vAlign w:val="bottom"/>
            <w:shd w:val="clear" w:color="auto" w:fill="F0FFFF"/>
          </w:tcPr>
          <w:p>
            <w:pPr>
              <w:spacing w:after="0"/>
              <w:rPr>
                <w:sz w:val="15"/>
                <w:szCs w:val="15"/>
                <w:color w:val="auto"/>
              </w:rPr>
            </w:pPr>
          </w:p>
        </w:tc>
        <w:tc>
          <w:tcPr>
            <w:tcW w:w="8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Borders>
              <w:top w:val="single" w:sz="8" w:color="auto"/>
              <w:left w:val="single" w:sz="8" w:color="F0FFFF"/>
            </w:tcBorders>
            <w:shd w:val="clear" w:color="auto" w:fill="F0FFFF"/>
          </w:tcPr>
          <w:p>
            <w:pPr>
              <w:spacing w:after="0" w:line="20" w:lineRule="exact"/>
              <w:rPr>
                <w:sz w:val="1"/>
                <w:szCs w:val="1"/>
                <w:color w:val="auto"/>
              </w:rPr>
            </w:pPr>
          </w:p>
        </w:tc>
        <w:tc>
          <w:tcPr>
            <w:tcW w:w="40" w:type="dxa"/>
            <w:vAlign w:val="bottom"/>
            <w:tcBorders>
              <w:top w:val="single" w:sz="8" w:color="auto"/>
            </w:tcBorders>
            <w:shd w:val="clear" w:color="auto" w:fill="F0FFFF"/>
          </w:tcPr>
          <w:p>
            <w:pPr>
              <w:spacing w:after="0" w:line="20" w:lineRule="exact"/>
              <w:rPr>
                <w:sz w:val="1"/>
                <w:szCs w:val="1"/>
                <w:color w:val="auto"/>
              </w:rPr>
            </w:pPr>
          </w:p>
        </w:tc>
        <w:tc>
          <w:tcPr>
            <w:tcW w:w="360" w:type="dxa"/>
            <w:vAlign w:val="bottom"/>
            <w:tcBorders>
              <w:top w:val="single" w:sz="8" w:color="auto"/>
            </w:tcBorders>
            <w:shd w:val="clear" w:color="auto" w:fill="F0FFFF"/>
          </w:tcPr>
          <w:p>
            <w:pPr>
              <w:spacing w:after="0" w:line="20" w:lineRule="exact"/>
              <w:rPr>
                <w:sz w:val="1"/>
                <w:szCs w:val="1"/>
                <w:color w:val="auto"/>
              </w:rPr>
            </w:pPr>
          </w:p>
        </w:tc>
        <w:tc>
          <w:tcPr>
            <w:tcW w:w="1660" w:type="dxa"/>
            <w:vAlign w:val="bottom"/>
            <w:tcBorders>
              <w:top w:val="single" w:sz="8" w:color="F0FFFF"/>
            </w:tcBorders>
            <w:shd w:val="clear" w:color="auto" w:fill="F0FFFF"/>
          </w:tcPr>
          <w:p>
            <w:pPr>
              <w:spacing w:after="0" w:line="20" w:lineRule="exact"/>
              <w:rPr>
                <w:sz w:val="1"/>
                <w:szCs w:val="1"/>
                <w:color w:val="auto"/>
              </w:rPr>
            </w:pPr>
          </w:p>
        </w:tc>
        <w:tc>
          <w:tcPr>
            <w:tcW w:w="56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080" w:type="dxa"/>
            <w:vAlign w:val="bottom"/>
            <w:tcBorders>
              <w:top w:val="single" w:sz="8" w:color="F0FFFF"/>
            </w:tcBorders>
            <w:shd w:val="clear" w:color="auto" w:fill="F0FFFF"/>
          </w:tcPr>
          <w:p>
            <w:pPr>
              <w:spacing w:after="0" w:line="20" w:lineRule="exact"/>
              <w:rPr>
                <w:sz w:val="1"/>
                <w:szCs w:val="1"/>
                <w:color w:val="auto"/>
              </w:rPr>
            </w:pPr>
          </w:p>
        </w:tc>
        <w:tc>
          <w:tcPr>
            <w:tcW w:w="3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080" w:type="dxa"/>
            <w:vAlign w:val="bottom"/>
            <w:tcBorders>
              <w:top w:val="single" w:sz="8" w:color="F0FFFF"/>
            </w:tcBorders>
            <w:shd w:val="clear" w:color="auto" w:fill="F0FFFF"/>
          </w:tcPr>
          <w:p>
            <w:pPr>
              <w:spacing w:after="0" w:line="20" w:lineRule="exact"/>
              <w:rPr>
                <w:sz w:val="1"/>
                <w:szCs w:val="1"/>
                <w:color w:val="auto"/>
              </w:rPr>
            </w:pPr>
          </w:p>
        </w:tc>
        <w:tc>
          <w:tcPr>
            <w:tcW w:w="3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860" w:type="dxa"/>
            <w:vAlign w:val="bottom"/>
            <w:tcBorders>
              <w:top w:val="single" w:sz="8" w:color="F0FFFF"/>
            </w:tcBorders>
            <w:shd w:val="clear" w:color="auto" w:fill="F0FFFF"/>
          </w:tcPr>
          <w:p>
            <w:pPr>
              <w:spacing w:after="0" w:line="20" w:lineRule="exact"/>
              <w:rPr>
                <w:sz w:val="1"/>
                <w:szCs w:val="1"/>
                <w:color w:val="auto"/>
              </w:rPr>
            </w:pPr>
          </w:p>
        </w:tc>
        <w:tc>
          <w:tcPr>
            <w:tcW w:w="3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500" w:type="dxa"/>
            <w:vAlign w:val="bottom"/>
            <w:tcBorders>
              <w:top w:val="single" w:sz="8" w:color="F0FFFF"/>
            </w:tcBorders>
            <w:shd w:val="clear" w:color="auto" w:fill="F0FFFF"/>
          </w:tcPr>
          <w:p>
            <w:pPr>
              <w:spacing w:after="0" w:line="20" w:lineRule="exact"/>
              <w:rPr>
                <w:sz w:val="1"/>
                <w:szCs w:val="1"/>
                <w:color w:val="auto"/>
              </w:rPr>
            </w:pPr>
          </w:p>
        </w:tc>
        <w:tc>
          <w:tcPr>
            <w:tcW w:w="320" w:type="dxa"/>
            <w:vAlign w:val="bottom"/>
            <w:tcBorders>
              <w:top w:val="single" w:sz="8" w:color="F0FFFF"/>
            </w:tcBorders>
            <w:shd w:val="clear" w:color="auto" w:fill="F0FFFF"/>
          </w:tcPr>
          <w:p>
            <w:pPr>
              <w:spacing w:after="0" w:line="20" w:lineRule="exact"/>
              <w:rPr>
                <w:sz w:val="1"/>
                <w:szCs w:val="1"/>
                <w:color w:val="auto"/>
              </w:rPr>
            </w:pPr>
          </w:p>
        </w:tc>
        <w:tc>
          <w:tcPr>
            <w:tcW w:w="840" w:type="dxa"/>
            <w:vAlign w:val="bottom"/>
            <w:tcBorders>
              <w:top w:val="single" w:sz="8" w:color="F0FFFF"/>
            </w:tcBorders>
            <w:shd w:val="clear" w:color="auto" w:fill="F0FFFF"/>
          </w:tcPr>
          <w:p>
            <w:pPr>
              <w:spacing w:after="0" w:line="20" w:lineRule="exact"/>
              <w:rPr>
                <w:sz w:val="1"/>
                <w:szCs w:val="1"/>
                <w:color w:val="auto"/>
              </w:rPr>
            </w:pPr>
          </w:p>
        </w:tc>
        <w:tc>
          <w:tcPr>
            <w:tcW w:w="320" w:type="dxa"/>
            <w:vAlign w:val="bottom"/>
            <w:tcBorders>
              <w:top w:val="single" w:sz="8" w:color="F0FFFF"/>
            </w:tcBorders>
            <w:shd w:val="clear" w:color="auto" w:fill="F0FFFF"/>
          </w:tcPr>
          <w:p>
            <w:pPr>
              <w:spacing w:after="0" w:line="20" w:lineRule="exact"/>
              <w:rPr>
                <w:sz w:val="1"/>
                <w:szCs w:val="1"/>
                <w:color w:val="auto"/>
              </w:rPr>
            </w:pPr>
          </w:p>
        </w:tc>
        <w:tc>
          <w:tcPr>
            <w:tcW w:w="8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Owner occupied commercial real estate</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1,444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1,929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1,141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4,514</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$ 1,158,966</w:t>
            </w: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$ 1,163,480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Borders>
              <w:left w:val="single" w:sz="8" w:color="F0FFFF"/>
            </w:tcBorders>
            <w:gridSpan w:val="4"/>
            <w:shd w:val="clear" w:color="auto" w:fill="F0FFFF"/>
          </w:tcPr>
          <w:p>
            <w:pPr>
              <w:spacing w:after="0"/>
              <w:rPr>
                <w:sz w:val="20"/>
                <w:szCs w:val="20"/>
                <w:color w:val="auto"/>
              </w:rPr>
            </w:pPr>
            <w:r>
              <w:rPr>
                <w:rFonts w:ascii="Arial" w:cs="Arial" w:eastAsia="Arial" w:hAnsi="Arial"/>
                <w:sz w:val="18"/>
                <w:szCs w:val="18"/>
                <w:color w:val="auto"/>
              </w:rPr>
              <w:t>Income producing commercial real estate</w:t>
            </w:r>
          </w:p>
        </w:tc>
        <w:tc>
          <w:tcPr>
            <w:tcW w:w="5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2,322</w:t>
            </w:r>
          </w:p>
        </w:tc>
        <w:tc>
          <w:tcPr>
            <w:tcW w:w="100" w:type="dxa"/>
            <w:vAlign w:val="bottom"/>
            <w:shd w:val="clear" w:color="auto" w:fill="F0FFFF"/>
          </w:tcPr>
          <w:p>
            <w:pPr>
              <w:spacing w:after="0"/>
              <w:rPr>
                <w:sz w:val="18"/>
                <w:szCs w:val="18"/>
                <w:color w:val="auto"/>
              </w:rPr>
            </w:pPr>
          </w:p>
        </w:tc>
        <w:tc>
          <w:tcPr>
            <w:tcW w:w="140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1,172</w:t>
            </w: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3,494</w:t>
            </w:r>
          </w:p>
        </w:tc>
        <w:tc>
          <w:tcPr>
            <w:tcW w:w="116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595,043</w:t>
            </w: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598,537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Commercial &amp; industrial</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1,767</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708,489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710,256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left w:val="single" w:sz="8" w:color="F0FFFF"/>
            </w:tcBorders>
            <w:gridSpan w:val="4"/>
            <w:shd w:val="clear" w:color="auto" w:fill="F0FFFF"/>
          </w:tcPr>
          <w:p>
            <w:pPr>
              <w:spacing w:after="0"/>
              <w:rPr>
                <w:sz w:val="20"/>
                <w:szCs w:val="20"/>
                <w:color w:val="auto"/>
              </w:rPr>
            </w:pPr>
            <w:r>
              <w:rPr>
                <w:rFonts w:ascii="Arial" w:cs="Arial" w:eastAsia="Arial" w:hAnsi="Arial"/>
                <w:sz w:val="18"/>
                <w:szCs w:val="18"/>
                <w:color w:val="auto"/>
              </w:rPr>
              <w:t>Commercial construction</w:t>
            </w:r>
          </w:p>
        </w:tc>
        <w:tc>
          <w:tcPr>
            <w:tcW w:w="5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1"/>
                <w:szCs w:val="21"/>
                <w:color w:val="auto"/>
              </w:rPr>
            </w:pPr>
          </w:p>
        </w:tc>
        <w:tc>
          <w:tcPr>
            <w:tcW w:w="140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F0FFFF"/>
          </w:tcPr>
          <w:p>
            <w:pPr>
              <w:spacing w:after="0"/>
              <w:rPr>
                <w:sz w:val="21"/>
                <w:szCs w:val="21"/>
                <w:color w:val="auto"/>
              </w:rPr>
            </w:pPr>
          </w:p>
        </w:tc>
        <w:tc>
          <w:tcPr>
            <w:tcW w:w="82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66</w:t>
            </w:r>
          </w:p>
        </w:tc>
        <w:tc>
          <w:tcPr>
            <w:tcW w:w="116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195,964</w:t>
            </w: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196,030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Borders>
              <w:top w:val="single" w:sz="8" w:color="F0FFFF"/>
            </w:tcBorders>
            <w:gridSpan w:val="4"/>
          </w:tcPr>
          <w:p>
            <w:pPr>
              <w:ind w:left="200"/>
              <w:spacing w:after="0" w:line="203" w:lineRule="exact"/>
              <w:rPr>
                <w:sz w:val="20"/>
                <w:szCs w:val="20"/>
                <w:color w:val="auto"/>
              </w:rPr>
            </w:pPr>
            <w:r>
              <w:rPr>
                <w:rFonts w:ascii="Arial" w:cs="Arial" w:eastAsia="Arial" w:hAnsi="Arial"/>
                <w:sz w:val="18"/>
                <w:szCs w:val="18"/>
                <w:color w:val="auto"/>
              </w:rPr>
              <w:t>Total commercial</w:t>
            </w:r>
          </w:p>
        </w:tc>
        <w:tc>
          <w:tcPr>
            <w:tcW w:w="56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4,068</w:t>
            </w:r>
          </w:p>
        </w:tc>
        <w:tc>
          <w:tcPr>
            <w:tcW w:w="32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3,141</w:t>
            </w:r>
          </w:p>
        </w:tc>
        <w:tc>
          <w:tcPr>
            <w:tcW w:w="32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2,632</w:t>
            </w:r>
          </w:p>
        </w:tc>
        <w:tc>
          <w:tcPr>
            <w:tcW w:w="32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9,841</w:t>
            </w:r>
          </w:p>
        </w:tc>
        <w:tc>
          <w:tcPr>
            <w:tcW w:w="320" w:type="dxa"/>
            <w:vAlign w:val="bottom"/>
            <w:tcBorders>
              <w:top w:val="single" w:sz="8" w:color="F0FFFF"/>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2,658,462</w:t>
            </w:r>
          </w:p>
        </w:tc>
        <w:tc>
          <w:tcPr>
            <w:tcW w:w="320" w:type="dxa"/>
            <w:vAlign w:val="bottom"/>
            <w:tcBorders>
              <w:top w:val="single" w:sz="8" w:color="F0FFFF"/>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2,668,303</w:t>
            </w:r>
          </w:p>
        </w:tc>
        <w:tc>
          <w:tcPr>
            <w:tcW w:w="10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Borders>
              <w:left w:val="single" w:sz="8" w:color="F0FFFF"/>
            </w:tcBorders>
            <w:gridSpan w:val="4"/>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5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5,234</w:t>
            </w:r>
          </w:p>
        </w:tc>
        <w:tc>
          <w:tcPr>
            <w:tcW w:w="100" w:type="dxa"/>
            <w:vAlign w:val="bottom"/>
            <w:shd w:val="clear" w:color="auto" w:fill="F0FFFF"/>
          </w:tcPr>
          <w:p>
            <w:pPr>
              <w:spacing w:after="0"/>
              <w:rPr>
                <w:sz w:val="18"/>
                <w:szCs w:val="18"/>
                <w:color w:val="auto"/>
              </w:rPr>
            </w:pPr>
          </w:p>
        </w:tc>
        <w:tc>
          <w:tcPr>
            <w:tcW w:w="140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2,931</w:t>
            </w: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3,278</w:t>
            </w:r>
          </w:p>
        </w:tc>
        <w:tc>
          <w:tcPr>
            <w:tcW w:w="1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w w:val="87"/>
              </w:rPr>
              <w:t>11,443</w:t>
            </w:r>
          </w:p>
        </w:tc>
        <w:tc>
          <w:tcPr>
            <w:tcW w:w="116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854,346</w:t>
            </w: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865,789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Home equity lines of credit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1,431</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464,441</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465,872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Borders>
              <w:left w:val="single" w:sz="8" w:color="F0FFFF"/>
            </w:tcBorders>
            <w:gridSpan w:val="4"/>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5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1,172</w:t>
            </w:r>
          </w:p>
        </w:tc>
        <w:tc>
          <w:tcPr>
            <w:tcW w:w="100" w:type="dxa"/>
            <w:vAlign w:val="bottom"/>
            <w:shd w:val="clear" w:color="auto" w:fill="F0FFFF"/>
          </w:tcPr>
          <w:p>
            <w:pPr>
              <w:spacing w:after="0"/>
              <w:rPr>
                <w:sz w:val="18"/>
                <w:szCs w:val="18"/>
                <w:color w:val="auto"/>
              </w:rPr>
            </w:pPr>
          </w:p>
        </w:tc>
        <w:tc>
          <w:tcPr>
            <w:tcW w:w="140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2,835</w:t>
            </w:r>
          </w:p>
        </w:tc>
        <w:tc>
          <w:tcPr>
            <w:tcW w:w="116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295,792</w:t>
            </w: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298,627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Consumer installment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776</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104,123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104,899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tcBorders>
              <w:left w:val="single" w:sz="8" w:color="F0FFFF"/>
            </w:tcBorders>
            <w:gridSpan w:val="4"/>
            <w:shd w:val="clear" w:color="auto" w:fill="F0FFFF"/>
          </w:tcPr>
          <w:p>
            <w:pPr>
              <w:spacing w:after="0"/>
              <w:rPr>
                <w:sz w:val="20"/>
                <w:szCs w:val="20"/>
                <w:color w:val="auto"/>
              </w:rPr>
            </w:pPr>
            <w:r>
              <w:rPr>
                <w:rFonts w:ascii="Arial" w:cs="Arial" w:eastAsia="Arial" w:hAnsi="Arial"/>
                <w:sz w:val="18"/>
                <w:szCs w:val="18"/>
                <w:color w:val="auto"/>
              </w:rPr>
              <w:t>Indirect auto</w:t>
            </w:r>
          </w:p>
        </w:tc>
        <w:tc>
          <w:tcPr>
            <w:tcW w:w="5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40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F0FFFF"/>
          </w:tcPr>
          <w:p>
            <w:pPr>
              <w:spacing w:after="0"/>
              <w:rPr>
                <w:sz w:val="21"/>
                <w:szCs w:val="21"/>
                <w:color w:val="auto"/>
              </w:rPr>
            </w:pPr>
          </w:p>
        </w:tc>
        <w:tc>
          <w:tcPr>
            <w:tcW w:w="140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F0FFFF"/>
          </w:tcPr>
          <w:p>
            <w:pPr>
              <w:spacing w:after="0"/>
              <w:rPr>
                <w:sz w:val="21"/>
                <w:szCs w:val="21"/>
                <w:color w:val="auto"/>
              </w:rPr>
            </w:pPr>
          </w:p>
        </w:tc>
        <w:tc>
          <w:tcPr>
            <w:tcW w:w="82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487</w:t>
            </w:r>
          </w:p>
        </w:tc>
        <w:tc>
          <w:tcPr>
            <w:tcW w:w="116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268,142</w:t>
            </w: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268,629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40" w:type="dxa"/>
            <w:vAlign w:val="bottom"/>
            <w:tcBorders>
              <w:top w:val="single" w:sz="8" w:color="F0FFFF"/>
            </w:tcBorders>
            <w:gridSpan w:val="4"/>
          </w:tcPr>
          <w:p>
            <w:pPr>
              <w:ind w:left="120"/>
              <w:spacing w:after="0"/>
              <w:rPr>
                <w:sz w:val="20"/>
                <w:szCs w:val="20"/>
                <w:color w:val="auto"/>
              </w:rPr>
            </w:pPr>
            <w:r>
              <w:rPr>
                <w:rFonts w:ascii="Arial" w:cs="Arial" w:eastAsia="Arial" w:hAnsi="Arial"/>
                <w:sz w:val="18"/>
                <w:szCs w:val="18"/>
                <w:color w:val="auto"/>
              </w:rPr>
              <w:t>Total loans</w:t>
            </w:r>
          </w:p>
        </w:tc>
        <w:tc>
          <w:tcPr>
            <w:tcW w:w="560" w:type="dxa"/>
            <w:vAlign w:val="bottom"/>
            <w:tcBorders>
              <w:top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12,242</w:t>
            </w:r>
          </w:p>
        </w:tc>
        <w:tc>
          <w:tcPr>
            <w:tcW w:w="320" w:type="dxa"/>
            <w:vAlign w:val="bottom"/>
            <w:tcBorders>
              <w:top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6,925</w:t>
            </w:r>
          </w:p>
        </w:tc>
        <w:tc>
          <w:tcPr>
            <w:tcW w:w="320" w:type="dxa"/>
            <w:vAlign w:val="bottom"/>
            <w:tcBorders>
              <w:top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7,646</w:t>
            </w:r>
          </w:p>
        </w:tc>
        <w:tc>
          <w:tcPr>
            <w:tcW w:w="320" w:type="dxa"/>
            <w:vAlign w:val="bottom"/>
            <w:tcBorders>
              <w:top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26,813</w:t>
            </w:r>
          </w:p>
        </w:tc>
        <w:tc>
          <w:tcPr>
            <w:tcW w:w="320" w:type="dxa"/>
            <w:vAlign w:val="bottom"/>
            <w:tcBorders>
              <w:top w:val="single" w:sz="8" w:color="F0FF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$ 4,645,306</w:t>
            </w:r>
          </w:p>
        </w:tc>
        <w:tc>
          <w:tcPr>
            <w:tcW w:w="320" w:type="dxa"/>
            <w:vAlign w:val="bottom"/>
            <w:tcBorders>
              <w:top w:val="single" w:sz="8" w:color="F0FF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$ 4,672,119</w:t>
            </w: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bottom w:val="single" w:sz="8" w:color="F0FFFF"/>
            </w:tcBorders>
          </w:tcPr>
          <w:p>
            <w:pPr>
              <w:spacing w:after="0" w:line="20" w:lineRule="exact"/>
              <w:rPr>
                <w:sz w:val="1"/>
                <w:szCs w:val="1"/>
                <w:color w:val="auto"/>
              </w:rPr>
            </w:pPr>
          </w:p>
        </w:tc>
        <w:tc>
          <w:tcPr>
            <w:tcW w:w="40" w:type="dxa"/>
            <w:vAlign w:val="bottom"/>
            <w:tcBorders>
              <w:bottom w:val="single" w:sz="8" w:color="F0FFFF"/>
            </w:tcBorders>
          </w:tcPr>
          <w:p>
            <w:pPr>
              <w:spacing w:after="0" w:line="20" w:lineRule="exact"/>
              <w:rPr>
                <w:sz w:val="1"/>
                <w:szCs w:val="1"/>
                <w:color w:val="auto"/>
              </w:rPr>
            </w:pPr>
          </w:p>
        </w:tc>
        <w:tc>
          <w:tcPr>
            <w:tcW w:w="360" w:type="dxa"/>
            <w:vAlign w:val="bottom"/>
            <w:tcBorders>
              <w:bottom w:val="single" w:sz="8" w:color="F0FFFF"/>
            </w:tcBorders>
          </w:tcPr>
          <w:p>
            <w:pPr>
              <w:spacing w:after="0" w:line="20" w:lineRule="exact"/>
              <w:rPr>
                <w:sz w:val="1"/>
                <w:szCs w:val="1"/>
                <w:color w:val="auto"/>
              </w:rPr>
            </w:pPr>
          </w:p>
        </w:tc>
        <w:tc>
          <w:tcPr>
            <w:tcW w:w="1660" w:type="dxa"/>
            <w:vAlign w:val="bottom"/>
            <w:tcBorders>
              <w:bottom w:val="single" w:sz="8" w:color="F0FFFF"/>
            </w:tcBorders>
          </w:tcPr>
          <w:p>
            <w:pPr>
              <w:spacing w:after="0" w:line="20" w:lineRule="exact"/>
              <w:rPr>
                <w:sz w:val="1"/>
                <w:szCs w:val="1"/>
                <w:color w:val="auto"/>
              </w:rPr>
            </w:pPr>
          </w:p>
        </w:tc>
        <w:tc>
          <w:tcPr>
            <w:tcW w:w="5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F0FF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F0FF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480" w:type="dxa"/>
            <w:vAlign w:val="bottom"/>
            <w:tcBorders>
              <w:left w:val="single" w:sz="8" w:color="F0FFFF"/>
            </w:tcBorders>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66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5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54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As of June 30, 2014</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Borders>
              <w:left w:val="single" w:sz="8" w:color="F0FFFF"/>
            </w:tcBorders>
            <w:gridSpan w:val="4"/>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6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1,239</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2,449</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86"/>
              </w:rPr>
              <w:t>$ 1,160,878</w:t>
            </w:r>
          </w:p>
        </w:tc>
        <w:tc>
          <w:tcPr>
            <w:tcW w:w="3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86"/>
              </w:rPr>
              <w:t>$ 1,163,327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Income producing commercial real estate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2,272</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596,046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598,318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Borders>
              <w:left w:val="single" w:sz="8" w:color="F0FFFF"/>
            </w:tcBorders>
            <w:gridSpan w:val="4"/>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5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F0FFFF"/>
          </w:tcPr>
          <w:p>
            <w:pPr>
              <w:spacing w:after="0"/>
              <w:rPr>
                <w:sz w:val="18"/>
                <w:szCs w:val="18"/>
                <w:color w:val="auto"/>
              </w:rPr>
            </w:pPr>
          </w:p>
        </w:tc>
        <w:tc>
          <w:tcPr>
            <w:tcW w:w="140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1,436</w:t>
            </w:r>
          </w:p>
        </w:tc>
        <w:tc>
          <w:tcPr>
            <w:tcW w:w="116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552,653</w:t>
            </w: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554,089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Commercial construction</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166</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159,589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159,755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Borders>
              <w:top w:val="single" w:sz="8" w:color="F0FFFF"/>
              <w:left w:val="single" w:sz="8" w:color="F0FFFF"/>
            </w:tcBorders>
            <w:gridSpan w:val="4"/>
            <w:shd w:val="clear" w:color="auto" w:fill="F0FFFF"/>
          </w:tcPr>
          <w:p>
            <w:pPr>
              <w:ind w:left="200"/>
              <w:spacing w:after="0"/>
              <w:rPr>
                <w:sz w:val="20"/>
                <w:szCs w:val="20"/>
                <w:color w:val="auto"/>
              </w:rPr>
            </w:pPr>
            <w:r>
              <w:rPr>
                <w:rFonts w:ascii="Arial" w:cs="Arial" w:eastAsia="Arial" w:hAnsi="Arial"/>
                <w:sz w:val="18"/>
                <w:szCs w:val="18"/>
                <w:color w:val="auto"/>
              </w:rPr>
              <w:t>Total commercial</w:t>
            </w:r>
          </w:p>
        </w:tc>
        <w:tc>
          <w:tcPr>
            <w:tcW w:w="56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3,524</w:t>
            </w:r>
          </w:p>
        </w:tc>
        <w:tc>
          <w:tcPr>
            <w:tcW w:w="3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1,340</w:t>
            </w:r>
          </w:p>
        </w:tc>
        <w:tc>
          <w:tcPr>
            <w:tcW w:w="3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1,459</w:t>
            </w:r>
          </w:p>
        </w:tc>
        <w:tc>
          <w:tcPr>
            <w:tcW w:w="3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5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6,323</w:t>
            </w:r>
          </w:p>
        </w:tc>
        <w:tc>
          <w:tcPr>
            <w:tcW w:w="320" w:type="dxa"/>
            <w:vAlign w:val="bottom"/>
            <w:tcBorders>
              <w:top w:val="single" w:sz="8" w:color="F0FFFF"/>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2,469,166</w:t>
            </w:r>
          </w:p>
        </w:tc>
        <w:tc>
          <w:tcPr>
            <w:tcW w:w="320" w:type="dxa"/>
            <w:vAlign w:val="bottom"/>
            <w:tcBorders>
              <w:top w:val="single" w:sz="8" w:color="F0FFFF"/>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2,475,489</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Residential mortgage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7,372</w:t>
            </w:r>
          </w:p>
        </w:tc>
        <w:tc>
          <w:tcPr>
            <w:tcW w:w="1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3,150</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11,926</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848,599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860,525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Borders>
              <w:left w:val="single" w:sz="8" w:color="F0FFFF"/>
            </w:tcBorders>
            <w:gridSpan w:val="4"/>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5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1,609</w:t>
            </w:r>
          </w:p>
        </w:tc>
        <w:tc>
          <w:tcPr>
            <w:tcW w:w="100" w:type="dxa"/>
            <w:vAlign w:val="bottom"/>
            <w:shd w:val="clear" w:color="auto" w:fill="F0FFFF"/>
          </w:tcPr>
          <w:p>
            <w:pPr>
              <w:spacing w:after="0"/>
              <w:rPr>
                <w:sz w:val="18"/>
                <w:szCs w:val="18"/>
                <w:color w:val="auto"/>
              </w:rPr>
            </w:pPr>
          </w:p>
        </w:tc>
        <w:tc>
          <w:tcPr>
            <w:tcW w:w="140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1,881</w:t>
            </w:r>
          </w:p>
        </w:tc>
        <w:tc>
          <w:tcPr>
            <w:tcW w:w="116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449,554</w:t>
            </w: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451,435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Residential construction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3,161</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298,576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301,737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Borders>
              <w:left w:val="single" w:sz="8" w:color="F0FFFF"/>
            </w:tcBorders>
            <w:gridSpan w:val="4"/>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5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F0FFFF"/>
          </w:tcPr>
          <w:p>
            <w:pPr>
              <w:spacing w:after="0"/>
              <w:rPr>
                <w:sz w:val="18"/>
                <w:szCs w:val="18"/>
                <w:color w:val="auto"/>
              </w:rPr>
            </w:pPr>
          </w:p>
        </w:tc>
        <w:tc>
          <w:tcPr>
            <w:tcW w:w="140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758</w:t>
            </w:r>
          </w:p>
        </w:tc>
        <w:tc>
          <w:tcPr>
            <w:tcW w:w="116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104,402</w:t>
            </w: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105,160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Indirect auto</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550</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215,389</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215,939</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540" w:type="dxa"/>
            <w:vAlign w:val="bottom"/>
            <w:tcBorders>
              <w:top w:val="single" w:sz="8" w:color="F0FFFF"/>
              <w:left w:val="single" w:sz="8" w:color="F0FFFF"/>
              <w:bottom w:val="single" w:sz="8" w:color="F0FFFF"/>
            </w:tcBorders>
            <w:gridSpan w:val="4"/>
            <w:shd w:val="clear" w:color="auto" w:fill="F0FFFF"/>
          </w:tcPr>
          <w:p>
            <w:pPr>
              <w:ind w:left="120"/>
              <w:spacing w:after="0"/>
              <w:rPr>
                <w:sz w:val="20"/>
                <w:szCs w:val="20"/>
                <w:color w:val="auto"/>
              </w:rPr>
            </w:pPr>
            <w:r>
              <w:rPr>
                <w:rFonts w:ascii="Arial" w:cs="Arial" w:eastAsia="Arial" w:hAnsi="Arial"/>
                <w:sz w:val="18"/>
                <w:szCs w:val="18"/>
                <w:color w:val="auto"/>
              </w:rPr>
              <w:t>Total loans</w:t>
            </w:r>
          </w:p>
        </w:tc>
        <w:tc>
          <w:tcPr>
            <w:tcW w:w="56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14,686</w:t>
            </w:r>
          </w:p>
        </w:tc>
        <w:tc>
          <w:tcPr>
            <w:tcW w:w="3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3,700</w:t>
            </w:r>
          </w:p>
        </w:tc>
        <w:tc>
          <w:tcPr>
            <w:tcW w:w="3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6,213</w:t>
            </w:r>
          </w:p>
        </w:tc>
        <w:tc>
          <w:tcPr>
            <w:tcW w:w="3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87"/>
              </w:rPr>
              <w:t>24,599</w:t>
            </w:r>
          </w:p>
        </w:tc>
        <w:tc>
          <w:tcPr>
            <w:tcW w:w="320" w:type="dxa"/>
            <w:vAlign w:val="bottom"/>
            <w:tcBorders>
              <w:top w:val="single" w:sz="8" w:color="F0FFFF"/>
              <w:bottom w:val="single" w:sz="8" w:color="F0FFFF"/>
            </w:tcBorders>
            <w:shd w:val="clear" w:color="auto" w:fill="F0FFFF"/>
          </w:tcPr>
          <w:p>
            <w:pPr>
              <w:spacing w:after="0"/>
              <w:rPr>
                <w:sz w:val="21"/>
                <w:szCs w:val="21"/>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86"/>
              </w:rPr>
              <w:t>$ 4,385,686</w:t>
            </w:r>
          </w:p>
        </w:tc>
        <w:tc>
          <w:tcPr>
            <w:tcW w:w="320" w:type="dxa"/>
            <w:vAlign w:val="bottom"/>
            <w:tcBorders>
              <w:top w:val="single" w:sz="8" w:color="F0FFFF"/>
              <w:bottom w:val="single" w:sz="8" w:color="F0FFFF"/>
            </w:tcBorders>
            <w:shd w:val="clear" w:color="auto" w:fill="F0FFFF"/>
          </w:tcPr>
          <w:p>
            <w:pPr>
              <w:spacing w:after="0"/>
              <w:rPr>
                <w:sz w:val="21"/>
                <w:szCs w:val="21"/>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86"/>
              </w:rPr>
              <w:t>$ 4,410,285</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360" w:type="dxa"/>
            <w:vAlign w:val="bottom"/>
            <w:tcBorders>
              <w:top w:val="single" w:sz="8" w:color="F0FFFF"/>
            </w:tcBorders>
          </w:tcPr>
          <w:p>
            <w:pPr>
              <w:spacing w:after="0" w:line="20" w:lineRule="exact"/>
              <w:rPr>
                <w:sz w:val="1"/>
                <w:szCs w:val="1"/>
                <w:color w:val="auto"/>
              </w:rPr>
            </w:pPr>
          </w:p>
        </w:tc>
        <w:tc>
          <w:tcPr>
            <w:tcW w:w="1660" w:type="dxa"/>
            <w:vAlign w:val="bottom"/>
            <w:tcBorders>
              <w:top w:val="single" w:sz="8" w:color="F0FFFF"/>
            </w:tcBorders>
          </w:tcPr>
          <w:p>
            <w:pPr>
              <w:spacing w:after="0" w:line="20" w:lineRule="exact"/>
              <w:rPr>
                <w:sz w:val="1"/>
                <w:szCs w:val="1"/>
                <w:color w:val="auto"/>
              </w:rPr>
            </w:pPr>
          </w:p>
        </w:tc>
        <w:tc>
          <w:tcPr>
            <w:tcW w:w="5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500" w:type="dxa"/>
            <w:vAlign w:val="bottom"/>
            <w:tcBorders>
              <w:top w:val="single" w:sz="8" w:color="F0FFFF"/>
              <w:bottom w:val="single" w:sz="8" w:color="auto"/>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As of June 30, 2015, December 31, 2014, and June 30, 2014, $6.24 million, $9.72 million and $8.98 million, respectively, of specific reserves were allocated to customers whose loan terms have been modified in TDRs. United committed to lend additional amounts totaling up to $75,000, $51,000 and $44,000 as of June 30, 2015, December 31, 2014 and June 30, 2014, respectively, to customers with outstanding loans that are classified as TDRs.</w:t>
      </w:r>
    </w:p>
    <w:p>
      <w:pPr>
        <w:spacing w:after="0" w:line="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modification of the terms of the TDRs included one or a combination of the following: a reduction of the stated interest rate of the loan or an extension of the amortization period that would not otherwise be considered in the current market for new debt with similar risk characteristics; a restructuring of the borrower’s debt into an “A/B note structure” where the A note would fall within the borrower’s ability to pay and the remainder would be included in the B note, or a mandated bankruptcy restructuring.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6" w:name="page27"/>
    <w:bookmarkEnd w:id="26"/>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4" w:lineRule="exact"/>
        <w:rPr>
          <w:sz w:val="20"/>
          <w:szCs w:val="20"/>
          <w:color w:val="auto"/>
        </w:rPr>
      </w:pPr>
    </w:p>
    <w:p>
      <w:pPr>
        <w:ind w:right="600"/>
        <w:spacing w:after="0" w:line="328" w:lineRule="auto"/>
        <w:rPr>
          <w:sz w:val="20"/>
          <w:szCs w:val="20"/>
          <w:color w:val="auto"/>
        </w:rPr>
      </w:pPr>
      <w:r>
        <w:rPr>
          <w:rFonts w:ascii="Arial" w:cs="Arial" w:eastAsia="Arial" w:hAnsi="Arial"/>
          <w:sz w:val="19"/>
          <w:szCs w:val="19"/>
          <w:color w:val="auto"/>
        </w:rPr>
        <w:t xml:space="preserve">The following table presents information on TDRs including the number of loan contracts restructured and the pre- and post-modification recorded investment as of June 30, 2015, December 31, 2014 and June 30, 2014 </w:t>
      </w:r>
      <w:r>
        <w:rPr>
          <w:rFonts w:ascii="Arial" w:cs="Arial" w:eastAsia="Arial" w:hAnsi="Arial"/>
          <w:sz w:val="19"/>
          <w:szCs w:val="19"/>
          <w:i w:val="1"/>
          <w:iCs w:val="1"/>
          <w:color w:val="auto"/>
        </w:rPr>
        <w:t>(dollars in thousands)</w:t>
      </w:r>
      <w:r>
        <w:rPr>
          <w:rFonts w:ascii="Arial" w:cs="Arial" w:eastAsia="Arial" w:hAnsi="Arial"/>
          <w:sz w:val="19"/>
          <w:szCs w:val="19"/>
          <w:color w:val="auto"/>
        </w:rPr>
        <w:t>.</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June 30, 2015</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December 31, 2014</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June 30, 2014</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ind w:right="148"/>
              <w:spacing w:after="0" w:line="126" w:lineRule="exact"/>
              <w:rPr>
                <w:sz w:val="20"/>
                <w:szCs w:val="20"/>
                <w:color w:val="auto"/>
              </w:rPr>
            </w:pPr>
            <w:r>
              <w:rPr>
                <w:rFonts w:ascii="Arial" w:cs="Arial" w:eastAsia="Arial" w:hAnsi="Arial"/>
                <w:sz w:val="14"/>
                <w:szCs w:val="14"/>
                <w:b w:val="1"/>
                <w:bCs w:val="1"/>
                <w:color w:val="auto"/>
                <w:w w:val="95"/>
              </w:rPr>
              <w:t>Pre-</w:t>
            </w:r>
          </w:p>
        </w:tc>
        <w:tc>
          <w:tcPr>
            <w:tcW w:w="120" w:type="dxa"/>
            <w:vAlign w:val="bottom"/>
          </w:tcPr>
          <w:p>
            <w:pPr>
              <w:spacing w:after="0"/>
              <w:rPr>
                <w:sz w:val="10"/>
                <w:szCs w:val="10"/>
                <w:color w:val="auto"/>
              </w:rPr>
            </w:pPr>
          </w:p>
        </w:tc>
        <w:tc>
          <w:tcPr>
            <w:tcW w:w="1000" w:type="dxa"/>
            <w:vAlign w:val="bottom"/>
          </w:tcPr>
          <w:p>
            <w:pPr>
              <w:jc w:val="center"/>
              <w:ind w:right="67"/>
              <w:spacing w:after="0" w:line="126" w:lineRule="exact"/>
              <w:rPr>
                <w:sz w:val="20"/>
                <w:szCs w:val="20"/>
                <w:color w:val="auto"/>
              </w:rPr>
            </w:pPr>
            <w:r>
              <w:rPr>
                <w:rFonts w:ascii="Arial" w:cs="Arial" w:eastAsia="Arial" w:hAnsi="Arial"/>
                <w:sz w:val="14"/>
                <w:szCs w:val="14"/>
                <w:b w:val="1"/>
                <w:bCs w:val="1"/>
                <w:color w:val="auto"/>
                <w:w w:val="85"/>
              </w:rPr>
              <w:t>Post-</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5"/>
              </w:rPr>
              <w:t>Pre-</w:t>
            </w:r>
          </w:p>
        </w:tc>
        <w:tc>
          <w:tcPr>
            <w:tcW w:w="140" w:type="dxa"/>
            <w:vAlign w:val="bottom"/>
          </w:tcPr>
          <w:p>
            <w:pPr>
              <w:spacing w:after="0"/>
              <w:rPr>
                <w:sz w:val="10"/>
                <w:szCs w:val="10"/>
                <w:color w:val="auto"/>
              </w:rPr>
            </w:pPr>
          </w:p>
        </w:tc>
        <w:tc>
          <w:tcPr>
            <w:tcW w:w="1000" w:type="dxa"/>
            <w:vAlign w:val="bottom"/>
          </w:tcPr>
          <w:p>
            <w:pPr>
              <w:jc w:val="center"/>
              <w:ind w:right="68"/>
              <w:spacing w:after="0" w:line="126" w:lineRule="exact"/>
              <w:rPr>
                <w:sz w:val="20"/>
                <w:szCs w:val="20"/>
                <w:color w:val="auto"/>
              </w:rPr>
            </w:pPr>
            <w:r>
              <w:rPr>
                <w:rFonts w:ascii="Arial" w:cs="Arial" w:eastAsia="Arial" w:hAnsi="Arial"/>
                <w:sz w:val="14"/>
                <w:szCs w:val="14"/>
                <w:b w:val="1"/>
                <w:bCs w:val="1"/>
                <w:color w:val="auto"/>
                <w:w w:val="85"/>
              </w:rPr>
              <w:t>Post-</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5"/>
              </w:rPr>
              <w:t>Pre-</w:t>
            </w:r>
          </w:p>
        </w:tc>
        <w:tc>
          <w:tcPr>
            <w:tcW w:w="120" w:type="dxa"/>
            <w:vAlign w:val="bottom"/>
          </w:tcPr>
          <w:p>
            <w:pPr>
              <w:spacing w:after="0"/>
              <w:rPr>
                <w:sz w:val="10"/>
                <w:szCs w:val="10"/>
                <w:color w:val="auto"/>
              </w:rPr>
            </w:pPr>
          </w:p>
        </w:tc>
        <w:tc>
          <w:tcPr>
            <w:tcW w:w="1020" w:type="dxa"/>
            <w:vAlign w:val="bottom"/>
          </w:tcPr>
          <w:p>
            <w:pPr>
              <w:jc w:val="center"/>
              <w:ind w:right="68"/>
              <w:spacing w:after="0" w:line="126" w:lineRule="exact"/>
              <w:rPr>
                <w:sz w:val="20"/>
                <w:szCs w:val="20"/>
                <w:color w:val="auto"/>
              </w:rPr>
            </w:pPr>
            <w:r>
              <w:rPr>
                <w:rFonts w:ascii="Arial" w:cs="Arial" w:eastAsia="Arial" w:hAnsi="Arial"/>
                <w:sz w:val="14"/>
                <w:szCs w:val="14"/>
                <w:b w:val="1"/>
                <w:bCs w:val="1"/>
                <w:color w:val="auto"/>
                <w:w w:val="91"/>
              </w:rPr>
              <w:t>Post-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96"/>
              </w:rPr>
              <w:t>Modification</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Modification</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Modification</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Modification</w:t>
            </w: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Modification</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Modification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92"/>
              </w:rPr>
              <w:t>Recorded</w:t>
            </w: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Recorded</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Recorded</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Recorded</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Recorded</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Contracts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right="168"/>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Investment</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Contracts</w:t>
            </w: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Investment</w:t>
            </w: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Investment</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Contracts</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22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rPr>
              <w:t>Owner occupied</w:t>
            </w:r>
          </w:p>
        </w:tc>
        <w:tc>
          <w:tcPr>
            <w:tcW w:w="8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1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0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shd w:val="clear" w:color="auto" w:fill="F0FFFF"/>
          </w:tcPr>
          <w:p>
            <w:pPr>
              <w:ind w:left="140"/>
              <w:spacing w:after="0" w:line="149" w:lineRule="exact"/>
              <w:rPr>
                <w:sz w:val="20"/>
                <w:szCs w:val="20"/>
                <w:color w:val="auto"/>
              </w:rPr>
            </w:pPr>
            <w:r>
              <w:rPr>
                <w:rFonts w:ascii="Arial" w:cs="Arial" w:eastAsia="Arial" w:hAnsi="Arial"/>
                <w:sz w:val="14"/>
                <w:szCs w:val="14"/>
                <w:color w:val="auto"/>
              </w:rPr>
              <w:t>commercial real</w:t>
            </w:r>
          </w:p>
        </w:tc>
        <w:tc>
          <w:tcPr>
            <w:tcW w:w="8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0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20" w:type="dxa"/>
            <w:vAlign w:val="bottom"/>
            <w:shd w:val="clear" w:color="auto" w:fill="F0FFFF"/>
          </w:tcPr>
          <w:p>
            <w:pPr>
              <w:ind w:left="140"/>
              <w:spacing w:after="0"/>
              <w:rPr>
                <w:sz w:val="20"/>
                <w:szCs w:val="20"/>
                <w:color w:val="auto"/>
              </w:rPr>
            </w:pPr>
            <w:r>
              <w:rPr>
                <w:rFonts w:ascii="Arial" w:cs="Arial" w:eastAsia="Arial" w:hAnsi="Arial"/>
                <w:sz w:val="14"/>
                <w:szCs w:val="14"/>
                <w:color w:val="auto"/>
              </w:rPr>
              <w:t>estate</w:t>
            </w:r>
          </w:p>
        </w:tc>
        <w:tc>
          <w:tcPr>
            <w:tcW w:w="8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57</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F0FFFF"/>
            </w:tcBorders>
            <w:shd w:val="clear" w:color="auto" w:fill="F0FFFF"/>
          </w:tcPr>
          <w:p>
            <w:pPr>
              <w:jc w:val="right"/>
              <w:ind w:right="48"/>
              <w:spacing w:after="0"/>
              <w:rPr>
                <w:sz w:val="20"/>
                <w:szCs w:val="20"/>
                <w:color w:val="auto"/>
              </w:rPr>
            </w:pPr>
            <w:r>
              <w:rPr>
                <w:rFonts w:ascii="Arial" w:cs="Arial" w:eastAsia="Arial" w:hAnsi="Arial"/>
                <w:sz w:val="14"/>
                <w:szCs w:val="14"/>
                <w:color w:val="auto"/>
              </w:rPr>
              <w:t>34,845</w:t>
            </w:r>
          </w:p>
        </w:tc>
        <w:tc>
          <w:tcPr>
            <w:tcW w:w="120" w:type="dxa"/>
            <w:vAlign w:val="bottom"/>
            <w:shd w:val="clear" w:color="auto" w:fill="F0FFFF"/>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33,401</w:t>
            </w:r>
          </w:p>
        </w:tc>
        <w:tc>
          <w:tcPr>
            <w:tcW w:w="9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54</w:t>
            </w:r>
          </w:p>
        </w:tc>
        <w:tc>
          <w:tcPr>
            <w:tcW w:w="10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27,695</w:t>
            </w: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26,296</w:t>
            </w:r>
          </w:p>
        </w:tc>
        <w:tc>
          <w:tcPr>
            <w:tcW w:w="9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52</w:t>
            </w:r>
          </w:p>
        </w:tc>
        <w:tc>
          <w:tcPr>
            <w:tcW w:w="120" w:type="dxa"/>
            <w:vAlign w:val="bottom"/>
            <w:shd w:val="clear" w:color="auto" w:fill="F0FFFF"/>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28,233</w:t>
            </w:r>
          </w:p>
        </w:tc>
        <w:tc>
          <w:tcPr>
            <w:tcW w:w="120" w:type="dxa"/>
            <w:vAlign w:val="bottom"/>
            <w:shd w:val="clear" w:color="auto" w:fill="F0FFFF"/>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26,670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20" w:type="dxa"/>
            <w:vAlign w:val="bottom"/>
          </w:tcPr>
          <w:p>
            <w:pPr>
              <w:spacing w:after="0" w:line="130" w:lineRule="exact"/>
              <w:rPr>
                <w:sz w:val="20"/>
                <w:szCs w:val="20"/>
                <w:color w:val="auto"/>
              </w:rPr>
            </w:pPr>
            <w:r>
              <w:rPr>
                <w:rFonts w:ascii="Arial" w:cs="Arial" w:eastAsia="Arial" w:hAnsi="Arial"/>
                <w:sz w:val="14"/>
                <w:szCs w:val="14"/>
                <w:color w:val="auto"/>
              </w:rPr>
              <w:t>Income producing</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ind w:left="140"/>
              <w:spacing w:after="0" w:line="149" w:lineRule="exact"/>
              <w:rPr>
                <w:sz w:val="20"/>
                <w:szCs w:val="20"/>
                <w:color w:val="auto"/>
              </w:rPr>
            </w:pPr>
            <w:r>
              <w:rPr>
                <w:rFonts w:ascii="Arial" w:cs="Arial" w:eastAsia="Arial" w:hAnsi="Arial"/>
                <w:sz w:val="14"/>
                <w:szCs w:val="14"/>
                <w:color w:val="auto"/>
              </w:rPr>
              <w:t>commercial real</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20" w:type="dxa"/>
            <w:vAlign w:val="bottom"/>
          </w:tcPr>
          <w:p>
            <w:pPr>
              <w:ind w:left="140"/>
              <w:spacing w:after="0"/>
              <w:rPr>
                <w:sz w:val="20"/>
                <w:szCs w:val="20"/>
                <w:color w:val="auto"/>
              </w:rPr>
            </w:pPr>
            <w:r>
              <w:rPr>
                <w:rFonts w:ascii="Arial" w:cs="Arial" w:eastAsia="Arial" w:hAnsi="Arial"/>
                <w:sz w:val="14"/>
                <w:szCs w:val="14"/>
                <w:color w:val="auto"/>
              </w:rPr>
              <w:t>estate</w:t>
            </w:r>
          </w:p>
        </w:tc>
        <w:tc>
          <w:tcPr>
            <w:tcW w:w="88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15,756</w:t>
            </w:r>
          </w:p>
        </w:tc>
        <w:tc>
          <w:tcPr>
            <w:tcW w:w="12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15,681</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18,094</w:t>
            </w:r>
          </w:p>
        </w:tc>
        <w:tc>
          <w:tcPr>
            <w:tcW w:w="14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17,915</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19,427</w:t>
            </w: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18,957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2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rPr>
              <w:t>Commercial &amp;</w:t>
            </w:r>
          </w:p>
        </w:tc>
        <w:tc>
          <w:tcPr>
            <w:tcW w:w="8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1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0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20" w:type="dxa"/>
            <w:vAlign w:val="bottom"/>
            <w:shd w:val="clear" w:color="auto" w:fill="F0FFFF"/>
          </w:tcPr>
          <w:p>
            <w:pPr>
              <w:ind w:left="140"/>
              <w:spacing w:after="0"/>
              <w:rPr>
                <w:sz w:val="20"/>
                <w:szCs w:val="20"/>
                <w:color w:val="auto"/>
              </w:rPr>
            </w:pPr>
            <w:r>
              <w:rPr>
                <w:rFonts w:ascii="Arial" w:cs="Arial" w:eastAsia="Arial" w:hAnsi="Arial"/>
                <w:sz w:val="14"/>
                <w:szCs w:val="14"/>
                <w:color w:val="auto"/>
              </w:rPr>
              <w:t>industrial</w:t>
            </w:r>
          </w:p>
        </w:tc>
        <w:tc>
          <w:tcPr>
            <w:tcW w:w="8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120" w:type="dxa"/>
            <w:vAlign w:val="bottom"/>
            <w:tcBorders>
              <w:right w:val="single" w:sz="8" w:color="F0FFFF"/>
            </w:tcBorders>
            <w:shd w:val="clear" w:color="auto" w:fill="F0FFFF"/>
          </w:tcPr>
          <w:p>
            <w:pPr>
              <w:jc w:val="right"/>
              <w:ind w:right="48"/>
              <w:spacing w:after="0"/>
              <w:rPr>
                <w:sz w:val="20"/>
                <w:szCs w:val="20"/>
                <w:color w:val="auto"/>
              </w:rPr>
            </w:pPr>
            <w:r>
              <w:rPr>
                <w:rFonts w:ascii="Arial" w:cs="Arial" w:eastAsia="Arial" w:hAnsi="Arial"/>
                <w:sz w:val="14"/>
                <w:szCs w:val="14"/>
                <w:color w:val="auto"/>
              </w:rPr>
              <w:t>3,583</w:t>
            </w:r>
          </w:p>
        </w:tc>
        <w:tc>
          <w:tcPr>
            <w:tcW w:w="120" w:type="dxa"/>
            <w:vAlign w:val="bottom"/>
            <w:shd w:val="clear" w:color="auto" w:fill="F0FFFF"/>
          </w:tcPr>
          <w:p>
            <w:pPr>
              <w:spacing w:after="0"/>
              <w:rPr>
                <w:sz w:val="14"/>
                <w:szCs w:val="14"/>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3,583</w:t>
            </w:r>
          </w:p>
        </w:tc>
        <w:tc>
          <w:tcPr>
            <w:tcW w:w="9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32</w:t>
            </w:r>
          </w:p>
        </w:tc>
        <w:tc>
          <w:tcPr>
            <w:tcW w:w="100" w:type="dxa"/>
            <w:vAlign w:val="bottom"/>
            <w:shd w:val="clear" w:color="auto" w:fill="F0FFFF"/>
          </w:tcPr>
          <w:p>
            <w:pPr>
              <w:spacing w:after="0"/>
              <w:rPr>
                <w:sz w:val="14"/>
                <w:szCs w:val="14"/>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2,848</w:t>
            </w:r>
          </w:p>
        </w:tc>
        <w:tc>
          <w:tcPr>
            <w:tcW w:w="140" w:type="dxa"/>
            <w:vAlign w:val="bottom"/>
            <w:shd w:val="clear" w:color="auto" w:fill="F0FFFF"/>
          </w:tcPr>
          <w:p>
            <w:pPr>
              <w:spacing w:after="0"/>
              <w:rPr>
                <w:sz w:val="14"/>
                <w:szCs w:val="14"/>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2,847</w:t>
            </w:r>
          </w:p>
        </w:tc>
        <w:tc>
          <w:tcPr>
            <w:tcW w:w="9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31</w:t>
            </w:r>
          </w:p>
        </w:tc>
        <w:tc>
          <w:tcPr>
            <w:tcW w:w="120" w:type="dxa"/>
            <w:vAlign w:val="bottom"/>
            <w:shd w:val="clear" w:color="auto" w:fill="F0FFFF"/>
          </w:tcPr>
          <w:p>
            <w:pPr>
              <w:spacing w:after="0"/>
              <w:rPr>
                <w:sz w:val="14"/>
                <w:szCs w:val="14"/>
                <w:color w:val="auto"/>
              </w:rPr>
            </w:pPr>
          </w:p>
        </w:tc>
        <w:tc>
          <w:tcPr>
            <w:tcW w:w="112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2,893</w:t>
            </w:r>
          </w:p>
        </w:tc>
        <w:tc>
          <w:tcPr>
            <w:tcW w:w="120" w:type="dxa"/>
            <w:vAlign w:val="bottom"/>
            <w:shd w:val="clear" w:color="auto" w:fill="F0FFFF"/>
          </w:tcPr>
          <w:p>
            <w:pPr>
              <w:spacing w:after="0"/>
              <w:rPr>
                <w:sz w:val="14"/>
                <w:szCs w:val="14"/>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2,893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20" w:type="dxa"/>
            <w:vAlign w:val="bottom"/>
          </w:tcPr>
          <w:p>
            <w:pPr>
              <w:spacing w:after="0" w:line="130" w:lineRule="exact"/>
              <w:rPr>
                <w:sz w:val="20"/>
                <w:szCs w:val="20"/>
                <w:color w:val="auto"/>
              </w:rPr>
            </w:pPr>
            <w:r>
              <w:rPr>
                <w:rFonts w:ascii="Arial" w:cs="Arial" w:eastAsia="Arial" w:hAnsi="Arial"/>
                <w:sz w:val="14"/>
                <w:szCs w:val="14"/>
                <w:color w:val="auto"/>
              </w:rPr>
              <w:t>Commercial</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11,174</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11,094</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1"/>
                <w:szCs w:val="11"/>
                <w:color w:val="auto"/>
              </w:rPr>
            </w:pP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11,360</w:t>
            </w: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11,280</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11,390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11,213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220" w:type="dxa"/>
            <w:vAlign w:val="bottom"/>
          </w:tcPr>
          <w:p>
            <w:pPr>
              <w:ind w:left="140"/>
              <w:spacing w:after="0" w:line="154" w:lineRule="exact"/>
              <w:rPr>
                <w:sz w:val="20"/>
                <w:szCs w:val="20"/>
                <w:color w:val="auto"/>
              </w:rPr>
            </w:pPr>
            <w:r>
              <w:rPr>
                <w:rFonts w:ascii="Arial" w:cs="Arial" w:eastAsia="Arial" w:hAnsi="Arial"/>
                <w:sz w:val="14"/>
                <w:szCs w:val="14"/>
                <w:color w:val="auto"/>
              </w:rPr>
              <w:t>construction</w:t>
            </w: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220" w:type="dxa"/>
            <w:vAlign w:val="bottom"/>
            <w:tcBorders>
              <w:top w:val="single" w:sz="8" w:color="F0FFFF"/>
            </w:tcBorders>
            <w:shd w:val="clear" w:color="auto" w:fill="F0FFFF"/>
          </w:tcPr>
          <w:p>
            <w:pPr>
              <w:ind w:left="300"/>
              <w:spacing w:after="0" w:line="143" w:lineRule="exact"/>
              <w:rPr>
                <w:sz w:val="20"/>
                <w:szCs w:val="20"/>
                <w:color w:val="auto"/>
              </w:rPr>
            </w:pPr>
            <w:r>
              <w:rPr>
                <w:rFonts w:ascii="Arial" w:cs="Arial" w:eastAsia="Arial" w:hAnsi="Arial"/>
                <w:sz w:val="14"/>
                <w:szCs w:val="14"/>
                <w:color w:val="auto"/>
              </w:rPr>
              <w:t>Total</w:t>
            </w:r>
          </w:p>
        </w:tc>
        <w:tc>
          <w:tcPr>
            <w:tcW w:w="880" w:type="dxa"/>
            <w:vAlign w:val="bottom"/>
            <w:tcBorders>
              <w:top w:val="single" w:sz="8" w:color="auto"/>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1120" w:type="dxa"/>
            <w:vAlign w:val="bottom"/>
            <w:tcBorders>
              <w:top w:val="single" w:sz="8" w:color="auto"/>
              <w:right w:val="single" w:sz="8" w:color="F0FFFF"/>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1000" w:type="dxa"/>
            <w:vAlign w:val="bottom"/>
            <w:tcBorders>
              <w:top w:val="single" w:sz="8" w:color="auto"/>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780" w:type="dxa"/>
            <w:vAlign w:val="bottom"/>
            <w:tcBorders>
              <w:top w:val="single" w:sz="8" w:color="auto"/>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1020" w:type="dxa"/>
            <w:vAlign w:val="bottom"/>
            <w:tcBorders>
              <w:top w:val="single" w:sz="8" w:color="auto"/>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140" w:type="dxa"/>
            <w:vAlign w:val="bottom"/>
            <w:tcBorders>
              <w:top w:val="single" w:sz="8" w:color="auto"/>
            </w:tcBorders>
            <w:shd w:val="clear" w:color="auto" w:fill="F0FFFF"/>
          </w:tcPr>
          <w:p>
            <w:pPr>
              <w:spacing w:after="0"/>
              <w:rPr>
                <w:sz w:val="12"/>
                <w:szCs w:val="12"/>
                <w:color w:val="auto"/>
              </w:rPr>
            </w:pPr>
          </w:p>
        </w:tc>
        <w:tc>
          <w:tcPr>
            <w:tcW w:w="1000" w:type="dxa"/>
            <w:vAlign w:val="bottom"/>
            <w:tcBorders>
              <w:top w:val="single" w:sz="8" w:color="auto"/>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780" w:type="dxa"/>
            <w:vAlign w:val="bottom"/>
            <w:tcBorders>
              <w:top w:val="single" w:sz="8" w:color="auto"/>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1000" w:type="dxa"/>
            <w:vAlign w:val="bottom"/>
            <w:tcBorders>
              <w:top w:val="single" w:sz="8" w:color="auto"/>
            </w:tcBorders>
            <w:shd w:val="clear" w:color="auto" w:fill="F0FFFF"/>
          </w:tcPr>
          <w:p>
            <w:pPr>
              <w:spacing w:after="0"/>
              <w:rPr>
                <w:sz w:val="12"/>
                <w:szCs w:val="12"/>
                <w:color w:val="auto"/>
              </w:rPr>
            </w:pPr>
          </w:p>
        </w:tc>
        <w:tc>
          <w:tcPr>
            <w:tcW w:w="120" w:type="dxa"/>
            <w:vAlign w:val="bottom"/>
            <w:tcBorders>
              <w:top w:val="single" w:sz="8" w:color="F0FFFF"/>
              <w:right w:val="single" w:sz="8" w:color="F0FFFF"/>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1020" w:type="dxa"/>
            <w:vAlign w:val="bottom"/>
            <w:tcBorders>
              <w:top w:val="single" w:sz="8" w:color="auto"/>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20" w:type="dxa"/>
            <w:vAlign w:val="bottom"/>
            <w:shd w:val="clear" w:color="auto" w:fill="F0FFFF"/>
          </w:tcPr>
          <w:p>
            <w:pPr>
              <w:ind w:left="460"/>
              <w:spacing w:after="0"/>
              <w:rPr>
                <w:sz w:val="20"/>
                <w:szCs w:val="20"/>
                <w:color w:val="auto"/>
              </w:rPr>
            </w:pPr>
            <w:r>
              <w:rPr>
                <w:rFonts w:ascii="Arial" w:cs="Arial" w:eastAsia="Arial" w:hAnsi="Arial"/>
                <w:sz w:val="14"/>
                <w:szCs w:val="14"/>
                <w:color w:val="auto"/>
              </w:rPr>
              <w:t>commercial</w:t>
            </w:r>
          </w:p>
        </w:tc>
        <w:tc>
          <w:tcPr>
            <w:tcW w:w="8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120" w:type="dxa"/>
            <w:vAlign w:val="bottom"/>
            <w:tcBorders>
              <w:right w:val="single" w:sz="8" w:color="F0FFFF"/>
            </w:tcBorders>
            <w:shd w:val="clear" w:color="auto" w:fill="F0FFFF"/>
          </w:tcPr>
          <w:p>
            <w:pPr>
              <w:jc w:val="right"/>
              <w:ind w:right="48"/>
              <w:spacing w:after="0"/>
              <w:rPr>
                <w:sz w:val="20"/>
                <w:szCs w:val="20"/>
                <w:color w:val="auto"/>
              </w:rPr>
            </w:pPr>
            <w:r>
              <w:rPr>
                <w:rFonts w:ascii="Arial" w:cs="Arial" w:eastAsia="Arial" w:hAnsi="Arial"/>
                <w:sz w:val="14"/>
                <w:szCs w:val="14"/>
                <w:color w:val="auto"/>
              </w:rPr>
              <w:t>65,358</w:t>
            </w:r>
          </w:p>
        </w:tc>
        <w:tc>
          <w:tcPr>
            <w:tcW w:w="120" w:type="dxa"/>
            <w:vAlign w:val="bottom"/>
            <w:shd w:val="clear" w:color="auto" w:fill="F0FFFF"/>
          </w:tcPr>
          <w:p>
            <w:pPr>
              <w:spacing w:after="0"/>
              <w:rPr>
                <w:sz w:val="14"/>
                <w:szCs w:val="14"/>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63,759</w:t>
            </w:r>
          </w:p>
        </w:tc>
        <w:tc>
          <w:tcPr>
            <w:tcW w:w="9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F0FFFF"/>
          </w:tcPr>
          <w:p>
            <w:pPr>
              <w:spacing w:after="0"/>
              <w:rPr>
                <w:sz w:val="14"/>
                <w:szCs w:val="14"/>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59,997</w:t>
            </w:r>
          </w:p>
        </w:tc>
        <w:tc>
          <w:tcPr>
            <w:tcW w:w="140" w:type="dxa"/>
            <w:vAlign w:val="bottom"/>
            <w:shd w:val="clear" w:color="auto" w:fill="F0FFFF"/>
          </w:tcPr>
          <w:p>
            <w:pPr>
              <w:spacing w:after="0"/>
              <w:rPr>
                <w:sz w:val="14"/>
                <w:szCs w:val="14"/>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58,338</w:t>
            </w:r>
          </w:p>
        </w:tc>
        <w:tc>
          <w:tcPr>
            <w:tcW w:w="9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F0FFFF"/>
          </w:tcPr>
          <w:p>
            <w:pPr>
              <w:spacing w:after="0"/>
              <w:rPr>
                <w:sz w:val="14"/>
                <w:szCs w:val="14"/>
                <w:color w:val="auto"/>
              </w:rPr>
            </w:pPr>
          </w:p>
        </w:tc>
        <w:tc>
          <w:tcPr>
            <w:tcW w:w="112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61,943</w:t>
            </w:r>
          </w:p>
        </w:tc>
        <w:tc>
          <w:tcPr>
            <w:tcW w:w="120" w:type="dxa"/>
            <w:vAlign w:val="bottom"/>
            <w:shd w:val="clear" w:color="auto" w:fill="F0FFFF"/>
          </w:tcPr>
          <w:p>
            <w:pPr>
              <w:spacing w:after="0"/>
              <w:rPr>
                <w:sz w:val="14"/>
                <w:szCs w:val="14"/>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59,733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20" w:type="dxa"/>
            <w:vAlign w:val="bottom"/>
          </w:tcPr>
          <w:p>
            <w:pPr>
              <w:spacing w:after="0" w:line="130" w:lineRule="exact"/>
              <w:rPr>
                <w:sz w:val="20"/>
                <w:szCs w:val="20"/>
                <w:color w:val="auto"/>
              </w:rPr>
            </w:pPr>
            <w:r>
              <w:rPr>
                <w:rFonts w:ascii="Arial" w:cs="Arial" w:eastAsia="Arial" w:hAnsi="Arial"/>
                <w:sz w:val="14"/>
                <w:szCs w:val="14"/>
                <w:color w:val="auto"/>
              </w:rPr>
              <w:t>Residential</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20" w:type="dxa"/>
            <w:vAlign w:val="bottom"/>
          </w:tcPr>
          <w:p>
            <w:pPr>
              <w:ind w:left="140"/>
              <w:spacing w:after="0"/>
              <w:rPr>
                <w:sz w:val="20"/>
                <w:szCs w:val="20"/>
                <w:color w:val="auto"/>
              </w:rPr>
            </w:pPr>
            <w:r>
              <w:rPr>
                <w:rFonts w:ascii="Arial" w:cs="Arial" w:eastAsia="Arial" w:hAnsi="Arial"/>
                <w:sz w:val="14"/>
                <w:szCs w:val="14"/>
                <w:color w:val="auto"/>
              </w:rPr>
              <w:t>mortgage</w:t>
            </w:r>
          </w:p>
        </w:tc>
        <w:tc>
          <w:tcPr>
            <w:tcW w:w="88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19,742</w:t>
            </w:r>
          </w:p>
        </w:tc>
        <w:tc>
          <w:tcPr>
            <w:tcW w:w="12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19,141</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18,630</w:t>
            </w:r>
          </w:p>
        </w:tc>
        <w:tc>
          <w:tcPr>
            <w:tcW w:w="14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17,836</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21,008</w:t>
            </w: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20,030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2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rPr>
              <w:t>Home equity lines</w:t>
            </w:r>
          </w:p>
        </w:tc>
        <w:tc>
          <w:tcPr>
            <w:tcW w:w="8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1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0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20" w:type="dxa"/>
            <w:vAlign w:val="bottom"/>
            <w:shd w:val="clear" w:color="auto" w:fill="F0FFFF"/>
          </w:tcPr>
          <w:p>
            <w:pPr>
              <w:ind w:left="140"/>
              <w:spacing w:after="0"/>
              <w:rPr>
                <w:sz w:val="20"/>
                <w:szCs w:val="20"/>
                <w:color w:val="auto"/>
              </w:rPr>
            </w:pPr>
            <w:r>
              <w:rPr>
                <w:rFonts w:ascii="Arial" w:cs="Arial" w:eastAsia="Arial" w:hAnsi="Arial"/>
                <w:sz w:val="14"/>
                <w:szCs w:val="14"/>
                <w:color w:val="auto"/>
              </w:rPr>
              <w:t>of credit</w:t>
            </w:r>
          </w:p>
        </w:tc>
        <w:tc>
          <w:tcPr>
            <w:tcW w:w="8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120" w:type="dxa"/>
            <w:vAlign w:val="bottom"/>
            <w:tcBorders>
              <w:right w:val="single" w:sz="8" w:color="F0FFFF"/>
            </w:tcBorders>
            <w:shd w:val="clear" w:color="auto" w:fill="F0FFFF"/>
          </w:tcPr>
          <w:p>
            <w:pPr>
              <w:jc w:val="right"/>
              <w:ind w:right="48"/>
              <w:spacing w:after="0"/>
              <w:rPr>
                <w:sz w:val="20"/>
                <w:szCs w:val="20"/>
                <w:color w:val="auto"/>
              </w:rPr>
            </w:pPr>
            <w:r>
              <w:rPr>
                <w:rFonts w:ascii="Arial" w:cs="Arial" w:eastAsia="Arial" w:hAnsi="Arial"/>
                <w:sz w:val="14"/>
                <w:szCs w:val="14"/>
                <w:color w:val="auto"/>
              </w:rPr>
              <w:t>560</w:t>
            </w:r>
          </w:p>
        </w:tc>
        <w:tc>
          <w:tcPr>
            <w:tcW w:w="120" w:type="dxa"/>
            <w:vAlign w:val="bottom"/>
            <w:shd w:val="clear" w:color="auto" w:fill="F0FFFF"/>
          </w:tcPr>
          <w:p>
            <w:pPr>
              <w:spacing w:after="0"/>
              <w:rPr>
                <w:sz w:val="14"/>
                <w:szCs w:val="14"/>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551</w:t>
            </w:r>
          </w:p>
        </w:tc>
        <w:tc>
          <w:tcPr>
            <w:tcW w:w="100" w:type="dxa"/>
            <w:vAlign w:val="bottom"/>
            <w:shd w:val="clear" w:color="auto" w:fill="F0FFFF"/>
          </w:tcPr>
          <w:p>
            <w:pPr>
              <w:spacing w:after="0"/>
              <w:rPr>
                <w:sz w:val="14"/>
                <w:szCs w:val="14"/>
                <w:color w:val="auto"/>
              </w:rPr>
            </w:pPr>
          </w:p>
        </w:tc>
        <w:tc>
          <w:tcPr>
            <w:tcW w:w="9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2</w:t>
            </w:r>
          </w:p>
        </w:tc>
        <w:tc>
          <w:tcPr>
            <w:tcW w:w="100" w:type="dxa"/>
            <w:vAlign w:val="bottom"/>
            <w:shd w:val="clear" w:color="auto" w:fill="F0FFFF"/>
          </w:tcPr>
          <w:p>
            <w:pPr>
              <w:spacing w:after="0"/>
              <w:rPr>
                <w:sz w:val="14"/>
                <w:szCs w:val="14"/>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478</w:t>
            </w:r>
          </w:p>
        </w:tc>
        <w:tc>
          <w:tcPr>
            <w:tcW w:w="140" w:type="dxa"/>
            <w:vAlign w:val="bottom"/>
            <w:shd w:val="clear" w:color="auto" w:fill="F0FFFF"/>
          </w:tcPr>
          <w:p>
            <w:pPr>
              <w:spacing w:after="0"/>
              <w:rPr>
                <w:sz w:val="14"/>
                <w:szCs w:val="14"/>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478</w:t>
            </w:r>
          </w:p>
        </w:tc>
        <w:tc>
          <w:tcPr>
            <w:tcW w:w="100" w:type="dxa"/>
            <w:vAlign w:val="bottom"/>
            <w:shd w:val="clear" w:color="auto" w:fill="F0FFFF"/>
          </w:tcPr>
          <w:p>
            <w:pPr>
              <w:spacing w:after="0"/>
              <w:rPr>
                <w:sz w:val="14"/>
                <w:szCs w:val="14"/>
                <w:color w:val="auto"/>
              </w:rPr>
            </w:pPr>
          </w:p>
        </w:tc>
        <w:tc>
          <w:tcPr>
            <w:tcW w:w="9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4</w:t>
            </w:r>
          </w:p>
        </w:tc>
        <w:tc>
          <w:tcPr>
            <w:tcW w:w="120" w:type="dxa"/>
            <w:vAlign w:val="bottom"/>
            <w:shd w:val="clear" w:color="auto" w:fill="F0FFFF"/>
          </w:tcPr>
          <w:p>
            <w:pPr>
              <w:spacing w:after="0"/>
              <w:rPr>
                <w:sz w:val="14"/>
                <w:szCs w:val="14"/>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540</w:t>
            </w:r>
          </w:p>
        </w:tc>
        <w:tc>
          <w:tcPr>
            <w:tcW w:w="120" w:type="dxa"/>
            <w:vAlign w:val="bottom"/>
            <w:tcBorders>
              <w:right w:val="single" w:sz="8" w:color="F0FFFF"/>
            </w:tcBorders>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540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20" w:type="dxa"/>
            <w:vAlign w:val="bottom"/>
          </w:tcPr>
          <w:p>
            <w:pPr>
              <w:spacing w:after="0" w:line="130" w:lineRule="exact"/>
              <w:rPr>
                <w:sz w:val="20"/>
                <w:szCs w:val="20"/>
                <w:color w:val="auto"/>
              </w:rPr>
            </w:pPr>
            <w:r>
              <w:rPr>
                <w:rFonts w:ascii="Arial" w:cs="Arial" w:eastAsia="Arial" w:hAnsi="Arial"/>
                <w:sz w:val="14"/>
                <w:szCs w:val="14"/>
                <w:color w:val="auto"/>
              </w:rPr>
              <w:t>Residential</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20" w:type="dxa"/>
            <w:vAlign w:val="bottom"/>
          </w:tcPr>
          <w:p>
            <w:pPr>
              <w:ind w:left="140"/>
              <w:spacing w:after="0"/>
              <w:rPr>
                <w:sz w:val="20"/>
                <w:szCs w:val="20"/>
                <w:color w:val="auto"/>
              </w:rPr>
            </w:pPr>
            <w:r>
              <w:rPr>
                <w:rFonts w:ascii="Arial" w:cs="Arial" w:eastAsia="Arial" w:hAnsi="Arial"/>
                <w:sz w:val="14"/>
                <w:szCs w:val="14"/>
                <w:color w:val="auto"/>
              </w:rPr>
              <w:t>construction</w:t>
            </w:r>
          </w:p>
        </w:tc>
        <w:tc>
          <w:tcPr>
            <w:tcW w:w="88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6,925</w:t>
            </w:r>
          </w:p>
        </w:tc>
        <w:tc>
          <w:tcPr>
            <w:tcW w:w="12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6,284</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8,962</w:t>
            </w:r>
          </w:p>
        </w:tc>
        <w:tc>
          <w:tcPr>
            <w:tcW w:w="14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8,265</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12,463</w:t>
            </w:r>
          </w:p>
        </w:tc>
        <w:tc>
          <w:tcPr>
            <w:tcW w:w="12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10,361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2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rPr>
              <w:t>Consumer</w:t>
            </w:r>
          </w:p>
        </w:tc>
        <w:tc>
          <w:tcPr>
            <w:tcW w:w="8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1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0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20" w:type="dxa"/>
            <w:vAlign w:val="bottom"/>
            <w:shd w:val="clear" w:color="auto" w:fill="F0FFFF"/>
          </w:tcPr>
          <w:p>
            <w:pPr>
              <w:ind w:left="140"/>
              <w:spacing w:after="0"/>
              <w:rPr>
                <w:sz w:val="20"/>
                <w:szCs w:val="20"/>
                <w:color w:val="auto"/>
              </w:rPr>
            </w:pPr>
            <w:r>
              <w:rPr>
                <w:rFonts w:ascii="Arial" w:cs="Arial" w:eastAsia="Arial" w:hAnsi="Arial"/>
                <w:sz w:val="14"/>
                <w:szCs w:val="14"/>
                <w:color w:val="auto"/>
              </w:rPr>
              <w:t>installment</w:t>
            </w:r>
          </w:p>
        </w:tc>
        <w:tc>
          <w:tcPr>
            <w:tcW w:w="8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120" w:type="dxa"/>
            <w:vAlign w:val="bottom"/>
            <w:tcBorders>
              <w:right w:val="single" w:sz="8" w:color="F0FFFF"/>
            </w:tcBorders>
            <w:shd w:val="clear" w:color="auto" w:fill="F0FFFF"/>
          </w:tcPr>
          <w:p>
            <w:pPr>
              <w:jc w:val="right"/>
              <w:ind w:right="48"/>
              <w:spacing w:after="0"/>
              <w:rPr>
                <w:sz w:val="20"/>
                <w:szCs w:val="20"/>
                <w:color w:val="auto"/>
              </w:rPr>
            </w:pPr>
            <w:r>
              <w:rPr>
                <w:rFonts w:ascii="Arial" w:cs="Arial" w:eastAsia="Arial" w:hAnsi="Arial"/>
                <w:sz w:val="14"/>
                <w:szCs w:val="14"/>
                <w:color w:val="auto"/>
              </w:rPr>
              <w:t>159</w:t>
            </w:r>
          </w:p>
        </w:tc>
        <w:tc>
          <w:tcPr>
            <w:tcW w:w="120" w:type="dxa"/>
            <w:vAlign w:val="bottom"/>
            <w:shd w:val="clear" w:color="auto" w:fill="F0FFFF"/>
          </w:tcPr>
          <w:p>
            <w:pPr>
              <w:spacing w:after="0"/>
              <w:rPr>
                <w:sz w:val="14"/>
                <w:szCs w:val="14"/>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F0FFFF"/>
          </w:tcPr>
          <w:p>
            <w:pPr>
              <w:spacing w:after="0"/>
              <w:rPr>
                <w:sz w:val="14"/>
                <w:szCs w:val="14"/>
                <w:color w:val="auto"/>
              </w:rPr>
            </w:pPr>
          </w:p>
        </w:tc>
        <w:tc>
          <w:tcPr>
            <w:tcW w:w="9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17</w:t>
            </w:r>
          </w:p>
        </w:tc>
        <w:tc>
          <w:tcPr>
            <w:tcW w:w="100" w:type="dxa"/>
            <w:vAlign w:val="bottom"/>
            <w:shd w:val="clear" w:color="auto" w:fill="F0FFFF"/>
          </w:tcPr>
          <w:p>
            <w:pPr>
              <w:spacing w:after="0"/>
              <w:rPr>
                <w:sz w:val="14"/>
                <w:szCs w:val="14"/>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179</w:t>
            </w:r>
          </w:p>
        </w:tc>
        <w:tc>
          <w:tcPr>
            <w:tcW w:w="140" w:type="dxa"/>
            <w:vAlign w:val="bottom"/>
            <w:shd w:val="clear" w:color="auto" w:fill="F0FFFF"/>
          </w:tcPr>
          <w:p>
            <w:pPr>
              <w:spacing w:after="0"/>
              <w:rPr>
                <w:sz w:val="14"/>
                <w:szCs w:val="14"/>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F0FFFF"/>
          </w:tcPr>
          <w:p>
            <w:pPr>
              <w:spacing w:after="0"/>
              <w:rPr>
                <w:sz w:val="14"/>
                <w:szCs w:val="14"/>
                <w:color w:val="auto"/>
              </w:rPr>
            </w:pPr>
          </w:p>
        </w:tc>
        <w:tc>
          <w:tcPr>
            <w:tcW w:w="9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23</w:t>
            </w:r>
          </w:p>
        </w:tc>
        <w:tc>
          <w:tcPr>
            <w:tcW w:w="120" w:type="dxa"/>
            <w:vAlign w:val="bottom"/>
            <w:shd w:val="clear" w:color="auto" w:fill="F0FFFF"/>
          </w:tcPr>
          <w:p>
            <w:pPr>
              <w:spacing w:after="0"/>
              <w:rPr>
                <w:sz w:val="14"/>
                <w:szCs w:val="14"/>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329</w:t>
            </w:r>
          </w:p>
        </w:tc>
        <w:tc>
          <w:tcPr>
            <w:tcW w:w="120" w:type="dxa"/>
            <w:vAlign w:val="bottom"/>
            <w:tcBorders>
              <w:right w:val="single" w:sz="8" w:color="F0FFFF"/>
            </w:tcBorders>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line="149" w:lineRule="exact"/>
              <w:rPr>
                <w:sz w:val="20"/>
                <w:szCs w:val="20"/>
                <w:color w:val="auto"/>
              </w:rPr>
            </w:pPr>
            <w:r>
              <w:rPr>
                <w:rFonts w:ascii="Arial" w:cs="Arial" w:eastAsia="Arial" w:hAnsi="Arial"/>
                <w:sz w:val="14"/>
                <w:szCs w:val="14"/>
                <w:color w:val="auto"/>
              </w:rPr>
              <w:t>Indirect auto</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20" w:type="dxa"/>
            <w:vAlign w:val="bottom"/>
            <w:shd w:val="clear" w:color="auto" w:fill="F0FF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tcBorders>
              <w:right w:val="single" w:sz="8" w:color="F0FFFF"/>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vMerge w:val="restart"/>
            <w:shd w:val="clear" w:color="auto" w:fill="F0FF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Borders>
              <w:right w:val="single" w:sz="8" w:color="F0FFFF"/>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220" w:type="dxa"/>
            <w:vAlign w:val="bottom"/>
            <w:shd w:val="clear" w:color="auto" w:fill="F0FFFF"/>
          </w:tcPr>
          <w:p>
            <w:pPr>
              <w:ind w:left="140"/>
              <w:spacing w:after="0"/>
              <w:rPr>
                <w:sz w:val="20"/>
                <w:szCs w:val="20"/>
                <w:color w:val="auto"/>
              </w:rPr>
            </w:pPr>
            <w:r>
              <w:rPr>
                <w:rFonts w:ascii="Arial" w:cs="Arial" w:eastAsia="Arial" w:hAnsi="Arial"/>
                <w:sz w:val="14"/>
                <w:szCs w:val="14"/>
                <w:color w:val="auto"/>
              </w:rPr>
              <w:t>Total loans</w:t>
            </w:r>
          </w:p>
        </w:tc>
        <w:tc>
          <w:tcPr>
            <w:tcW w:w="8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F0FFFF"/>
          </w:tcPr>
          <w:p>
            <w:pPr>
              <w:spacing w:after="0"/>
              <w:rPr>
                <w:sz w:val="20"/>
                <w:szCs w:val="20"/>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right w:val="single" w:sz="8" w:color="F0FFFF"/>
            </w:tcBorders>
            <w:shd w:val="clear" w:color="auto" w:fill="F0FFFF"/>
          </w:tcPr>
          <w:p>
            <w:pPr>
              <w:jc w:val="right"/>
              <w:ind w:right="48"/>
              <w:spacing w:after="0"/>
              <w:rPr>
                <w:sz w:val="20"/>
                <w:szCs w:val="20"/>
                <w:color w:val="auto"/>
              </w:rPr>
            </w:pPr>
            <w:r>
              <w:rPr>
                <w:rFonts w:ascii="Arial" w:cs="Arial" w:eastAsia="Arial" w:hAnsi="Arial"/>
                <w:sz w:val="14"/>
                <w:szCs w:val="14"/>
                <w:color w:val="auto"/>
              </w:rPr>
              <w:t>92,744</w:t>
            </w:r>
          </w:p>
        </w:tc>
        <w:tc>
          <w:tcPr>
            <w:tcW w:w="120" w:type="dxa"/>
            <w:vAlign w:val="bottom"/>
            <w:shd w:val="clear" w:color="auto" w:fill="F0FFFF"/>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F0FFFF"/>
          </w:tcPr>
          <w:p>
            <w:pPr>
              <w:jc w:val="right"/>
              <w:spacing w:after="0" w:line="196" w:lineRule="exact"/>
              <w:rPr>
                <w:sz w:val="20"/>
                <w:szCs w:val="20"/>
                <w:color w:val="auto"/>
              </w:rPr>
            </w:pPr>
            <w:r>
              <w:rPr>
                <w:rFonts w:ascii="Arial" w:cs="Arial" w:eastAsia="Arial" w:hAnsi="Arial"/>
                <w:sz w:val="18"/>
                <w:szCs w:val="18"/>
                <w:color w:val="auto"/>
              </w:rPr>
              <w:t>89,876</w:t>
            </w:r>
          </w:p>
        </w:tc>
        <w:tc>
          <w:tcPr>
            <w:tcW w:w="100" w:type="dxa"/>
            <w:vAlign w:val="bottom"/>
            <w:vMerge w:val="continue"/>
            <w:shd w:val="clear" w:color="auto" w:fill="F0FFFF"/>
          </w:tcPr>
          <w:p>
            <w:pPr>
              <w:spacing w:after="0"/>
              <w:rPr>
                <w:sz w:val="20"/>
                <w:szCs w:val="20"/>
                <w:color w:val="auto"/>
              </w:rPr>
            </w:pPr>
          </w:p>
        </w:tc>
        <w:tc>
          <w:tcPr>
            <w:tcW w:w="9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88,246</w:t>
            </w: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85,096</w:t>
            </w:r>
          </w:p>
        </w:tc>
        <w:tc>
          <w:tcPr>
            <w:tcW w:w="9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366</w:t>
            </w:r>
          </w:p>
        </w:tc>
        <w:tc>
          <w:tcPr>
            <w:tcW w:w="120" w:type="dxa"/>
            <w:vAlign w:val="bottom"/>
            <w:shd w:val="clear" w:color="auto" w:fill="F0FFFF"/>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96,283</w:t>
            </w:r>
          </w:p>
        </w:tc>
        <w:tc>
          <w:tcPr>
            <w:tcW w:w="120" w:type="dxa"/>
            <w:vAlign w:val="bottom"/>
            <w:shd w:val="clear" w:color="auto" w:fill="F0FFFF"/>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90,993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F0FF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 xml:space="preserve">Loans modified under the terms of a TDR during the three and six months ended June 30, 2015 and 2014 are presented in the table below. In addition, the following table presents loans modified under the terms of a TDR that became 90 days or more delinquent during the three and six months ended June 30, 2015 and 2014, that were initially restructured within one year prior to becoming delinquent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900" w:type="dxa"/>
            <w:vAlign w:val="bottom"/>
            <w:tcBorders>
              <w:bottom w:val="single" w:sz="8" w:color="auto"/>
            </w:tcBorders>
            <w:gridSpan w:val="21"/>
          </w:tcPr>
          <w:p>
            <w:pPr>
              <w:ind w:left="300"/>
              <w:spacing w:after="0"/>
              <w:rPr>
                <w:sz w:val="20"/>
                <w:szCs w:val="20"/>
                <w:color w:val="auto"/>
              </w:rPr>
            </w:pPr>
            <w:r>
              <w:rPr>
                <w:rFonts w:ascii="Arial" w:cs="Arial" w:eastAsia="Arial" w:hAnsi="Arial"/>
                <w:sz w:val="14"/>
                <w:szCs w:val="14"/>
                <w:b w:val="1"/>
                <w:bCs w:val="1"/>
                <w:color w:val="auto"/>
                <w:w w:val="95"/>
              </w:rPr>
              <w:t>New Troubled Debt Restructurings for the Three Months Ended June 30,</w:t>
            </w:r>
          </w:p>
        </w:tc>
        <w:tc>
          <w:tcPr>
            <w:tcW w:w="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580" w:type="dxa"/>
            <w:vAlign w:val="bottom"/>
            <w:tcBorders>
              <w:bottom w:val="single" w:sz="8" w:color="auto"/>
            </w:tcBorders>
            <w:gridSpan w:val="18"/>
          </w:tcPr>
          <w:p>
            <w:pPr>
              <w:ind w:left="240"/>
              <w:spacing w:after="0"/>
              <w:rPr>
                <w:sz w:val="20"/>
                <w:szCs w:val="20"/>
                <w:color w:val="auto"/>
              </w:rPr>
            </w:pPr>
            <w:r>
              <w:rPr>
                <w:rFonts w:ascii="Arial" w:cs="Arial" w:eastAsia="Arial" w:hAnsi="Arial"/>
                <w:sz w:val="14"/>
                <w:szCs w:val="14"/>
                <w:b w:val="1"/>
                <w:bCs w:val="1"/>
                <w:color w:val="auto"/>
                <w:w w:val="93"/>
              </w:rPr>
              <w:t>New Troubled Debt Restructurings for the Six Months Ended June 30,</w:t>
            </w:r>
          </w:p>
        </w:tc>
        <w:tc>
          <w:tcPr>
            <w:tcW w:w="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7"/>
          </w:tcPr>
          <w:p>
            <w:pPr>
              <w:jc w:val="center"/>
              <w:ind w:left="128"/>
              <w:spacing w:after="0" w:line="126" w:lineRule="exact"/>
              <w:rPr>
                <w:sz w:val="20"/>
                <w:szCs w:val="20"/>
                <w:color w:val="auto"/>
              </w:rPr>
            </w:pPr>
            <w:r>
              <w:rPr>
                <w:rFonts w:ascii="Arial" w:cs="Arial" w:eastAsia="Arial" w:hAnsi="Arial"/>
                <w:sz w:val="14"/>
                <w:szCs w:val="14"/>
                <w:b w:val="1"/>
                <w:bCs w:val="1"/>
                <w:color w:val="auto"/>
                <w:w w:val="96"/>
              </w:rPr>
              <w:t>Modified Within the</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gridSpan w:val="5"/>
          </w:tcPr>
          <w:p>
            <w:pPr>
              <w:jc w:val="center"/>
              <w:spacing w:after="0" w:line="126" w:lineRule="exact"/>
              <w:rPr>
                <w:sz w:val="20"/>
                <w:szCs w:val="20"/>
                <w:color w:val="auto"/>
              </w:rPr>
            </w:pPr>
            <w:r>
              <w:rPr>
                <w:rFonts w:ascii="Arial" w:cs="Arial" w:eastAsia="Arial" w:hAnsi="Arial"/>
                <w:sz w:val="14"/>
                <w:szCs w:val="14"/>
                <w:b w:val="1"/>
                <w:bCs w:val="1"/>
                <w:color w:val="auto"/>
                <w:w w:val="97"/>
              </w:rPr>
              <w:t>Modified Within the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9"/>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Previous Twelve Months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6"/>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Previous Twelve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restart"/>
          </w:tcPr>
          <w:p>
            <w:pPr>
              <w:jc w:val="center"/>
              <w:ind w:left="311"/>
              <w:spacing w:after="0"/>
              <w:rPr>
                <w:sz w:val="20"/>
                <w:szCs w:val="20"/>
                <w:color w:val="auto"/>
              </w:rPr>
            </w:pPr>
            <w:r>
              <w:rPr>
                <w:rFonts w:ascii="Arial" w:cs="Arial" w:eastAsia="Arial" w:hAnsi="Arial"/>
                <w:sz w:val="14"/>
                <w:szCs w:val="14"/>
                <w:b w:val="1"/>
                <w:bCs w:val="1"/>
                <w:color w:val="auto"/>
                <w:w w:val="95"/>
              </w:rPr>
              <w:t>Pre-</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85"/>
              </w:rPr>
              <w:t>Post-</w:t>
            </w:r>
          </w:p>
        </w:tc>
        <w:tc>
          <w:tcPr>
            <w:tcW w:w="1840" w:type="dxa"/>
            <w:vAlign w:val="bottom"/>
            <w:gridSpan w:val="9"/>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that Have Subsequently</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5"/>
              </w:rPr>
              <w:t>Pre-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center"/>
              <w:ind w:left="328"/>
              <w:spacing w:after="0"/>
              <w:rPr>
                <w:sz w:val="20"/>
                <w:szCs w:val="20"/>
                <w:color w:val="auto"/>
              </w:rPr>
            </w:pPr>
            <w:r>
              <w:rPr>
                <w:rFonts w:ascii="Arial" w:cs="Arial" w:eastAsia="Arial" w:hAnsi="Arial"/>
                <w:sz w:val="14"/>
                <w:szCs w:val="14"/>
                <w:b w:val="1"/>
                <w:bCs w:val="1"/>
                <w:color w:val="auto"/>
                <w:w w:val="91"/>
              </w:rPr>
              <w:t>Post-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6"/>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that Have Subsequently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840" w:type="dxa"/>
            <w:vAlign w:val="bottom"/>
            <w:gridSpan w:val="9"/>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Defaulted During the Three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6"/>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Defaulted During the Six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4"/>
              </w:rPr>
              <w:t>Modification</w:t>
            </w:r>
          </w:p>
        </w:tc>
        <w:tc>
          <w:tcPr>
            <w:tcW w:w="120" w:type="dxa"/>
            <w:vAlign w:val="bottom"/>
          </w:tcPr>
          <w:p>
            <w:pPr>
              <w:spacing w:after="0"/>
              <w:rPr>
                <w:sz w:val="12"/>
                <w:szCs w:val="12"/>
                <w:color w:val="auto"/>
              </w:rPr>
            </w:pPr>
          </w:p>
        </w:tc>
        <w:tc>
          <w:tcPr>
            <w:tcW w:w="116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Modification</w:t>
            </w:r>
          </w:p>
        </w:tc>
        <w:tc>
          <w:tcPr>
            <w:tcW w:w="1520" w:type="dxa"/>
            <w:vAlign w:val="bottom"/>
            <w:gridSpan w:val="7"/>
          </w:tcPr>
          <w:p>
            <w:pPr>
              <w:jc w:val="center"/>
              <w:ind w:left="128"/>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6"/>
              </w:rPr>
              <w:t>Modification</w:t>
            </w:r>
          </w:p>
        </w:tc>
        <w:tc>
          <w:tcPr>
            <w:tcW w:w="120" w:type="dxa"/>
            <w:vAlign w:val="bottom"/>
          </w:tcPr>
          <w:p>
            <w:pPr>
              <w:spacing w:after="0"/>
              <w:rPr>
                <w:sz w:val="12"/>
                <w:szCs w:val="12"/>
                <w:color w:val="auto"/>
              </w:rPr>
            </w:pPr>
          </w:p>
        </w:tc>
        <w:tc>
          <w:tcPr>
            <w:tcW w:w="11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6"/>
              </w:rPr>
              <w:t>Modification</w:t>
            </w:r>
          </w:p>
        </w:tc>
        <w:tc>
          <w:tcPr>
            <w:tcW w:w="80" w:type="dxa"/>
            <w:vAlign w:val="bottom"/>
          </w:tcPr>
          <w:p>
            <w:pPr>
              <w:spacing w:after="0"/>
              <w:rPr>
                <w:sz w:val="12"/>
                <w:szCs w:val="12"/>
                <w:color w:val="auto"/>
              </w:rPr>
            </w:pPr>
          </w:p>
        </w:tc>
        <w:tc>
          <w:tcPr>
            <w:tcW w:w="1440" w:type="dxa"/>
            <w:vAlign w:val="bottom"/>
            <w:gridSpan w:val="4"/>
          </w:tcPr>
          <w:p>
            <w:pPr>
              <w:jc w:val="center"/>
              <w:ind w:left="148"/>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5"/>
                <w:szCs w:val="15"/>
                <w:color w:val="auto"/>
              </w:rPr>
            </w:pPr>
          </w:p>
        </w:tc>
        <w:tc>
          <w:tcPr>
            <w:tcW w:w="11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Outstanding</w:t>
            </w: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4"/>
                <w:szCs w:val="14"/>
                <w:b w:val="1"/>
                <w:bCs w:val="1"/>
                <w:color w:val="auto"/>
                <w:w w:val="92"/>
              </w:rPr>
              <w:t>June 30, 2015</w:t>
            </w:r>
          </w:p>
        </w:tc>
        <w:tc>
          <w:tcPr>
            <w:tcW w:w="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5"/>
                <w:szCs w:val="15"/>
                <w:color w:val="auto"/>
              </w:rPr>
            </w:pPr>
          </w:p>
        </w:tc>
        <w:tc>
          <w:tcPr>
            <w:tcW w:w="11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80" w:type="dxa"/>
            <w:vAlign w:val="bottom"/>
          </w:tcPr>
          <w:p>
            <w:pPr>
              <w:spacing w:after="0"/>
              <w:rPr>
                <w:sz w:val="15"/>
                <w:szCs w:val="15"/>
                <w:color w:val="auto"/>
              </w:rPr>
            </w:pPr>
          </w:p>
        </w:tc>
        <w:tc>
          <w:tcPr>
            <w:tcW w:w="1440" w:type="dxa"/>
            <w:vAlign w:val="bottom"/>
            <w:tcBorders>
              <w:bottom w:val="single" w:sz="8" w:color="auto"/>
            </w:tcBorders>
            <w:gridSpan w:val="4"/>
          </w:tcPr>
          <w:p>
            <w:pPr>
              <w:jc w:val="center"/>
              <w:ind w:left="168"/>
              <w:spacing w:after="0"/>
              <w:rPr>
                <w:sz w:val="20"/>
                <w:szCs w:val="20"/>
                <w:color w:val="auto"/>
              </w:rPr>
            </w:pPr>
            <w:r>
              <w:rPr>
                <w:rFonts w:ascii="Arial" w:cs="Arial" w:eastAsia="Arial" w:hAnsi="Arial"/>
                <w:sz w:val="14"/>
                <w:szCs w:val="14"/>
                <w:b w:val="1"/>
                <w:bCs w:val="1"/>
                <w:color w:val="auto"/>
                <w:w w:val="92"/>
              </w:rPr>
              <w:t>June 30, 2015</w:t>
            </w:r>
          </w:p>
        </w:tc>
        <w:tc>
          <w:tcPr>
            <w:tcW w:w="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5"/>
          </w:tcPr>
          <w:p>
            <w:pPr>
              <w:jc w:val="center"/>
              <w:ind w:right="140"/>
              <w:spacing w:after="0" w:line="126" w:lineRule="exact"/>
              <w:rPr>
                <w:sz w:val="20"/>
                <w:szCs w:val="20"/>
                <w:color w:val="auto"/>
              </w:rPr>
            </w:pPr>
            <w:r>
              <w:rPr>
                <w:rFonts w:ascii="Arial" w:cs="Arial" w:eastAsia="Arial" w:hAnsi="Arial"/>
                <w:sz w:val="14"/>
                <w:szCs w:val="14"/>
                <w:b w:val="1"/>
                <w:bCs w:val="1"/>
                <w:color w:val="auto"/>
                <w:w w:val="97"/>
              </w:rPr>
              <w:t>Number of</w:t>
            </w:r>
          </w:p>
        </w:tc>
        <w:tc>
          <w:tcPr>
            <w:tcW w:w="1040" w:type="dxa"/>
            <w:vAlign w:val="bottom"/>
            <w:gridSpan w:val="4"/>
          </w:tcPr>
          <w:p>
            <w:pPr>
              <w:jc w:val="center"/>
              <w:spacing w:after="0" w:line="126" w:lineRule="exact"/>
              <w:rPr>
                <w:sz w:val="20"/>
                <w:szCs w:val="20"/>
                <w:color w:val="auto"/>
              </w:rPr>
            </w:pPr>
            <w:r>
              <w:rPr>
                <w:rFonts w:ascii="Arial" w:cs="Arial" w:eastAsia="Arial" w:hAnsi="Arial"/>
                <w:sz w:val="14"/>
                <w:szCs w:val="14"/>
                <w:b w:val="1"/>
                <w:bCs w:val="1"/>
                <w:color w:val="auto"/>
                <w:w w:val="89"/>
              </w:rPr>
              <w:t>Recorded</w:t>
            </w:r>
          </w:p>
        </w:tc>
        <w:tc>
          <w:tcPr>
            <w:tcW w:w="120" w:type="dxa"/>
            <w:vAlign w:val="bottom"/>
          </w:tcPr>
          <w:p>
            <w:pPr>
              <w:spacing w:after="0"/>
              <w:rPr>
                <w:sz w:val="10"/>
                <w:szCs w:val="10"/>
                <w:color w:val="auto"/>
              </w:rPr>
            </w:pPr>
          </w:p>
        </w:tc>
        <w:tc>
          <w:tcPr>
            <w:tcW w:w="1160" w:type="dxa"/>
            <w:vAlign w:val="bottom"/>
            <w:gridSpan w:val="4"/>
          </w:tcPr>
          <w:p>
            <w:pPr>
              <w:jc w:val="center"/>
              <w:ind w:right="140"/>
              <w:spacing w:after="0" w:line="126" w:lineRule="exact"/>
              <w:rPr>
                <w:sz w:val="20"/>
                <w:szCs w:val="20"/>
                <w:color w:val="auto"/>
              </w:rPr>
            </w:pPr>
            <w:r>
              <w:rPr>
                <w:rFonts w:ascii="Arial" w:cs="Arial" w:eastAsia="Arial" w:hAnsi="Arial"/>
                <w:sz w:val="14"/>
                <w:szCs w:val="14"/>
                <w:b w:val="1"/>
                <w:bCs w:val="1"/>
                <w:color w:val="auto"/>
                <w:w w:val="89"/>
              </w:rPr>
              <w:t>Recorded</w:t>
            </w:r>
          </w:p>
        </w:tc>
        <w:tc>
          <w:tcPr>
            <w:tcW w:w="920" w:type="dxa"/>
            <w:vAlign w:val="bottom"/>
            <w:gridSpan w:val="4"/>
          </w:tcPr>
          <w:p>
            <w:pPr>
              <w:jc w:val="right"/>
              <w:ind w:right="180"/>
              <w:spacing w:after="0" w:line="126" w:lineRule="exact"/>
              <w:rPr>
                <w:sz w:val="20"/>
                <w:szCs w:val="20"/>
                <w:color w:val="auto"/>
              </w:rPr>
            </w:pPr>
            <w:r>
              <w:rPr>
                <w:rFonts w:ascii="Arial" w:cs="Arial" w:eastAsia="Arial" w:hAnsi="Arial"/>
                <w:sz w:val="14"/>
                <w:szCs w:val="14"/>
                <w:b w:val="1"/>
                <w:bCs w:val="1"/>
                <w:color w:val="auto"/>
              </w:rPr>
              <w:t>Number of</w:t>
            </w:r>
          </w:p>
        </w:tc>
        <w:tc>
          <w:tcPr>
            <w:tcW w:w="800" w:type="dxa"/>
            <w:vAlign w:val="bottom"/>
            <w:gridSpan w:val="4"/>
          </w:tcPr>
          <w:p>
            <w:pPr>
              <w:jc w:val="right"/>
              <w:ind w:right="28"/>
              <w:spacing w:after="0" w:line="126" w:lineRule="exact"/>
              <w:rPr>
                <w:sz w:val="20"/>
                <w:szCs w:val="20"/>
                <w:color w:val="auto"/>
              </w:rPr>
            </w:pPr>
            <w:r>
              <w:rPr>
                <w:rFonts w:ascii="Arial" w:cs="Arial" w:eastAsia="Arial" w:hAnsi="Arial"/>
                <w:sz w:val="14"/>
                <w:szCs w:val="14"/>
                <w:b w:val="1"/>
                <w:bCs w:val="1"/>
                <w:color w:val="auto"/>
              </w:rPr>
              <w:t>Recorded</w:t>
            </w:r>
          </w:p>
        </w:tc>
        <w:tc>
          <w:tcPr>
            <w:tcW w:w="120" w:type="dxa"/>
            <w:vAlign w:val="bottom"/>
          </w:tcPr>
          <w:p>
            <w:pPr>
              <w:spacing w:after="0"/>
              <w:rPr>
                <w:sz w:val="10"/>
                <w:szCs w:val="10"/>
                <w:color w:val="auto"/>
              </w:rPr>
            </w:pPr>
          </w:p>
        </w:tc>
        <w:tc>
          <w:tcPr>
            <w:tcW w:w="780" w:type="dxa"/>
            <w:vAlign w:val="bottom"/>
            <w:gridSpan w:val="3"/>
          </w:tcPr>
          <w:p>
            <w:pPr>
              <w:jc w:val="right"/>
              <w:spacing w:after="0" w:line="126" w:lineRule="exact"/>
              <w:rPr>
                <w:sz w:val="20"/>
                <w:szCs w:val="20"/>
                <w:color w:val="auto"/>
              </w:rPr>
            </w:pPr>
            <w:r>
              <w:rPr>
                <w:rFonts w:ascii="Arial" w:cs="Arial" w:eastAsia="Arial" w:hAnsi="Arial"/>
                <w:sz w:val="14"/>
                <w:szCs w:val="14"/>
                <w:b w:val="1"/>
                <w:bCs w:val="1"/>
                <w:color w:val="auto"/>
                <w:w w:val="99"/>
              </w:rPr>
              <w:t>Number of</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center"/>
              <w:ind w:right="8"/>
              <w:spacing w:after="0" w:line="126" w:lineRule="exact"/>
              <w:rPr>
                <w:sz w:val="20"/>
                <w:szCs w:val="20"/>
                <w:color w:val="auto"/>
              </w:rPr>
            </w:pPr>
            <w:r>
              <w:rPr>
                <w:rFonts w:ascii="Arial" w:cs="Arial" w:eastAsia="Arial" w:hAnsi="Arial"/>
                <w:sz w:val="14"/>
                <w:szCs w:val="14"/>
                <w:b w:val="1"/>
                <w:bCs w:val="1"/>
                <w:color w:val="auto"/>
                <w:w w:val="92"/>
              </w:rPr>
              <w:t>Recorded</w:t>
            </w:r>
          </w:p>
        </w:tc>
        <w:tc>
          <w:tcPr>
            <w:tcW w:w="120" w:type="dxa"/>
            <w:vAlign w:val="bottom"/>
          </w:tcPr>
          <w:p>
            <w:pPr>
              <w:spacing w:after="0"/>
              <w:rPr>
                <w:sz w:val="10"/>
                <w:szCs w:val="10"/>
                <w:color w:val="auto"/>
              </w:rPr>
            </w:pPr>
          </w:p>
        </w:tc>
        <w:tc>
          <w:tcPr>
            <w:tcW w:w="1160" w:type="dxa"/>
            <w:vAlign w:val="bottom"/>
            <w:gridSpan w:val="4"/>
          </w:tcPr>
          <w:p>
            <w:pPr>
              <w:jc w:val="center"/>
              <w:spacing w:after="0" w:line="126" w:lineRule="exact"/>
              <w:rPr>
                <w:sz w:val="20"/>
                <w:szCs w:val="20"/>
                <w:color w:val="auto"/>
              </w:rPr>
            </w:pPr>
            <w:r>
              <w:rPr>
                <w:rFonts w:ascii="Arial" w:cs="Arial" w:eastAsia="Arial" w:hAnsi="Arial"/>
                <w:sz w:val="14"/>
                <w:szCs w:val="14"/>
                <w:b w:val="1"/>
                <w:bCs w:val="1"/>
                <w:color w:val="auto"/>
                <w:w w:val="92"/>
              </w:rPr>
              <w:t>Recorded</w:t>
            </w:r>
          </w:p>
        </w:tc>
        <w:tc>
          <w:tcPr>
            <w:tcW w:w="80" w:type="dxa"/>
            <w:vAlign w:val="bottom"/>
          </w:tcPr>
          <w:p>
            <w:pPr>
              <w:spacing w:after="0"/>
              <w:rPr>
                <w:sz w:val="10"/>
                <w:szCs w:val="10"/>
                <w:color w:val="auto"/>
              </w:rPr>
            </w:pPr>
          </w:p>
        </w:tc>
        <w:tc>
          <w:tcPr>
            <w:tcW w:w="880" w:type="dxa"/>
            <w:vAlign w:val="bottom"/>
            <w:gridSpan w:val="3"/>
          </w:tcPr>
          <w:p>
            <w:pPr>
              <w:jc w:val="right"/>
              <w:ind w:right="160"/>
              <w:spacing w:after="0" w:line="126" w:lineRule="exact"/>
              <w:rPr>
                <w:sz w:val="20"/>
                <w:szCs w:val="20"/>
                <w:color w:val="auto"/>
              </w:rPr>
            </w:pPr>
            <w:r>
              <w:rPr>
                <w:rFonts w:ascii="Arial" w:cs="Arial" w:eastAsia="Arial" w:hAnsi="Arial"/>
                <w:sz w:val="14"/>
                <w:szCs w:val="14"/>
                <w:b w:val="1"/>
                <w:bCs w:val="1"/>
                <w:color w:val="auto"/>
                <w:w w:val="99"/>
              </w:rPr>
              <w:t>Number of</w:t>
            </w:r>
          </w:p>
        </w:tc>
        <w:tc>
          <w:tcPr>
            <w:tcW w:w="80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92"/>
              </w:rPr>
              <w:t>Recorded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0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jc w:val="center"/>
              <w:ind w:left="68"/>
              <w:spacing w:after="0"/>
              <w:rPr>
                <w:sz w:val="20"/>
                <w:szCs w:val="20"/>
                <w:color w:val="auto"/>
              </w:rPr>
            </w:pPr>
            <w:r>
              <w:rPr>
                <w:rFonts w:ascii="Arial" w:cs="Arial" w:eastAsia="Arial" w:hAnsi="Arial"/>
                <w:sz w:val="14"/>
                <w:szCs w:val="14"/>
                <w:b w:val="1"/>
                <w:bCs w:val="1"/>
                <w:color w:val="auto"/>
                <w:w w:val="91"/>
              </w:rPr>
              <w:t>Contracts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120" w:type="dxa"/>
            <w:vAlign w:val="bottom"/>
          </w:tcPr>
          <w:p>
            <w:pPr>
              <w:spacing w:after="0"/>
              <w:rPr>
                <w:sz w:val="15"/>
                <w:szCs w:val="15"/>
                <w:color w:val="auto"/>
              </w:rPr>
            </w:pPr>
          </w:p>
        </w:tc>
        <w:tc>
          <w:tcPr>
            <w:tcW w:w="11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Investment</w:t>
            </w:r>
          </w:p>
        </w:tc>
        <w:tc>
          <w:tcPr>
            <w:tcW w:w="9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Contracts</w:t>
            </w:r>
          </w:p>
        </w:tc>
        <w:tc>
          <w:tcPr>
            <w:tcW w:w="92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7"/>
              </w:rPr>
              <w:t>Investment</w:t>
            </w:r>
          </w:p>
        </w:tc>
        <w:tc>
          <w:tcPr>
            <w:tcW w:w="78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Contracts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tcPr>
          <w:p>
            <w:pPr>
              <w:jc w:val="center"/>
              <w:ind w:right="8"/>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5"/>
                <w:szCs w:val="15"/>
                <w:color w:val="auto"/>
              </w:rPr>
            </w:pPr>
          </w:p>
        </w:tc>
        <w:tc>
          <w:tcPr>
            <w:tcW w:w="11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80" w:type="dxa"/>
            <w:vAlign w:val="bottom"/>
          </w:tcPr>
          <w:p>
            <w:pPr>
              <w:spacing w:after="0"/>
              <w:rPr>
                <w:sz w:val="15"/>
                <w:szCs w:val="15"/>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Contracts</w:t>
            </w: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40" w:type="dxa"/>
            <w:vAlign w:val="bottom"/>
            <w:gridSpan w:val="3"/>
            <w:shd w:val="clear" w:color="auto" w:fill="F0FFFF"/>
          </w:tcPr>
          <w:p>
            <w:pPr>
              <w:spacing w:after="0" w:line="130" w:lineRule="exact"/>
              <w:rPr>
                <w:sz w:val="20"/>
                <w:szCs w:val="20"/>
                <w:color w:val="auto"/>
              </w:rPr>
            </w:pPr>
            <w:r>
              <w:rPr>
                <w:rFonts w:ascii="Arial" w:cs="Arial" w:eastAsia="Arial" w:hAnsi="Arial"/>
                <w:sz w:val="14"/>
                <w:szCs w:val="14"/>
                <w:color w:val="auto"/>
              </w:rPr>
              <w:t>Owner occupied</w:t>
            </w:r>
          </w:p>
        </w:tc>
        <w:tc>
          <w:tcPr>
            <w:tcW w:w="12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3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4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30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4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4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280" w:type="dxa"/>
            <w:vAlign w:val="bottom"/>
            <w:tcBorders>
              <w:righ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80" w:type="dxa"/>
            <w:vAlign w:val="bottom"/>
            <w:tcBorders>
              <w:right w:val="single" w:sz="8" w:color="F0FFFF"/>
            </w:tcBorders>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gridSpan w:val="3"/>
            <w:shd w:val="clear" w:color="auto" w:fill="F0FFFF"/>
          </w:tcPr>
          <w:p>
            <w:pPr>
              <w:ind w:left="140"/>
              <w:spacing w:after="0" w:line="149" w:lineRule="exact"/>
              <w:rPr>
                <w:sz w:val="20"/>
                <w:szCs w:val="20"/>
                <w:color w:val="auto"/>
              </w:rPr>
            </w:pPr>
            <w:r>
              <w:rPr>
                <w:rFonts w:ascii="Arial" w:cs="Arial" w:eastAsia="Arial" w:hAnsi="Arial"/>
                <w:sz w:val="14"/>
                <w:szCs w:val="14"/>
                <w:color w:val="auto"/>
                <w:w w:val="99"/>
              </w:rPr>
              <w:t>commercial real</w:t>
            </w:r>
          </w:p>
        </w:tc>
        <w:tc>
          <w:tcPr>
            <w:tcW w:w="12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28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80" w:type="dxa"/>
            <w:vAlign w:val="bottom"/>
            <w:tcBorders>
              <w:right w:val="single" w:sz="8" w:color="F0FFFF"/>
            </w:tcBorders>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gridSpan w:val="3"/>
            <w:shd w:val="clear" w:color="auto" w:fill="F0FFFF"/>
          </w:tcPr>
          <w:p>
            <w:pPr>
              <w:ind w:left="140"/>
              <w:spacing w:after="0"/>
              <w:rPr>
                <w:sz w:val="20"/>
                <w:szCs w:val="20"/>
                <w:color w:val="auto"/>
              </w:rPr>
            </w:pPr>
            <w:r>
              <w:rPr>
                <w:rFonts w:ascii="Arial" w:cs="Arial" w:eastAsia="Arial" w:hAnsi="Arial"/>
                <w:sz w:val="14"/>
                <w:szCs w:val="14"/>
                <w:color w:val="auto"/>
              </w:rPr>
              <w:t>estate</w:t>
            </w:r>
          </w:p>
        </w:tc>
        <w:tc>
          <w:tcPr>
            <w:tcW w:w="120" w:type="dxa"/>
            <w:vAlign w:val="bottom"/>
            <w:shd w:val="clear" w:color="auto" w:fill="F0FFFF"/>
          </w:tcPr>
          <w:p>
            <w:pPr>
              <w:spacing w:after="0"/>
              <w:rPr>
                <w:sz w:val="14"/>
                <w:szCs w:val="14"/>
                <w:color w:val="auto"/>
              </w:rPr>
            </w:pPr>
          </w:p>
        </w:tc>
        <w:tc>
          <w:tcPr>
            <w:tcW w:w="6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28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6</w:t>
            </w:r>
          </w:p>
        </w:tc>
        <w:tc>
          <w:tcPr>
            <w:tcW w:w="620" w:type="dxa"/>
            <w:vAlign w:val="bottom"/>
            <w:shd w:val="clear" w:color="auto" w:fill="F0FFFF"/>
          </w:tcPr>
          <w:p>
            <w:pPr>
              <w:jc w:val="right"/>
              <w:ind w:right="491"/>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F0FFFF"/>
          </w:tcPr>
          <w:p>
            <w:pPr>
              <w:spacing w:after="0"/>
              <w:rPr>
                <w:sz w:val="14"/>
                <w:szCs w:val="14"/>
                <w:color w:val="auto"/>
              </w:rPr>
            </w:pPr>
          </w:p>
        </w:tc>
        <w:tc>
          <w:tcPr>
            <w:tcW w:w="40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8,040</w:t>
            </w:r>
          </w:p>
        </w:tc>
        <w:tc>
          <w:tcPr>
            <w:tcW w:w="660" w:type="dxa"/>
            <w:vAlign w:val="bottom"/>
            <w:gridSpan w:val="2"/>
            <w:shd w:val="clear" w:color="auto" w:fill="F0FFFF"/>
          </w:tcPr>
          <w:p>
            <w:pPr>
              <w:jc w:val="center"/>
              <w:ind w:right="288"/>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F0FFFF"/>
          </w:tcPr>
          <w:p>
            <w:pPr>
              <w:spacing w:after="0"/>
              <w:rPr>
                <w:sz w:val="14"/>
                <w:szCs w:val="14"/>
                <w:color w:val="auto"/>
              </w:rPr>
            </w:pPr>
          </w:p>
        </w:tc>
        <w:tc>
          <w:tcPr>
            <w:tcW w:w="54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7,996</w:t>
            </w:r>
          </w:p>
        </w:tc>
        <w:tc>
          <w:tcPr>
            <w:tcW w:w="420" w:type="dxa"/>
            <w:vAlign w:val="bottom"/>
            <w:shd w:val="clear" w:color="auto" w:fill="F0FFFF"/>
          </w:tcPr>
          <w:p>
            <w:pPr>
              <w:spacing w:after="0"/>
              <w:rPr>
                <w:sz w:val="14"/>
                <w:szCs w:val="14"/>
                <w:color w:val="auto"/>
              </w:rPr>
            </w:pPr>
          </w:p>
        </w:tc>
        <w:tc>
          <w:tcPr>
            <w:tcW w:w="500" w:type="dxa"/>
            <w:vAlign w:val="bottom"/>
            <w:tcBorders>
              <w:right w:val="single" w:sz="8" w:color="F0FFFF"/>
            </w:tcBorders>
            <w:gridSpan w:val="3"/>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shd w:val="clear" w:color="auto" w:fill="F0FFFF"/>
          </w:tcPr>
          <w:p>
            <w:pPr>
              <w:jc w:val="right"/>
              <w:ind w:right="308"/>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4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8</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F0FFFF"/>
          </w:tcPr>
          <w:p>
            <w:pPr>
              <w:jc w:val="right"/>
              <w:spacing w:after="0"/>
              <w:rPr>
                <w:sz w:val="20"/>
                <w:szCs w:val="20"/>
                <w:color w:val="auto"/>
              </w:rPr>
            </w:pPr>
            <w:r>
              <w:rPr>
                <w:rFonts w:ascii="Arial" w:cs="Arial" w:eastAsia="Arial" w:hAnsi="Arial"/>
                <w:sz w:val="14"/>
                <w:szCs w:val="14"/>
                <w:color w:val="auto"/>
              </w:rPr>
              <w:t>12,537</w:t>
            </w:r>
          </w:p>
        </w:tc>
        <w:tc>
          <w:tcPr>
            <w:tcW w:w="840" w:type="dxa"/>
            <w:vAlign w:val="bottom"/>
            <w:gridSpan w:val="2"/>
            <w:shd w:val="clear" w:color="auto" w:fill="F0FFFF"/>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tcBorders>
              <w:right w:val="single" w:sz="8" w:color="F0FFFF"/>
            </w:tcBorders>
            <w:gridSpan w:val="3"/>
            <w:shd w:val="clear" w:color="auto" w:fill="F0FFFF"/>
          </w:tcPr>
          <w:p>
            <w:pPr>
              <w:jc w:val="right"/>
              <w:spacing w:after="0"/>
              <w:rPr>
                <w:sz w:val="20"/>
                <w:szCs w:val="20"/>
                <w:color w:val="auto"/>
              </w:rPr>
            </w:pPr>
            <w:r>
              <w:rPr>
                <w:rFonts w:ascii="Arial" w:cs="Arial" w:eastAsia="Arial" w:hAnsi="Arial"/>
                <w:sz w:val="14"/>
                <w:szCs w:val="14"/>
                <w:color w:val="auto"/>
                <w:w w:val="88"/>
              </w:rPr>
              <w:t>12,493</w:t>
            </w:r>
          </w:p>
        </w:tc>
        <w:tc>
          <w:tcPr>
            <w:tcW w:w="960" w:type="dxa"/>
            <w:vAlign w:val="bottom"/>
            <w:tcBorders>
              <w:right w:val="single" w:sz="8" w:color="F0FFFF"/>
            </w:tcBorders>
            <w:gridSpan w:val="4"/>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shd w:val="clear" w:color="auto" w:fill="F0FFFF"/>
          </w:tcPr>
          <w:p>
            <w:pPr>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40" w:type="dxa"/>
            <w:vAlign w:val="bottom"/>
            <w:gridSpan w:val="3"/>
          </w:tcPr>
          <w:p>
            <w:pPr>
              <w:spacing w:after="0" w:line="130" w:lineRule="exact"/>
              <w:rPr>
                <w:sz w:val="20"/>
                <w:szCs w:val="20"/>
                <w:color w:val="auto"/>
              </w:rPr>
            </w:pPr>
            <w:r>
              <w:rPr>
                <w:rFonts w:ascii="Arial" w:cs="Arial" w:eastAsia="Arial" w:hAnsi="Arial"/>
                <w:sz w:val="14"/>
                <w:szCs w:val="14"/>
                <w:color w:val="auto"/>
              </w:rPr>
              <w:t>Income producing</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gridSpan w:val="3"/>
          </w:tcPr>
          <w:p>
            <w:pPr>
              <w:ind w:left="140"/>
              <w:spacing w:after="0" w:line="149" w:lineRule="exact"/>
              <w:rPr>
                <w:sz w:val="20"/>
                <w:szCs w:val="20"/>
                <w:color w:val="auto"/>
              </w:rPr>
            </w:pPr>
            <w:r>
              <w:rPr>
                <w:rFonts w:ascii="Arial" w:cs="Arial" w:eastAsia="Arial" w:hAnsi="Arial"/>
                <w:sz w:val="14"/>
                <w:szCs w:val="14"/>
                <w:color w:val="auto"/>
                <w:w w:val="99"/>
              </w:rPr>
              <w:t>commercial real</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gridSpan w:val="3"/>
          </w:tcPr>
          <w:p>
            <w:pPr>
              <w:ind w:left="140"/>
              <w:spacing w:after="0"/>
              <w:rPr>
                <w:sz w:val="20"/>
                <w:szCs w:val="20"/>
                <w:color w:val="auto"/>
              </w:rPr>
            </w:pPr>
            <w:r>
              <w:rPr>
                <w:rFonts w:ascii="Arial" w:cs="Arial" w:eastAsia="Arial" w:hAnsi="Arial"/>
                <w:sz w:val="14"/>
                <w:szCs w:val="14"/>
                <w:color w:val="auto"/>
              </w:rPr>
              <w:t>estate</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rPr>
              <w:t>1</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54</w:t>
            </w:r>
          </w:p>
        </w:tc>
        <w:tc>
          <w:tcPr>
            <w:tcW w:w="420" w:type="dxa"/>
            <w:vAlign w:val="bottom"/>
          </w:tcPr>
          <w:p>
            <w:pPr>
              <w:spacing w:after="0"/>
              <w:rPr>
                <w:sz w:val="14"/>
                <w:szCs w:val="14"/>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w w:val="76"/>
              </w:rPr>
              <w:t>310</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color w:val="auto"/>
              </w:rPr>
              <w:t>310</w:t>
            </w:r>
          </w:p>
        </w:tc>
        <w:tc>
          <w:tcPr>
            <w:tcW w:w="960" w:type="dxa"/>
            <w:vAlign w:val="bottom"/>
            <w:gridSpan w:val="4"/>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40" w:type="dxa"/>
            <w:vAlign w:val="bottom"/>
            <w:gridSpan w:val="3"/>
            <w:shd w:val="clear" w:color="auto" w:fill="F0FFFF"/>
          </w:tcPr>
          <w:p>
            <w:pPr>
              <w:spacing w:after="0" w:line="130" w:lineRule="exact"/>
              <w:rPr>
                <w:sz w:val="20"/>
                <w:szCs w:val="20"/>
                <w:color w:val="auto"/>
              </w:rPr>
            </w:pPr>
            <w:r>
              <w:rPr>
                <w:rFonts w:ascii="Arial" w:cs="Arial" w:eastAsia="Arial" w:hAnsi="Arial"/>
                <w:sz w:val="14"/>
                <w:szCs w:val="14"/>
                <w:color w:val="auto"/>
              </w:rPr>
              <w:t>Commercial &amp;</w:t>
            </w:r>
          </w:p>
        </w:tc>
        <w:tc>
          <w:tcPr>
            <w:tcW w:w="12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3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4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30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4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4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280" w:type="dxa"/>
            <w:vAlign w:val="bottom"/>
            <w:tcBorders>
              <w:righ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80" w:type="dxa"/>
            <w:vAlign w:val="bottom"/>
            <w:tcBorders>
              <w:right w:val="single" w:sz="8" w:color="F0FFFF"/>
            </w:tcBorders>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gridSpan w:val="3"/>
            <w:shd w:val="clear" w:color="auto" w:fill="F0FFFF"/>
          </w:tcPr>
          <w:p>
            <w:pPr>
              <w:ind w:left="140"/>
              <w:spacing w:after="0"/>
              <w:rPr>
                <w:sz w:val="20"/>
                <w:szCs w:val="20"/>
                <w:color w:val="auto"/>
              </w:rPr>
            </w:pPr>
            <w:r>
              <w:rPr>
                <w:rFonts w:ascii="Arial" w:cs="Arial" w:eastAsia="Arial" w:hAnsi="Arial"/>
                <w:sz w:val="14"/>
                <w:szCs w:val="14"/>
                <w:color w:val="auto"/>
              </w:rPr>
              <w:t>industrial</w:t>
            </w:r>
          </w:p>
        </w:tc>
        <w:tc>
          <w:tcPr>
            <w:tcW w:w="120" w:type="dxa"/>
            <w:vAlign w:val="bottom"/>
            <w:shd w:val="clear" w:color="auto" w:fill="F0FFFF"/>
          </w:tcPr>
          <w:p>
            <w:pPr>
              <w:spacing w:after="0"/>
              <w:rPr>
                <w:sz w:val="14"/>
                <w:szCs w:val="14"/>
                <w:color w:val="auto"/>
              </w:rPr>
            </w:pPr>
          </w:p>
        </w:tc>
        <w:tc>
          <w:tcPr>
            <w:tcW w:w="6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28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4</w:t>
            </w:r>
          </w:p>
        </w:tc>
        <w:tc>
          <w:tcPr>
            <w:tcW w:w="620" w:type="dxa"/>
            <w:vAlign w:val="bottom"/>
            <w:shd w:val="clear" w:color="auto" w:fill="F0FFFF"/>
          </w:tcPr>
          <w:p>
            <w:pPr>
              <w:spacing w:after="0"/>
              <w:rPr>
                <w:sz w:val="14"/>
                <w:szCs w:val="14"/>
                <w:color w:val="auto"/>
              </w:rPr>
            </w:pPr>
          </w:p>
        </w:tc>
        <w:tc>
          <w:tcPr>
            <w:tcW w:w="20" w:type="dxa"/>
            <w:vAlign w:val="bottom"/>
            <w:shd w:val="clear" w:color="auto" w:fill="F0FFFF"/>
          </w:tcPr>
          <w:p>
            <w:pPr>
              <w:spacing w:after="0"/>
              <w:rPr>
                <w:sz w:val="14"/>
                <w:szCs w:val="14"/>
                <w:color w:val="auto"/>
              </w:rPr>
            </w:pPr>
          </w:p>
        </w:tc>
        <w:tc>
          <w:tcPr>
            <w:tcW w:w="40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992</w:t>
            </w:r>
          </w:p>
        </w:tc>
        <w:tc>
          <w:tcPr>
            <w:tcW w:w="12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54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992</w:t>
            </w:r>
          </w:p>
        </w:tc>
        <w:tc>
          <w:tcPr>
            <w:tcW w:w="420" w:type="dxa"/>
            <w:vAlign w:val="bottom"/>
            <w:shd w:val="clear" w:color="auto" w:fill="F0FFFF"/>
          </w:tcPr>
          <w:p>
            <w:pPr>
              <w:spacing w:after="0"/>
              <w:rPr>
                <w:sz w:val="14"/>
                <w:szCs w:val="14"/>
                <w:color w:val="auto"/>
              </w:rPr>
            </w:pPr>
          </w:p>
        </w:tc>
        <w:tc>
          <w:tcPr>
            <w:tcW w:w="500" w:type="dxa"/>
            <w:vAlign w:val="bottom"/>
            <w:tcBorders>
              <w:right w:val="single" w:sz="8" w:color="F0FFFF"/>
            </w:tcBorders>
            <w:gridSpan w:val="3"/>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4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800" w:type="dxa"/>
            <w:vAlign w:val="bottom"/>
            <w:gridSpan w:val="3"/>
            <w:shd w:val="clear" w:color="auto" w:fill="F0FFFF"/>
          </w:tcPr>
          <w:p>
            <w:pPr>
              <w:jc w:val="right"/>
              <w:spacing w:after="0"/>
              <w:rPr>
                <w:sz w:val="20"/>
                <w:szCs w:val="20"/>
                <w:color w:val="auto"/>
              </w:rPr>
            </w:pPr>
            <w:r>
              <w:rPr>
                <w:rFonts w:ascii="Arial" w:cs="Arial" w:eastAsia="Arial" w:hAnsi="Arial"/>
                <w:sz w:val="14"/>
                <w:szCs w:val="14"/>
                <w:color w:val="auto"/>
              </w:rPr>
              <w:t>1,180</w:t>
            </w:r>
          </w:p>
        </w:tc>
        <w:tc>
          <w:tcPr>
            <w:tcW w:w="120" w:type="dxa"/>
            <w:vAlign w:val="bottom"/>
            <w:shd w:val="clear" w:color="auto" w:fill="F0FFFF"/>
          </w:tcPr>
          <w:p>
            <w:pPr>
              <w:spacing w:after="0"/>
              <w:rPr>
                <w:sz w:val="14"/>
                <w:szCs w:val="14"/>
                <w:color w:val="auto"/>
              </w:rPr>
            </w:pPr>
          </w:p>
        </w:tc>
        <w:tc>
          <w:tcPr>
            <w:tcW w:w="720" w:type="dxa"/>
            <w:vAlign w:val="bottom"/>
            <w:shd w:val="clear" w:color="auto" w:fill="F0FFFF"/>
          </w:tcPr>
          <w:p>
            <w:pPr>
              <w:spacing w:after="0"/>
              <w:rPr>
                <w:sz w:val="14"/>
                <w:szCs w:val="14"/>
                <w:color w:val="auto"/>
              </w:rPr>
            </w:pPr>
          </w:p>
        </w:tc>
        <w:tc>
          <w:tcPr>
            <w:tcW w:w="440" w:type="dxa"/>
            <w:vAlign w:val="bottom"/>
            <w:tcBorders>
              <w:right w:val="single" w:sz="8" w:color="F0FFFF"/>
            </w:tcBorders>
            <w:gridSpan w:val="3"/>
            <w:shd w:val="clear" w:color="auto" w:fill="F0FFFF"/>
          </w:tcPr>
          <w:p>
            <w:pPr>
              <w:jc w:val="right"/>
              <w:spacing w:after="0"/>
              <w:rPr>
                <w:sz w:val="20"/>
                <w:szCs w:val="20"/>
                <w:color w:val="auto"/>
              </w:rPr>
            </w:pPr>
            <w:r>
              <w:rPr>
                <w:rFonts w:ascii="Arial" w:cs="Arial" w:eastAsia="Arial" w:hAnsi="Arial"/>
                <w:sz w:val="14"/>
                <w:szCs w:val="14"/>
                <w:color w:val="auto"/>
              </w:rPr>
              <w:t>1,180</w:t>
            </w:r>
          </w:p>
        </w:tc>
        <w:tc>
          <w:tcPr>
            <w:tcW w:w="960" w:type="dxa"/>
            <w:vAlign w:val="bottom"/>
            <w:tcBorders>
              <w:right w:val="single" w:sz="8" w:color="F0FFFF"/>
            </w:tcBorders>
            <w:gridSpan w:val="4"/>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shd w:val="clear" w:color="auto" w:fill="F0FFFF"/>
          </w:tcPr>
          <w:p>
            <w:pPr>
              <w:spacing w:after="0"/>
              <w:rPr>
                <w:sz w:val="14"/>
                <w:szCs w:val="14"/>
                <w:color w:val="auto"/>
              </w:rPr>
            </w:pPr>
          </w:p>
        </w:tc>
        <w:tc>
          <w:tcPr>
            <w:tcW w:w="3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40" w:type="dxa"/>
            <w:vAlign w:val="bottom"/>
            <w:gridSpan w:val="3"/>
          </w:tcPr>
          <w:p>
            <w:pPr>
              <w:spacing w:after="0" w:line="130" w:lineRule="exact"/>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1</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14"/>
                <w:szCs w:val="14"/>
                <w:color w:val="auto"/>
              </w:rPr>
              <w:t>233</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233</w:t>
            </w:r>
          </w:p>
        </w:tc>
        <w:tc>
          <w:tcPr>
            <w:tcW w:w="420" w:type="dxa"/>
            <w:vAlign w:val="bottom"/>
          </w:tcPr>
          <w:p>
            <w:pPr>
              <w:spacing w:after="0"/>
              <w:rPr>
                <w:sz w:val="11"/>
                <w:szCs w:val="11"/>
                <w:color w:val="auto"/>
              </w:rPr>
            </w:pPr>
          </w:p>
        </w:tc>
        <w:tc>
          <w:tcPr>
            <w:tcW w:w="50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w w:val="76"/>
              </w:rPr>
              <w:t>233</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gridSpan w:val="3"/>
            <w:vMerge w:val="restart"/>
          </w:tcPr>
          <w:p>
            <w:pPr>
              <w:jc w:val="right"/>
              <w:spacing w:after="0"/>
              <w:rPr>
                <w:sz w:val="20"/>
                <w:szCs w:val="20"/>
                <w:color w:val="auto"/>
              </w:rPr>
            </w:pPr>
            <w:r>
              <w:rPr>
                <w:rFonts w:ascii="Arial" w:cs="Arial" w:eastAsia="Arial" w:hAnsi="Arial"/>
                <w:sz w:val="14"/>
                <w:szCs w:val="14"/>
                <w:color w:val="auto"/>
              </w:rPr>
              <w:t>233</w:t>
            </w:r>
          </w:p>
        </w:tc>
        <w:tc>
          <w:tcPr>
            <w:tcW w:w="960" w:type="dxa"/>
            <w:vAlign w:val="bottom"/>
            <w:gridSpan w:val="4"/>
            <w:vMerge w:val="restart"/>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1"/>
                <w:szCs w:val="11"/>
                <w:color w:val="auto"/>
              </w:rPr>
            </w:pPr>
          </w:p>
        </w:tc>
        <w:tc>
          <w:tcPr>
            <w:tcW w:w="3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140" w:type="dxa"/>
            <w:vAlign w:val="bottom"/>
            <w:gridSpan w:val="3"/>
          </w:tcPr>
          <w:p>
            <w:pPr>
              <w:ind w:left="140"/>
              <w:spacing w:after="0" w:line="154" w:lineRule="exact"/>
              <w:rPr>
                <w:sz w:val="20"/>
                <w:szCs w:val="20"/>
                <w:color w:val="auto"/>
              </w:rPr>
            </w:pPr>
            <w:r>
              <w:rPr>
                <w:rFonts w:ascii="Arial" w:cs="Arial" w:eastAsia="Arial" w:hAnsi="Arial"/>
                <w:sz w:val="14"/>
                <w:szCs w:val="14"/>
                <w:color w:val="auto"/>
              </w:rPr>
              <w:t>construction</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gridSpan w:val="3"/>
            <w:vMerge w:val="continue"/>
          </w:tcPr>
          <w:p>
            <w:pPr>
              <w:spacing w:after="0"/>
              <w:rPr>
                <w:sz w:val="13"/>
                <w:szCs w:val="13"/>
                <w:color w:val="auto"/>
              </w:rPr>
            </w:pPr>
          </w:p>
        </w:tc>
        <w:tc>
          <w:tcPr>
            <w:tcW w:w="960" w:type="dxa"/>
            <w:vAlign w:val="bottom"/>
            <w:gridSpan w:val="4"/>
            <w:vMerge w:val="continue"/>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top w:val="single" w:sz="8" w:color="F0FFFF"/>
            </w:tcBorders>
            <w:gridSpan w:val="3"/>
            <w:shd w:val="clear" w:color="auto" w:fill="F0FFFF"/>
          </w:tcPr>
          <w:p>
            <w:pPr>
              <w:ind w:left="20"/>
              <w:spacing w:after="0" w:line="149" w:lineRule="exact"/>
              <w:rPr>
                <w:sz w:val="20"/>
                <w:szCs w:val="20"/>
                <w:color w:val="auto"/>
              </w:rPr>
            </w:pPr>
            <w:r>
              <w:rPr>
                <w:rFonts w:ascii="Arial" w:cs="Arial" w:eastAsia="Arial" w:hAnsi="Arial"/>
                <w:sz w:val="14"/>
                <w:szCs w:val="14"/>
                <w:color w:val="auto"/>
              </w:rPr>
              <w:t>Total commercial</w:t>
            </w:r>
          </w:p>
        </w:tc>
        <w:tc>
          <w:tcPr>
            <w:tcW w:w="120" w:type="dxa"/>
            <w:vAlign w:val="bottom"/>
            <w:tcBorders>
              <w:top w:val="single" w:sz="8" w:color="F0FFFF"/>
            </w:tcBorders>
            <w:shd w:val="clear" w:color="auto" w:fill="F0FFFF"/>
          </w:tcPr>
          <w:p>
            <w:pPr>
              <w:spacing w:after="0"/>
              <w:rPr>
                <w:sz w:val="12"/>
                <w:szCs w:val="12"/>
                <w:color w:val="auto"/>
              </w:rPr>
            </w:pPr>
          </w:p>
        </w:tc>
        <w:tc>
          <w:tcPr>
            <w:tcW w:w="620" w:type="dxa"/>
            <w:vAlign w:val="bottom"/>
            <w:tcBorders>
              <w:top w:val="single" w:sz="8" w:color="auto"/>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0" w:type="dxa"/>
            <w:vAlign w:val="bottom"/>
            <w:tcBorders>
              <w:top w:val="single" w:sz="8" w:color="auto"/>
            </w:tcBorders>
            <w:shd w:val="clear" w:color="auto" w:fill="F0FFFF"/>
          </w:tcPr>
          <w:p>
            <w:pPr>
              <w:spacing w:after="0"/>
              <w:rPr>
                <w:sz w:val="12"/>
                <w:szCs w:val="12"/>
                <w:color w:val="auto"/>
              </w:rPr>
            </w:pPr>
          </w:p>
        </w:tc>
        <w:tc>
          <w:tcPr>
            <w:tcW w:w="14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12</w:t>
            </w:r>
          </w:p>
        </w:tc>
        <w:tc>
          <w:tcPr>
            <w:tcW w:w="140" w:type="dxa"/>
            <w:vAlign w:val="bottom"/>
            <w:tcBorders>
              <w:top w:val="single" w:sz="8" w:color="F0FFFF"/>
            </w:tcBorders>
            <w:shd w:val="clear" w:color="auto" w:fill="F0FFFF"/>
          </w:tcPr>
          <w:p>
            <w:pPr>
              <w:spacing w:after="0"/>
              <w:rPr>
                <w:sz w:val="12"/>
                <w:szCs w:val="12"/>
                <w:color w:val="auto"/>
              </w:rPr>
            </w:pPr>
          </w:p>
        </w:tc>
        <w:tc>
          <w:tcPr>
            <w:tcW w:w="620" w:type="dxa"/>
            <w:vAlign w:val="bottom"/>
            <w:tcBorders>
              <w:top w:val="single" w:sz="8" w:color="auto"/>
            </w:tcBorders>
            <w:shd w:val="clear" w:color="auto" w:fill="F0FFFF"/>
          </w:tcPr>
          <w:p>
            <w:pPr>
              <w:spacing w:after="0"/>
              <w:rPr>
                <w:sz w:val="12"/>
                <w:szCs w:val="12"/>
                <w:color w:val="auto"/>
              </w:rPr>
            </w:pPr>
          </w:p>
        </w:tc>
        <w:tc>
          <w:tcPr>
            <w:tcW w:w="20" w:type="dxa"/>
            <w:vAlign w:val="bottom"/>
            <w:tcBorders>
              <w:top w:val="single" w:sz="8" w:color="auto"/>
            </w:tcBorders>
            <w:shd w:val="clear" w:color="auto" w:fill="F0FFFF"/>
          </w:tcPr>
          <w:p>
            <w:pPr>
              <w:spacing w:after="0"/>
              <w:rPr>
                <w:sz w:val="12"/>
                <w:szCs w:val="12"/>
                <w:color w:val="auto"/>
              </w:rPr>
            </w:pPr>
          </w:p>
        </w:tc>
        <w:tc>
          <w:tcPr>
            <w:tcW w:w="400" w:type="dxa"/>
            <w:vAlign w:val="bottom"/>
            <w:tcBorders>
              <w:top w:val="single" w:sz="8" w:color="auto"/>
            </w:tcBorders>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9,320</w:t>
            </w:r>
          </w:p>
        </w:tc>
        <w:tc>
          <w:tcPr>
            <w:tcW w:w="120" w:type="dxa"/>
            <w:vAlign w:val="bottom"/>
            <w:tcBorders>
              <w:top w:val="single" w:sz="8" w:color="F0FFFF"/>
            </w:tcBorders>
            <w:shd w:val="clear" w:color="auto" w:fill="F0FFFF"/>
          </w:tcPr>
          <w:p>
            <w:pPr>
              <w:spacing w:after="0"/>
              <w:rPr>
                <w:sz w:val="12"/>
                <w:szCs w:val="12"/>
                <w:color w:val="auto"/>
              </w:rPr>
            </w:pPr>
          </w:p>
        </w:tc>
        <w:tc>
          <w:tcPr>
            <w:tcW w:w="540" w:type="dxa"/>
            <w:vAlign w:val="bottom"/>
            <w:tcBorders>
              <w:top w:val="single" w:sz="8" w:color="auto"/>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42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9,275</w:t>
            </w:r>
          </w:p>
        </w:tc>
        <w:tc>
          <w:tcPr>
            <w:tcW w:w="120" w:type="dxa"/>
            <w:vAlign w:val="bottom"/>
            <w:tcBorders>
              <w:top w:val="single" w:sz="8" w:color="F0FFFF"/>
            </w:tcBorders>
            <w:shd w:val="clear" w:color="auto" w:fill="F0FFFF"/>
          </w:tcPr>
          <w:p>
            <w:pPr>
              <w:spacing w:after="0"/>
              <w:rPr>
                <w:sz w:val="12"/>
                <w:szCs w:val="12"/>
                <w:color w:val="auto"/>
              </w:rPr>
            </w:pPr>
          </w:p>
        </w:tc>
        <w:tc>
          <w:tcPr>
            <w:tcW w:w="420" w:type="dxa"/>
            <w:vAlign w:val="bottom"/>
            <w:tcBorders>
              <w:top w:val="single" w:sz="8" w:color="auto"/>
            </w:tcBorders>
            <w:shd w:val="clear" w:color="auto" w:fill="F0FFFF"/>
          </w:tcPr>
          <w:p>
            <w:pPr>
              <w:spacing w:after="0"/>
              <w:rPr>
                <w:sz w:val="12"/>
                <w:szCs w:val="12"/>
                <w:color w:val="auto"/>
              </w:rPr>
            </w:pPr>
          </w:p>
        </w:tc>
        <w:tc>
          <w:tcPr>
            <w:tcW w:w="380" w:type="dxa"/>
            <w:vAlign w:val="bottom"/>
            <w:tcBorders>
              <w:top w:val="single" w:sz="8" w:color="auto"/>
            </w:tcBorders>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F0FFFF"/>
              <w:right w:val="single" w:sz="8" w:color="F0FFFF"/>
            </w:tcBorders>
            <w:shd w:val="clear" w:color="auto" w:fill="F0FFFF"/>
          </w:tcPr>
          <w:p>
            <w:pPr>
              <w:spacing w:after="0"/>
              <w:rPr>
                <w:sz w:val="12"/>
                <w:szCs w:val="12"/>
                <w:color w:val="auto"/>
              </w:rPr>
            </w:pPr>
          </w:p>
        </w:tc>
        <w:tc>
          <w:tcPr>
            <w:tcW w:w="460" w:type="dxa"/>
            <w:vAlign w:val="bottom"/>
            <w:tcBorders>
              <w:top w:val="single" w:sz="8" w:color="auto"/>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60" w:type="dxa"/>
            <w:vAlign w:val="bottom"/>
            <w:tcBorders>
              <w:top w:val="single" w:sz="8" w:color="auto"/>
            </w:tcBorders>
            <w:shd w:val="clear" w:color="auto" w:fill="F0FFFF"/>
          </w:tcPr>
          <w:p>
            <w:pPr>
              <w:spacing w:after="0"/>
              <w:rPr>
                <w:sz w:val="12"/>
                <w:szCs w:val="12"/>
                <w:color w:val="auto"/>
              </w:rPr>
            </w:pPr>
          </w:p>
        </w:tc>
        <w:tc>
          <w:tcPr>
            <w:tcW w:w="20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F0FFFF"/>
            </w:tcBorders>
            <w:shd w:val="clear" w:color="auto" w:fill="F0FFFF"/>
          </w:tcPr>
          <w:p>
            <w:pPr>
              <w:spacing w:after="0"/>
              <w:rPr>
                <w:sz w:val="12"/>
                <w:szCs w:val="12"/>
                <w:color w:val="auto"/>
              </w:rPr>
            </w:pPr>
          </w:p>
        </w:tc>
        <w:tc>
          <w:tcPr>
            <w:tcW w:w="480" w:type="dxa"/>
            <w:vAlign w:val="bottom"/>
            <w:tcBorders>
              <w:top w:val="single" w:sz="8" w:color="auto"/>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20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18</w:t>
            </w:r>
          </w:p>
        </w:tc>
        <w:tc>
          <w:tcPr>
            <w:tcW w:w="10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800" w:type="dxa"/>
            <w:vAlign w:val="bottom"/>
            <w:tcBorders>
              <w:top w:val="single" w:sz="8" w:color="auto"/>
            </w:tcBorders>
            <w:gridSpan w:val="3"/>
            <w:shd w:val="clear" w:color="auto" w:fill="F0FFFF"/>
          </w:tcPr>
          <w:p>
            <w:pPr>
              <w:jc w:val="right"/>
              <w:spacing w:after="0" w:line="149" w:lineRule="exact"/>
              <w:rPr>
                <w:sz w:val="20"/>
                <w:szCs w:val="20"/>
                <w:color w:val="auto"/>
              </w:rPr>
            </w:pPr>
            <w:r>
              <w:rPr>
                <w:rFonts w:ascii="Arial" w:cs="Arial" w:eastAsia="Arial" w:hAnsi="Arial"/>
                <w:sz w:val="14"/>
                <w:szCs w:val="14"/>
                <w:color w:val="auto"/>
              </w:rPr>
              <w:t>14,260</w:t>
            </w:r>
          </w:p>
        </w:tc>
        <w:tc>
          <w:tcPr>
            <w:tcW w:w="120" w:type="dxa"/>
            <w:vAlign w:val="bottom"/>
            <w:tcBorders>
              <w:top w:val="single" w:sz="8" w:color="F0FFFF"/>
            </w:tcBorders>
            <w:shd w:val="clear" w:color="auto" w:fill="F0FFFF"/>
          </w:tcPr>
          <w:p>
            <w:pPr>
              <w:spacing w:after="0"/>
              <w:rPr>
                <w:sz w:val="12"/>
                <w:szCs w:val="12"/>
                <w:color w:val="auto"/>
              </w:rPr>
            </w:pPr>
          </w:p>
        </w:tc>
        <w:tc>
          <w:tcPr>
            <w:tcW w:w="720" w:type="dxa"/>
            <w:vAlign w:val="bottom"/>
            <w:tcBorders>
              <w:top w:val="single" w:sz="8" w:color="auto"/>
            </w:tcBorders>
            <w:shd w:val="clear" w:color="auto" w:fill="F0FFFF"/>
          </w:tcPr>
          <w:p>
            <w:pPr>
              <w:spacing w:after="0"/>
              <w:rPr>
                <w:sz w:val="12"/>
                <w:szCs w:val="12"/>
                <w:color w:val="auto"/>
              </w:rPr>
            </w:pPr>
          </w:p>
        </w:tc>
        <w:tc>
          <w:tcPr>
            <w:tcW w:w="440" w:type="dxa"/>
            <w:vAlign w:val="bottom"/>
            <w:tcBorders>
              <w:top w:val="single" w:sz="8" w:color="auto"/>
              <w:right w:val="single" w:sz="8" w:color="F0FFFF"/>
            </w:tcBorders>
            <w:gridSpan w:val="3"/>
            <w:shd w:val="clear" w:color="auto" w:fill="F0FFFF"/>
          </w:tcPr>
          <w:p>
            <w:pPr>
              <w:jc w:val="right"/>
              <w:spacing w:after="0" w:line="149" w:lineRule="exact"/>
              <w:rPr>
                <w:sz w:val="20"/>
                <w:szCs w:val="20"/>
                <w:color w:val="auto"/>
              </w:rPr>
            </w:pPr>
            <w:r>
              <w:rPr>
                <w:rFonts w:ascii="Arial" w:cs="Arial" w:eastAsia="Arial" w:hAnsi="Arial"/>
                <w:sz w:val="14"/>
                <w:szCs w:val="14"/>
                <w:color w:val="auto"/>
                <w:w w:val="88"/>
              </w:rPr>
              <w:t>14,216</w:t>
            </w:r>
          </w:p>
        </w:tc>
        <w:tc>
          <w:tcPr>
            <w:tcW w:w="80" w:type="dxa"/>
            <w:vAlign w:val="bottom"/>
            <w:tcBorders>
              <w:top w:val="single" w:sz="8" w:color="F0FFFF"/>
            </w:tcBorders>
            <w:shd w:val="clear" w:color="auto" w:fill="F0FFFF"/>
          </w:tcPr>
          <w:p>
            <w:pPr>
              <w:spacing w:after="0"/>
              <w:rPr>
                <w:sz w:val="12"/>
                <w:szCs w:val="12"/>
                <w:color w:val="auto"/>
              </w:rPr>
            </w:pPr>
          </w:p>
        </w:tc>
        <w:tc>
          <w:tcPr>
            <w:tcW w:w="880" w:type="dxa"/>
            <w:vAlign w:val="bottom"/>
            <w:tcBorders>
              <w:top w:val="single" w:sz="8" w:color="auto"/>
              <w:right w:val="single" w:sz="8" w:color="F0FFFF"/>
            </w:tcBorders>
            <w:gridSpan w:val="3"/>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F0FFFF"/>
          </w:tcPr>
          <w:p>
            <w:pPr>
              <w:spacing w:after="0"/>
              <w:rPr>
                <w:sz w:val="12"/>
                <w:szCs w:val="12"/>
                <w:color w:val="auto"/>
              </w:rPr>
            </w:pPr>
          </w:p>
        </w:tc>
        <w:tc>
          <w:tcPr>
            <w:tcW w:w="24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40" w:type="dxa"/>
            <w:vAlign w:val="bottom"/>
            <w:gridSpan w:val="3"/>
          </w:tcPr>
          <w:p>
            <w:pPr>
              <w:spacing w:after="0" w:line="130" w:lineRule="exact"/>
              <w:rPr>
                <w:sz w:val="20"/>
                <w:szCs w:val="20"/>
                <w:color w:val="auto"/>
              </w:rPr>
            </w:pPr>
            <w:r>
              <w:rPr>
                <w:rFonts w:ascii="Arial" w:cs="Arial" w:eastAsia="Arial" w:hAnsi="Arial"/>
                <w:sz w:val="14"/>
                <w:szCs w:val="14"/>
                <w:color w:val="auto"/>
              </w:rPr>
              <w:t>Residential</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gridSpan w:val="3"/>
          </w:tcPr>
          <w:p>
            <w:pPr>
              <w:ind w:left="140"/>
              <w:spacing w:after="0"/>
              <w:rPr>
                <w:sz w:val="20"/>
                <w:szCs w:val="20"/>
                <w:color w:val="auto"/>
              </w:rPr>
            </w:pPr>
            <w:r>
              <w:rPr>
                <w:rFonts w:ascii="Arial" w:cs="Arial" w:eastAsia="Arial" w:hAnsi="Arial"/>
                <w:sz w:val="14"/>
                <w:szCs w:val="14"/>
                <w:color w:val="auto"/>
              </w:rPr>
              <w:t>mortgage</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rPr>
              <w:t>8</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523</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523</w:t>
            </w:r>
          </w:p>
        </w:tc>
        <w:tc>
          <w:tcPr>
            <w:tcW w:w="420" w:type="dxa"/>
            <w:vAlign w:val="bottom"/>
          </w:tcPr>
          <w:p>
            <w:pPr>
              <w:spacing w:after="0"/>
              <w:rPr>
                <w:sz w:val="14"/>
                <w:szCs w:val="14"/>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2,121</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color w:val="auto"/>
              </w:rPr>
              <w:t>2,121</w:t>
            </w:r>
          </w:p>
        </w:tc>
        <w:tc>
          <w:tcPr>
            <w:tcW w:w="960" w:type="dxa"/>
            <w:vAlign w:val="bottom"/>
            <w:gridSpan w:val="4"/>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40" w:type="dxa"/>
            <w:vAlign w:val="bottom"/>
            <w:gridSpan w:val="3"/>
            <w:shd w:val="clear" w:color="auto" w:fill="F0FFFF"/>
          </w:tcPr>
          <w:p>
            <w:pPr>
              <w:spacing w:after="0" w:line="130" w:lineRule="exact"/>
              <w:rPr>
                <w:sz w:val="20"/>
                <w:szCs w:val="20"/>
                <w:color w:val="auto"/>
              </w:rPr>
            </w:pPr>
            <w:r>
              <w:rPr>
                <w:rFonts w:ascii="Arial" w:cs="Arial" w:eastAsia="Arial" w:hAnsi="Arial"/>
                <w:sz w:val="14"/>
                <w:szCs w:val="14"/>
                <w:color w:val="auto"/>
              </w:rPr>
              <w:t>Home equity lines</w:t>
            </w:r>
          </w:p>
        </w:tc>
        <w:tc>
          <w:tcPr>
            <w:tcW w:w="12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3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4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30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4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4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280" w:type="dxa"/>
            <w:vAlign w:val="bottom"/>
            <w:tcBorders>
              <w:righ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80" w:type="dxa"/>
            <w:vAlign w:val="bottom"/>
            <w:tcBorders>
              <w:right w:val="single" w:sz="8" w:color="F0FFFF"/>
            </w:tcBorders>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gridSpan w:val="3"/>
            <w:shd w:val="clear" w:color="auto" w:fill="F0FFFF"/>
          </w:tcPr>
          <w:p>
            <w:pPr>
              <w:ind w:left="140"/>
              <w:spacing w:after="0"/>
              <w:rPr>
                <w:sz w:val="20"/>
                <w:szCs w:val="20"/>
                <w:color w:val="auto"/>
              </w:rPr>
            </w:pPr>
            <w:r>
              <w:rPr>
                <w:rFonts w:ascii="Arial" w:cs="Arial" w:eastAsia="Arial" w:hAnsi="Arial"/>
                <w:sz w:val="14"/>
                <w:szCs w:val="14"/>
                <w:color w:val="auto"/>
              </w:rPr>
              <w:t>of credit</w:t>
            </w:r>
          </w:p>
        </w:tc>
        <w:tc>
          <w:tcPr>
            <w:tcW w:w="120" w:type="dxa"/>
            <w:vAlign w:val="bottom"/>
            <w:shd w:val="clear" w:color="auto" w:fill="F0FFFF"/>
          </w:tcPr>
          <w:p>
            <w:pPr>
              <w:spacing w:after="0"/>
              <w:rPr>
                <w:sz w:val="14"/>
                <w:szCs w:val="14"/>
                <w:color w:val="auto"/>
              </w:rPr>
            </w:pPr>
          </w:p>
        </w:tc>
        <w:tc>
          <w:tcPr>
            <w:tcW w:w="6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28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1</w:t>
            </w:r>
          </w:p>
        </w:tc>
        <w:tc>
          <w:tcPr>
            <w:tcW w:w="620" w:type="dxa"/>
            <w:vAlign w:val="bottom"/>
            <w:shd w:val="clear" w:color="auto" w:fill="F0FFFF"/>
          </w:tcPr>
          <w:p>
            <w:pPr>
              <w:spacing w:after="0"/>
              <w:rPr>
                <w:sz w:val="14"/>
                <w:szCs w:val="14"/>
                <w:color w:val="auto"/>
              </w:rPr>
            </w:pPr>
          </w:p>
        </w:tc>
        <w:tc>
          <w:tcPr>
            <w:tcW w:w="20" w:type="dxa"/>
            <w:vAlign w:val="bottom"/>
            <w:shd w:val="clear" w:color="auto" w:fill="F0FFFF"/>
          </w:tcPr>
          <w:p>
            <w:pPr>
              <w:spacing w:after="0"/>
              <w:rPr>
                <w:sz w:val="14"/>
                <w:szCs w:val="14"/>
                <w:color w:val="auto"/>
              </w:rPr>
            </w:pPr>
          </w:p>
        </w:tc>
        <w:tc>
          <w:tcPr>
            <w:tcW w:w="40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83</w:t>
            </w:r>
          </w:p>
        </w:tc>
        <w:tc>
          <w:tcPr>
            <w:tcW w:w="12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54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74</w:t>
            </w:r>
          </w:p>
        </w:tc>
        <w:tc>
          <w:tcPr>
            <w:tcW w:w="420" w:type="dxa"/>
            <w:vAlign w:val="bottom"/>
            <w:shd w:val="clear" w:color="auto" w:fill="F0FFFF"/>
          </w:tcPr>
          <w:p>
            <w:pPr>
              <w:spacing w:after="0"/>
              <w:rPr>
                <w:sz w:val="14"/>
                <w:szCs w:val="14"/>
                <w:color w:val="auto"/>
              </w:rPr>
            </w:pPr>
          </w:p>
        </w:tc>
        <w:tc>
          <w:tcPr>
            <w:tcW w:w="500" w:type="dxa"/>
            <w:vAlign w:val="bottom"/>
            <w:tcBorders>
              <w:right w:val="single" w:sz="8" w:color="F0FFFF"/>
            </w:tcBorders>
            <w:gridSpan w:val="3"/>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4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00" w:type="dxa"/>
            <w:vAlign w:val="bottom"/>
            <w:shd w:val="clear" w:color="auto" w:fill="F0FFFF"/>
          </w:tcPr>
          <w:p>
            <w:pPr>
              <w:spacing w:after="0"/>
              <w:rPr>
                <w:sz w:val="14"/>
                <w:szCs w:val="14"/>
                <w:color w:val="auto"/>
              </w:rPr>
            </w:pP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83</w:t>
            </w:r>
          </w:p>
        </w:tc>
        <w:tc>
          <w:tcPr>
            <w:tcW w:w="120" w:type="dxa"/>
            <w:vAlign w:val="bottom"/>
            <w:shd w:val="clear" w:color="auto" w:fill="F0FFFF"/>
          </w:tcPr>
          <w:p>
            <w:pPr>
              <w:spacing w:after="0"/>
              <w:rPr>
                <w:sz w:val="14"/>
                <w:szCs w:val="14"/>
                <w:color w:val="auto"/>
              </w:rPr>
            </w:pPr>
          </w:p>
        </w:tc>
        <w:tc>
          <w:tcPr>
            <w:tcW w:w="720" w:type="dxa"/>
            <w:vAlign w:val="bottom"/>
            <w:shd w:val="clear" w:color="auto" w:fill="F0FFFF"/>
          </w:tcPr>
          <w:p>
            <w:pPr>
              <w:spacing w:after="0"/>
              <w:rPr>
                <w:sz w:val="14"/>
                <w:szCs w:val="14"/>
                <w:color w:val="auto"/>
              </w:rPr>
            </w:pPr>
          </w:p>
        </w:tc>
        <w:tc>
          <w:tcPr>
            <w:tcW w:w="440" w:type="dxa"/>
            <w:vAlign w:val="bottom"/>
            <w:tcBorders>
              <w:right w:val="single" w:sz="8" w:color="F0FFFF"/>
            </w:tcBorders>
            <w:gridSpan w:val="3"/>
            <w:shd w:val="clear" w:color="auto" w:fill="F0FFFF"/>
          </w:tcPr>
          <w:p>
            <w:pPr>
              <w:jc w:val="right"/>
              <w:spacing w:after="0"/>
              <w:rPr>
                <w:sz w:val="20"/>
                <w:szCs w:val="20"/>
                <w:color w:val="auto"/>
              </w:rPr>
            </w:pPr>
            <w:r>
              <w:rPr>
                <w:rFonts w:ascii="Arial" w:cs="Arial" w:eastAsia="Arial" w:hAnsi="Arial"/>
                <w:sz w:val="14"/>
                <w:szCs w:val="14"/>
                <w:color w:val="auto"/>
              </w:rPr>
              <w:t>74</w:t>
            </w:r>
          </w:p>
        </w:tc>
        <w:tc>
          <w:tcPr>
            <w:tcW w:w="960" w:type="dxa"/>
            <w:vAlign w:val="bottom"/>
            <w:tcBorders>
              <w:right w:val="single" w:sz="8" w:color="F0FFFF"/>
            </w:tcBorders>
            <w:gridSpan w:val="4"/>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shd w:val="clear" w:color="auto" w:fill="F0FFFF"/>
          </w:tcPr>
          <w:p>
            <w:pPr>
              <w:spacing w:after="0"/>
              <w:rPr>
                <w:sz w:val="14"/>
                <w:szCs w:val="14"/>
                <w:color w:val="auto"/>
              </w:rPr>
            </w:pPr>
          </w:p>
        </w:tc>
        <w:tc>
          <w:tcPr>
            <w:tcW w:w="3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40" w:type="dxa"/>
            <w:vAlign w:val="bottom"/>
            <w:gridSpan w:val="3"/>
          </w:tcPr>
          <w:p>
            <w:pPr>
              <w:spacing w:after="0" w:line="130" w:lineRule="exact"/>
              <w:rPr>
                <w:sz w:val="20"/>
                <w:szCs w:val="20"/>
                <w:color w:val="auto"/>
              </w:rPr>
            </w:pPr>
            <w:r>
              <w:rPr>
                <w:rFonts w:ascii="Arial" w:cs="Arial" w:eastAsia="Arial" w:hAnsi="Arial"/>
                <w:sz w:val="14"/>
                <w:szCs w:val="14"/>
                <w:color w:val="auto"/>
              </w:rPr>
              <w:t>Residential</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gridSpan w:val="3"/>
          </w:tcPr>
          <w:p>
            <w:pPr>
              <w:ind w:left="140"/>
              <w:spacing w:after="0"/>
              <w:rPr>
                <w:sz w:val="20"/>
                <w:szCs w:val="20"/>
                <w:color w:val="auto"/>
              </w:rPr>
            </w:pPr>
            <w:r>
              <w:rPr>
                <w:rFonts w:ascii="Arial" w:cs="Arial" w:eastAsia="Arial" w:hAnsi="Arial"/>
                <w:sz w:val="14"/>
                <w:szCs w:val="14"/>
                <w:color w:val="auto"/>
              </w:rPr>
              <w:t>construction</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4"/>
                <w:szCs w:val="14"/>
                <w:color w:val="auto"/>
              </w:rPr>
              <w:t>2</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139</w:t>
            </w:r>
          </w:p>
        </w:tc>
        <w:tc>
          <w:tcPr>
            <w:tcW w:w="420" w:type="dxa"/>
            <w:vAlign w:val="bottom"/>
          </w:tcPr>
          <w:p>
            <w:pPr>
              <w:spacing w:after="0"/>
              <w:rPr>
                <w:sz w:val="14"/>
                <w:szCs w:val="14"/>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w w:val="76"/>
              </w:rPr>
              <w:t>163</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color w:val="auto"/>
              </w:rPr>
              <w:t>139</w:t>
            </w:r>
          </w:p>
        </w:tc>
        <w:tc>
          <w:tcPr>
            <w:tcW w:w="960" w:type="dxa"/>
            <w:vAlign w:val="bottom"/>
            <w:gridSpan w:val="4"/>
          </w:tcPr>
          <w:p>
            <w:pPr>
              <w:jc w:val="right"/>
              <w:ind w:right="10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4"/>
                <w:szCs w:val="1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40" w:type="dxa"/>
            <w:vAlign w:val="bottom"/>
            <w:gridSpan w:val="3"/>
            <w:shd w:val="clear" w:color="auto" w:fill="F0FFFF"/>
          </w:tcPr>
          <w:p>
            <w:pPr>
              <w:spacing w:after="0" w:line="130" w:lineRule="exact"/>
              <w:rPr>
                <w:sz w:val="20"/>
                <w:szCs w:val="20"/>
                <w:color w:val="auto"/>
              </w:rPr>
            </w:pPr>
            <w:r>
              <w:rPr>
                <w:rFonts w:ascii="Arial" w:cs="Arial" w:eastAsia="Arial" w:hAnsi="Arial"/>
                <w:sz w:val="14"/>
                <w:szCs w:val="14"/>
                <w:color w:val="auto"/>
              </w:rPr>
              <w:t>Consumer</w:t>
            </w:r>
          </w:p>
        </w:tc>
        <w:tc>
          <w:tcPr>
            <w:tcW w:w="12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3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4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30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4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4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280" w:type="dxa"/>
            <w:vAlign w:val="bottom"/>
            <w:tcBorders>
              <w:righ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80" w:type="dxa"/>
            <w:vAlign w:val="bottom"/>
            <w:tcBorders>
              <w:right w:val="single" w:sz="8" w:color="F0FFFF"/>
            </w:tcBorders>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gridSpan w:val="3"/>
            <w:shd w:val="clear" w:color="auto" w:fill="F0FFFF"/>
          </w:tcPr>
          <w:p>
            <w:pPr>
              <w:ind w:left="140"/>
              <w:spacing w:after="0"/>
              <w:rPr>
                <w:sz w:val="20"/>
                <w:szCs w:val="20"/>
                <w:color w:val="auto"/>
              </w:rPr>
            </w:pPr>
            <w:r>
              <w:rPr>
                <w:rFonts w:ascii="Arial" w:cs="Arial" w:eastAsia="Arial" w:hAnsi="Arial"/>
                <w:sz w:val="14"/>
                <w:szCs w:val="14"/>
                <w:color w:val="auto"/>
              </w:rPr>
              <w:t>installment</w:t>
            </w:r>
          </w:p>
        </w:tc>
        <w:tc>
          <w:tcPr>
            <w:tcW w:w="120" w:type="dxa"/>
            <w:vAlign w:val="bottom"/>
            <w:shd w:val="clear" w:color="auto" w:fill="F0FFFF"/>
          </w:tcPr>
          <w:p>
            <w:pPr>
              <w:spacing w:after="0"/>
              <w:rPr>
                <w:sz w:val="14"/>
                <w:szCs w:val="14"/>
                <w:color w:val="auto"/>
              </w:rPr>
            </w:pPr>
          </w:p>
        </w:tc>
        <w:tc>
          <w:tcPr>
            <w:tcW w:w="6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28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1</w:t>
            </w:r>
          </w:p>
        </w:tc>
        <w:tc>
          <w:tcPr>
            <w:tcW w:w="620" w:type="dxa"/>
            <w:vAlign w:val="bottom"/>
            <w:shd w:val="clear" w:color="auto" w:fill="F0FFFF"/>
          </w:tcPr>
          <w:p>
            <w:pPr>
              <w:spacing w:after="0"/>
              <w:rPr>
                <w:sz w:val="14"/>
                <w:szCs w:val="14"/>
                <w:color w:val="auto"/>
              </w:rPr>
            </w:pPr>
          </w:p>
        </w:tc>
        <w:tc>
          <w:tcPr>
            <w:tcW w:w="20" w:type="dxa"/>
            <w:vAlign w:val="bottom"/>
            <w:shd w:val="clear" w:color="auto" w:fill="F0FFFF"/>
          </w:tcPr>
          <w:p>
            <w:pPr>
              <w:spacing w:after="0"/>
              <w:rPr>
                <w:sz w:val="14"/>
                <w:szCs w:val="14"/>
                <w:color w:val="auto"/>
              </w:rPr>
            </w:pPr>
          </w:p>
        </w:tc>
        <w:tc>
          <w:tcPr>
            <w:tcW w:w="40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54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25</w:t>
            </w:r>
          </w:p>
        </w:tc>
        <w:tc>
          <w:tcPr>
            <w:tcW w:w="420" w:type="dxa"/>
            <w:vAlign w:val="bottom"/>
            <w:shd w:val="clear" w:color="auto" w:fill="F0FFFF"/>
          </w:tcPr>
          <w:p>
            <w:pPr>
              <w:spacing w:after="0"/>
              <w:rPr>
                <w:sz w:val="14"/>
                <w:szCs w:val="14"/>
                <w:color w:val="auto"/>
              </w:rPr>
            </w:pPr>
          </w:p>
        </w:tc>
        <w:tc>
          <w:tcPr>
            <w:tcW w:w="500" w:type="dxa"/>
            <w:vAlign w:val="bottom"/>
            <w:tcBorders>
              <w:right w:val="single" w:sz="8" w:color="F0FFFF"/>
            </w:tcBorders>
            <w:gridSpan w:val="3"/>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4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2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00" w:type="dxa"/>
            <w:vAlign w:val="bottom"/>
            <w:shd w:val="clear" w:color="auto" w:fill="F0FFFF"/>
          </w:tcPr>
          <w:p>
            <w:pPr>
              <w:spacing w:after="0"/>
              <w:rPr>
                <w:sz w:val="14"/>
                <w:szCs w:val="14"/>
                <w:color w:val="auto"/>
              </w:rPr>
            </w:pP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F0FFFF"/>
          </w:tcPr>
          <w:p>
            <w:pPr>
              <w:spacing w:after="0"/>
              <w:rPr>
                <w:sz w:val="14"/>
                <w:szCs w:val="14"/>
                <w:color w:val="auto"/>
              </w:rPr>
            </w:pPr>
          </w:p>
        </w:tc>
        <w:tc>
          <w:tcPr>
            <w:tcW w:w="720" w:type="dxa"/>
            <w:vAlign w:val="bottom"/>
            <w:shd w:val="clear" w:color="auto" w:fill="F0FFFF"/>
          </w:tcPr>
          <w:p>
            <w:pPr>
              <w:spacing w:after="0"/>
              <w:rPr>
                <w:sz w:val="14"/>
                <w:szCs w:val="14"/>
                <w:color w:val="auto"/>
              </w:rPr>
            </w:pPr>
          </w:p>
        </w:tc>
        <w:tc>
          <w:tcPr>
            <w:tcW w:w="440" w:type="dxa"/>
            <w:vAlign w:val="bottom"/>
            <w:tcBorders>
              <w:right w:val="single" w:sz="8" w:color="F0FFFF"/>
            </w:tcBorders>
            <w:gridSpan w:val="3"/>
            <w:shd w:val="clear" w:color="auto" w:fill="F0FFFF"/>
          </w:tcPr>
          <w:p>
            <w:pPr>
              <w:jc w:val="right"/>
              <w:spacing w:after="0"/>
              <w:rPr>
                <w:sz w:val="20"/>
                <w:szCs w:val="20"/>
                <w:color w:val="auto"/>
              </w:rPr>
            </w:pPr>
            <w:r>
              <w:rPr>
                <w:rFonts w:ascii="Arial" w:cs="Arial" w:eastAsia="Arial" w:hAnsi="Arial"/>
                <w:sz w:val="14"/>
                <w:szCs w:val="14"/>
                <w:color w:val="auto"/>
              </w:rPr>
              <w:t>28</w:t>
            </w:r>
          </w:p>
        </w:tc>
        <w:tc>
          <w:tcPr>
            <w:tcW w:w="960" w:type="dxa"/>
            <w:vAlign w:val="bottom"/>
            <w:tcBorders>
              <w:right w:val="single" w:sz="8" w:color="F0FFFF"/>
            </w:tcBorders>
            <w:gridSpan w:val="4"/>
            <w:shd w:val="clear" w:color="auto" w:fill="F0FFFF"/>
          </w:tcPr>
          <w:p>
            <w:pPr>
              <w:jc w:val="right"/>
              <w:ind w:right="100"/>
              <w:spacing w:after="0"/>
              <w:rPr>
                <w:sz w:val="20"/>
                <w:szCs w:val="20"/>
                <w:color w:val="auto"/>
              </w:rPr>
            </w:pPr>
            <w:r>
              <w:rPr>
                <w:rFonts w:ascii="Arial" w:cs="Arial" w:eastAsia="Arial" w:hAnsi="Arial"/>
                <w:sz w:val="14"/>
                <w:szCs w:val="14"/>
                <w:color w:val="auto"/>
              </w:rPr>
              <w:t>1</w:t>
            </w:r>
          </w:p>
        </w:tc>
        <w:tc>
          <w:tcPr>
            <w:tcW w:w="560" w:type="dxa"/>
            <w:vAlign w:val="bottom"/>
            <w:shd w:val="clear" w:color="auto" w:fill="F0FFFF"/>
          </w:tcPr>
          <w:p>
            <w:pPr>
              <w:spacing w:after="0"/>
              <w:rPr>
                <w:sz w:val="14"/>
                <w:szCs w:val="14"/>
                <w:color w:val="auto"/>
              </w:rPr>
            </w:pPr>
          </w:p>
        </w:tc>
        <w:tc>
          <w:tcPr>
            <w:tcW w:w="3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color w:val="auto"/>
              </w:rPr>
              <w:t>Indirect auto</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5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Borders>
              <w:right w:val="single" w:sz="8" w:color="F0FFFF"/>
            </w:tcBorders>
            <w:shd w:val="clear" w:color="auto" w:fill="F0FF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Borders>
              <w:right w:val="single" w:sz="8" w:color="F0FFFF"/>
            </w:tcBorders>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Borders>
              <w:right w:val="single" w:sz="8" w:color="F0FFFF"/>
            </w:tcBorders>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gridSpan w:val="3"/>
            <w:shd w:val="clear" w:color="auto" w:fill="F0FFFF"/>
          </w:tcPr>
          <w:p>
            <w:pPr>
              <w:spacing w:after="0" w:line="155" w:lineRule="exact"/>
              <w:rPr>
                <w:sz w:val="20"/>
                <w:szCs w:val="20"/>
                <w:color w:val="auto"/>
              </w:rPr>
            </w:pPr>
            <w:r>
              <w:rPr>
                <w:rFonts w:ascii="Arial" w:cs="Arial" w:eastAsia="Arial" w:hAnsi="Arial"/>
                <w:sz w:val="14"/>
                <w:szCs w:val="14"/>
                <w:color w:val="auto"/>
              </w:rPr>
              <w:t>Total loans</w:t>
            </w:r>
          </w:p>
        </w:tc>
        <w:tc>
          <w:tcPr>
            <w:tcW w:w="120" w:type="dxa"/>
            <w:vAlign w:val="bottom"/>
            <w:shd w:val="clear" w:color="auto" w:fill="F0FFFF"/>
          </w:tcPr>
          <w:p>
            <w:pPr>
              <w:spacing w:after="0"/>
              <w:rPr>
                <w:sz w:val="17"/>
                <w:szCs w:val="17"/>
                <w:color w:val="auto"/>
              </w:rPr>
            </w:pPr>
          </w:p>
        </w:tc>
        <w:tc>
          <w:tcPr>
            <w:tcW w:w="6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80" w:type="dxa"/>
            <w:vAlign w:val="bottom"/>
            <w:gridSpan w:val="2"/>
            <w:shd w:val="clear" w:color="auto" w:fill="F0FFFF"/>
          </w:tcPr>
          <w:p>
            <w:pPr>
              <w:jc w:val="right"/>
              <w:ind w:right="140"/>
              <w:spacing w:after="0" w:line="155" w:lineRule="exact"/>
              <w:rPr>
                <w:sz w:val="20"/>
                <w:szCs w:val="20"/>
                <w:color w:val="auto"/>
              </w:rPr>
            </w:pPr>
            <w:r>
              <w:rPr>
                <w:rFonts w:ascii="Arial" w:cs="Arial" w:eastAsia="Arial" w:hAnsi="Arial"/>
                <w:sz w:val="14"/>
                <w:szCs w:val="14"/>
                <w:color w:val="auto"/>
                <w:w w:val="76"/>
              </w:rPr>
              <w:t>24</w:t>
            </w:r>
          </w:p>
        </w:tc>
        <w:tc>
          <w:tcPr>
            <w:tcW w:w="620" w:type="dxa"/>
            <w:vAlign w:val="bottom"/>
            <w:shd w:val="clear" w:color="auto" w:fill="F0FFFF"/>
          </w:tcPr>
          <w:p>
            <w:pPr>
              <w:jc w:val="right"/>
              <w:ind w:right="491"/>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F0FFFF"/>
          </w:tcPr>
          <w:p>
            <w:pPr>
              <w:spacing w:after="0"/>
              <w:rPr>
                <w:sz w:val="17"/>
                <w:szCs w:val="17"/>
                <w:color w:val="auto"/>
              </w:rPr>
            </w:pPr>
          </w:p>
        </w:tc>
        <w:tc>
          <w:tcPr>
            <w:tcW w:w="400" w:type="dxa"/>
            <w:vAlign w:val="bottom"/>
            <w:gridSpan w:val="2"/>
            <w:shd w:val="clear" w:color="auto" w:fill="F0FFFF"/>
          </w:tcPr>
          <w:p>
            <w:pPr>
              <w:jc w:val="right"/>
              <w:spacing w:after="0" w:line="155" w:lineRule="exact"/>
              <w:rPr>
                <w:sz w:val="20"/>
                <w:szCs w:val="20"/>
                <w:color w:val="auto"/>
              </w:rPr>
            </w:pPr>
            <w:r>
              <w:rPr>
                <w:rFonts w:ascii="Arial" w:cs="Arial" w:eastAsia="Arial" w:hAnsi="Arial"/>
                <w:sz w:val="14"/>
                <w:szCs w:val="14"/>
                <w:color w:val="auto"/>
                <w:w w:val="88"/>
              </w:rPr>
              <w:t>10,114</w:t>
            </w:r>
          </w:p>
        </w:tc>
        <w:tc>
          <w:tcPr>
            <w:tcW w:w="660" w:type="dxa"/>
            <w:vAlign w:val="bottom"/>
            <w:gridSpan w:val="2"/>
            <w:shd w:val="clear" w:color="auto" w:fill="F0FFFF"/>
          </w:tcPr>
          <w:p>
            <w:pPr>
              <w:jc w:val="center"/>
              <w:ind w:right="288"/>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shd w:val="clear" w:color="auto" w:fill="F0FFFF"/>
          </w:tcPr>
          <w:p>
            <w:pPr>
              <w:spacing w:after="0"/>
              <w:rPr>
                <w:sz w:val="17"/>
                <w:szCs w:val="17"/>
                <w:color w:val="auto"/>
              </w:rPr>
            </w:pPr>
          </w:p>
        </w:tc>
        <w:tc>
          <w:tcPr>
            <w:tcW w:w="540" w:type="dxa"/>
            <w:vAlign w:val="bottom"/>
            <w:gridSpan w:val="2"/>
            <w:shd w:val="clear" w:color="auto" w:fill="F0FFFF"/>
          </w:tcPr>
          <w:p>
            <w:pPr>
              <w:jc w:val="right"/>
              <w:ind w:right="120"/>
              <w:spacing w:after="0" w:line="155" w:lineRule="exact"/>
              <w:rPr>
                <w:sz w:val="20"/>
                <w:szCs w:val="20"/>
                <w:color w:val="auto"/>
              </w:rPr>
            </w:pPr>
            <w:r>
              <w:rPr>
                <w:rFonts w:ascii="Arial" w:cs="Arial" w:eastAsia="Arial" w:hAnsi="Arial"/>
                <w:sz w:val="14"/>
                <w:szCs w:val="14"/>
                <w:color w:val="auto"/>
                <w:w w:val="93"/>
              </w:rPr>
              <w:t>10,036</w:t>
            </w:r>
          </w:p>
        </w:tc>
        <w:tc>
          <w:tcPr>
            <w:tcW w:w="420" w:type="dxa"/>
            <w:vAlign w:val="bottom"/>
            <w:shd w:val="clear" w:color="auto" w:fill="F0FFFF"/>
          </w:tcPr>
          <w:p>
            <w:pPr>
              <w:spacing w:after="0"/>
              <w:rPr>
                <w:sz w:val="17"/>
                <w:szCs w:val="17"/>
                <w:color w:val="auto"/>
              </w:rPr>
            </w:pPr>
          </w:p>
        </w:tc>
        <w:tc>
          <w:tcPr>
            <w:tcW w:w="500" w:type="dxa"/>
            <w:vAlign w:val="bottom"/>
            <w:tcBorders>
              <w:right w:val="single" w:sz="8" w:color="F0FFFF"/>
            </w:tcBorders>
            <w:gridSpan w:val="3"/>
            <w:shd w:val="clear" w:color="auto" w:fill="F0FFFF"/>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460" w:type="dxa"/>
            <w:vAlign w:val="bottom"/>
            <w:shd w:val="clear" w:color="auto" w:fill="F0FFFF"/>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320" w:type="dxa"/>
            <w:vAlign w:val="bottom"/>
            <w:gridSpan w:val="2"/>
            <w:shd w:val="clear" w:color="auto" w:fill="F0FFFF"/>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4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00" w:type="dxa"/>
            <w:vAlign w:val="bottom"/>
            <w:shd w:val="clear" w:color="auto" w:fill="F0FFFF"/>
          </w:tcPr>
          <w:p>
            <w:pPr>
              <w:jc w:val="right"/>
              <w:spacing w:after="0" w:line="155" w:lineRule="exact"/>
              <w:rPr>
                <w:sz w:val="20"/>
                <w:szCs w:val="20"/>
                <w:color w:val="auto"/>
              </w:rPr>
            </w:pPr>
            <w:r>
              <w:rPr>
                <w:rFonts w:ascii="Arial" w:cs="Arial" w:eastAsia="Arial" w:hAnsi="Arial"/>
                <w:sz w:val="14"/>
                <w:szCs w:val="14"/>
                <w:color w:val="auto"/>
              </w:rPr>
              <w:t>46</w:t>
            </w:r>
          </w:p>
        </w:tc>
        <w:tc>
          <w:tcPr>
            <w:tcW w:w="200" w:type="dxa"/>
            <w:vAlign w:val="bottom"/>
            <w:gridSpan w:val="2"/>
            <w:shd w:val="clear" w:color="auto" w:fill="F0FFFF"/>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F0FFFF"/>
          </w:tcPr>
          <w:p>
            <w:pPr>
              <w:jc w:val="right"/>
              <w:spacing w:after="0" w:line="155" w:lineRule="exact"/>
              <w:rPr>
                <w:sz w:val="20"/>
                <w:szCs w:val="20"/>
                <w:color w:val="auto"/>
              </w:rPr>
            </w:pPr>
            <w:r>
              <w:rPr>
                <w:rFonts w:ascii="Arial" w:cs="Arial" w:eastAsia="Arial" w:hAnsi="Arial"/>
                <w:sz w:val="14"/>
                <w:szCs w:val="14"/>
                <w:color w:val="auto"/>
              </w:rPr>
              <w:t>16,655</w:t>
            </w:r>
          </w:p>
        </w:tc>
        <w:tc>
          <w:tcPr>
            <w:tcW w:w="840" w:type="dxa"/>
            <w:vAlign w:val="bottom"/>
            <w:gridSpan w:val="2"/>
            <w:shd w:val="clear" w:color="auto" w:fill="F0FFFF"/>
          </w:tcPr>
          <w:p>
            <w:pPr>
              <w:jc w:val="right"/>
              <w:ind w:right="588"/>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right w:val="single" w:sz="8" w:color="F0FFFF"/>
            </w:tcBorders>
            <w:gridSpan w:val="3"/>
            <w:shd w:val="clear" w:color="auto" w:fill="F0FFFF"/>
          </w:tcPr>
          <w:p>
            <w:pPr>
              <w:jc w:val="right"/>
              <w:spacing w:after="0" w:line="155" w:lineRule="exact"/>
              <w:rPr>
                <w:sz w:val="20"/>
                <w:szCs w:val="20"/>
                <w:color w:val="auto"/>
              </w:rPr>
            </w:pPr>
            <w:r>
              <w:rPr>
                <w:rFonts w:ascii="Arial" w:cs="Arial" w:eastAsia="Arial" w:hAnsi="Arial"/>
                <w:sz w:val="14"/>
                <w:szCs w:val="14"/>
                <w:color w:val="auto"/>
                <w:w w:val="88"/>
              </w:rPr>
              <w:t>16,578</w:t>
            </w:r>
          </w:p>
        </w:tc>
        <w:tc>
          <w:tcPr>
            <w:tcW w:w="960" w:type="dxa"/>
            <w:vAlign w:val="bottom"/>
            <w:tcBorders>
              <w:right w:val="single" w:sz="8" w:color="F0FFFF"/>
            </w:tcBorders>
            <w:gridSpan w:val="4"/>
            <w:shd w:val="clear" w:color="auto" w:fill="F0FFFF"/>
          </w:tcPr>
          <w:p>
            <w:pPr>
              <w:jc w:val="right"/>
              <w:ind w:right="100"/>
              <w:spacing w:after="0" w:line="155" w:lineRule="exact"/>
              <w:rPr>
                <w:sz w:val="20"/>
                <w:szCs w:val="20"/>
                <w:color w:val="auto"/>
              </w:rPr>
            </w:pPr>
            <w:r>
              <w:rPr>
                <w:rFonts w:ascii="Arial" w:cs="Arial" w:eastAsia="Arial" w:hAnsi="Arial"/>
                <w:sz w:val="14"/>
                <w:szCs w:val="14"/>
                <w:color w:val="auto"/>
              </w:rPr>
              <w:t>1</w:t>
            </w:r>
          </w:p>
        </w:tc>
        <w:tc>
          <w:tcPr>
            <w:tcW w:w="560" w:type="dxa"/>
            <w:vAlign w:val="bottom"/>
            <w:shd w:val="clear" w:color="auto" w:fill="F0FFFF"/>
          </w:tcPr>
          <w:p>
            <w:pPr>
              <w:spacing w:after="0" w:line="155"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F0FFFF"/>
          </w:tcPr>
          <w:p>
            <w:pPr>
              <w:jc w:val="right"/>
              <w:ind w:right="100"/>
              <w:spacing w:after="0" w:line="155"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gridSpan w:val="9"/>
          </w:tcPr>
          <w:p>
            <w:pPr>
              <w:jc w:val="center"/>
              <w:ind w:right="140"/>
              <w:spacing w:after="0"/>
              <w:rPr>
                <w:sz w:val="20"/>
                <w:szCs w:val="20"/>
                <w:color w:val="auto"/>
              </w:rPr>
            </w:pPr>
            <w:r>
              <w:rPr>
                <w:rFonts w:ascii="Arial" w:cs="Arial" w:eastAsia="Arial" w:hAnsi="Arial"/>
                <w:sz w:val="14"/>
                <w:szCs w:val="14"/>
                <w:b w:val="1"/>
                <w:bCs w:val="1"/>
                <w:color w:val="auto"/>
                <w:w w:val="95"/>
              </w:rPr>
              <w:t>Modified Within the Previous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8"/>
            <w:vMerge w:val="restart"/>
          </w:tcPr>
          <w:p>
            <w:pPr>
              <w:jc w:val="center"/>
              <w:ind w:right="120"/>
              <w:spacing w:after="0"/>
              <w:rPr>
                <w:sz w:val="20"/>
                <w:szCs w:val="20"/>
                <w:color w:val="auto"/>
              </w:rPr>
            </w:pPr>
            <w:r>
              <w:rPr>
                <w:rFonts w:ascii="Arial" w:cs="Arial" w:eastAsia="Arial" w:hAnsi="Arial"/>
                <w:sz w:val="14"/>
                <w:szCs w:val="14"/>
                <w:b w:val="1"/>
                <w:bCs w:val="1"/>
                <w:color w:val="auto"/>
                <w:w w:val="94"/>
              </w:rPr>
              <w:t>Modified Within the Previous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9"/>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Twelve Months that Have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Pre-</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85"/>
              </w:rPr>
              <w:t>Post-</w:t>
            </w:r>
          </w:p>
        </w:tc>
        <w:tc>
          <w:tcPr>
            <w:tcW w:w="2060" w:type="dxa"/>
            <w:vAlign w:val="bottom"/>
            <w:gridSpan w:val="9"/>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Subsequently Defaulted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center"/>
              <w:ind w:right="248"/>
              <w:spacing w:after="0"/>
              <w:rPr>
                <w:sz w:val="20"/>
                <w:szCs w:val="20"/>
                <w:color w:val="auto"/>
              </w:rPr>
            </w:pPr>
            <w:r>
              <w:rPr>
                <w:rFonts w:ascii="Arial" w:cs="Arial" w:eastAsia="Arial" w:hAnsi="Arial"/>
                <w:sz w:val="14"/>
                <w:szCs w:val="14"/>
                <w:b w:val="1"/>
                <w:bCs w:val="1"/>
                <w:color w:val="auto"/>
                <w:w w:val="95"/>
              </w:rPr>
              <w:t>Pre-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85"/>
              </w:rPr>
              <w:t>Post-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6"/>
          </w:tcPr>
          <w:p>
            <w:pPr>
              <w:jc w:val="center"/>
              <w:ind w:left="148"/>
              <w:spacing w:after="0" w:line="149" w:lineRule="exact"/>
              <w:rPr>
                <w:sz w:val="20"/>
                <w:szCs w:val="20"/>
                <w:color w:val="auto"/>
              </w:rPr>
            </w:pPr>
            <w:r>
              <w:rPr>
                <w:rFonts w:ascii="Arial" w:cs="Arial" w:eastAsia="Arial" w:hAnsi="Arial"/>
                <w:sz w:val="14"/>
                <w:szCs w:val="14"/>
                <w:b w:val="1"/>
                <w:bCs w:val="1"/>
                <w:color w:val="auto"/>
                <w:w w:val="94"/>
              </w:rPr>
              <w:t>Twelve Months that Have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2060" w:type="dxa"/>
            <w:vAlign w:val="bottom"/>
            <w:gridSpan w:val="9"/>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During the Three Months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8"/>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Subsequently Defaulted During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Modification</w:t>
            </w:r>
          </w:p>
        </w:tc>
        <w:tc>
          <w:tcPr>
            <w:tcW w:w="80" w:type="dxa"/>
            <w:vAlign w:val="bottom"/>
          </w:tcPr>
          <w:p>
            <w:pPr>
              <w:spacing w:after="0"/>
              <w:rPr>
                <w:sz w:val="12"/>
                <w:szCs w:val="12"/>
                <w:color w:val="auto"/>
              </w:rPr>
            </w:pPr>
          </w:p>
        </w:tc>
        <w:tc>
          <w:tcPr>
            <w:tcW w:w="106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Modification</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6"/>
              </w:rPr>
              <w:t>Modification</w:t>
            </w:r>
          </w:p>
        </w:tc>
        <w:tc>
          <w:tcPr>
            <w:tcW w:w="10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Modification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2"/>
              </w:rPr>
              <w:t>the Six Months Ended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Outstanding</w:t>
            </w:r>
          </w:p>
        </w:tc>
        <w:tc>
          <w:tcPr>
            <w:tcW w:w="80" w:type="dxa"/>
            <w:vAlign w:val="bottom"/>
          </w:tcPr>
          <w:p>
            <w:pPr>
              <w:spacing w:after="0"/>
              <w:rPr>
                <w:sz w:val="15"/>
                <w:szCs w:val="15"/>
                <w:color w:val="auto"/>
              </w:rPr>
            </w:pPr>
          </w:p>
        </w:tc>
        <w:tc>
          <w:tcPr>
            <w:tcW w:w="10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Outstanding</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2"/>
              </w:rPr>
              <w:t>June 30, 2014</w:t>
            </w:r>
          </w:p>
        </w:tc>
        <w:tc>
          <w:tcPr>
            <w:tcW w:w="4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right="48"/>
              <w:spacing w:after="0"/>
              <w:rPr>
                <w:sz w:val="20"/>
                <w:szCs w:val="20"/>
                <w:color w:val="auto"/>
              </w:rPr>
            </w:pPr>
            <w:r>
              <w:rPr>
                <w:rFonts w:ascii="Arial" w:cs="Arial" w:eastAsia="Arial" w:hAnsi="Arial"/>
                <w:sz w:val="14"/>
                <w:szCs w:val="14"/>
                <w:b w:val="1"/>
                <w:bCs w:val="1"/>
                <w:color w:val="auto"/>
                <w:w w:val="92"/>
              </w:rPr>
              <w:t>June 30, 2014</w:t>
            </w:r>
          </w:p>
        </w:tc>
        <w:tc>
          <w:tcPr>
            <w:tcW w:w="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tcPr>
          <w:p>
            <w:pPr>
              <w:jc w:val="center"/>
              <w:ind w:right="180"/>
              <w:spacing w:after="0" w:line="126" w:lineRule="exact"/>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0"/>
                <w:szCs w:val="10"/>
                <w:color w:val="auto"/>
              </w:rPr>
            </w:pPr>
          </w:p>
        </w:tc>
        <w:tc>
          <w:tcPr>
            <w:tcW w:w="920" w:type="dxa"/>
            <w:vAlign w:val="bottom"/>
            <w:gridSpan w:val="4"/>
          </w:tcPr>
          <w:p>
            <w:pPr>
              <w:jc w:val="center"/>
              <w:ind w:right="80"/>
              <w:spacing w:after="0" w:line="126" w:lineRule="exact"/>
              <w:rPr>
                <w:sz w:val="20"/>
                <w:szCs w:val="20"/>
                <w:color w:val="auto"/>
              </w:rPr>
            </w:pPr>
            <w:r>
              <w:rPr>
                <w:rFonts w:ascii="Arial" w:cs="Arial" w:eastAsia="Arial" w:hAnsi="Arial"/>
                <w:sz w:val="14"/>
                <w:szCs w:val="14"/>
                <w:b w:val="1"/>
                <w:bCs w:val="1"/>
                <w:color w:val="auto"/>
                <w:w w:val="92"/>
              </w:rPr>
              <w:t>Recorded</w:t>
            </w:r>
          </w:p>
        </w:tc>
        <w:tc>
          <w:tcPr>
            <w:tcW w:w="80" w:type="dxa"/>
            <w:vAlign w:val="bottom"/>
          </w:tcPr>
          <w:p>
            <w:pPr>
              <w:spacing w:after="0"/>
              <w:rPr>
                <w:sz w:val="10"/>
                <w:szCs w:val="10"/>
                <w:color w:val="auto"/>
              </w:rPr>
            </w:pPr>
          </w:p>
        </w:tc>
        <w:tc>
          <w:tcPr>
            <w:tcW w:w="1060" w:type="dxa"/>
            <w:vAlign w:val="bottom"/>
            <w:gridSpan w:val="4"/>
          </w:tcPr>
          <w:p>
            <w:pPr>
              <w:jc w:val="center"/>
              <w:ind w:right="80"/>
              <w:spacing w:after="0" w:line="126" w:lineRule="exact"/>
              <w:rPr>
                <w:sz w:val="20"/>
                <w:szCs w:val="20"/>
                <w:color w:val="auto"/>
              </w:rPr>
            </w:pPr>
            <w:r>
              <w:rPr>
                <w:rFonts w:ascii="Arial" w:cs="Arial" w:eastAsia="Arial" w:hAnsi="Arial"/>
                <w:sz w:val="14"/>
                <w:szCs w:val="14"/>
                <w:b w:val="1"/>
                <w:bCs w:val="1"/>
                <w:color w:val="auto"/>
                <w:w w:val="89"/>
              </w:rPr>
              <w:t>Recorded</w:t>
            </w:r>
          </w:p>
        </w:tc>
        <w:tc>
          <w:tcPr>
            <w:tcW w:w="960" w:type="dxa"/>
            <w:vAlign w:val="bottom"/>
            <w:gridSpan w:val="3"/>
          </w:tcPr>
          <w:p>
            <w:pPr>
              <w:jc w:val="right"/>
              <w:ind w:right="68"/>
              <w:spacing w:after="0" w:line="126" w:lineRule="exact"/>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0"/>
                <w:szCs w:val="10"/>
                <w:color w:val="auto"/>
              </w:rPr>
            </w:pPr>
          </w:p>
        </w:tc>
        <w:tc>
          <w:tcPr>
            <w:tcW w:w="880" w:type="dxa"/>
            <w:vAlign w:val="bottom"/>
            <w:gridSpan w:val="3"/>
          </w:tcPr>
          <w:p>
            <w:pPr>
              <w:jc w:val="center"/>
              <w:spacing w:after="0" w:line="126" w:lineRule="exact"/>
              <w:rPr>
                <w:sz w:val="20"/>
                <w:szCs w:val="20"/>
                <w:color w:val="auto"/>
              </w:rPr>
            </w:pPr>
            <w:r>
              <w:rPr>
                <w:rFonts w:ascii="Arial" w:cs="Arial" w:eastAsia="Arial" w:hAnsi="Arial"/>
                <w:sz w:val="14"/>
                <w:szCs w:val="14"/>
                <w:b w:val="1"/>
                <w:bCs w:val="1"/>
                <w:color w:val="auto"/>
                <w:w w:val="92"/>
              </w:rPr>
              <w:t>Recorded</w:t>
            </w:r>
          </w:p>
        </w:tc>
        <w:tc>
          <w:tcPr>
            <w:tcW w:w="140" w:type="dxa"/>
            <w:vAlign w:val="bottom"/>
            <w:gridSpan w:val="2"/>
          </w:tcPr>
          <w:p>
            <w:pPr>
              <w:spacing w:after="0"/>
              <w:rPr>
                <w:sz w:val="10"/>
                <w:szCs w:val="10"/>
                <w:color w:val="auto"/>
              </w:rPr>
            </w:pPr>
          </w:p>
        </w:tc>
        <w:tc>
          <w:tcPr>
            <w:tcW w:w="900" w:type="dxa"/>
            <w:vAlign w:val="bottom"/>
            <w:gridSpan w:val="4"/>
          </w:tcPr>
          <w:p>
            <w:pPr>
              <w:jc w:val="center"/>
              <w:ind w:right="160"/>
              <w:spacing w:after="0" w:line="126"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0"/>
                <w:szCs w:val="10"/>
                <w:color w:val="auto"/>
              </w:rPr>
            </w:pPr>
          </w:p>
        </w:tc>
        <w:tc>
          <w:tcPr>
            <w:tcW w:w="800" w:type="dxa"/>
            <w:vAlign w:val="bottom"/>
            <w:gridSpan w:val="3"/>
          </w:tcPr>
          <w:p>
            <w:pPr>
              <w:jc w:val="center"/>
              <w:ind w:right="128"/>
              <w:spacing w:after="0" w:line="126" w:lineRule="exact"/>
              <w:rPr>
                <w:sz w:val="20"/>
                <w:szCs w:val="20"/>
                <w:color w:val="auto"/>
              </w:rPr>
            </w:pPr>
            <w:r>
              <w:rPr>
                <w:rFonts w:ascii="Arial" w:cs="Arial" w:eastAsia="Arial" w:hAnsi="Arial"/>
                <w:sz w:val="14"/>
                <w:szCs w:val="14"/>
                <w:b w:val="1"/>
                <w:bCs w:val="1"/>
                <w:color w:val="auto"/>
                <w:w w:val="92"/>
              </w:rPr>
              <w:t>Recorded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89"/>
              </w:rPr>
              <w:t>Recorded</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5"/>
          </w:tcPr>
          <w:p>
            <w:pPr>
              <w:jc w:val="right"/>
              <w:ind w:right="440"/>
              <w:spacing w:after="0" w:line="126" w:lineRule="exact"/>
              <w:rPr>
                <w:sz w:val="20"/>
                <w:szCs w:val="20"/>
                <w:color w:val="auto"/>
              </w:rPr>
            </w:pPr>
            <w:r>
              <w:rPr>
                <w:rFonts w:ascii="Arial" w:cs="Arial" w:eastAsia="Arial" w:hAnsi="Arial"/>
                <w:sz w:val="14"/>
                <w:szCs w:val="14"/>
                <w:b w:val="1"/>
                <w:bCs w:val="1"/>
                <w:color w:val="auto"/>
              </w:rPr>
              <w:t>Number of</w:t>
            </w:r>
          </w:p>
        </w:tc>
        <w:tc>
          <w:tcPr>
            <w:tcW w:w="800" w:type="dxa"/>
            <w:vAlign w:val="bottom"/>
            <w:gridSpan w:val="2"/>
          </w:tcPr>
          <w:p>
            <w:pPr>
              <w:ind w:left="20"/>
              <w:spacing w:after="0" w:line="126" w:lineRule="exact"/>
              <w:rPr>
                <w:sz w:val="20"/>
                <w:szCs w:val="20"/>
                <w:color w:val="auto"/>
              </w:rPr>
            </w:pPr>
            <w:r>
              <w:rPr>
                <w:rFonts w:ascii="Arial" w:cs="Arial" w:eastAsia="Arial" w:hAnsi="Arial"/>
                <w:sz w:val="14"/>
                <w:szCs w:val="14"/>
                <w:b w:val="1"/>
                <w:bCs w:val="1"/>
                <w:color w:val="auto"/>
              </w:rPr>
              <w:t>Recorded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0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Contracts</w:t>
            </w:r>
          </w:p>
        </w:tc>
        <w:tc>
          <w:tcPr>
            <w:tcW w:w="60" w:type="dxa"/>
            <w:vAlign w:val="bottom"/>
          </w:tcPr>
          <w:p>
            <w:pPr>
              <w:spacing w:after="0"/>
              <w:rPr>
                <w:sz w:val="15"/>
                <w:szCs w:val="15"/>
                <w:color w:val="auto"/>
              </w:rPr>
            </w:pPr>
          </w:p>
        </w:tc>
        <w:tc>
          <w:tcPr>
            <w:tcW w:w="9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Investment</w:t>
            </w:r>
          </w:p>
        </w:tc>
        <w:tc>
          <w:tcPr>
            <w:tcW w:w="80" w:type="dxa"/>
            <w:vAlign w:val="bottom"/>
          </w:tcPr>
          <w:p>
            <w:pPr>
              <w:spacing w:after="0"/>
              <w:rPr>
                <w:sz w:val="15"/>
                <w:szCs w:val="15"/>
                <w:color w:val="auto"/>
              </w:rPr>
            </w:pPr>
          </w:p>
        </w:tc>
        <w:tc>
          <w:tcPr>
            <w:tcW w:w="10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Investment</w:t>
            </w:r>
          </w:p>
        </w:tc>
        <w:tc>
          <w:tcPr>
            <w:tcW w:w="96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Contracts</w:t>
            </w:r>
          </w:p>
        </w:tc>
        <w:tc>
          <w:tcPr>
            <w:tcW w:w="80" w:type="dxa"/>
            <w:vAlign w:val="bottom"/>
          </w:tcPr>
          <w:p>
            <w:pPr>
              <w:spacing w:after="0"/>
              <w:rPr>
                <w:sz w:val="15"/>
                <w:szCs w:val="15"/>
                <w:color w:val="auto"/>
              </w:rPr>
            </w:pPr>
          </w:p>
        </w:tc>
        <w:tc>
          <w:tcPr>
            <w:tcW w:w="10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Investment</w:t>
            </w:r>
          </w:p>
        </w:tc>
        <w:tc>
          <w:tcPr>
            <w:tcW w:w="9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4"/>
              </w:rPr>
              <w:t>Contracts</w:t>
            </w:r>
          </w:p>
        </w:tc>
        <w:tc>
          <w:tcPr>
            <w:tcW w:w="10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Contracts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40" w:type="dxa"/>
            <w:vAlign w:val="bottom"/>
            <w:gridSpan w:val="3"/>
            <w:shd w:val="clear" w:color="auto" w:fill="F0FFFF"/>
          </w:tcPr>
          <w:p>
            <w:pPr>
              <w:spacing w:after="0" w:line="130" w:lineRule="exact"/>
              <w:rPr>
                <w:sz w:val="20"/>
                <w:szCs w:val="20"/>
                <w:color w:val="auto"/>
              </w:rPr>
            </w:pPr>
            <w:r>
              <w:rPr>
                <w:rFonts w:ascii="Arial" w:cs="Arial" w:eastAsia="Arial" w:hAnsi="Arial"/>
                <w:sz w:val="14"/>
                <w:szCs w:val="14"/>
                <w:color w:val="auto"/>
              </w:rPr>
              <w:t>Owner occupied</w:t>
            </w:r>
          </w:p>
        </w:tc>
        <w:tc>
          <w:tcPr>
            <w:tcW w:w="12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3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4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30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4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4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280" w:type="dxa"/>
            <w:vAlign w:val="bottom"/>
            <w:tcBorders>
              <w:righ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80" w:type="dxa"/>
            <w:vAlign w:val="bottom"/>
            <w:tcBorders>
              <w:right w:val="single" w:sz="8" w:color="F0FFFF"/>
            </w:tcBorders>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gridSpan w:val="3"/>
            <w:shd w:val="clear" w:color="auto" w:fill="F0FFFF"/>
          </w:tcPr>
          <w:p>
            <w:pPr>
              <w:ind w:left="140"/>
              <w:spacing w:after="0" w:line="149" w:lineRule="exact"/>
              <w:rPr>
                <w:sz w:val="20"/>
                <w:szCs w:val="20"/>
                <w:color w:val="auto"/>
              </w:rPr>
            </w:pPr>
            <w:r>
              <w:rPr>
                <w:rFonts w:ascii="Arial" w:cs="Arial" w:eastAsia="Arial" w:hAnsi="Arial"/>
                <w:sz w:val="14"/>
                <w:szCs w:val="14"/>
                <w:color w:val="auto"/>
              </w:rPr>
              <w:t>commercial</w:t>
            </w:r>
          </w:p>
        </w:tc>
        <w:tc>
          <w:tcPr>
            <w:tcW w:w="12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3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300" w:type="dxa"/>
            <w:vAlign w:val="bottom"/>
            <w:shd w:val="clear" w:color="auto" w:fill="F0FFFF"/>
          </w:tcPr>
          <w:p>
            <w:pPr>
              <w:spacing w:after="0"/>
              <w:rPr>
                <w:sz w:val="12"/>
                <w:szCs w:val="12"/>
                <w:color w:val="auto"/>
              </w:rPr>
            </w:pPr>
          </w:p>
        </w:tc>
        <w:tc>
          <w:tcPr>
            <w:tcW w:w="120" w:type="dxa"/>
            <w:vAlign w:val="bottom"/>
            <w:tcBorders>
              <w:right w:val="single" w:sz="8" w:color="F0FFFF"/>
            </w:tcBorders>
            <w:shd w:val="clear" w:color="auto" w:fill="F0FFFF"/>
          </w:tcPr>
          <w:p>
            <w:pPr>
              <w:spacing w:after="0"/>
              <w:rPr>
                <w:sz w:val="12"/>
                <w:szCs w:val="12"/>
                <w:color w:val="auto"/>
              </w:rPr>
            </w:pPr>
          </w:p>
        </w:tc>
        <w:tc>
          <w:tcPr>
            <w:tcW w:w="4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4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28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80" w:type="dxa"/>
            <w:vAlign w:val="bottom"/>
            <w:tcBorders>
              <w:right w:val="single" w:sz="8" w:color="F0FFFF"/>
            </w:tcBorders>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gridSpan w:val="3"/>
            <w:shd w:val="clear" w:color="auto" w:fill="F0FFFF"/>
          </w:tcPr>
          <w:p>
            <w:pPr>
              <w:ind w:left="140"/>
              <w:spacing w:after="0"/>
              <w:rPr>
                <w:sz w:val="20"/>
                <w:szCs w:val="20"/>
                <w:color w:val="auto"/>
              </w:rPr>
            </w:pPr>
            <w:r>
              <w:rPr>
                <w:rFonts w:ascii="Arial" w:cs="Arial" w:eastAsia="Arial" w:hAnsi="Arial"/>
                <w:sz w:val="14"/>
                <w:szCs w:val="14"/>
                <w:color w:val="auto"/>
              </w:rPr>
              <w:t>real estate</w:t>
            </w:r>
          </w:p>
        </w:tc>
        <w:tc>
          <w:tcPr>
            <w:tcW w:w="840" w:type="dxa"/>
            <w:vAlign w:val="bottom"/>
            <w:gridSpan w:val="3"/>
            <w:shd w:val="clear" w:color="auto" w:fill="F0FFFF"/>
          </w:tcPr>
          <w:p>
            <w:pPr>
              <w:jc w:val="right"/>
              <w:ind w:right="100"/>
              <w:spacing w:after="0"/>
              <w:rPr>
                <w:sz w:val="20"/>
                <w:szCs w:val="20"/>
                <w:color w:val="auto"/>
              </w:rPr>
            </w:pPr>
            <w:r>
              <w:rPr>
                <w:rFonts w:ascii="Arial" w:cs="Arial" w:eastAsia="Arial" w:hAnsi="Arial"/>
                <w:sz w:val="14"/>
                <w:szCs w:val="14"/>
                <w:color w:val="auto"/>
              </w:rPr>
              <w:t>5</w:t>
            </w:r>
          </w:p>
        </w:tc>
        <w:tc>
          <w:tcPr>
            <w:tcW w:w="6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640" w:type="dxa"/>
            <w:vAlign w:val="bottom"/>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2,787</w:t>
            </w:r>
          </w:p>
        </w:tc>
        <w:tc>
          <w:tcPr>
            <w:tcW w:w="400" w:type="dxa"/>
            <w:vAlign w:val="bottom"/>
            <w:gridSpan w:val="2"/>
            <w:shd w:val="clear" w:color="auto" w:fill="F0FFFF"/>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F0FFFF"/>
          </w:tcPr>
          <w:p>
            <w:pPr>
              <w:jc w:val="right"/>
              <w:ind w:right="80"/>
              <w:spacing w:after="0"/>
              <w:rPr>
                <w:sz w:val="20"/>
                <w:szCs w:val="20"/>
                <w:color w:val="auto"/>
              </w:rPr>
            </w:pPr>
            <w:r>
              <w:rPr>
                <w:rFonts w:ascii="Arial" w:cs="Arial" w:eastAsia="Arial" w:hAnsi="Arial"/>
                <w:sz w:val="14"/>
                <w:szCs w:val="14"/>
                <w:color w:val="auto"/>
              </w:rPr>
              <w:t>2,787</w:t>
            </w:r>
          </w:p>
        </w:tc>
        <w:tc>
          <w:tcPr>
            <w:tcW w:w="4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4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380" w:type="dxa"/>
            <w:vAlign w:val="bottom"/>
            <w:gridSpan w:val="2"/>
            <w:shd w:val="clear" w:color="auto" w:fill="F0FFFF"/>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F0FFFF"/>
            </w:tcBorders>
            <w:shd w:val="clear" w:color="auto" w:fill="F0FFFF"/>
          </w:tcPr>
          <w:p>
            <w:pPr>
              <w:spacing w:after="0"/>
              <w:rPr>
                <w:sz w:val="14"/>
                <w:szCs w:val="14"/>
                <w:color w:val="auto"/>
              </w:rPr>
            </w:pPr>
          </w:p>
        </w:tc>
        <w:tc>
          <w:tcPr>
            <w:tcW w:w="54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7</w:t>
            </w:r>
          </w:p>
        </w:tc>
        <w:tc>
          <w:tcPr>
            <w:tcW w:w="200" w:type="dxa"/>
            <w:vAlign w:val="bottom"/>
            <w:shd w:val="clear" w:color="auto" w:fill="F0FFFF"/>
          </w:tcPr>
          <w:p>
            <w:pPr>
              <w:jc w:val="right"/>
              <w:ind w:right="48"/>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3,392</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4"/>
            <w:shd w:val="clear" w:color="auto" w:fill="F0FFFF"/>
          </w:tcPr>
          <w:p>
            <w:pPr>
              <w:jc w:val="right"/>
              <w:ind w:right="120"/>
              <w:spacing w:after="0"/>
              <w:rPr>
                <w:sz w:val="20"/>
                <w:szCs w:val="20"/>
                <w:color w:val="auto"/>
              </w:rPr>
            </w:pPr>
            <w:r>
              <w:rPr>
                <w:rFonts w:ascii="Arial" w:cs="Arial" w:eastAsia="Arial" w:hAnsi="Arial"/>
                <w:sz w:val="14"/>
                <w:szCs w:val="14"/>
                <w:color w:val="auto"/>
              </w:rPr>
              <w:t>3,392</w:t>
            </w:r>
          </w:p>
        </w:tc>
        <w:tc>
          <w:tcPr>
            <w:tcW w:w="280" w:type="dxa"/>
            <w:vAlign w:val="bottom"/>
            <w:tcBorders>
              <w:right w:val="single" w:sz="8" w:color="F0FFFF"/>
            </w:tcBorders>
            <w:shd w:val="clear" w:color="auto" w:fill="F0FFFF"/>
          </w:tcPr>
          <w:p>
            <w:pPr>
              <w:spacing w:after="0"/>
              <w:rPr>
                <w:sz w:val="14"/>
                <w:szCs w:val="14"/>
                <w:color w:val="auto"/>
              </w:rPr>
            </w:pPr>
          </w:p>
        </w:tc>
        <w:tc>
          <w:tcPr>
            <w:tcW w:w="960" w:type="dxa"/>
            <w:vAlign w:val="bottom"/>
            <w:tcBorders>
              <w:right w:val="single" w:sz="8" w:color="F0FFFF"/>
            </w:tcBorders>
            <w:gridSpan w:val="4"/>
            <w:shd w:val="clear" w:color="auto" w:fill="F0FFFF"/>
          </w:tcPr>
          <w:p>
            <w:pPr>
              <w:jc w:val="center"/>
              <w:ind w:left="428"/>
              <w:spacing w:after="0"/>
              <w:rPr>
                <w:sz w:val="20"/>
                <w:szCs w:val="20"/>
                <w:color w:val="auto"/>
              </w:rPr>
            </w:pPr>
            <w:r>
              <w:rPr>
                <w:rFonts w:ascii="Arial" w:cs="Arial" w:eastAsia="Arial" w:hAnsi="Arial"/>
                <w:sz w:val="14"/>
                <w:szCs w:val="14"/>
                <w:color w:val="auto"/>
              </w:rPr>
              <w:t>1  $</w:t>
            </w:r>
          </w:p>
        </w:tc>
        <w:tc>
          <w:tcPr>
            <w:tcW w:w="560" w:type="dxa"/>
            <w:vAlign w:val="bottom"/>
            <w:shd w:val="clear" w:color="auto" w:fill="F0FFFF"/>
          </w:tcPr>
          <w:p>
            <w:pPr>
              <w:spacing w:after="0"/>
              <w:rPr>
                <w:sz w:val="14"/>
                <w:szCs w:val="14"/>
                <w:color w:val="auto"/>
              </w:rPr>
            </w:pPr>
          </w:p>
        </w:tc>
        <w:tc>
          <w:tcPr>
            <w:tcW w:w="3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w w:val="94"/>
              </w:rPr>
              <w:t>104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40" w:type="dxa"/>
            <w:vAlign w:val="bottom"/>
            <w:gridSpan w:val="3"/>
          </w:tcPr>
          <w:p>
            <w:pPr>
              <w:spacing w:after="0" w:line="130" w:lineRule="exact"/>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producing</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gridSpan w:val="3"/>
          </w:tcPr>
          <w:p>
            <w:pPr>
              <w:ind w:left="140"/>
              <w:spacing w:after="0"/>
              <w:rPr>
                <w:sz w:val="20"/>
                <w:szCs w:val="20"/>
                <w:color w:val="auto"/>
              </w:rPr>
            </w:pPr>
            <w:r>
              <w:rPr>
                <w:rFonts w:ascii="Arial" w:cs="Arial" w:eastAsia="Arial" w:hAnsi="Arial"/>
                <w:sz w:val="14"/>
                <w:szCs w:val="14"/>
                <w:color w:val="auto"/>
              </w:rPr>
              <w:t>real estate</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1,459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1,459</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1,992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4"/>
          </w:tcPr>
          <w:p>
            <w:pPr>
              <w:jc w:val="right"/>
              <w:ind w:right="120"/>
              <w:spacing w:after="0"/>
              <w:rPr>
                <w:sz w:val="20"/>
                <w:szCs w:val="20"/>
                <w:color w:val="auto"/>
              </w:rPr>
            </w:pPr>
            <w:r>
              <w:rPr>
                <w:rFonts w:ascii="Arial" w:cs="Arial" w:eastAsia="Arial" w:hAnsi="Arial"/>
                <w:sz w:val="14"/>
                <w:szCs w:val="14"/>
                <w:color w:val="auto"/>
              </w:rPr>
              <w:t>1,992</w:t>
            </w:r>
          </w:p>
        </w:tc>
        <w:tc>
          <w:tcPr>
            <w:tcW w:w="28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40" w:type="dxa"/>
            <w:vAlign w:val="bottom"/>
            <w:gridSpan w:val="3"/>
            <w:shd w:val="clear" w:color="auto" w:fill="F0FFFF"/>
          </w:tcPr>
          <w:p>
            <w:pPr>
              <w:spacing w:after="0" w:line="130" w:lineRule="exact"/>
              <w:rPr>
                <w:sz w:val="20"/>
                <w:szCs w:val="20"/>
                <w:color w:val="auto"/>
              </w:rPr>
            </w:pPr>
            <w:r>
              <w:rPr>
                <w:rFonts w:ascii="Arial" w:cs="Arial" w:eastAsia="Arial" w:hAnsi="Arial"/>
                <w:sz w:val="14"/>
                <w:szCs w:val="14"/>
                <w:color w:val="auto"/>
              </w:rPr>
              <w:t>Commercial &amp;</w:t>
            </w:r>
          </w:p>
        </w:tc>
        <w:tc>
          <w:tcPr>
            <w:tcW w:w="12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3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4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300" w:type="dxa"/>
            <w:vAlign w:val="bottom"/>
            <w:shd w:val="clear" w:color="auto" w:fill="F0FFFF"/>
          </w:tcPr>
          <w:p>
            <w:pPr>
              <w:spacing w:after="0"/>
              <w:rPr>
                <w:sz w:val="11"/>
                <w:szCs w:val="11"/>
                <w:color w:val="auto"/>
              </w:rPr>
            </w:pPr>
          </w:p>
        </w:tc>
        <w:tc>
          <w:tcPr>
            <w:tcW w:w="120" w:type="dxa"/>
            <w:vAlign w:val="bottom"/>
            <w:tcBorders>
              <w:right w:val="single" w:sz="8" w:color="F0FFFF"/>
            </w:tcBorders>
            <w:shd w:val="clear" w:color="auto" w:fill="F0FFFF"/>
          </w:tcPr>
          <w:p>
            <w:pPr>
              <w:spacing w:after="0"/>
              <w:rPr>
                <w:sz w:val="11"/>
                <w:szCs w:val="11"/>
                <w:color w:val="auto"/>
              </w:rPr>
            </w:pPr>
          </w:p>
        </w:tc>
        <w:tc>
          <w:tcPr>
            <w:tcW w:w="4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4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280" w:type="dxa"/>
            <w:vAlign w:val="bottom"/>
            <w:tcBorders>
              <w:righ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80" w:type="dxa"/>
            <w:vAlign w:val="bottom"/>
            <w:tcBorders>
              <w:right w:val="single" w:sz="8" w:color="F0FFFF"/>
            </w:tcBorders>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gridSpan w:val="3"/>
            <w:shd w:val="clear" w:color="auto" w:fill="F0FFFF"/>
          </w:tcPr>
          <w:p>
            <w:pPr>
              <w:ind w:left="140"/>
              <w:spacing w:after="0"/>
              <w:rPr>
                <w:sz w:val="20"/>
                <w:szCs w:val="20"/>
                <w:color w:val="auto"/>
              </w:rPr>
            </w:pPr>
            <w:r>
              <w:rPr>
                <w:rFonts w:ascii="Arial" w:cs="Arial" w:eastAsia="Arial" w:hAnsi="Arial"/>
                <w:sz w:val="14"/>
                <w:szCs w:val="14"/>
                <w:color w:val="auto"/>
              </w:rPr>
              <w:t>industrial</w:t>
            </w:r>
          </w:p>
        </w:tc>
        <w:tc>
          <w:tcPr>
            <w:tcW w:w="840" w:type="dxa"/>
            <w:vAlign w:val="bottom"/>
            <w:gridSpan w:val="3"/>
            <w:shd w:val="clear" w:color="auto" w:fill="F0FFFF"/>
          </w:tcPr>
          <w:p>
            <w:pPr>
              <w:jc w:val="right"/>
              <w:ind w:right="100"/>
              <w:spacing w:after="0"/>
              <w:rPr>
                <w:sz w:val="20"/>
                <w:szCs w:val="20"/>
                <w:color w:val="auto"/>
              </w:rPr>
            </w:pPr>
            <w:r>
              <w:rPr>
                <w:rFonts w:ascii="Arial" w:cs="Arial" w:eastAsia="Arial" w:hAnsi="Arial"/>
                <w:sz w:val="14"/>
                <w:szCs w:val="14"/>
                <w:color w:val="auto"/>
              </w:rPr>
              <w:t>3</w:t>
            </w:r>
          </w:p>
        </w:tc>
        <w:tc>
          <w:tcPr>
            <w:tcW w:w="6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640" w:type="dxa"/>
            <w:vAlign w:val="bottom"/>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106</w:t>
            </w:r>
          </w:p>
        </w:tc>
        <w:tc>
          <w:tcPr>
            <w:tcW w:w="80" w:type="dxa"/>
            <w:vAlign w:val="bottom"/>
            <w:shd w:val="clear" w:color="auto" w:fill="F0FFFF"/>
          </w:tcPr>
          <w:p>
            <w:pPr>
              <w:spacing w:after="0"/>
              <w:rPr>
                <w:sz w:val="14"/>
                <w:szCs w:val="14"/>
                <w:color w:val="auto"/>
              </w:rPr>
            </w:pPr>
          </w:p>
        </w:tc>
        <w:tc>
          <w:tcPr>
            <w:tcW w:w="320" w:type="dxa"/>
            <w:vAlign w:val="bottom"/>
            <w:shd w:val="clear" w:color="auto" w:fill="F0FFFF"/>
          </w:tcPr>
          <w:p>
            <w:pPr>
              <w:spacing w:after="0"/>
              <w:rPr>
                <w:sz w:val="14"/>
                <w:szCs w:val="14"/>
                <w:color w:val="auto"/>
              </w:rPr>
            </w:pPr>
          </w:p>
        </w:tc>
        <w:tc>
          <w:tcPr>
            <w:tcW w:w="740" w:type="dxa"/>
            <w:vAlign w:val="bottom"/>
            <w:gridSpan w:val="3"/>
            <w:shd w:val="clear" w:color="auto" w:fill="F0FFFF"/>
          </w:tcPr>
          <w:p>
            <w:pPr>
              <w:jc w:val="right"/>
              <w:ind w:right="80"/>
              <w:spacing w:after="0"/>
              <w:rPr>
                <w:sz w:val="20"/>
                <w:szCs w:val="20"/>
                <w:color w:val="auto"/>
              </w:rPr>
            </w:pPr>
            <w:r>
              <w:rPr>
                <w:rFonts w:ascii="Arial" w:cs="Arial" w:eastAsia="Arial" w:hAnsi="Arial"/>
                <w:sz w:val="14"/>
                <w:szCs w:val="14"/>
                <w:color w:val="auto"/>
              </w:rPr>
              <w:t>106</w:t>
            </w:r>
          </w:p>
        </w:tc>
        <w:tc>
          <w:tcPr>
            <w:tcW w:w="4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4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4"/>
                <w:szCs w:val="14"/>
                <w:color w:val="auto"/>
              </w:rPr>
            </w:pPr>
          </w:p>
        </w:tc>
        <w:tc>
          <w:tcPr>
            <w:tcW w:w="300" w:type="dxa"/>
            <w:vAlign w:val="bottom"/>
            <w:shd w:val="clear" w:color="auto" w:fill="F0FFFF"/>
          </w:tcPr>
          <w:p>
            <w:pPr>
              <w:spacing w:after="0"/>
              <w:rPr>
                <w:sz w:val="14"/>
                <w:szCs w:val="14"/>
                <w:color w:val="auto"/>
              </w:rPr>
            </w:pPr>
          </w:p>
        </w:tc>
        <w:tc>
          <w:tcPr>
            <w:tcW w:w="120" w:type="dxa"/>
            <w:vAlign w:val="bottom"/>
            <w:tcBorders>
              <w:right w:val="single" w:sz="8" w:color="F0FFFF"/>
            </w:tcBorders>
            <w:shd w:val="clear" w:color="auto" w:fill="F0FFFF"/>
          </w:tcPr>
          <w:p>
            <w:pPr>
              <w:spacing w:after="0"/>
              <w:rPr>
                <w:sz w:val="14"/>
                <w:szCs w:val="14"/>
                <w:color w:val="auto"/>
              </w:rPr>
            </w:pPr>
          </w:p>
        </w:tc>
        <w:tc>
          <w:tcPr>
            <w:tcW w:w="54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4</w:t>
            </w:r>
          </w:p>
        </w:tc>
        <w:tc>
          <w:tcPr>
            <w:tcW w:w="2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000" w:type="dxa"/>
            <w:vAlign w:val="bottom"/>
            <w:gridSpan w:val="4"/>
            <w:shd w:val="clear" w:color="auto" w:fill="F0FFFF"/>
          </w:tcPr>
          <w:p>
            <w:pPr>
              <w:jc w:val="right"/>
              <w:ind w:right="120"/>
              <w:spacing w:after="0"/>
              <w:rPr>
                <w:sz w:val="20"/>
                <w:szCs w:val="20"/>
                <w:color w:val="auto"/>
              </w:rPr>
            </w:pPr>
            <w:r>
              <w:rPr>
                <w:rFonts w:ascii="Arial" w:cs="Arial" w:eastAsia="Arial" w:hAnsi="Arial"/>
                <w:sz w:val="14"/>
                <w:szCs w:val="14"/>
                <w:color w:val="auto"/>
              </w:rPr>
              <w:t>330</w:t>
            </w:r>
          </w:p>
        </w:tc>
        <w:tc>
          <w:tcPr>
            <w:tcW w:w="280" w:type="dxa"/>
            <w:vAlign w:val="bottom"/>
            <w:tcBorders>
              <w:right w:val="single" w:sz="8" w:color="F0FFFF"/>
            </w:tcBorders>
            <w:shd w:val="clear" w:color="auto" w:fill="F0FFFF"/>
          </w:tcPr>
          <w:p>
            <w:pPr>
              <w:spacing w:after="0"/>
              <w:rPr>
                <w:sz w:val="14"/>
                <w:szCs w:val="14"/>
                <w:color w:val="auto"/>
              </w:rPr>
            </w:pPr>
          </w:p>
        </w:tc>
        <w:tc>
          <w:tcPr>
            <w:tcW w:w="780" w:type="dxa"/>
            <w:vAlign w:val="bottom"/>
            <w:gridSpan w:val="3"/>
            <w:shd w:val="clear" w:color="auto" w:fill="F0FFFF"/>
          </w:tcPr>
          <w:p>
            <w:pPr>
              <w:jc w:val="right"/>
              <w:ind w:right="100"/>
              <w:spacing w:after="0"/>
              <w:rPr>
                <w:sz w:val="20"/>
                <w:szCs w:val="20"/>
                <w:color w:val="auto"/>
              </w:rPr>
            </w:pPr>
            <w:r>
              <w:rPr>
                <w:rFonts w:ascii="Arial" w:cs="Arial" w:eastAsia="Arial" w:hAnsi="Arial"/>
                <w:sz w:val="14"/>
                <w:szCs w:val="14"/>
                <w:color w:val="auto"/>
              </w:rPr>
              <w:t>2</w:t>
            </w:r>
          </w:p>
        </w:tc>
        <w:tc>
          <w:tcPr>
            <w:tcW w:w="180" w:type="dxa"/>
            <w:vAlign w:val="bottom"/>
            <w:tcBorders>
              <w:right w:val="single" w:sz="8" w:color="F0FFFF"/>
            </w:tcBorders>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3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40" w:type="dxa"/>
            <w:vAlign w:val="bottom"/>
            <w:gridSpan w:val="3"/>
          </w:tcPr>
          <w:p>
            <w:pPr>
              <w:spacing w:after="0" w:line="130" w:lineRule="exact"/>
              <w:rPr>
                <w:sz w:val="20"/>
                <w:szCs w:val="20"/>
                <w:color w:val="auto"/>
              </w:rPr>
            </w:pPr>
            <w:r>
              <w:rPr>
                <w:rFonts w:ascii="Arial" w:cs="Arial" w:eastAsia="Arial" w:hAnsi="Arial"/>
                <w:sz w:val="14"/>
                <w:szCs w:val="14"/>
                <w:color w:val="auto"/>
              </w:rPr>
              <w:t>Commercial</w:t>
            </w:r>
          </w:p>
        </w:tc>
        <w:tc>
          <w:tcPr>
            <w:tcW w:w="84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240</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240</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471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4"/>
            <w:vMerge w:val="restart"/>
          </w:tcPr>
          <w:p>
            <w:pPr>
              <w:jc w:val="right"/>
              <w:ind w:right="120"/>
              <w:spacing w:after="0"/>
              <w:rPr>
                <w:sz w:val="20"/>
                <w:szCs w:val="20"/>
                <w:color w:val="auto"/>
              </w:rPr>
            </w:pPr>
            <w:r>
              <w:rPr>
                <w:rFonts w:ascii="Arial" w:cs="Arial" w:eastAsia="Arial" w:hAnsi="Arial"/>
                <w:sz w:val="14"/>
                <w:szCs w:val="14"/>
                <w:color w:val="auto"/>
              </w:rPr>
              <w:t>471</w:t>
            </w:r>
          </w:p>
        </w:tc>
        <w:tc>
          <w:tcPr>
            <w:tcW w:w="280" w:type="dxa"/>
            <w:vAlign w:val="bottom"/>
          </w:tcPr>
          <w:p>
            <w:pPr>
              <w:spacing w:after="0"/>
              <w:rPr>
                <w:sz w:val="11"/>
                <w:szCs w:val="11"/>
                <w:color w:val="auto"/>
              </w:rPr>
            </w:pPr>
          </w:p>
        </w:tc>
        <w:tc>
          <w:tcPr>
            <w:tcW w:w="78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140" w:type="dxa"/>
            <w:vAlign w:val="bottom"/>
            <w:gridSpan w:val="3"/>
          </w:tcPr>
          <w:p>
            <w:pPr>
              <w:ind w:left="140"/>
              <w:spacing w:after="0" w:line="154" w:lineRule="exact"/>
              <w:rPr>
                <w:sz w:val="20"/>
                <w:szCs w:val="20"/>
                <w:color w:val="auto"/>
              </w:rPr>
            </w:pPr>
            <w:r>
              <w:rPr>
                <w:rFonts w:ascii="Arial" w:cs="Arial" w:eastAsia="Arial" w:hAnsi="Arial"/>
                <w:sz w:val="14"/>
                <w:szCs w:val="14"/>
                <w:color w:val="auto"/>
              </w:rPr>
              <w:t>construction</w:t>
            </w:r>
          </w:p>
        </w:tc>
        <w:tc>
          <w:tcPr>
            <w:tcW w:w="84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4"/>
            <w:vMerge w:val="continue"/>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Borders>
              <w:top w:val="single" w:sz="8" w:color="F0FFFF"/>
            </w:tcBorders>
            <w:gridSpan w:val="2"/>
            <w:shd w:val="clear" w:color="auto" w:fill="F0FFFF"/>
          </w:tcPr>
          <w:p>
            <w:pPr>
              <w:ind w:left="140"/>
              <w:spacing w:after="0" w:line="143" w:lineRule="exact"/>
              <w:rPr>
                <w:sz w:val="20"/>
                <w:szCs w:val="20"/>
                <w:color w:val="auto"/>
              </w:rPr>
            </w:pPr>
            <w:r>
              <w:rPr>
                <w:rFonts w:ascii="Arial" w:cs="Arial" w:eastAsia="Arial" w:hAnsi="Arial"/>
                <w:sz w:val="14"/>
                <w:szCs w:val="14"/>
                <w:color w:val="auto"/>
              </w:rPr>
              <w:t>Total</w:t>
            </w:r>
          </w:p>
        </w:tc>
        <w:tc>
          <w:tcPr>
            <w:tcW w:w="80" w:type="dxa"/>
            <w:vAlign w:val="bottom"/>
            <w:tcBorders>
              <w:top w:val="single" w:sz="8" w:color="auto"/>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620" w:type="dxa"/>
            <w:vAlign w:val="bottom"/>
            <w:tcBorders>
              <w:top w:val="single" w:sz="8" w:color="auto"/>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60" w:type="dxa"/>
            <w:vAlign w:val="bottom"/>
            <w:tcBorders>
              <w:top w:val="single" w:sz="8" w:color="auto"/>
            </w:tcBorders>
            <w:shd w:val="clear" w:color="auto" w:fill="F0FFFF"/>
          </w:tcPr>
          <w:p>
            <w:pPr>
              <w:spacing w:after="0"/>
              <w:rPr>
                <w:sz w:val="12"/>
                <w:szCs w:val="12"/>
                <w:color w:val="auto"/>
              </w:rPr>
            </w:pPr>
          </w:p>
        </w:tc>
        <w:tc>
          <w:tcPr>
            <w:tcW w:w="140" w:type="dxa"/>
            <w:vAlign w:val="bottom"/>
            <w:tcBorders>
              <w:top w:val="single" w:sz="8" w:color="auto"/>
            </w:tcBorders>
            <w:shd w:val="clear" w:color="auto" w:fill="F0FFFF"/>
          </w:tcPr>
          <w:p>
            <w:pPr>
              <w:spacing w:after="0"/>
              <w:rPr>
                <w:sz w:val="12"/>
                <w:szCs w:val="12"/>
                <w:color w:val="auto"/>
              </w:rPr>
            </w:pPr>
          </w:p>
        </w:tc>
        <w:tc>
          <w:tcPr>
            <w:tcW w:w="140" w:type="dxa"/>
            <w:vAlign w:val="bottom"/>
            <w:tcBorders>
              <w:top w:val="single" w:sz="8" w:color="auto"/>
            </w:tcBorders>
            <w:shd w:val="clear" w:color="auto" w:fill="F0FFFF"/>
          </w:tcPr>
          <w:p>
            <w:pPr>
              <w:spacing w:after="0"/>
              <w:rPr>
                <w:sz w:val="12"/>
                <w:szCs w:val="12"/>
                <w:color w:val="auto"/>
              </w:rPr>
            </w:pPr>
          </w:p>
        </w:tc>
        <w:tc>
          <w:tcPr>
            <w:tcW w:w="620" w:type="dxa"/>
            <w:vAlign w:val="bottom"/>
            <w:tcBorders>
              <w:top w:val="single" w:sz="8" w:color="auto"/>
            </w:tcBorders>
            <w:shd w:val="clear" w:color="auto" w:fill="F0FFFF"/>
          </w:tcPr>
          <w:p>
            <w:pPr>
              <w:spacing w:after="0"/>
              <w:rPr>
                <w:sz w:val="12"/>
                <w:szCs w:val="12"/>
                <w:color w:val="auto"/>
              </w:rPr>
            </w:pPr>
          </w:p>
        </w:tc>
        <w:tc>
          <w:tcPr>
            <w:tcW w:w="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320" w:type="dxa"/>
            <w:vAlign w:val="bottom"/>
            <w:tcBorders>
              <w:top w:val="single" w:sz="8" w:color="auto"/>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540" w:type="dxa"/>
            <w:vAlign w:val="bottom"/>
            <w:tcBorders>
              <w:top w:val="single" w:sz="8" w:color="auto"/>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420" w:type="dxa"/>
            <w:vAlign w:val="bottom"/>
            <w:tcBorders>
              <w:top w:val="single" w:sz="8" w:color="auto"/>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420" w:type="dxa"/>
            <w:vAlign w:val="bottom"/>
            <w:tcBorders>
              <w:top w:val="single" w:sz="8" w:color="auto"/>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300" w:type="dxa"/>
            <w:vAlign w:val="bottom"/>
            <w:tcBorders>
              <w:top w:val="single" w:sz="8" w:color="auto"/>
            </w:tcBorders>
            <w:shd w:val="clear" w:color="auto" w:fill="F0FFFF"/>
          </w:tcPr>
          <w:p>
            <w:pPr>
              <w:spacing w:after="0"/>
              <w:rPr>
                <w:sz w:val="12"/>
                <w:szCs w:val="12"/>
                <w:color w:val="auto"/>
              </w:rPr>
            </w:pPr>
          </w:p>
        </w:tc>
        <w:tc>
          <w:tcPr>
            <w:tcW w:w="120" w:type="dxa"/>
            <w:vAlign w:val="bottom"/>
            <w:tcBorders>
              <w:top w:val="single" w:sz="8" w:color="auto"/>
              <w:right w:val="single" w:sz="8" w:color="F0FFFF"/>
            </w:tcBorders>
            <w:shd w:val="clear" w:color="auto" w:fill="F0FFFF"/>
          </w:tcPr>
          <w:p>
            <w:pPr>
              <w:spacing w:after="0"/>
              <w:rPr>
                <w:sz w:val="12"/>
                <w:szCs w:val="12"/>
                <w:color w:val="auto"/>
              </w:rPr>
            </w:pPr>
          </w:p>
        </w:tc>
        <w:tc>
          <w:tcPr>
            <w:tcW w:w="460" w:type="dxa"/>
            <w:vAlign w:val="bottom"/>
            <w:tcBorders>
              <w:top w:val="single" w:sz="8" w:color="auto"/>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60" w:type="dxa"/>
            <w:vAlign w:val="bottom"/>
            <w:tcBorders>
              <w:top w:val="single" w:sz="8" w:color="auto"/>
            </w:tcBorders>
            <w:shd w:val="clear" w:color="auto" w:fill="F0FFFF"/>
          </w:tcPr>
          <w:p>
            <w:pPr>
              <w:spacing w:after="0"/>
              <w:rPr>
                <w:sz w:val="12"/>
                <w:szCs w:val="12"/>
                <w:color w:val="auto"/>
              </w:rPr>
            </w:pPr>
          </w:p>
        </w:tc>
        <w:tc>
          <w:tcPr>
            <w:tcW w:w="200" w:type="dxa"/>
            <w:vAlign w:val="bottom"/>
            <w:tcBorders>
              <w:top w:val="single" w:sz="8" w:color="auto"/>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480" w:type="dxa"/>
            <w:vAlign w:val="bottom"/>
            <w:tcBorders>
              <w:top w:val="single" w:sz="8" w:color="auto"/>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200" w:type="dxa"/>
            <w:vAlign w:val="bottom"/>
            <w:tcBorders>
              <w:top w:val="single" w:sz="8" w:color="auto"/>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00" w:type="dxa"/>
            <w:vAlign w:val="bottom"/>
            <w:tcBorders>
              <w:top w:val="single" w:sz="8" w:color="auto"/>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720" w:type="dxa"/>
            <w:vAlign w:val="bottom"/>
            <w:tcBorders>
              <w:top w:val="single" w:sz="8" w:color="auto"/>
            </w:tcBorders>
            <w:shd w:val="clear" w:color="auto" w:fill="F0FFFF"/>
          </w:tcPr>
          <w:p>
            <w:pPr>
              <w:spacing w:after="0"/>
              <w:rPr>
                <w:sz w:val="12"/>
                <w:szCs w:val="12"/>
                <w:color w:val="auto"/>
              </w:rPr>
            </w:pPr>
          </w:p>
        </w:tc>
        <w:tc>
          <w:tcPr>
            <w:tcW w:w="40" w:type="dxa"/>
            <w:vAlign w:val="bottom"/>
            <w:tcBorders>
              <w:top w:val="single" w:sz="8" w:color="auto"/>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280" w:type="dxa"/>
            <w:vAlign w:val="bottom"/>
            <w:tcBorders>
              <w:top w:val="single" w:sz="8" w:color="auto"/>
              <w:right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600" w:type="dxa"/>
            <w:vAlign w:val="bottom"/>
            <w:tcBorders>
              <w:top w:val="single" w:sz="8" w:color="auto"/>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180" w:type="dxa"/>
            <w:vAlign w:val="bottom"/>
            <w:tcBorders>
              <w:top w:val="single" w:sz="8" w:color="auto"/>
              <w:right w:val="single" w:sz="8" w:color="F0FFFF"/>
            </w:tcBorders>
            <w:shd w:val="clear" w:color="auto" w:fill="F0FFFF"/>
          </w:tcPr>
          <w:p>
            <w:pPr>
              <w:spacing w:after="0"/>
              <w:rPr>
                <w:sz w:val="12"/>
                <w:szCs w:val="12"/>
                <w:color w:val="auto"/>
              </w:rPr>
            </w:pPr>
          </w:p>
        </w:tc>
        <w:tc>
          <w:tcPr>
            <w:tcW w:w="560" w:type="dxa"/>
            <w:vAlign w:val="bottom"/>
            <w:tcBorders>
              <w:top w:val="single" w:sz="8" w:color="auto"/>
            </w:tcBorders>
            <w:shd w:val="clear" w:color="auto" w:fill="F0FFFF"/>
          </w:tcPr>
          <w:p>
            <w:pPr>
              <w:spacing w:after="0"/>
              <w:rPr>
                <w:sz w:val="12"/>
                <w:szCs w:val="12"/>
                <w:color w:val="auto"/>
              </w:rPr>
            </w:pPr>
          </w:p>
        </w:tc>
        <w:tc>
          <w:tcPr>
            <w:tcW w:w="240" w:type="dxa"/>
            <w:vAlign w:val="bottom"/>
            <w:tcBorders>
              <w:top w:val="single" w:sz="8" w:color="auto"/>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gridSpan w:val="3"/>
            <w:shd w:val="clear" w:color="auto" w:fill="F0FFFF"/>
          </w:tcPr>
          <w:p>
            <w:pPr>
              <w:ind w:left="300"/>
              <w:spacing w:after="0"/>
              <w:rPr>
                <w:sz w:val="20"/>
                <w:szCs w:val="20"/>
                <w:color w:val="auto"/>
              </w:rPr>
            </w:pPr>
            <w:r>
              <w:rPr>
                <w:rFonts w:ascii="Arial" w:cs="Arial" w:eastAsia="Arial" w:hAnsi="Arial"/>
                <w:sz w:val="14"/>
                <w:szCs w:val="14"/>
                <w:color w:val="auto"/>
              </w:rPr>
              <w:t>commercial</w:t>
            </w:r>
          </w:p>
        </w:tc>
        <w:tc>
          <w:tcPr>
            <w:tcW w:w="840" w:type="dxa"/>
            <w:vAlign w:val="bottom"/>
            <w:gridSpan w:val="3"/>
            <w:shd w:val="clear" w:color="auto" w:fill="F0FFFF"/>
          </w:tcPr>
          <w:p>
            <w:pPr>
              <w:jc w:val="right"/>
              <w:ind w:right="100"/>
              <w:spacing w:after="0"/>
              <w:rPr>
                <w:sz w:val="20"/>
                <w:szCs w:val="20"/>
                <w:color w:val="auto"/>
              </w:rPr>
            </w:pPr>
            <w:r>
              <w:rPr>
                <w:rFonts w:ascii="Arial" w:cs="Arial" w:eastAsia="Arial" w:hAnsi="Arial"/>
                <w:sz w:val="14"/>
                <w:szCs w:val="14"/>
                <w:color w:val="auto"/>
              </w:rPr>
              <w:t>12</w:t>
            </w:r>
          </w:p>
        </w:tc>
        <w:tc>
          <w:tcPr>
            <w:tcW w:w="6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640" w:type="dxa"/>
            <w:vAlign w:val="bottom"/>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4,592</w:t>
            </w:r>
          </w:p>
        </w:tc>
        <w:tc>
          <w:tcPr>
            <w:tcW w:w="80" w:type="dxa"/>
            <w:vAlign w:val="bottom"/>
            <w:shd w:val="clear" w:color="auto" w:fill="F0FFFF"/>
          </w:tcPr>
          <w:p>
            <w:pPr>
              <w:spacing w:after="0"/>
              <w:rPr>
                <w:sz w:val="14"/>
                <w:szCs w:val="14"/>
                <w:color w:val="auto"/>
              </w:rPr>
            </w:pPr>
          </w:p>
        </w:tc>
        <w:tc>
          <w:tcPr>
            <w:tcW w:w="320" w:type="dxa"/>
            <w:vAlign w:val="bottom"/>
            <w:shd w:val="clear" w:color="auto" w:fill="F0FFFF"/>
          </w:tcPr>
          <w:p>
            <w:pPr>
              <w:spacing w:after="0"/>
              <w:rPr>
                <w:sz w:val="14"/>
                <w:szCs w:val="14"/>
                <w:color w:val="auto"/>
              </w:rPr>
            </w:pPr>
          </w:p>
        </w:tc>
        <w:tc>
          <w:tcPr>
            <w:tcW w:w="740" w:type="dxa"/>
            <w:vAlign w:val="bottom"/>
            <w:gridSpan w:val="3"/>
            <w:shd w:val="clear" w:color="auto" w:fill="F0FFFF"/>
          </w:tcPr>
          <w:p>
            <w:pPr>
              <w:jc w:val="right"/>
              <w:ind w:right="80"/>
              <w:spacing w:after="0"/>
              <w:rPr>
                <w:sz w:val="20"/>
                <w:szCs w:val="20"/>
                <w:color w:val="auto"/>
              </w:rPr>
            </w:pPr>
            <w:r>
              <w:rPr>
                <w:rFonts w:ascii="Arial" w:cs="Arial" w:eastAsia="Arial" w:hAnsi="Arial"/>
                <w:sz w:val="14"/>
                <w:szCs w:val="14"/>
                <w:color w:val="auto"/>
              </w:rPr>
              <w:t>4,592</w:t>
            </w:r>
          </w:p>
        </w:tc>
        <w:tc>
          <w:tcPr>
            <w:tcW w:w="4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4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4"/>
                <w:szCs w:val="14"/>
                <w:color w:val="auto"/>
              </w:rPr>
            </w:pPr>
          </w:p>
        </w:tc>
        <w:tc>
          <w:tcPr>
            <w:tcW w:w="300" w:type="dxa"/>
            <w:vAlign w:val="bottom"/>
            <w:shd w:val="clear" w:color="auto" w:fill="F0FFFF"/>
          </w:tcPr>
          <w:p>
            <w:pPr>
              <w:spacing w:after="0"/>
              <w:rPr>
                <w:sz w:val="14"/>
                <w:szCs w:val="14"/>
                <w:color w:val="auto"/>
              </w:rPr>
            </w:pPr>
          </w:p>
        </w:tc>
        <w:tc>
          <w:tcPr>
            <w:tcW w:w="120" w:type="dxa"/>
            <w:vAlign w:val="bottom"/>
            <w:tcBorders>
              <w:right w:val="single" w:sz="8" w:color="F0FFFF"/>
            </w:tcBorders>
            <w:shd w:val="clear" w:color="auto" w:fill="F0FFFF"/>
          </w:tcPr>
          <w:p>
            <w:pPr>
              <w:spacing w:after="0"/>
              <w:rPr>
                <w:sz w:val="14"/>
                <w:szCs w:val="14"/>
                <w:color w:val="auto"/>
              </w:rPr>
            </w:pPr>
          </w:p>
        </w:tc>
        <w:tc>
          <w:tcPr>
            <w:tcW w:w="54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18</w:t>
            </w:r>
          </w:p>
        </w:tc>
        <w:tc>
          <w:tcPr>
            <w:tcW w:w="2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6,185</w:t>
            </w:r>
          </w:p>
        </w:tc>
        <w:tc>
          <w:tcPr>
            <w:tcW w:w="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000" w:type="dxa"/>
            <w:vAlign w:val="bottom"/>
            <w:gridSpan w:val="4"/>
            <w:shd w:val="clear" w:color="auto" w:fill="F0FFFF"/>
          </w:tcPr>
          <w:p>
            <w:pPr>
              <w:jc w:val="right"/>
              <w:ind w:right="120"/>
              <w:spacing w:after="0"/>
              <w:rPr>
                <w:sz w:val="20"/>
                <w:szCs w:val="20"/>
                <w:color w:val="auto"/>
              </w:rPr>
            </w:pPr>
            <w:r>
              <w:rPr>
                <w:rFonts w:ascii="Arial" w:cs="Arial" w:eastAsia="Arial" w:hAnsi="Arial"/>
                <w:sz w:val="14"/>
                <w:szCs w:val="14"/>
                <w:color w:val="auto"/>
              </w:rPr>
              <w:t>6,185</w:t>
            </w:r>
          </w:p>
        </w:tc>
        <w:tc>
          <w:tcPr>
            <w:tcW w:w="280" w:type="dxa"/>
            <w:vAlign w:val="bottom"/>
            <w:tcBorders>
              <w:right w:val="single" w:sz="8" w:color="F0FFFF"/>
            </w:tcBorders>
            <w:shd w:val="clear" w:color="auto" w:fill="F0FFFF"/>
          </w:tcPr>
          <w:p>
            <w:pPr>
              <w:spacing w:after="0"/>
              <w:rPr>
                <w:sz w:val="14"/>
                <w:szCs w:val="14"/>
                <w:color w:val="auto"/>
              </w:rPr>
            </w:pPr>
          </w:p>
        </w:tc>
        <w:tc>
          <w:tcPr>
            <w:tcW w:w="780" w:type="dxa"/>
            <w:vAlign w:val="bottom"/>
            <w:gridSpan w:val="3"/>
            <w:shd w:val="clear" w:color="auto" w:fill="F0FFFF"/>
          </w:tcPr>
          <w:p>
            <w:pPr>
              <w:jc w:val="right"/>
              <w:ind w:right="100"/>
              <w:spacing w:after="0"/>
              <w:rPr>
                <w:sz w:val="20"/>
                <w:szCs w:val="20"/>
                <w:color w:val="auto"/>
              </w:rPr>
            </w:pPr>
            <w:r>
              <w:rPr>
                <w:rFonts w:ascii="Arial" w:cs="Arial" w:eastAsia="Arial" w:hAnsi="Arial"/>
                <w:sz w:val="14"/>
                <w:szCs w:val="14"/>
                <w:color w:val="auto"/>
              </w:rPr>
              <w:t>3</w:t>
            </w:r>
          </w:p>
        </w:tc>
        <w:tc>
          <w:tcPr>
            <w:tcW w:w="180" w:type="dxa"/>
            <w:vAlign w:val="bottom"/>
            <w:tcBorders>
              <w:right w:val="single" w:sz="8" w:color="F0FFFF"/>
            </w:tcBorders>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3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w w:val="94"/>
              </w:rPr>
              <w:t>158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40" w:type="dxa"/>
            <w:vAlign w:val="bottom"/>
            <w:gridSpan w:val="3"/>
          </w:tcPr>
          <w:p>
            <w:pPr>
              <w:spacing w:after="0" w:line="130" w:lineRule="exact"/>
              <w:rPr>
                <w:sz w:val="20"/>
                <w:szCs w:val="20"/>
                <w:color w:val="auto"/>
              </w:rPr>
            </w:pPr>
            <w:r>
              <w:rPr>
                <w:rFonts w:ascii="Arial" w:cs="Arial" w:eastAsia="Arial" w:hAnsi="Arial"/>
                <w:sz w:val="14"/>
                <w:szCs w:val="14"/>
                <w:color w:val="auto"/>
              </w:rPr>
              <w:t>Residential</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40" w:type="dxa"/>
            <w:vAlign w:val="bottom"/>
            <w:tcBorders>
              <w:bottom w:val="single" w:sz="8" w:color="F0FFFF"/>
            </w:tcBorders>
            <w:gridSpan w:val="3"/>
          </w:tcPr>
          <w:p>
            <w:pPr>
              <w:ind w:left="140"/>
              <w:spacing w:after="0"/>
              <w:rPr>
                <w:sz w:val="20"/>
                <w:szCs w:val="20"/>
                <w:color w:val="auto"/>
              </w:rPr>
            </w:pPr>
            <w:r>
              <w:rPr>
                <w:rFonts w:ascii="Arial" w:cs="Arial" w:eastAsia="Arial" w:hAnsi="Arial"/>
                <w:sz w:val="14"/>
                <w:szCs w:val="14"/>
                <w:color w:val="auto"/>
              </w:rPr>
              <w:t>mortgage</w:t>
            </w:r>
          </w:p>
        </w:tc>
        <w:tc>
          <w:tcPr>
            <w:tcW w:w="840" w:type="dxa"/>
            <w:vAlign w:val="bottom"/>
            <w:tcBorders>
              <w:bottom w:val="single" w:sz="8" w:color="F0FFFF"/>
            </w:tcBorders>
            <w:gridSpan w:val="3"/>
          </w:tcPr>
          <w:p>
            <w:pPr>
              <w:jc w:val="right"/>
              <w:ind w:right="100"/>
              <w:spacing w:after="0"/>
              <w:rPr>
                <w:sz w:val="20"/>
                <w:szCs w:val="20"/>
                <w:color w:val="auto"/>
              </w:rPr>
            </w:pPr>
            <w:r>
              <w:rPr>
                <w:rFonts w:ascii="Arial" w:cs="Arial" w:eastAsia="Arial" w:hAnsi="Arial"/>
                <w:sz w:val="14"/>
                <w:szCs w:val="14"/>
                <w:color w:val="auto"/>
              </w:rPr>
              <w:t>9</w:t>
            </w:r>
          </w:p>
        </w:tc>
        <w:tc>
          <w:tcPr>
            <w:tcW w:w="60" w:type="dxa"/>
            <w:vAlign w:val="bottom"/>
            <w:tcBorders>
              <w:bottom w:val="single" w:sz="8" w:color="F0FFFF"/>
            </w:tcBorders>
          </w:tcPr>
          <w:p>
            <w:pPr>
              <w:spacing w:after="0"/>
              <w:rPr>
                <w:sz w:val="14"/>
                <w:szCs w:val="14"/>
                <w:color w:val="auto"/>
              </w:rPr>
            </w:pPr>
          </w:p>
        </w:tc>
        <w:tc>
          <w:tcPr>
            <w:tcW w:w="140" w:type="dxa"/>
            <w:vAlign w:val="bottom"/>
            <w:tcBorders>
              <w:bottom w:val="single" w:sz="8" w:color="F0FFFF"/>
            </w:tcBorders>
          </w:tcPr>
          <w:p>
            <w:pPr>
              <w:spacing w:after="0"/>
              <w:rPr>
                <w:sz w:val="14"/>
                <w:szCs w:val="14"/>
                <w:color w:val="auto"/>
              </w:rPr>
            </w:pPr>
          </w:p>
        </w:tc>
        <w:tc>
          <w:tcPr>
            <w:tcW w:w="140" w:type="dxa"/>
            <w:vAlign w:val="bottom"/>
            <w:tcBorders>
              <w:bottom w:val="single" w:sz="8" w:color="F0FFFF"/>
            </w:tcBorders>
          </w:tcPr>
          <w:p>
            <w:pPr>
              <w:spacing w:after="0"/>
              <w:rPr>
                <w:sz w:val="14"/>
                <w:szCs w:val="14"/>
                <w:color w:val="auto"/>
              </w:rPr>
            </w:pPr>
          </w:p>
        </w:tc>
        <w:tc>
          <w:tcPr>
            <w:tcW w:w="640" w:type="dxa"/>
            <w:vAlign w:val="bottom"/>
            <w:tcBorders>
              <w:bottom w:val="single" w:sz="8" w:color="F0FFFF"/>
            </w:tcBorders>
            <w:gridSpan w:val="2"/>
          </w:tcPr>
          <w:p>
            <w:pPr>
              <w:jc w:val="right"/>
              <w:ind w:right="20"/>
              <w:spacing w:after="0"/>
              <w:rPr>
                <w:sz w:val="20"/>
                <w:szCs w:val="20"/>
                <w:color w:val="auto"/>
              </w:rPr>
            </w:pPr>
            <w:r>
              <w:rPr>
                <w:rFonts w:ascii="Arial" w:cs="Arial" w:eastAsia="Arial" w:hAnsi="Arial"/>
                <w:sz w:val="14"/>
                <w:szCs w:val="14"/>
                <w:color w:val="auto"/>
              </w:rPr>
              <w:t>1,014</w:t>
            </w:r>
          </w:p>
        </w:tc>
        <w:tc>
          <w:tcPr>
            <w:tcW w:w="80" w:type="dxa"/>
            <w:vAlign w:val="bottom"/>
            <w:tcBorders>
              <w:bottom w:val="single" w:sz="8" w:color="F0FFFF"/>
            </w:tcBorders>
          </w:tcPr>
          <w:p>
            <w:pPr>
              <w:spacing w:after="0"/>
              <w:rPr>
                <w:sz w:val="14"/>
                <w:szCs w:val="14"/>
                <w:color w:val="auto"/>
              </w:rPr>
            </w:pPr>
          </w:p>
        </w:tc>
        <w:tc>
          <w:tcPr>
            <w:tcW w:w="320" w:type="dxa"/>
            <w:vAlign w:val="bottom"/>
            <w:tcBorders>
              <w:bottom w:val="single" w:sz="8" w:color="F0FFFF"/>
            </w:tcBorders>
          </w:tcPr>
          <w:p>
            <w:pPr>
              <w:spacing w:after="0"/>
              <w:rPr>
                <w:sz w:val="14"/>
                <w:szCs w:val="14"/>
                <w:color w:val="auto"/>
              </w:rPr>
            </w:pPr>
          </w:p>
        </w:tc>
        <w:tc>
          <w:tcPr>
            <w:tcW w:w="740" w:type="dxa"/>
            <w:vAlign w:val="bottom"/>
            <w:tcBorders>
              <w:bottom w:val="single" w:sz="8" w:color="F0FFFF"/>
            </w:tcBorders>
            <w:gridSpan w:val="3"/>
          </w:tcPr>
          <w:p>
            <w:pPr>
              <w:jc w:val="right"/>
              <w:ind w:right="80"/>
              <w:spacing w:after="0"/>
              <w:rPr>
                <w:sz w:val="20"/>
                <w:szCs w:val="20"/>
                <w:color w:val="auto"/>
              </w:rPr>
            </w:pPr>
            <w:r>
              <w:rPr>
                <w:rFonts w:ascii="Arial" w:cs="Arial" w:eastAsia="Arial" w:hAnsi="Arial"/>
                <w:sz w:val="14"/>
                <w:szCs w:val="14"/>
                <w:color w:val="auto"/>
              </w:rPr>
              <w:t>973</w:t>
            </w:r>
          </w:p>
        </w:tc>
        <w:tc>
          <w:tcPr>
            <w:tcW w:w="420" w:type="dxa"/>
            <w:vAlign w:val="bottom"/>
            <w:tcBorders>
              <w:bottom w:val="single" w:sz="8" w:color="F0FFFF"/>
            </w:tcBorders>
          </w:tcPr>
          <w:p>
            <w:pPr>
              <w:spacing w:after="0"/>
              <w:rPr>
                <w:sz w:val="14"/>
                <w:szCs w:val="14"/>
                <w:color w:val="auto"/>
              </w:rPr>
            </w:pPr>
          </w:p>
        </w:tc>
        <w:tc>
          <w:tcPr>
            <w:tcW w:w="120" w:type="dxa"/>
            <w:vAlign w:val="bottom"/>
            <w:tcBorders>
              <w:bottom w:val="single" w:sz="8" w:color="F0FFFF"/>
            </w:tcBorders>
          </w:tcPr>
          <w:p>
            <w:pPr>
              <w:spacing w:after="0"/>
              <w:rPr>
                <w:sz w:val="14"/>
                <w:szCs w:val="14"/>
                <w:color w:val="auto"/>
              </w:rPr>
            </w:pPr>
          </w:p>
        </w:tc>
        <w:tc>
          <w:tcPr>
            <w:tcW w:w="420" w:type="dxa"/>
            <w:vAlign w:val="bottom"/>
            <w:tcBorders>
              <w:bottom w:val="single" w:sz="8" w:color="F0FFFF"/>
            </w:tcBorders>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F0FFFF"/>
            </w:tcBorders>
          </w:tcPr>
          <w:p>
            <w:pPr>
              <w:spacing w:after="0"/>
              <w:rPr>
                <w:sz w:val="14"/>
                <w:szCs w:val="14"/>
                <w:color w:val="auto"/>
              </w:rPr>
            </w:pPr>
          </w:p>
        </w:tc>
        <w:tc>
          <w:tcPr>
            <w:tcW w:w="300" w:type="dxa"/>
            <w:vAlign w:val="bottom"/>
            <w:tcBorders>
              <w:bottom w:val="single" w:sz="8" w:color="F0FFFF"/>
            </w:tcBorders>
          </w:tcPr>
          <w:p>
            <w:pPr>
              <w:spacing w:after="0"/>
              <w:rPr>
                <w:sz w:val="14"/>
                <w:szCs w:val="14"/>
                <w:color w:val="auto"/>
              </w:rPr>
            </w:pPr>
          </w:p>
        </w:tc>
        <w:tc>
          <w:tcPr>
            <w:tcW w:w="120" w:type="dxa"/>
            <w:vAlign w:val="bottom"/>
            <w:tcBorders>
              <w:bottom w:val="single" w:sz="8" w:color="F0FFFF"/>
            </w:tcBorders>
          </w:tcPr>
          <w:p>
            <w:pPr>
              <w:spacing w:after="0"/>
              <w:rPr>
                <w:sz w:val="14"/>
                <w:szCs w:val="14"/>
                <w:color w:val="auto"/>
              </w:rPr>
            </w:pPr>
          </w:p>
        </w:tc>
        <w:tc>
          <w:tcPr>
            <w:tcW w:w="540" w:type="dxa"/>
            <w:vAlign w:val="bottom"/>
            <w:tcBorders>
              <w:bottom w:val="single" w:sz="8" w:color="F0FFFF"/>
            </w:tcBorders>
            <w:gridSpan w:val="2"/>
          </w:tcPr>
          <w:p>
            <w:pPr>
              <w:jc w:val="right"/>
              <w:ind w:right="80"/>
              <w:spacing w:after="0"/>
              <w:rPr>
                <w:sz w:val="20"/>
                <w:szCs w:val="20"/>
                <w:color w:val="auto"/>
              </w:rPr>
            </w:pPr>
            <w:r>
              <w:rPr>
                <w:rFonts w:ascii="Arial" w:cs="Arial" w:eastAsia="Arial" w:hAnsi="Arial"/>
                <w:sz w:val="14"/>
                <w:szCs w:val="14"/>
                <w:color w:val="auto"/>
              </w:rPr>
              <w:t>280</w:t>
            </w:r>
          </w:p>
        </w:tc>
        <w:tc>
          <w:tcPr>
            <w:tcW w:w="60" w:type="dxa"/>
            <w:vAlign w:val="bottom"/>
            <w:tcBorders>
              <w:bottom w:val="single" w:sz="8" w:color="F0FFFF"/>
            </w:tcBorders>
          </w:tcPr>
          <w:p>
            <w:pPr>
              <w:spacing w:after="0"/>
              <w:rPr>
                <w:sz w:val="14"/>
                <w:szCs w:val="14"/>
                <w:color w:val="auto"/>
              </w:rPr>
            </w:pPr>
          </w:p>
        </w:tc>
        <w:tc>
          <w:tcPr>
            <w:tcW w:w="200" w:type="dxa"/>
            <w:vAlign w:val="bottom"/>
            <w:tcBorders>
              <w:bottom w:val="single" w:sz="8" w:color="F0FFFF"/>
            </w:tcBorders>
          </w:tcPr>
          <w:p>
            <w:pPr>
              <w:spacing w:after="0"/>
              <w:rPr>
                <w:sz w:val="14"/>
                <w:szCs w:val="14"/>
                <w:color w:val="auto"/>
              </w:rPr>
            </w:pPr>
          </w:p>
        </w:tc>
        <w:tc>
          <w:tcPr>
            <w:tcW w:w="120" w:type="dxa"/>
            <w:vAlign w:val="bottom"/>
            <w:tcBorders>
              <w:bottom w:val="single" w:sz="8" w:color="F0FFFF"/>
            </w:tcBorders>
          </w:tcPr>
          <w:p>
            <w:pPr>
              <w:spacing w:after="0"/>
              <w:rPr>
                <w:sz w:val="14"/>
                <w:szCs w:val="14"/>
                <w:color w:val="auto"/>
              </w:rPr>
            </w:pPr>
          </w:p>
        </w:tc>
        <w:tc>
          <w:tcPr>
            <w:tcW w:w="580" w:type="dxa"/>
            <w:vAlign w:val="bottom"/>
            <w:tcBorders>
              <w:bottom w:val="single" w:sz="8" w:color="F0FFFF"/>
            </w:tcBorders>
            <w:gridSpan w:val="2"/>
          </w:tcPr>
          <w:p>
            <w:pPr>
              <w:jc w:val="right"/>
              <w:ind w:right="100"/>
              <w:spacing w:after="0"/>
              <w:rPr>
                <w:sz w:val="20"/>
                <w:szCs w:val="20"/>
                <w:color w:val="auto"/>
              </w:rPr>
            </w:pPr>
            <w:r>
              <w:rPr>
                <w:rFonts w:ascii="Arial" w:cs="Arial" w:eastAsia="Arial" w:hAnsi="Arial"/>
                <w:sz w:val="14"/>
                <w:szCs w:val="14"/>
                <w:color w:val="auto"/>
              </w:rPr>
              <w:t>23</w:t>
            </w:r>
          </w:p>
        </w:tc>
        <w:tc>
          <w:tcPr>
            <w:tcW w:w="200" w:type="dxa"/>
            <w:vAlign w:val="bottom"/>
            <w:tcBorders>
              <w:bottom w:val="single" w:sz="8" w:color="F0FFFF"/>
            </w:tcBorders>
          </w:tcPr>
          <w:p>
            <w:pPr>
              <w:spacing w:after="0"/>
              <w:rPr>
                <w:sz w:val="14"/>
                <w:szCs w:val="14"/>
                <w:color w:val="auto"/>
              </w:rPr>
            </w:pPr>
          </w:p>
        </w:tc>
        <w:tc>
          <w:tcPr>
            <w:tcW w:w="100" w:type="dxa"/>
            <w:vAlign w:val="bottom"/>
            <w:tcBorders>
              <w:bottom w:val="single" w:sz="8" w:color="F0FFFF"/>
            </w:tcBorders>
          </w:tcPr>
          <w:p>
            <w:pPr>
              <w:spacing w:after="0"/>
              <w:rPr>
                <w:sz w:val="14"/>
                <w:szCs w:val="14"/>
                <w:color w:val="auto"/>
              </w:rPr>
            </w:pPr>
          </w:p>
        </w:tc>
        <w:tc>
          <w:tcPr>
            <w:tcW w:w="100" w:type="dxa"/>
            <w:vAlign w:val="bottom"/>
            <w:tcBorders>
              <w:bottom w:val="single" w:sz="8" w:color="F0FFFF"/>
            </w:tcBorders>
          </w:tcPr>
          <w:p>
            <w:pPr>
              <w:spacing w:after="0"/>
              <w:rPr>
                <w:sz w:val="14"/>
                <w:szCs w:val="14"/>
                <w:color w:val="auto"/>
              </w:rPr>
            </w:pPr>
          </w:p>
        </w:tc>
        <w:tc>
          <w:tcPr>
            <w:tcW w:w="600" w:type="dxa"/>
            <w:vAlign w:val="bottom"/>
            <w:tcBorders>
              <w:bottom w:val="single" w:sz="8" w:color="F0FFFF"/>
            </w:tcBorders>
          </w:tcPr>
          <w:p>
            <w:pPr>
              <w:jc w:val="right"/>
              <w:spacing w:after="0"/>
              <w:rPr>
                <w:sz w:val="20"/>
                <w:szCs w:val="20"/>
                <w:color w:val="auto"/>
              </w:rPr>
            </w:pPr>
            <w:r>
              <w:rPr>
                <w:rFonts w:ascii="Arial" w:cs="Arial" w:eastAsia="Arial" w:hAnsi="Arial"/>
                <w:sz w:val="14"/>
                <w:szCs w:val="14"/>
                <w:color w:val="auto"/>
              </w:rPr>
              <w:t>2,146</w:t>
            </w:r>
          </w:p>
        </w:tc>
        <w:tc>
          <w:tcPr>
            <w:tcW w:w="100" w:type="dxa"/>
            <w:vAlign w:val="bottom"/>
            <w:tcBorders>
              <w:bottom w:val="single" w:sz="8" w:color="F0FFFF"/>
            </w:tcBorders>
          </w:tcPr>
          <w:p>
            <w:pPr>
              <w:spacing w:after="0"/>
              <w:rPr>
                <w:sz w:val="14"/>
                <w:szCs w:val="14"/>
                <w:color w:val="auto"/>
              </w:rPr>
            </w:pPr>
          </w:p>
        </w:tc>
        <w:tc>
          <w:tcPr>
            <w:tcW w:w="100" w:type="dxa"/>
            <w:vAlign w:val="bottom"/>
            <w:tcBorders>
              <w:bottom w:val="single" w:sz="8" w:color="F0FFFF"/>
            </w:tcBorders>
          </w:tcPr>
          <w:p>
            <w:pPr>
              <w:spacing w:after="0"/>
              <w:rPr>
                <w:sz w:val="14"/>
                <w:szCs w:val="14"/>
                <w:color w:val="auto"/>
              </w:rPr>
            </w:pPr>
          </w:p>
        </w:tc>
        <w:tc>
          <w:tcPr>
            <w:tcW w:w="1000" w:type="dxa"/>
            <w:vAlign w:val="bottom"/>
            <w:tcBorders>
              <w:bottom w:val="single" w:sz="8" w:color="F0FFFF"/>
            </w:tcBorders>
            <w:gridSpan w:val="4"/>
          </w:tcPr>
          <w:p>
            <w:pPr>
              <w:jc w:val="right"/>
              <w:ind w:right="120"/>
              <w:spacing w:after="0"/>
              <w:rPr>
                <w:sz w:val="20"/>
                <w:szCs w:val="20"/>
                <w:color w:val="auto"/>
              </w:rPr>
            </w:pPr>
            <w:r>
              <w:rPr>
                <w:rFonts w:ascii="Arial" w:cs="Arial" w:eastAsia="Arial" w:hAnsi="Arial"/>
                <w:sz w:val="14"/>
                <w:szCs w:val="14"/>
                <w:color w:val="auto"/>
              </w:rPr>
              <w:t>2,105</w:t>
            </w:r>
          </w:p>
        </w:tc>
        <w:tc>
          <w:tcPr>
            <w:tcW w:w="280" w:type="dxa"/>
            <w:vAlign w:val="bottom"/>
            <w:tcBorders>
              <w:bottom w:val="single" w:sz="8" w:color="F0FFFF"/>
            </w:tcBorders>
          </w:tcPr>
          <w:p>
            <w:pPr>
              <w:spacing w:after="0"/>
              <w:rPr>
                <w:sz w:val="14"/>
                <w:szCs w:val="14"/>
                <w:color w:val="auto"/>
              </w:rPr>
            </w:pPr>
          </w:p>
        </w:tc>
        <w:tc>
          <w:tcPr>
            <w:tcW w:w="780" w:type="dxa"/>
            <w:vAlign w:val="bottom"/>
            <w:tcBorders>
              <w:bottom w:val="single" w:sz="8" w:color="F0FFFF"/>
            </w:tcBorders>
            <w:gridSpan w:val="3"/>
          </w:tcPr>
          <w:p>
            <w:pPr>
              <w:jc w:val="right"/>
              <w:ind w:right="100"/>
              <w:spacing w:after="0"/>
              <w:rPr>
                <w:sz w:val="20"/>
                <w:szCs w:val="20"/>
                <w:color w:val="auto"/>
              </w:rPr>
            </w:pPr>
            <w:r>
              <w:rPr>
                <w:rFonts w:ascii="Arial" w:cs="Arial" w:eastAsia="Arial" w:hAnsi="Arial"/>
                <w:sz w:val="14"/>
                <w:szCs w:val="14"/>
                <w:color w:val="auto"/>
              </w:rPr>
              <w:t>6</w:t>
            </w:r>
          </w:p>
        </w:tc>
        <w:tc>
          <w:tcPr>
            <w:tcW w:w="180" w:type="dxa"/>
            <w:vAlign w:val="bottom"/>
            <w:tcBorders>
              <w:bottom w:val="single" w:sz="8" w:color="F0FFFF"/>
            </w:tcBorders>
          </w:tcPr>
          <w:p>
            <w:pPr>
              <w:spacing w:after="0"/>
              <w:rPr>
                <w:sz w:val="14"/>
                <w:szCs w:val="14"/>
                <w:color w:val="auto"/>
              </w:rPr>
            </w:pPr>
          </w:p>
        </w:tc>
        <w:tc>
          <w:tcPr>
            <w:tcW w:w="560" w:type="dxa"/>
            <w:vAlign w:val="bottom"/>
            <w:tcBorders>
              <w:bottom w:val="single" w:sz="8" w:color="F0FFFF"/>
            </w:tcBorders>
          </w:tcPr>
          <w:p>
            <w:pPr>
              <w:spacing w:after="0"/>
              <w:rPr>
                <w:sz w:val="14"/>
                <w:szCs w:val="14"/>
                <w:color w:val="auto"/>
              </w:rPr>
            </w:pPr>
          </w:p>
        </w:tc>
        <w:tc>
          <w:tcPr>
            <w:tcW w:w="340" w:type="dxa"/>
            <w:vAlign w:val="bottom"/>
            <w:tcBorders>
              <w:bottom w:val="single" w:sz="8" w:color="F0FFFF"/>
            </w:tcBorders>
            <w:gridSpan w:val="2"/>
          </w:tcPr>
          <w:p>
            <w:pPr>
              <w:jc w:val="right"/>
              <w:ind w:right="100"/>
              <w:spacing w:after="0"/>
              <w:rPr>
                <w:sz w:val="20"/>
                <w:szCs w:val="20"/>
                <w:color w:val="auto"/>
              </w:rPr>
            </w:pPr>
            <w:r>
              <w:rPr>
                <w:rFonts w:ascii="Arial" w:cs="Arial" w:eastAsia="Arial" w:hAnsi="Arial"/>
                <w:sz w:val="14"/>
                <w:szCs w:val="14"/>
                <w:color w:val="auto"/>
                <w:w w:val="94"/>
              </w:rPr>
              <w:t>732</w:t>
            </w:r>
          </w:p>
        </w:tc>
        <w:tc>
          <w:tcPr>
            <w:tcW w:w="0" w:type="dxa"/>
            <w:vAlign w:val="bottom"/>
          </w:tcPr>
          <w:p>
            <w:pPr>
              <w:spacing w:after="0"/>
              <w:rPr>
                <w:sz w:val="1"/>
                <w:szCs w:val="1"/>
                <w:color w:val="auto"/>
              </w:rPr>
            </w:pPr>
          </w:p>
        </w:tc>
      </w:tr>
    </w:tbl>
    <w:p>
      <w:pPr>
        <w:sectPr>
          <w:pgSz w:w="11900" w:h="16900" w:orient="portrait"/>
          <w:cols w:equalWidth="0" w:num="1">
            <w:col w:w="11420"/>
          </w:cols>
          <w:pgMar w:left="240" w:top="985" w:right="239" w:bottom="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shd w:val="clear" w:color="auto" w:fill="F0FFFF"/>
          </w:tcPr>
          <w:p>
            <w:pPr>
              <w:spacing w:after="0"/>
              <w:rPr>
                <w:sz w:val="20"/>
                <w:szCs w:val="20"/>
                <w:color w:val="auto"/>
              </w:rPr>
            </w:pPr>
            <w:r>
              <w:rPr>
                <w:rFonts w:ascii="Arial" w:cs="Arial" w:eastAsia="Arial" w:hAnsi="Arial"/>
                <w:sz w:val="14"/>
                <w:szCs w:val="14"/>
                <w:color w:val="auto"/>
              </w:rPr>
              <w:t>Home equity</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w:t>
            </w:r>
          </w:p>
        </w:tc>
        <w:tc>
          <w:tcPr>
            <w:tcW w:w="360" w:type="dxa"/>
            <w:vAlign w:val="bottom"/>
            <w:shd w:val="clear" w:color="auto" w:fill="F0FFFF"/>
          </w:tcPr>
          <w:p>
            <w:pPr>
              <w:spacing w:after="0"/>
              <w:rPr>
                <w:sz w:val="14"/>
                <w:szCs w:val="14"/>
                <w:color w:val="auto"/>
              </w:rPr>
            </w:pPr>
          </w:p>
        </w:tc>
        <w:tc>
          <w:tcPr>
            <w:tcW w:w="700" w:type="dxa"/>
            <w:vAlign w:val="bottom"/>
            <w:tcBorders>
              <w:right w:val="single" w:sz="8" w:color="F0FFFF"/>
            </w:tcBorders>
            <w:shd w:val="clear" w:color="auto" w:fill="F0FFFF"/>
          </w:tcPr>
          <w:p>
            <w:pPr>
              <w:jc w:val="right"/>
              <w:ind w:right="28"/>
              <w:spacing w:after="0"/>
              <w:rPr>
                <w:sz w:val="20"/>
                <w:szCs w:val="20"/>
                <w:color w:val="auto"/>
              </w:rPr>
            </w:pPr>
            <w:r>
              <w:rPr>
                <w:rFonts w:ascii="Arial" w:cs="Arial" w:eastAsia="Arial" w:hAnsi="Arial"/>
                <w:sz w:val="14"/>
                <w:szCs w:val="14"/>
                <w:color w:val="auto"/>
              </w:rPr>
              <w:t>36</w:t>
            </w:r>
          </w:p>
        </w:tc>
        <w:tc>
          <w:tcPr>
            <w:tcW w:w="360" w:type="dxa"/>
            <w:vAlign w:val="bottom"/>
            <w:shd w:val="clear" w:color="auto" w:fill="F0FFFF"/>
          </w:tcPr>
          <w:p>
            <w:pPr>
              <w:spacing w:after="0"/>
              <w:rPr>
                <w:sz w:val="14"/>
                <w:szCs w:val="14"/>
                <w:color w:val="auto"/>
              </w:rPr>
            </w:pPr>
          </w:p>
        </w:tc>
        <w:tc>
          <w:tcPr>
            <w:tcW w:w="70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36</w:t>
            </w:r>
          </w:p>
        </w:tc>
        <w:tc>
          <w:tcPr>
            <w:tcW w:w="1040" w:type="dxa"/>
            <w:vAlign w:val="bottom"/>
            <w:tcBorders>
              <w:right w:val="single" w:sz="8" w:color="F0FFFF"/>
            </w:tcBorders>
            <w:shd w:val="clear" w:color="auto" w:fill="F0FFFF"/>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shd w:val="clear" w:color="auto" w:fill="F0FFFF"/>
          </w:tcPr>
          <w:p>
            <w:pPr>
              <w:spacing w:after="0"/>
              <w:rPr>
                <w:sz w:val="14"/>
                <w:szCs w:val="14"/>
                <w:color w:val="auto"/>
              </w:rPr>
            </w:pPr>
          </w:p>
        </w:tc>
        <w:tc>
          <w:tcPr>
            <w:tcW w:w="60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w:t>
            </w:r>
          </w:p>
        </w:tc>
        <w:tc>
          <w:tcPr>
            <w:tcW w:w="380" w:type="dxa"/>
            <w:vAlign w:val="bottom"/>
            <w:shd w:val="clear" w:color="auto" w:fill="F0FFFF"/>
          </w:tcPr>
          <w:p>
            <w:pPr>
              <w:spacing w:after="0"/>
              <w:rPr>
                <w:sz w:val="14"/>
                <w:szCs w:val="14"/>
                <w:color w:val="auto"/>
              </w:rPr>
            </w:pPr>
          </w:p>
        </w:tc>
        <w:tc>
          <w:tcPr>
            <w:tcW w:w="6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74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36</w:t>
            </w: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420" w:type="dxa"/>
            <w:vAlign w:val="bottom"/>
            <w:shd w:val="clear" w:color="auto" w:fill="F0FFFF"/>
          </w:tcPr>
          <w:p>
            <w:pPr>
              <w:spacing w:after="0"/>
              <w:rPr>
                <w:sz w:val="14"/>
                <w:szCs w:val="14"/>
                <w:color w:val="auto"/>
              </w:rPr>
            </w:pP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r>
      <w:tr>
        <w:trPr>
          <w:trHeight w:val="167"/>
        </w:trPr>
        <w:tc>
          <w:tcPr>
            <w:tcW w:w="1080" w:type="dxa"/>
            <w:vAlign w:val="bottom"/>
            <w:shd w:val="clear" w:color="auto" w:fill="F0FFFF"/>
          </w:tcPr>
          <w:p>
            <w:pPr>
              <w:ind w:left="160"/>
              <w:spacing w:after="0"/>
              <w:rPr>
                <w:sz w:val="20"/>
                <w:szCs w:val="20"/>
                <w:color w:val="auto"/>
              </w:rPr>
            </w:pPr>
            <w:r>
              <w:rPr>
                <w:rFonts w:ascii="Arial" w:cs="Arial" w:eastAsia="Arial" w:hAnsi="Arial"/>
                <w:sz w:val="14"/>
                <w:szCs w:val="14"/>
                <w:color w:val="auto"/>
              </w:rPr>
              <w:t>lines of credit</w:t>
            </w:r>
          </w:p>
        </w:tc>
        <w:tc>
          <w:tcPr>
            <w:tcW w:w="8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700" w:type="dxa"/>
            <w:vAlign w:val="bottom"/>
            <w:tcBorders>
              <w:right w:val="single" w:sz="8" w:color="F0FFFF"/>
            </w:tcBorders>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6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40" w:type="dxa"/>
            <w:vAlign w:val="bottom"/>
            <w:tcBorders>
              <w:right w:val="single" w:sz="8" w:color="F0FFFF"/>
            </w:tcBorders>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5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86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380" w:type="dxa"/>
            <w:vAlign w:val="bottom"/>
            <w:shd w:val="clear" w:color="auto" w:fill="F0FFFF"/>
          </w:tcPr>
          <w:p>
            <w:pPr>
              <w:spacing w:after="0"/>
              <w:rPr>
                <w:sz w:val="14"/>
                <w:szCs w:val="14"/>
                <w:color w:val="auto"/>
              </w:rPr>
            </w:pPr>
          </w:p>
        </w:tc>
        <w:tc>
          <w:tcPr>
            <w:tcW w:w="6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6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96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42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r>
      <w:tr>
        <w:trPr>
          <w:trHeight w:val="130"/>
        </w:trPr>
        <w:tc>
          <w:tcPr>
            <w:tcW w:w="1080" w:type="dxa"/>
            <w:vAlign w:val="bottom"/>
          </w:tcPr>
          <w:p>
            <w:pPr>
              <w:spacing w:after="0" w:line="130" w:lineRule="exact"/>
              <w:rPr>
                <w:sz w:val="20"/>
                <w:szCs w:val="20"/>
                <w:color w:val="auto"/>
              </w:rPr>
            </w:pPr>
            <w:r>
              <w:rPr>
                <w:rFonts w:ascii="Arial" w:cs="Arial" w:eastAsia="Arial" w:hAnsi="Arial"/>
                <w:sz w:val="14"/>
                <w:szCs w:val="14"/>
                <w:color w:val="auto"/>
              </w:rPr>
              <w:t>Residential</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080" w:type="dxa"/>
            <w:vAlign w:val="bottom"/>
          </w:tcPr>
          <w:p>
            <w:pPr>
              <w:ind w:left="160"/>
              <w:spacing w:after="0"/>
              <w:rPr>
                <w:sz w:val="20"/>
                <w:szCs w:val="20"/>
                <w:color w:val="auto"/>
              </w:rPr>
            </w:pPr>
            <w:r>
              <w:rPr>
                <w:rFonts w:ascii="Arial" w:cs="Arial" w:eastAsia="Arial" w:hAnsi="Arial"/>
                <w:sz w:val="14"/>
                <w:szCs w:val="14"/>
                <w:color w:val="auto"/>
              </w:rPr>
              <w:t>construction</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3</w:t>
            </w:r>
          </w:p>
        </w:tc>
        <w:tc>
          <w:tcPr>
            <w:tcW w:w="3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1,124</w:t>
            </w:r>
          </w:p>
        </w:tc>
        <w:tc>
          <w:tcPr>
            <w:tcW w:w="36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1,124</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3</w:t>
            </w:r>
          </w:p>
        </w:tc>
        <w:tc>
          <w:tcPr>
            <w:tcW w:w="3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1,124</w:t>
            </w:r>
          </w:p>
        </w:tc>
        <w:tc>
          <w:tcPr>
            <w:tcW w:w="3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1,124</w:t>
            </w: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30"/>
        </w:trPr>
        <w:tc>
          <w:tcPr>
            <w:tcW w:w="108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rPr>
              <w:t>Consumer</w:t>
            </w:r>
          </w:p>
        </w:tc>
        <w:tc>
          <w:tcPr>
            <w:tcW w:w="8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360" w:type="dxa"/>
            <w:vAlign w:val="bottom"/>
            <w:shd w:val="clear" w:color="auto" w:fill="F0FFFF"/>
          </w:tcPr>
          <w:p>
            <w:pPr>
              <w:spacing w:after="0"/>
              <w:rPr>
                <w:sz w:val="11"/>
                <w:szCs w:val="11"/>
                <w:color w:val="auto"/>
              </w:rPr>
            </w:pPr>
          </w:p>
        </w:tc>
        <w:tc>
          <w:tcPr>
            <w:tcW w:w="700" w:type="dxa"/>
            <w:vAlign w:val="bottom"/>
            <w:tcBorders>
              <w:right w:val="single" w:sz="8" w:color="F0FFFF"/>
            </w:tcBorders>
            <w:shd w:val="clear" w:color="auto" w:fill="F0FFFF"/>
          </w:tcPr>
          <w:p>
            <w:pPr>
              <w:spacing w:after="0"/>
              <w:rPr>
                <w:sz w:val="11"/>
                <w:szCs w:val="11"/>
                <w:color w:val="auto"/>
              </w:rPr>
            </w:pPr>
          </w:p>
        </w:tc>
        <w:tc>
          <w:tcPr>
            <w:tcW w:w="36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040" w:type="dxa"/>
            <w:vAlign w:val="bottom"/>
            <w:tcBorders>
              <w:right w:val="single" w:sz="8" w:color="F0FFFF"/>
            </w:tcBorders>
            <w:shd w:val="clear" w:color="auto" w:fill="F0FFFF"/>
          </w:tcPr>
          <w:p>
            <w:pPr>
              <w:spacing w:after="0"/>
              <w:rPr>
                <w:sz w:val="11"/>
                <w:szCs w:val="11"/>
                <w:color w:val="auto"/>
              </w:rPr>
            </w:pPr>
          </w:p>
        </w:tc>
        <w:tc>
          <w:tcPr>
            <w:tcW w:w="360" w:type="dxa"/>
            <w:vAlign w:val="bottom"/>
            <w:shd w:val="clear" w:color="auto" w:fill="F0FFFF"/>
          </w:tcPr>
          <w:p>
            <w:pPr>
              <w:spacing w:after="0"/>
              <w:rPr>
                <w:sz w:val="11"/>
                <w:szCs w:val="11"/>
                <w:color w:val="auto"/>
              </w:rPr>
            </w:pPr>
          </w:p>
        </w:tc>
        <w:tc>
          <w:tcPr>
            <w:tcW w:w="5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38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36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9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4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r>
      <w:tr>
        <w:trPr>
          <w:trHeight w:val="167"/>
        </w:trPr>
        <w:tc>
          <w:tcPr>
            <w:tcW w:w="1080" w:type="dxa"/>
            <w:vAlign w:val="bottom"/>
            <w:shd w:val="clear" w:color="auto" w:fill="F0FFFF"/>
          </w:tcPr>
          <w:p>
            <w:pPr>
              <w:ind w:left="160"/>
              <w:spacing w:after="0"/>
              <w:rPr>
                <w:sz w:val="20"/>
                <w:szCs w:val="20"/>
                <w:color w:val="auto"/>
              </w:rPr>
            </w:pPr>
            <w:r>
              <w:rPr>
                <w:rFonts w:ascii="Arial" w:cs="Arial" w:eastAsia="Arial" w:hAnsi="Arial"/>
                <w:sz w:val="14"/>
                <w:szCs w:val="14"/>
                <w:color w:val="auto"/>
              </w:rPr>
              <w:t>installment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w:t>
            </w:r>
          </w:p>
        </w:tc>
        <w:tc>
          <w:tcPr>
            <w:tcW w:w="360" w:type="dxa"/>
            <w:vAlign w:val="bottom"/>
            <w:shd w:val="clear" w:color="auto" w:fill="F0FFFF"/>
          </w:tcPr>
          <w:p>
            <w:pPr>
              <w:spacing w:after="0"/>
              <w:rPr>
                <w:sz w:val="14"/>
                <w:szCs w:val="14"/>
                <w:color w:val="auto"/>
              </w:rPr>
            </w:pPr>
          </w:p>
        </w:tc>
        <w:tc>
          <w:tcPr>
            <w:tcW w:w="700" w:type="dxa"/>
            <w:vAlign w:val="bottom"/>
            <w:tcBorders>
              <w:right w:val="single" w:sz="8" w:color="F0FFFF"/>
            </w:tcBorders>
            <w:shd w:val="clear" w:color="auto" w:fill="F0FFFF"/>
          </w:tcPr>
          <w:p>
            <w:pPr>
              <w:jc w:val="right"/>
              <w:ind w:right="28"/>
              <w:spacing w:after="0"/>
              <w:rPr>
                <w:sz w:val="20"/>
                <w:szCs w:val="20"/>
                <w:color w:val="auto"/>
              </w:rPr>
            </w:pPr>
            <w:r>
              <w:rPr>
                <w:rFonts w:ascii="Arial" w:cs="Arial" w:eastAsia="Arial" w:hAnsi="Arial"/>
                <w:sz w:val="14"/>
                <w:szCs w:val="14"/>
                <w:color w:val="auto"/>
              </w:rPr>
              <w:t>84</w:t>
            </w:r>
          </w:p>
        </w:tc>
        <w:tc>
          <w:tcPr>
            <w:tcW w:w="360" w:type="dxa"/>
            <w:vAlign w:val="bottom"/>
            <w:shd w:val="clear" w:color="auto" w:fill="F0FFFF"/>
          </w:tcPr>
          <w:p>
            <w:pPr>
              <w:spacing w:after="0"/>
              <w:rPr>
                <w:sz w:val="14"/>
                <w:szCs w:val="14"/>
                <w:color w:val="auto"/>
              </w:rPr>
            </w:pPr>
          </w:p>
        </w:tc>
        <w:tc>
          <w:tcPr>
            <w:tcW w:w="70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84</w:t>
            </w:r>
          </w:p>
        </w:tc>
        <w:tc>
          <w:tcPr>
            <w:tcW w:w="1040" w:type="dxa"/>
            <w:vAlign w:val="bottom"/>
            <w:tcBorders>
              <w:right w:val="single" w:sz="8" w:color="F0FFFF"/>
            </w:tcBorders>
            <w:shd w:val="clear" w:color="auto" w:fill="F0FFFF"/>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shd w:val="clear" w:color="auto" w:fill="F0FFFF"/>
          </w:tcPr>
          <w:p>
            <w:pPr>
              <w:spacing w:after="0"/>
              <w:rPr>
                <w:sz w:val="14"/>
                <w:szCs w:val="14"/>
                <w:color w:val="auto"/>
              </w:rPr>
            </w:pPr>
          </w:p>
        </w:tc>
        <w:tc>
          <w:tcPr>
            <w:tcW w:w="60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5</w:t>
            </w:r>
          </w:p>
        </w:tc>
        <w:tc>
          <w:tcPr>
            <w:tcW w:w="380" w:type="dxa"/>
            <w:vAlign w:val="bottom"/>
            <w:shd w:val="clear" w:color="auto" w:fill="F0FFFF"/>
          </w:tcPr>
          <w:p>
            <w:pPr>
              <w:spacing w:after="0"/>
              <w:rPr>
                <w:sz w:val="14"/>
                <w:szCs w:val="14"/>
                <w:color w:val="auto"/>
              </w:rPr>
            </w:pPr>
          </w:p>
        </w:tc>
        <w:tc>
          <w:tcPr>
            <w:tcW w:w="6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226</w:t>
            </w:r>
          </w:p>
        </w:tc>
        <w:tc>
          <w:tcPr>
            <w:tcW w:w="10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74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226</w:t>
            </w: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420" w:type="dxa"/>
            <w:vAlign w:val="bottom"/>
            <w:shd w:val="clear" w:color="auto" w:fill="F0FFFF"/>
          </w:tcPr>
          <w:p>
            <w:pPr>
              <w:spacing w:after="0"/>
              <w:rPr>
                <w:sz w:val="14"/>
                <w:szCs w:val="14"/>
                <w:color w:val="auto"/>
              </w:rPr>
            </w:pP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r>
      <w:tr>
        <w:trPr>
          <w:trHeight w:val="149"/>
        </w:trPr>
        <w:tc>
          <w:tcPr>
            <w:tcW w:w="1080" w:type="dxa"/>
            <w:vAlign w:val="bottom"/>
          </w:tcPr>
          <w:p>
            <w:pPr>
              <w:spacing w:after="0" w:line="149" w:lineRule="exact"/>
              <w:rPr>
                <w:sz w:val="20"/>
                <w:szCs w:val="20"/>
                <w:color w:val="auto"/>
              </w:rPr>
            </w:pPr>
            <w:r>
              <w:rPr>
                <w:rFonts w:ascii="Arial" w:cs="Arial" w:eastAsia="Arial" w:hAnsi="Arial"/>
                <w:sz w:val="14"/>
                <w:szCs w:val="14"/>
                <w:color w:val="auto"/>
              </w:rPr>
              <w:t>Indirect auto</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27"/>
        </w:trPr>
        <w:tc>
          <w:tcPr>
            <w:tcW w:w="1080" w:type="dxa"/>
            <w:vAlign w:val="bottom"/>
            <w:shd w:val="clear" w:color="auto" w:fill="F0FF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tcBorders>
              <w:right w:val="single" w:sz="8" w:color="F0FFFF"/>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040" w:type="dxa"/>
            <w:vAlign w:val="bottom"/>
            <w:tcBorders>
              <w:right w:val="single" w:sz="8" w:color="F0FFFF"/>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r>
      <w:tr>
        <w:trPr>
          <w:trHeight w:val="196"/>
        </w:trPr>
        <w:tc>
          <w:tcPr>
            <w:tcW w:w="1080" w:type="dxa"/>
            <w:vAlign w:val="bottom"/>
            <w:shd w:val="clear" w:color="auto" w:fill="F0FFFF"/>
          </w:tcPr>
          <w:p>
            <w:pPr>
              <w:ind w:left="160"/>
              <w:spacing w:after="0" w:line="155" w:lineRule="exact"/>
              <w:rPr>
                <w:sz w:val="20"/>
                <w:szCs w:val="20"/>
                <w:color w:val="auto"/>
              </w:rPr>
            </w:pPr>
            <w:r>
              <w:rPr>
                <w:rFonts w:ascii="Arial" w:cs="Arial" w:eastAsia="Arial" w:hAnsi="Arial"/>
                <w:sz w:val="14"/>
                <w:szCs w:val="14"/>
                <w:color w:val="auto"/>
              </w:rPr>
              <w:t>Total loans</w:t>
            </w:r>
          </w:p>
        </w:tc>
        <w:tc>
          <w:tcPr>
            <w:tcW w:w="820" w:type="dxa"/>
            <w:vAlign w:val="bottom"/>
            <w:shd w:val="clear" w:color="auto" w:fill="F0FFFF"/>
          </w:tcPr>
          <w:p>
            <w:pPr>
              <w:jc w:val="right"/>
              <w:spacing w:after="0" w:line="155" w:lineRule="exact"/>
              <w:rPr>
                <w:sz w:val="20"/>
                <w:szCs w:val="20"/>
                <w:color w:val="auto"/>
              </w:rPr>
            </w:pPr>
            <w:r>
              <w:rPr>
                <w:rFonts w:ascii="Arial" w:cs="Arial" w:eastAsia="Arial" w:hAnsi="Arial"/>
                <w:sz w:val="14"/>
                <w:szCs w:val="14"/>
                <w:color w:val="auto"/>
              </w:rPr>
              <w:t>28</w:t>
            </w:r>
          </w:p>
        </w:tc>
        <w:tc>
          <w:tcPr>
            <w:tcW w:w="100" w:type="dxa"/>
            <w:vAlign w:val="bottom"/>
            <w:shd w:val="clear" w:color="auto" w:fill="F0FFFF"/>
          </w:tcPr>
          <w:p>
            <w:pPr>
              <w:spacing w:after="0"/>
              <w:rPr>
                <w:sz w:val="17"/>
                <w:szCs w:val="17"/>
                <w:color w:val="auto"/>
              </w:rPr>
            </w:pPr>
          </w:p>
        </w:tc>
        <w:tc>
          <w:tcPr>
            <w:tcW w:w="360" w:type="dxa"/>
            <w:vAlign w:val="bottom"/>
            <w:shd w:val="clear" w:color="auto" w:fill="F0FFFF"/>
          </w:tcPr>
          <w:p>
            <w:pPr>
              <w:jc w:val="right"/>
              <w:ind w:right="249"/>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F0FFFF"/>
            </w:tcBorders>
            <w:shd w:val="clear" w:color="auto" w:fill="F0FFFF"/>
          </w:tcPr>
          <w:p>
            <w:pPr>
              <w:jc w:val="right"/>
              <w:ind w:right="28"/>
              <w:spacing w:after="0" w:line="155" w:lineRule="exact"/>
              <w:rPr>
                <w:sz w:val="20"/>
                <w:szCs w:val="20"/>
                <w:color w:val="auto"/>
              </w:rPr>
            </w:pPr>
            <w:r>
              <w:rPr>
                <w:rFonts w:ascii="Arial" w:cs="Arial" w:eastAsia="Arial" w:hAnsi="Arial"/>
                <w:sz w:val="14"/>
                <w:szCs w:val="14"/>
                <w:color w:val="auto"/>
              </w:rPr>
              <w:t>6,850</w:t>
            </w:r>
          </w:p>
        </w:tc>
        <w:tc>
          <w:tcPr>
            <w:tcW w:w="360" w:type="dxa"/>
            <w:vAlign w:val="bottom"/>
            <w:shd w:val="clear" w:color="auto" w:fill="F0FF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F0FFFF"/>
          </w:tcPr>
          <w:p>
            <w:pPr>
              <w:jc w:val="right"/>
              <w:ind w:right="80"/>
              <w:spacing w:after="0" w:line="155" w:lineRule="exact"/>
              <w:rPr>
                <w:sz w:val="20"/>
                <w:szCs w:val="20"/>
                <w:color w:val="auto"/>
              </w:rPr>
            </w:pPr>
            <w:r>
              <w:rPr>
                <w:rFonts w:ascii="Arial" w:cs="Arial" w:eastAsia="Arial" w:hAnsi="Arial"/>
                <w:sz w:val="14"/>
                <w:szCs w:val="14"/>
                <w:color w:val="auto"/>
              </w:rPr>
              <w:t>6,809</w:t>
            </w:r>
          </w:p>
        </w:tc>
        <w:tc>
          <w:tcPr>
            <w:tcW w:w="1040" w:type="dxa"/>
            <w:vAlign w:val="bottom"/>
            <w:tcBorders>
              <w:right w:val="single" w:sz="8" w:color="F0FFFF"/>
            </w:tcBorders>
            <w:shd w:val="clear" w:color="auto" w:fill="F0FFFF"/>
          </w:tcPr>
          <w:p>
            <w:pPr>
              <w:jc w:val="right"/>
              <w:ind w:right="8"/>
              <w:spacing w:after="0" w:line="155" w:lineRule="exact"/>
              <w:rPr>
                <w:sz w:val="20"/>
                <w:szCs w:val="20"/>
                <w:color w:val="auto"/>
              </w:rPr>
            </w:pPr>
            <w:r>
              <w:rPr>
                <w:rFonts w:ascii="Arial" w:cs="Arial" w:eastAsia="Arial" w:hAnsi="Arial"/>
                <w:sz w:val="14"/>
                <w:szCs w:val="14"/>
                <w:color w:val="auto"/>
              </w:rPr>
              <w:t>2</w:t>
            </w:r>
          </w:p>
        </w:tc>
        <w:tc>
          <w:tcPr>
            <w:tcW w:w="360" w:type="dxa"/>
            <w:vAlign w:val="bottom"/>
            <w:shd w:val="clear" w:color="auto" w:fill="F0FF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F0FFFF"/>
          </w:tcPr>
          <w:p>
            <w:pPr>
              <w:jc w:val="right"/>
              <w:ind w:right="80"/>
              <w:spacing w:after="0" w:line="155" w:lineRule="exact"/>
              <w:rPr>
                <w:sz w:val="20"/>
                <w:szCs w:val="20"/>
                <w:color w:val="auto"/>
              </w:rPr>
            </w:pPr>
            <w:r>
              <w:rPr>
                <w:rFonts w:ascii="Arial" w:cs="Arial" w:eastAsia="Arial" w:hAnsi="Arial"/>
                <w:sz w:val="14"/>
                <w:szCs w:val="14"/>
                <w:color w:val="auto"/>
              </w:rPr>
              <w:t>280</w:t>
            </w:r>
          </w:p>
        </w:tc>
        <w:tc>
          <w:tcPr>
            <w:tcW w:w="960" w:type="dxa"/>
            <w:vAlign w:val="bottom"/>
            <w:gridSpan w:val="2"/>
            <w:shd w:val="clear" w:color="auto" w:fill="F0FFFF"/>
          </w:tcPr>
          <w:p>
            <w:pPr>
              <w:jc w:val="right"/>
              <w:ind w:right="100"/>
              <w:spacing w:after="0" w:line="155" w:lineRule="exact"/>
              <w:rPr>
                <w:sz w:val="20"/>
                <w:szCs w:val="20"/>
                <w:color w:val="auto"/>
              </w:rPr>
            </w:pPr>
            <w:r>
              <w:rPr>
                <w:rFonts w:ascii="Arial" w:cs="Arial" w:eastAsia="Arial" w:hAnsi="Arial"/>
                <w:sz w:val="14"/>
                <w:szCs w:val="14"/>
                <w:color w:val="auto"/>
              </w:rPr>
              <w:t>50</w:t>
            </w:r>
          </w:p>
        </w:tc>
        <w:tc>
          <w:tcPr>
            <w:tcW w:w="380" w:type="dxa"/>
            <w:vAlign w:val="bottom"/>
            <w:shd w:val="clear" w:color="auto" w:fill="F0FFFF"/>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F0FFFF"/>
          </w:tcPr>
          <w:p>
            <w:pPr>
              <w:jc w:val="right"/>
              <w:ind w:right="100"/>
              <w:spacing w:after="0" w:line="155" w:lineRule="exact"/>
              <w:rPr>
                <w:sz w:val="20"/>
                <w:szCs w:val="20"/>
                <w:color w:val="auto"/>
              </w:rPr>
            </w:pPr>
            <w:r>
              <w:rPr>
                <w:rFonts w:ascii="Arial" w:cs="Arial" w:eastAsia="Arial" w:hAnsi="Arial"/>
                <w:sz w:val="14"/>
                <w:szCs w:val="14"/>
                <w:color w:val="auto"/>
              </w:rPr>
              <w:t>9,717</w:t>
            </w:r>
          </w:p>
        </w:tc>
        <w:tc>
          <w:tcPr>
            <w:tcW w:w="360" w:type="dxa"/>
            <w:vAlign w:val="bottom"/>
            <w:shd w:val="clear" w:color="auto" w:fill="F0FF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F0FFFF"/>
          </w:tcPr>
          <w:p>
            <w:pPr>
              <w:jc w:val="right"/>
              <w:ind w:right="120"/>
              <w:spacing w:after="0" w:line="155" w:lineRule="exact"/>
              <w:rPr>
                <w:sz w:val="20"/>
                <w:szCs w:val="20"/>
                <w:color w:val="auto"/>
              </w:rPr>
            </w:pPr>
            <w:r>
              <w:rPr>
                <w:rFonts w:ascii="Arial" w:cs="Arial" w:eastAsia="Arial" w:hAnsi="Arial"/>
                <w:sz w:val="14"/>
                <w:szCs w:val="14"/>
                <w:color w:val="auto"/>
              </w:rPr>
              <w:t>9,676</w:t>
            </w:r>
          </w:p>
        </w:tc>
        <w:tc>
          <w:tcPr>
            <w:tcW w:w="1060" w:type="dxa"/>
            <w:vAlign w:val="bottom"/>
            <w:gridSpan w:val="2"/>
            <w:shd w:val="clear" w:color="auto" w:fill="F0FFFF"/>
          </w:tcPr>
          <w:p>
            <w:pPr>
              <w:jc w:val="right"/>
              <w:ind w:right="100"/>
              <w:spacing w:after="0" w:line="155" w:lineRule="exact"/>
              <w:rPr>
                <w:sz w:val="20"/>
                <w:szCs w:val="20"/>
                <w:color w:val="auto"/>
              </w:rPr>
            </w:pPr>
            <w:r>
              <w:rPr>
                <w:rFonts w:ascii="Arial" w:cs="Arial" w:eastAsia="Arial" w:hAnsi="Arial"/>
                <w:sz w:val="14"/>
                <w:szCs w:val="14"/>
                <w:color w:val="auto"/>
              </w:rPr>
              <w:t>9</w:t>
            </w:r>
          </w:p>
        </w:tc>
        <w:tc>
          <w:tcPr>
            <w:tcW w:w="420" w:type="dxa"/>
            <w:vAlign w:val="bottom"/>
            <w:shd w:val="clear" w:color="auto" w:fill="F0FFFF"/>
          </w:tcPr>
          <w:p>
            <w:pPr>
              <w:jc w:val="right"/>
              <w:ind w:right="26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F0FFFF"/>
          </w:tcPr>
          <w:p>
            <w:pPr>
              <w:jc w:val="right"/>
              <w:ind w:right="100"/>
              <w:spacing w:after="0" w:line="155" w:lineRule="exact"/>
              <w:rPr>
                <w:sz w:val="20"/>
                <w:szCs w:val="20"/>
                <w:color w:val="auto"/>
              </w:rPr>
            </w:pPr>
            <w:r>
              <w:rPr>
                <w:rFonts w:ascii="Arial" w:cs="Arial" w:eastAsia="Arial" w:hAnsi="Arial"/>
                <w:sz w:val="14"/>
                <w:szCs w:val="14"/>
                <w:color w:val="auto"/>
              </w:rPr>
              <w:t>890</w:t>
            </w:r>
          </w:p>
        </w:tc>
      </w:tr>
      <w:tr>
        <w:trPr>
          <w:trHeight w:val="20"/>
        </w:trPr>
        <w:tc>
          <w:tcPr>
            <w:tcW w:w="1080" w:type="dxa"/>
            <w:vAlign w:val="bottom"/>
            <w:tcBorders>
              <w:top w:val="single" w:sz="8" w:color="F0FF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Collateral dependent TDRs that subsequently default and are placed on nonaccrual are charged down to the fair value of the collateral consistent with United’s policy for nonaccrual loans. Impairment on TDRs that are not collateral dependent continues to be measured on discounted cash flows regardless of whether the loan has subsequently defaulted.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8" w:name="page29"/>
    <w:bookmarkEnd w:id="28"/>
    <w:p>
      <w:pPr>
        <w:jc w:val="center"/>
        <w:ind w:right="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of June 30, 2015, December 31, 2014 and June 30, 2014, and based on the most recent analysis performed, the risk category of loans by class of loans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gridSpan w:val="5"/>
          </w:tcPr>
          <w:p>
            <w:pPr>
              <w:ind w:left="680"/>
              <w:spacing w:after="0"/>
              <w:rPr>
                <w:sz w:val="20"/>
                <w:szCs w:val="20"/>
                <w:color w:val="auto"/>
              </w:rPr>
            </w:pPr>
            <w:r>
              <w:rPr>
                <w:rFonts w:ascii="Arial" w:cs="Arial" w:eastAsia="Arial" w:hAnsi="Arial"/>
                <w:sz w:val="18"/>
                <w:szCs w:val="18"/>
                <w:b w:val="1"/>
                <w:bCs w:val="1"/>
                <w:color w:val="auto"/>
              </w:rPr>
              <w:t>Substandard</w:t>
            </w:r>
          </w:p>
        </w:tc>
        <w:tc>
          <w:tcPr>
            <w:tcW w:w="16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Doubtful /</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10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As of June 30, 2015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tcPr>
          <w:p>
            <w:pPr>
              <w:ind w:left="180"/>
              <w:spacing w:after="0" w:line="189" w:lineRule="exact"/>
              <w:rPr>
                <w:sz w:val="20"/>
                <w:szCs w:val="20"/>
                <w:color w:val="auto"/>
              </w:rPr>
            </w:pPr>
            <w:r>
              <w:rPr>
                <w:rFonts w:ascii="Arial" w:cs="Arial" w:eastAsia="Arial" w:hAnsi="Arial"/>
                <w:sz w:val="18"/>
                <w:szCs w:val="18"/>
                <w:b w:val="1"/>
                <w:bCs w:val="1"/>
                <w:color w:val="auto"/>
              </w:rPr>
              <w:t>Pass</w:t>
            </w:r>
          </w:p>
        </w:tc>
        <w:tc>
          <w:tcPr>
            <w:tcW w:w="240" w:type="dxa"/>
            <w:vAlign w:val="bottom"/>
          </w:tcPr>
          <w:p>
            <w:pPr>
              <w:spacing w:after="0"/>
              <w:rPr>
                <w:sz w:val="16"/>
                <w:szCs w:val="16"/>
                <w:color w:val="auto"/>
              </w:rPr>
            </w:pPr>
          </w:p>
        </w:tc>
        <w:tc>
          <w:tcPr>
            <w:tcW w:w="1140" w:type="dxa"/>
            <w:vAlign w:val="bottom"/>
            <w:gridSpan w:val="2"/>
          </w:tcPr>
          <w:p>
            <w:pPr>
              <w:jc w:val="right"/>
              <w:ind w:right="500"/>
              <w:spacing w:after="0" w:line="189" w:lineRule="exact"/>
              <w:rPr>
                <w:sz w:val="20"/>
                <w:szCs w:val="20"/>
                <w:color w:val="auto"/>
              </w:rPr>
            </w:pPr>
            <w:r>
              <w:rPr>
                <w:rFonts w:ascii="Arial" w:cs="Arial" w:eastAsia="Arial" w:hAnsi="Arial"/>
                <w:sz w:val="18"/>
                <w:szCs w:val="18"/>
                <w:b w:val="1"/>
                <w:bCs w:val="1"/>
                <w:color w:val="auto"/>
              </w:rPr>
              <w:t>Watch</w:t>
            </w: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280"/>
              <w:spacing w:after="0" w:line="189" w:lineRule="exact"/>
              <w:rPr>
                <w:sz w:val="20"/>
                <w:szCs w:val="20"/>
                <w:color w:val="auto"/>
              </w:rPr>
            </w:pPr>
            <w:r>
              <w:rPr>
                <w:rFonts w:ascii="Arial" w:cs="Arial" w:eastAsia="Arial" w:hAnsi="Arial"/>
                <w:sz w:val="18"/>
                <w:szCs w:val="18"/>
                <w:b w:val="1"/>
                <w:bCs w:val="1"/>
                <w:color w:val="auto"/>
                <w:w w:val="95"/>
              </w:rPr>
              <w:t>Performing</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90"/>
              <w:spacing w:after="0" w:line="189" w:lineRule="exact"/>
              <w:rPr>
                <w:sz w:val="20"/>
                <w:szCs w:val="20"/>
                <w:color w:val="auto"/>
              </w:rPr>
            </w:pPr>
            <w:r>
              <w:rPr>
                <w:rFonts w:ascii="Arial" w:cs="Arial" w:eastAsia="Arial" w:hAnsi="Arial"/>
                <w:sz w:val="18"/>
                <w:szCs w:val="18"/>
                <w:b w:val="1"/>
                <w:bCs w:val="1"/>
                <w:color w:val="auto"/>
                <w:w w:val="93"/>
              </w:rPr>
              <w:t>Nonaccrual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500"/>
              <w:spacing w:after="0" w:line="189" w:lineRule="exact"/>
              <w:rPr>
                <w:sz w:val="20"/>
                <w:szCs w:val="20"/>
                <w:color w:val="auto"/>
              </w:rPr>
            </w:pPr>
            <w:r>
              <w:rPr>
                <w:rFonts w:ascii="Arial" w:cs="Arial" w:eastAsia="Arial" w:hAnsi="Arial"/>
                <w:sz w:val="18"/>
                <w:szCs w:val="18"/>
                <w:b w:val="1"/>
                <w:bCs w:val="1"/>
                <w:color w:val="auto"/>
              </w:rPr>
              <w:t>Loss</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ind w:left="180"/>
              <w:spacing w:after="0" w:line="189"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auto"/>
              <w:bottom w:val="single" w:sz="8" w:color="F0FFFF"/>
            </w:tcBorders>
          </w:tcPr>
          <w:p>
            <w:pPr>
              <w:spacing w:after="0" w:line="20" w:lineRule="exact"/>
              <w:rPr>
                <w:sz w:val="1"/>
                <w:szCs w:val="1"/>
                <w:color w:val="auto"/>
              </w:rPr>
            </w:pPr>
          </w:p>
        </w:tc>
        <w:tc>
          <w:tcPr>
            <w:tcW w:w="400" w:type="dxa"/>
            <w:vAlign w:val="bottom"/>
            <w:tcBorders>
              <w:bottom w:val="single" w:sz="8" w:color="F0FFFF"/>
            </w:tcBorders>
          </w:tcPr>
          <w:p>
            <w:pPr>
              <w:spacing w:after="0" w:line="20" w:lineRule="exact"/>
              <w:rPr>
                <w:sz w:val="1"/>
                <w:szCs w:val="1"/>
                <w:color w:val="auto"/>
              </w:rPr>
            </w:pPr>
          </w:p>
        </w:tc>
        <w:tc>
          <w:tcPr>
            <w:tcW w:w="12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4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gridSpan w:val="3"/>
            <w:shd w:val="clear" w:color="auto" w:fill="F0FFFF"/>
          </w:tcPr>
          <w:p>
            <w:pPr>
              <w:spacing w:after="0"/>
              <w:rPr>
                <w:sz w:val="20"/>
                <w:szCs w:val="20"/>
                <w:color w:val="auto"/>
              </w:rPr>
            </w:pPr>
            <w:r>
              <w:rPr>
                <w:rFonts w:ascii="Arial" w:cs="Arial" w:eastAsia="Arial" w:hAnsi="Arial"/>
                <w:sz w:val="18"/>
                <w:szCs w:val="18"/>
                <w:color w:val="auto"/>
                <w:w w:val="96"/>
              </w:rPr>
              <w:t>Owner occupied commercial real estate</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1,195,986</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25,301</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39,618</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4,878</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1,265,783</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w w:val="92"/>
              </w:rPr>
              <w:t>Income producing commercial real estate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664,137</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18,775</w:t>
            </w: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883</w:t>
            </w: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688,768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781,820</w:t>
            </w:r>
          </w:p>
        </w:tc>
        <w:tc>
          <w:tcPr>
            <w:tcW w:w="24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3,188</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6,394</w:t>
            </w:r>
          </w:p>
        </w:tc>
        <w:tc>
          <w:tcPr>
            <w:tcW w:w="14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1,389</w:t>
            </w:r>
          </w:p>
        </w:tc>
        <w:tc>
          <w:tcPr>
            <w:tcW w:w="1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792,791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232,080</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3,255</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237,820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tcBorders>
              <w:top w:val="single" w:sz="8" w:color="F0FFFF"/>
            </w:tcBorders>
            <w:gridSpan w:val="3"/>
            <w:shd w:val="clear" w:color="auto" w:fill="F0FFFF"/>
          </w:tcPr>
          <w:p>
            <w:pPr>
              <w:ind w:left="140"/>
              <w:spacing w:after="0"/>
              <w:rPr>
                <w:sz w:val="20"/>
                <w:szCs w:val="20"/>
                <w:color w:val="auto"/>
              </w:rPr>
            </w:pPr>
            <w:r>
              <w:rPr>
                <w:rFonts w:ascii="Arial" w:cs="Arial" w:eastAsia="Arial" w:hAnsi="Arial"/>
                <w:sz w:val="18"/>
                <w:szCs w:val="18"/>
                <w:color w:val="auto"/>
              </w:rPr>
              <w:t>Total commercial</w:t>
            </w:r>
          </w:p>
        </w:tc>
        <w:tc>
          <w:tcPr>
            <w:tcW w:w="120" w:type="dxa"/>
            <w:vAlign w:val="bottom"/>
            <w:tcBorders>
              <w:top w:val="single" w:sz="8" w:color="F0FFFF"/>
            </w:tcBorders>
            <w:shd w:val="clear" w:color="auto" w:fill="F0FFFF"/>
          </w:tcPr>
          <w:p>
            <w:pPr>
              <w:spacing w:after="0"/>
              <w:rPr>
                <w:sz w:val="19"/>
                <w:szCs w:val="19"/>
                <w:color w:val="auto"/>
              </w:rPr>
            </w:pPr>
          </w:p>
        </w:tc>
        <w:tc>
          <w:tcPr>
            <w:tcW w:w="280" w:type="dxa"/>
            <w:vAlign w:val="bottom"/>
            <w:tcBorders>
              <w:top w:val="single" w:sz="8" w:color="auto"/>
            </w:tcBorders>
            <w:shd w:val="clear" w:color="auto" w:fill="F0FFFF"/>
          </w:tcPr>
          <w:p>
            <w:pPr>
              <w:spacing w:after="0"/>
              <w:rPr>
                <w:sz w:val="19"/>
                <w:szCs w:val="19"/>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2,874,023</w:t>
            </w:r>
          </w:p>
        </w:tc>
        <w:tc>
          <w:tcPr>
            <w:tcW w:w="120" w:type="dxa"/>
            <w:vAlign w:val="bottom"/>
            <w:tcBorders>
              <w:top w:val="single" w:sz="8" w:color="F0FFFF"/>
            </w:tcBorders>
            <w:shd w:val="clear" w:color="auto" w:fill="F0FFFF"/>
          </w:tcPr>
          <w:p>
            <w:pPr>
              <w:spacing w:after="0"/>
              <w:rPr>
                <w:sz w:val="19"/>
                <w:szCs w:val="19"/>
                <w:color w:val="auto"/>
              </w:rPr>
            </w:pPr>
          </w:p>
        </w:tc>
        <w:tc>
          <w:tcPr>
            <w:tcW w:w="240" w:type="dxa"/>
            <w:vAlign w:val="bottom"/>
            <w:tcBorders>
              <w:top w:val="single" w:sz="8" w:color="auto"/>
            </w:tcBorders>
            <w:shd w:val="clear" w:color="auto" w:fill="F0FFFF"/>
          </w:tcPr>
          <w:p>
            <w:pPr>
              <w:spacing w:after="0"/>
              <w:rPr>
                <w:sz w:val="19"/>
                <w:szCs w:val="19"/>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35,888</w:t>
            </w:r>
          </w:p>
        </w:tc>
        <w:tc>
          <w:tcPr>
            <w:tcW w:w="120" w:type="dxa"/>
            <w:vAlign w:val="bottom"/>
            <w:tcBorders>
              <w:top w:val="single" w:sz="8" w:color="F0FFFF"/>
            </w:tcBorders>
            <w:shd w:val="clear" w:color="auto" w:fill="F0FFFF"/>
          </w:tcPr>
          <w:p>
            <w:pPr>
              <w:spacing w:after="0"/>
              <w:rPr>
                <w:sz w:val="19"/>
                <w:szCs w:val="19"/>
                <w:color w:val="auto"/>
              </w:rPr>
            </w:pPr>
          </w:p>
        </w:tc>
        <w:tc>
          <w:tcPr>
            <w:tcW w:w="140" w:type="dxa"/>
            <w:vAlign w:val="bottom"/>
            <w:tcBorders>
              <w:top w:val="single" w:sz="8" w:color="auto"/>
            </w:tcBorders>
            <w:shd w:val="clear" w:color="auto" w:fill="F0FFFF"/>
          </w:tcPr>
          <w:p>
            <w:pPr>
              <w:spacing w:after="0"/>
              <w:rPr>
                <w:sz w:val="19"/>
                <w:szCs w:val="19"/>
                <w:color w:val="auto"/>
              </w:rPr>
            </w:pPr>
          </w:p>
        </w:tc>
        <w:tc>
          <w:tcPr>
            <w:tcW w:w="1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68,042</w:t>
            </w:r>
          </w:p>
        </w:tc>
        <w:tc>
          <w:tcPr>
            <w:tcW w:w="100" w:type="dxa"/>
            <w:vAlign w:val="bottom"/>
            <w:tcBorders>
              <w:top w:val="single" w:sz="8" w:color="F0FFFF"/>
            </w:tcBorders>
            <w:shd w:val="clear" w:color="auto" w:fill="F0FFFF"/>
          </w:tcPr>
          <w:p>
            <w:pPr>
              <w:spacing w:after="0"/>
              <w:rPr>
                <w:sz w:val="19"/>
                <w:szCs w:val="19"/>
                <w:color w:val="auto"/>
              </w:rPr>
            </w:pPr>
          </w:p>
        </w:tc>
        <w:tc>
          <w:tcPr>
            <w:tcW w:w="140" w:type="dxa"/>
            <w:vAlign w:val="bottom"/>
            <w:tcBorders>
              <w:top w:val="single" w:sz="8" w:color="auto"/>
            </w:tcBorders>
            <w:shd w:val="clear" w:color="auto" w:fill="F0FFFF"/>
          </w:tcPr>
          <w:p>
            <w:pPr>
              <w:spacing w:after="0"/>
              <w:rPr>
                <w:sz w:val="19"/>
                <w:szCs w:val="19"/>
                <w:color w:val="auto"/>
              </w:rPr>
            </w:pPr>
          </w:p>
        </w:tc>
        <w:tc>
          <w:tcPr>
            <w:tcW w:w="1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7,209</w:t>
            </w:r>
          </w:p>
        </w:tc>
        <w:tc>
          <w:tcPr>
            <w:tcW w:w="100" w:type="dxa"/>
            <w:vAlign w:val="bottom"/>
            <w:tcBorders>
              <w:top w:val="single" w:sz="8" w:color="F0FFFF"/>
            </w:tcBorders>
            <w:shd w:val="clear" w:color="auto" w:fill="F0FFFF"/>
          </w:tcPr>
          <w:p>
            <w:pPr>
              <w:spacing w:after="0"/>
              <w:rPr>
                <w:sz w:val="19"/>
                <w:szCs w:val="19"/>
                <w:color w:val="auto"/>
              </w:rPr>
            </w:pPr>
          </w:p>
        </w:tc>
        <w:tc>
          <w:tcPr>
            <w:tcW w:w="160" w:type="dxa"/>
            <w:vAlign w:val="bottom"/>
            <w:tcBorders>
              <w:top w:val="single" w:sz="8" w:color="auto"/>
            </w:tcBorders>
            <w:shd w:val="clear" w:color="auto" w:fill="F0FFFF"/>
          </w:tcPr>
          <w:p>
            <w:pPr>
              <w:spacing w:after="0"/>
              <w:rPr>
                <w:sz w:val="19"/>
                <w:szCs w:val="19"/>
                <w:color w:val="auto"/>
              </w:rPr>
            </w:pPr>
          </w:p>
        </w:tc>
        <w:tc>
          <w:tcPr>
            <w:tcW w:w="10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F0FFFF"/>
            </w:tcBorders>
            <w:shd w:val="clear" w:color="auto" w:fill="F0FFFF"/>
          </w:tcPr>
          <w:p>
            <w:pPr>
              <w:spacing w:after="0"/>
              <w:rPr>
                <w:sz w:val="19"/>
                <w:szCs w:val="19"/>
                <w:color w:val="auto"/>
              </w:rPr>
            </w:pPr>
          </w:p>
        </w:tc>
        <w:tc>
          <w:tcPr>
            <w:tcW w:w="40" w:type="dxa"/>
            <w:vAlign w:val="bottom"/>
            <w:tcBorders>
              <w:top w:val="single" w:sz="8" w:color="F0FFFF"/>
            </w:tcBorders>
            <w:shd w:val="clear" w:color="auto" w:fill="F0FFFF"/>
          </w:tcPr>
          <w:p>
            <w:pPr>
              <w:spacing w:after="0"/>
              <w:rPr>
                <w:sz w:val="19"/>
                <w:szCs w:val="19"/>
                <w:color w:val="auto"/>
              </w:rPr>
            </w:pPr>
          </w:p>
        </w:tc>
        <w:tc>
          <w:tcPr>
            <w:tcW w:w="260" w:type="dxa"/>
            <w:vAlign w:val="bottom"/>
            <w:tcBorders>
              <w:top w:val="single" w:sz="8" w:color="auto"/>
            </w:tcBorders>
            <w:shd w:val="clear" w:color="auto" w:fill="F0FFFF"/>
          </w:tcPr>
          <w:p>
            <w:pPr>
              <w:spacing w:after="0"/>
              <w:rPr>
                <w:sz w:val="19"/>
                <w:szCs w:val="19"/>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2,985,162</w:t>
            </w:r>
          </w:p>
        </w:tc>
        <w:tc>
          <w:tcPr>
            <w:tcW w:w="100" w:type="dxa"/>
            <w:vAlign w:val="bottom"/>
            <w:tcBorders>
              <w:top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886,863</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30,579</w:t>
            </w: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8,599</w:t>
            </w: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935,646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484,222</w:t>
            </w:r>
          </w:p>
        </w:tc>
        <w:tc>
          <w:tcPr>
            <w:tcW w:w="24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5,591</w:t>
            </w:r>
          </w:p>
        </w:tc>
        <w:tc>
          <w:tcPr>
            <w:tcW w:w="14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940</w:t>
            </w:r>
          </w:p>
        </w:tc>
        <w:tc>
          <w:tcPr>
            <w:tcW w:w="1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490,753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Residential construction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284,395</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9,686</w:t>
            </w: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1,358</w:t>
            </w: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298,920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104,958</w:t>
            </w:r>
          </w:p>
        </w:tc>
        <w:tc>
          <w:tcPr>
            <w:tcW w:w="24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842</w:t>
            </w:r>
          </w:p>
        </w:tc>
        <w:tc>
          <w:tcPr>
            <w:tcW w:w="14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105,931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Indirect auto</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355,576</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961</w:t>
            </w: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568</w:t>
            </w:r>
          </w:p>
        </w:tc>
        <w:tc>
          <w:tcPr>
            <w:tcW w:w="1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357,105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top w:val="single" w:sz="8" w:color="F0FFFF"/>
              <w:bottom w:val="single" w:sz="8" w:color="F0FFFF"/>
            </w:tcBorders>
            <w:gridSpan w:val="3"/>
            <w:shd w:val="clear" w:color="auto" w:fill="F0FFFF"/>
          </w:tcPr>
          <w:p>
            <w:pPr>
              <w:ind w:left="140"/>
              <w:spacing w:after="0"/>
              <w:rPr>
                <w:sz w:val="20"/>
                <w:szCs w:val="20"/>
                <w:color w:val="auto"/>
              </w:rPr>
            </w:pPr>
            <w:r>
              <w:rPr>
                <w:rFonts w:ascii="Arial" w:cs="Arial" w:eastAsia="Arial" w:hAnsi="Arial"/>
                <w:sz w:val="18"/>
                <w:szCs w:val="18"/>
                <w:color w:val="auto"/>
              </w:rPr>
              <w:t>Total loans</w:t>
            </w:r>
          </w:p>
        </w:tc>
        <w:tc>
          <w:tcPr>
            <w:tcW w:w="120" w:type="dxa"/>
            <w:vAlign w:val="bottom"/>
            <w:tcBorders>
              <w:top w:val="single" w:sz="8" w:color="F0FFFF"/>
              <w:bottom w:val="single" w:sz="8" w:color="F0FFFF"/>
            </w:tcBorders>
            <w:shd w:val="clear" w:color="auto" w:fill="F0FFFF"/>
          </w:tcPr>
          <w:p>
            <w:pPr>
              <w:spacing w:after="0"/>
              <w:rPr>
                <w:sz w:val="18"/>
                <w:szCs w:val="18"/>
                <w:color w:val="auto"/>
              </w:rPr>
            </w:pPr>
          </w:p>
        </w:tc>
        <w:tc>
          <w:tcPr>
            <w:tcW w:w="280" w:type="dxa"/>
            <w:vAlign w:val="bottom"/>
            <w:tcBorders>
              <w:top w:val="single" w:sz="8" w:color="auto"/>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4,990,037</w:t>
            </w:r>
          </w:p>
        </w:tc>
        <w:tc>
          <w:tcPr>
            <w:tcW w:w="120" w:type="dxa"/>
            <w:vAlign w:val="bottom"/>
            <w:tcBorders>
              <w:top w:val="single" w:sz="8" w:color="F0FFFF"/>
              <w:bottom w:val="single" w:sz="8" w:color="F0FFFF"/>
            </w:tcBorders>
            <w:shd w:val="clear" w:color="auto" w:fill="F0FFFF"/>
          </w:tcPr>
          <w:p>
            <w:pPr>
              <w:spacing w:after="0"/>
              <w:rPr>
                <w:sz w:val="18"/>
                <w:szCs w:val="18"/>
                <w:color w:val="auto"/>
              </w:rPr>
            </w:pP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48,974</w:t>
            </w:r>
          </w:p>
        </w:tc>
        <w:tc>
          <w:tcPr>
            <w:tcW w:w="120" w:type="dxa"/>
            <w:vAlign w:val="bottom"/>
            <w:tcBorders>
              <w:top w:val="single" w:sz="8" w:color="F0FFFF"/>
              <w:bottom w:val="single" w:sz="8" w:color="F0FFFF"/>
            </w:tcBorders>
            <w:shd w:val="clear" w:color="auto" w:fill="F0FFFF"/>
          </w:tcPr>
          <w:p>
            <w:pPr>
              <w:spacing w:after="0"/>
              <w:rPr>
                <w:sz w:val="18"/>
                <w:szCs w:val="18"/>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115,701</w:t>
            </w:r>
          </w:p>
        </w:tc>
        <w:tc>
          <w:tcPr>
            <w:tcW w:w="100" w:type="dxa"/>
            <w:vAlign w:val="bottom"/>
            <w:tcBorders>
              <w:top w:val="single" w:sz="8" w:color="F0FFFF"/>
              <w:bottom w:val="single" w:sz="8" w:color="F0FFFF"/>
            </w:tcBorders>
            <w:shd w:val="clear" w:color="auto" w:fill="F0FFFF"/>
          </w:tcPr>
          <w:p>
            <w:pPr>
              <w:spacing w:after="0"/>
              <w:rPr>
                <w:sz w:val="18"/>
                <w:szCs w:val="18"/>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18,805</w:t>
            </w:r>
          </w:p>
        </w:tc>
        <w:tc>
          <w:tcPr>
            <w:tcW w:w="100" w:type="dxa"/>
            <w:vAlign w:val="bottom"/>
            <w:tcBorders>
              <w:top w:val="single" w:sz="8" w:color="F0FFFF"/>
              <w:bottom w:val="single" w:sz="8" w:color="F0FFFF"/>
            </w:tcBorders>
            <w:shd w:val="clear" w:color="auto" w:fill="F0FFFF"/>
          </w:tcPr>
          <w:p>
            <w:pPr>
              <w:spacing w:after="0"/>
              <w:rPr>
                <w:sz w:val="18"/>
                <w:szCs w:val="18"/>
                <w:color w:val="auto"/>
              </w:rPr>
            </w:pPr>
          </w:p>
        </w:tc>
        <w:tc>
          <w:tcPr>
            <w:tcW w:w="160" w:type="dxa"/>
            <w:vAlign w:val="bottom"/>
            <w:tcBorders>
              <w:top w:val="single" w:sz="8" w:color="auto"/>
              <w:bottom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F0FFFF"/>
              <w:bottom w:val="single" w:sz="8" w:color="F0FFFF"/>
            </w:tcBorders>
            <w:shd w:val="clear" w:color="auto" w:fill="F0FFFF"/>
          </w:tcPr>
          <w:p>
            <w:pPr>
              <w:spacing w:after="0"/>
              <w:rPr>
                <w:sz w:val="18"/>
                <w:szCs w:val="18"/>
                <w:color w:val="auto"/>
              </w:rPr>
            </w:pPr>
          </w:p>
        </w:tc>
        <w:tc>
          <w:tcPr>
            <w:tcW w:w="40" w:type="dxa"/>
            <w:vAlign w:val="bottom"/>
            <w:tcBorders>
              <w:top w:val="single" w:sz="8" w:color="F0FFFF"/>
              <w:bottom w:val="single" w:sz="8" w:color="F0FFFF"/>
            </w:tcBorders>
            <w:shd w:val="clear" w:color="auto" w:fill="F0FFFF"/>
          </w:tcPr>
          <w:p>
            <w:pPr>
              <w:spacing w:after="0"/>
              <w:rPr>
                <w:sz w:val="18"/>
                <w:szCs w:val="18"/>
                <w:color w:val="auto"/>
              </w:rPr>
            </w:pPr>
          </w:p>
        </w:tc>
        <w:tc>
          <w:tcPr>
            <w:tcW w:w="260" w:type="dxa"/>
            <w:vAlign w:val="bottom"/>
            <w:tcBorders>
              <w:top w:val="single" w:sz="8" w:color="auto"/>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5,173,517</w:t>
            </w:r>
          </w:p>
        </w:tc>
        <w:tc>
          <w:tcPr>
            <w:tcW w:w="100" w:type="dxa"/>
            <w:vAlign w:val="bottom"/>
            <w:tcBorders>
              <w:top w:val="single" w:sz="8" w:color="F0FFFF"/>
              <w:bottom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shd w:val="clear" w:color="auto" w:fill="F0FFFF"/>
          </w:tcPr>
          <w:p>
            <w:pPr>
              <w:spacing w:after="0" w:line="20" w:lineRule="exact"/>
              <w:rPr>
                <w:sz w:val="1"/>
                <w:szCs w:val="1"/>
                <w:color w:val="auto"/>
              </w:rPr>
            </w:pPr>
          </w:p>
        </w:tc>
        <w:tc>
          <w:tcPr>
            <w:tcW w:w="400" w:type="dxa"/>
            <w:vAlign w:val="bottom"/>
            <w:shd w:val="clear" w:color="auto" w:fill="F0FFFF"/>
          </w:tcPr>
          <w:p>
            <w:pPr>
              <w:spacing w:after="0" w:line="20" w:lineRule="exact"/>
              <w:rPr>
                <w:sz w:val="1"/>
                <w:szCs w:val="1"/>
                <w:color w:val="auto"/>
              </w:rPr>
            </w:pPr>
          </w:p>
        </w:tc>
        <w:tc>
          <w:tcPr>
            <w:tcW w:w="120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100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102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112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112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1080" w:type="dxa"/>
            <w:vAlign w:val="bottom"/>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100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100" w:type="dxa"/>
            <w:vAlign w:val="bottom"/>
            <w:gridSpan w:val="4"/>
            <w:vMerge w:val="restart"/>
          </w:tcPr>
          <w:p>
            <w:pPr>
              <w:spacing w:after="0" w:line="189" w:lineRule="exact"/>
              <w:rPr>
                <w:sz w:val="20"/>
                <w:szCs w:val="20"/>
                <w:color w:val="auto"/>
              </w:rPr>
            </w:pPr>
            <w:r>
              <w:rPr>
                <w:rFonts w:ascii="Arial" w:cs="Arial" w:eastAsia="Arial" w:hAnsi="Arial"/>
                <w:sz w:val="18"/>
                <w:szCs w:val="18"/>
                <w:b w:val="1"/>
                <w:bCs w:val="1"/>
                <w:color w:val="auto"/>
              </w:rPr>
              <w:t>As of December 31, 2014</w:t>
            </w: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10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3"/>
            <w:shd w:val="clear" w:color="auto" w:fill="F0FFFF"/>
          </w:tcPr>
          <w:p>
            <w:pPr>
              <w:spacing w:after="0"/>
              <w:rPr>
                <w:sz w:val="20"/>
                <w:szCs w:val="20"/>
                <w:color w:val="auto"/>
              </w:rPr>
            </w:pPr>
            <w:r>
              <w:rPr>
                <w:rFonts w:ascii="Arial" w:cs="Arial" w:eastAsia="Arial" w:hAnsi="Arial"/>
                <w:sz w:val="18"/>
                <w:szCs w:val="18"/>
                <w:color w:val="auto"/>
                <w:w w:val="96"/>
              </w:rPr>
              <w:t>Owner occupied commercial real estate</w:t>
            </w:r>
          </w:p>
        </w:tc>
        <w:tc>
          <w:tcPr>
            <w:tcW w:w="400" w:type="dxa"/>
            <w:vAlign w:val="bottom"/>
            <w:gridSpan w:val="2"/>
            <w:shd w:val="clear" w:color="auto" w:fill="F0FF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1,094,057</w:t>
            </w: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18,889</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46,401</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4,133</w:t>
            </w: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1,163,480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w w:val="92"/>
              </w:rPr>
              <w:t>Income producing commercial real estate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560,559</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16,701</w:t>
            </w: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20,560</w:t>
            </w: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598,537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696,805</w:t>
            </w:r>
          </w:p>
        </w:tc>
        <w:tc>
          <w:tcPr>
            <w:tcW w:w="24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4,017</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7,863</w:t>
            </w:r>
          </w:p>
        </w:tc>
        <w:tc>
          <w:tcPr>
            <w:tcW w:w="14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1,571</w:t>
            </w:r>
          </w:p>
        </w:tc>
        <w:tc>
          <w:tcPr>
            <w:tcW w:w="1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710,256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190,070</w:t>
            </w:r>
          </w:p>
        </w:tc>
        <w:tc>
          <w:tcPr>
            <w:tcW w:w="2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2,311</w:t>
            </w: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3,566</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196,030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tcBorders>
              <w:top w:val="single" w:sz="8" w:color="F0FFFF"/>
            </w:tcBorders>
            <w:gridSpan w:val="3"/>
            <w:shd w:val="clear" w:color="auto" w:fill="F0FFFF"/>
          </w:tcPr>
          <w:p>
            <w:pPr>
              <w:ind w:left="140"/>
              <w:spacing w:after="0"/>
              <w:rPr>
                <w:sz w:val="20"/>
                <w:szCs w:val="20"/>
                <w:color w:val="auto"/>
              </w:rPr>
            </w:pPr>
            <w:r>
              <w:rPr>
                <w:rFonts w:ascii="Arial" w:cs="Arial" w:eastAsia="Arial" w:hAnsi="Arial"/>
                <w:sz w:val="18"/>
                <w:szCs w:val="18"/>
                <w:color w:val="auto"/>
              </w:rPr>
              <w:t>Total commercial</w:t>
            </w:r>
          </w:p>
        </w:tc>
        <w:tc>
          <w:tcPr>
            <w:tcW w:w="120" w:type="dxa"/>
            <w:vAlign w:val="bottom"/>
            <w:tcBorders>
              <w:top w:val="single" w:sz="8" w:color="F0FFFF"/>
            </w:tcBorders>
            <w:shd w:val="clear" w:color="auto" w:fill="F0FFFF"/>
          </w:tcPr>
          <w:p>
            <w:pPr>
              <w:spacing w:after="0"/>
              <w:rPr>
                <w:sz w:val="19"/>
                <w:szCs w:val="19"/>
                <w:color w:val="auto"/>
              </w:rPr>
            </w:pPr>
          </w:p>
        </w:tc>
        <w:tc>
          <w:tcPr>
            <w:tcW w:w="280" w:type="dxa"/>
            <w:vAlign w:val="bottom"/>
            <w:tcBorders>
              <w:top w:val="single" w:sz="8" w:color="auto"/>
            </w:tcBorders>
            <w:shd w:val="clear" w:color="auto" w:fill="F0FFFF"/>
          </w:tcPr>
          <w:p>
            <w:pPr>
              <w:spacing w:after="0"/>
              <w:rPr>
                <w:sz w:val="19"/>
                <w:szCs w:val="19"/>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2,541,491</w:t>
            </w:r>
          </w:p>
        </w:tc>
        <w:tc>
          <w:tcPr>
            <w:tcW w:w="120" w:type="dxa"/>
            <w:vAlign w:val="bottom"/>
            <w:tcBorders>
              <w:top w:val="single" w:sz="8" w:color="F0FFFF"/>
            </w:tcBorders>
            <w:shd w:val="clear" w:color="auto" w:fill="F0FFFF"/>
          </w:tcPr>
          <w:p>
            <w:pPr>
              <w:spacing w:after="0"/>
              <w:rPr>
                <w:sz w:val="19"/>
                <w:szCs w:val="19"/>
                <w:color w:val="auto"/>
              </w:rPr>
            </w:pPr>
          </w:p>
        </w:tc>
        <w:tc>
          <w:tcPr>
            <w:tcW w:w="240" w:type="dxa"/>
            <w:vAlign w:val="bottom"/>
            <w:tcBorders>
              <w:top w:val="single" w:sz="8" w:color="auto"/>
            </w:tcBorders>
            <w:shd w:val="clear" w:color="auto" w:fill="F0FFFF"/>
          </w:tcPr>
          <w:p>
            <w:pPr>
              <w:spacing w:after="0"/>
              <w:rPr>
                <w:sz w:val="19"/>
                <w:szCs w:val="19"/>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41,918</w:t>
            </w:r>
          </w:p>
        </w:tc>
        <w:tc>
          <w:tcPr>
            <w:tcW w:w="120" w:type="dxa"/>
            <w:vAlign w:val="bottom"/>
            <w:tcBorders>
              <w:top w:val="single" w:sz="8" w:color="F0FFFF"/>
            </w:tcBorders>
            <w:shd w:val="clear" w:color="auto" w:fill="F0FFFF"/>
          </w:tcPr>
          <w:p>
            <w:pPr>
              <w:spacing w:after="0"/>
              <w:rPr>
                <w:sz w:val="19"/>
                <w:szCs w:val="19"/>
                <w:color w:val="auto"/>
              </w:rPr>
            </w:pPr>
          </w:p>
        </w:tc>
        <w:tc>
          <w:tcPr>
            <w:tcW w:w="140" w:type="dxa"/>
            <w:vAlign w:val="bottom"/>
            <w:tcBorders>
              <w:top w:val="single" w:sz="8" w:color="auto"/>
            </w:tcBorders>
            <w:shd w:val="clear" w:color="auto" w:fill="F0FFFF"/>
          </w:tcPr>
          <w:p>
            <w:pPr>
              <w:spacing w:after="0"/>
              <w:rPr>
                <w:sz w:val="19"/>
                <w:szCs w:val="19"/>
                <w:color w:val="auto"/>
              </w:rPr>
            </w:pPr>
          </w:p>
        </w:tc>
        <w:tc>
          <w:tcPr>
            <w:tcW w:w="1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78,390</w:t>
            </w:r>
          </w:p>
        </w:tc>
        <w:tc>
          <w:tcPr>
            <w:tcW w:w="100" w:type="dxa"/>
            <w:vAlign w:val="bottom"/>
            <w:tcBorders>
              <w:top w:val="single" w:sz="8" w:color="F0FFFF"/>
            </w:tcBorders>
            <w:shd w:val="clear" w:color="auto" w:fill="F0FFFF"/>
          </w:tcPr>
          <w:p>
            <w:pPr>
              <w:spacing w:after="0"/>
              <w:rPr>
                <w:sz w:val="19"/>
                <w:szCs w:val="19"/>
                <w:color w:val="auto"/>
              </w:rPr>
            </w:pPr>
          </w:p>
        </w:tc>
        <w:tc>
          <w:tcPr>
            <w:tcW w:w="140" w:type="dxa"/>
            <w:vAlign w:val="bottom"/>
            <w:tcBorders>
              <w:top w:val="single" w:sz="8" w:color="auto"/>
            </w:tcBorders>
            <w:shd w:val="clear" w:color="auto" w:fill="F0FFFF"/>
          </w:tcPr>
          <w:p>
            <w:pPr>
              <w:spacing w:after="0"/>
              <w:rPr>
                <w:sz w:val="19"/>
                <w:szCs w:val="19"/>
                <w:color w:val="auto"/>
              </w:rPr>
            </w:pPr>
          </w:p>
        </w:tc>
        <w:tc>
          <w:tcPr>
            <w:tcW w:w="1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6,504</w:t>
            </w:r>
          </w:p>
        </w:tc>
        <w:tc>
          <w:tcPr>
            <w:tcW w:w="100" w:type="dxa"/>
            <w:vAlign w:val="bottom"/>
            <w:tcBorders>
              <w:top w:val="single" w:sz="8" w:color="F0FFFF"/>
            </w:tcBorders>
            <w:shd w:val="clear" w:color="auto" w:fill="F0FFFF"/>
          </w:tcPr>
          <w:p>
            <w:pPr>
              <w:spacing w:after="0"/>
              <w:rPr>
                <w:sz w:val="19"/>
                <w:szCs w:val="19"/>
                <w:color w:val="auto"/>
              </w:rPr>
            </w:pPr>
          </w:p>
        </w:tc>
        <w:tc>
          <w:tcPr>
            <w:tcW w:w="160" w:type="dxa"/>
            <w:vAlign w:val="bottom"/>
            <w:tcBorders>
              <w:top w:val="single" w:sz="8" w:color="auto"/>
            </w:tcBorders>
            <w:shd w:val="clear" w:color="auto" w:fill="F0FFFF"/>
          </w:tcPr>
          <w:p>
            <w:pPr>
              <w:spacing w:after="0"/>
              <w:rPr>
                <w:sz w:val="19"/>
                <w:szCs w:val="19"/>
                <w:color w:val="auto"/>
              </w:rPr>
            </w:pPr>
          </w:p>
        </w:tc>
        <w:tc>
          <w:tcPr>
            <w:tcW w:w="10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F0FFFF"/>
            </w:tcBorders>
            <w:shd w:val="clear" w:color="auto" w:fill="F0FFFF"/>
          </w:tcPr>
          <w:p>
            <w:pPr>
              <w:spacing w:after="0"/>
              <w:rPr>
                <w:sz w:val="19"/>
                <w:szCs w:val="19"/>
                <w:color w:val="auto"/>
              </w:rPr>
            </w:pPr>
          </w:p>
        </w:tc>
        <w:tc>
          <w:tcPr>
            <w:tcW w:w="40" w:type="dxa"/>
            <w:vAlign w:val="bottom"/>
            <w:tcBorders>
              <w:top w:val="single" w:sz="8" w:color="F0FFFF"/>
            </w:tcBorders>
            <w:shd w:val="clear" w:color="auto" w:fill="F0FFFF"/>
          </w:tcPr>
          <w:p>
            <w:pPr>
              <w:spacing w:after="0"/>
              <w:rPr>
                <w:sz w:val="19"/>
                <w:szCs w:val="19"/>
                <w:color w:val="auto"/>
              </w:rPr>
            </w:pPr>
          </w:p>
        </w:tc>
        <w:tc>
          <w:tcPr>
            <w:tcW w:w="260" w:type="dxa"/>
            <w:vAlign w:val="bottom"/>
            <w:tcBorders>
              <w:top w:val="single" w:sz="8" w:color="auto"/>
            </w:tcBorders>
            <w:shd w:val="clear" w:color="auto" w:fill="F0FFFF"/>
          </w:tcPr>
          <w:p>
            <w:pPr>
              <w:spacing w:after="0"/>
              <w:rPr>
                <w:sz w:val="19"/>
                <w:szCs w:val="19"/>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2,668,303</w:t>
            </w:r>
          </w:p>
        </w:tc>
        <w:tc>
          <w:tcPr>
            <w:tcW w:w="100" w:type="dxa"/>
            <w:vAlign w:val="bottom"/>
            <w:tcBorders>
              <w:top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814,168</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31,831</w:t>
            </w: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8,196</w:t>
            </w: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865,789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459,881</w:t>
            </w:r>
          </w:p>
        </w:tc>
        <w:tc>
          <w:tcPr>
            <w:tcW w:w="24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5,296</w:t>
            </w:r>
          </w:p>
        </w:tc>
        <w:tc>
          <w:tcPr>
            <w:tcW w:w="14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695</w:t>
            </w:r>
          </w:p>
        </w:tc>
        <w:tc>
          <w:tcPr>
            <w:tcW w:w="1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465,872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Residential construction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280,166</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10,920</w:t>
            </w: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2,006</w:t>
            </w: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298,627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103,383</w:t>
            </w:r>
          </w:p>
        </w:tc>
        <w:tc>
          <w:tcPr>
            <w:tcW w:w="24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1,382</w:t>
            </w:r>
          </w:p>
        </w:tc>
        <w:tc>
          <w:tcPr>
            <w:tcW w:w="14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104,899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Indirect auto</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267,709</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574</w:t>
            </w: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c>
          <w:tcPr>
            <w:tcW w:w="1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268,629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top w:val="single" w:sz="8" w:color="F0FFFF"/>
              <w:bottom w:val="single" w:sz="8" w:color="F0FFFF"/>
            </w:tcBorders>
            <w:gridSpan w:val="3"/>
            <w:shd w:val="clear" w:color="auto" w:fill="F0FFFF"/>
          </w:tcPr>
          <w:p>
            <w:pPr>
              <w:ind w:left="140"/>
              <w:spacing w:after="0"/>
              <w:rPr>
                <w:sz w:val="20"/>
                <w:szCs w:val="20"/>
                <w:color w:val="auto"/>
              </w:rPr>
            </w:pPr>
            <w:r>
              <w:rPr>
                <w:rFonts w:ascii="Arial" w:cs="Arial" w:eastAsia="Arial" w:hAnsi="Arial"/>
                <w:sz w:val="18"/>
                <w:szCs w:val="18"/>
                <w:color w:val="auto"/>
              </w:rPr>
              <w:t>Total loans</w:t>
            </w:r>
          </w:p>
        </w:tc>
        <w:tc>
          <w:tcPr>
            <w:tcW w:w="120" w:type="dxa"/>
            <w:vAlign w:val="bottom"/>
            <w:tcBorders>
              <w:top w:val="single" w:sz="8" w:color="F0FFFF"/>
              <w:bottom w:val="single" w:sz="8" w:color="F0FFFF"/>
            </w:tcBorders>
            <w:shd w:val="clear" w:color="auto" w:fill="F0FFFF"/>
          </w:tcPr>
          <w:p>
            <w:pPr>
              <w:spacing w:after="0"/>
              <w:rPr>
                <w:sz w:val="18"/>
                <w:szCs w:val="18"/>
                <w:color w:val="auto"/>
              </w:rPr>
            </w:pPr>
          </w:p>
        </w:tc>
        <w:tc>
          <w:tcPr>
            <w:tcW w:w="280" w:type="dxa"/>
            <w:vAlign w:val="bottom"/>
            <w:tcBorders>
              <w:top w:val="single" w:sz="8" w:color="auto"/>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4,466,798</w:t>
            </w:r>
          </w:p>
        </w:tc>
        <w:tc>
          <w:tcPr>
            <w:tcW w:w="120" w:type="dxa"/>
            <w:vAlign w:val="bottom"/>
            <w:tcBorders>
              <w:top w:val="single" w:sz="8" w:color="F0FFFF"/>
              <w:bottom w:val="single" w:sz="8" w:color="F0FFFF"/>
            </w:tcBorders>
            <w:shd w:val="clear" w:color="auto" w:fill="F0FFFF"/>
          </w:tcPr>
          <w:p>
            <w:pPr>
              <w:spacing w:after="0"/>
              <w:rPr>
                <w:sz w:val="18"/>
                <w:szCs w:val="18"/>
                <w:color w:val="auto"/>
              </w:rPr>
            </w:pP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59,047</w:t>
            </w:r>
          </w:p>
        </w:tc>
        <w:tc>
          <w:tcPr>
            <w:tcW w:w="120" w:type="dxa"/>
            <w:vAlign w:val="bottom"/>
            <w:tcBorders>
              <w:top w:val="single" w:sz="8" w:color="F0FFFF"/>
              <w:bottom w:val="single" w:sz="8" w:color="F0FFFF"/>
            </w:tcBorders>
            <w:shd w:val="clear" w:color="auto" w:fill="F0FFFF"/>
          </w:tcPr>
          <w:p>
            <w:pPr>
              <w:spacing w:after="0"/>
              <w:rPr>
                <w:sz w:val="18"/>
                <w:szCs w:val="18"/>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128,393</w:t>
            </w:r>
          </w:p>
        </w:tc>
        <w:tc>
          <w:tcPr>
            <w:tcW w:w="100" w:type="dxa"/>
            <w:vAlign w:val="bottom"/>
            <w:tcBorders>
              <w:top w:val="single" w:sz="8" w:color="F0FFFF"/>
              <w:bottom w:val="single" w:sz="8" w:color="F0FFFF"/>
            </w:tcBorders>
            <w:shd w:val="clear" w:color="auto" w:fill="F0FFFF"/>
          </w:tcPr>
          <w:p>
            <w:pPr>
              <w:spacing w:after="0"/>
              <w:rPr>
                <w:sz w:val="18"/>
                <w:szCs w:val="18"/>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17,881</w:t>
            </w:r>
          </w:p>
        </w:tc>
        <w:tc>
          <w:tcPr>
            <w:tcW w:w="100" w:type="dxa"/>
            <w:vAlign w:val="bottom"/>
            <w:tcBorders>
              <w:top w:val="single" w:sz="8" w:color="F0FFFF"/>
              <w:bottom w:val="single" w:sz="8" w:color="F0FFFF"/>
            </w:tcBorders>
            <w:shd w:val="clear" w:color="auto" w:fill="F0FFFF"/>
          </w:tcPr>
          <w:p>
            <w:pPr>
              <w:spacing w:after="0"/>
              <w:rPr>
                <w:sz w:val="18"/>
                <w:szCs w:val="18"/>
                <w:color w:val="auto"/>
              </w:rPr>
            </w:pPr>
          </w:p>
        </w:tc>
        <w:tc>
          <w:tcPr>
            <w:tcW w:w="160" w:type="dxa"/>
            <w:vAlign w:val="bottom"/>
            <w:tcBorders>
              <w:top w:val="single" w:sz="8" w:color="auto"/>
              <w:bottom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F0FFFF"/>
              <w:bottom w:val="single" w:sz="8" w:color="F0FFFF"/>
            </w:tcBorders>
            <w:shd w:val="clear" w:color="auto" w:fill="F0FFFF"/>
          </w:tcPr>
          <w:p>
            <w:pPr>
              <w:spacing w:after="0"/>
              <w:rPr>
                <w:sz w:val="18"/>
                <w:szCs w:val="18"/>
                <w:color w:val="auto"/>
              </w:rPr>
            </w:pPr>
          </w:p>
        </w:tc>
        <w:tc>
          <w:tcPr>
            <w:tcW w:w="40" w:type="dxa"/>
            <w:vAlign w:val="bottom"/>
            <w:tcBorders>
              <w:top w:val="single" w:sz="8" w:color="F0FFFF"/>
              <w:bottom w:val="single" w:sz="8" w:color="F0FFFF"/>
            </w:tcBorders>
            <w:shd w:val="clear" w:color="auto" w:fill="F0FFFF"/>
          </w:tcPr>
          <w:p>
            <w:pPr>
              <w:spacing w:after="0"/>
              <w:rPr>
                <w:sz w:val="18"/>
                <w:szCs w:val="18"/>
                <w:color w:val="auto"/>
              </w:rPr>
            </w:pPr>
          </w:p>
        </w:tc>
        <w:tc>
          <w:tcPr>
            <w:tcW w:w="260" w:type="dxa"/>
            <w:vAlign w:val="bottom"/>
            <w:tcBorders>
              <w:top w:val="single" w:sz="8" w:color="auto"/>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4,672,119</w:t>
            </w:r>
          </w:p>
        </w:tc>
        <w:tc>
          <w:tcPr>
            <w:tcW w:w="100" w:type="dxa"/>
            <w:vAlign w:val="bottom"/>
            <w:tcBorders>
              <w:top w:val="single" w:sz="8" w:color="F0FFFF"/>
              <w:bottom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shd w:val="clear" w:color="auto" w:fill="F0FFFF"/>
          </w:tcPr>
          <w:p>
            <w:pPr>
              <w:spacing w:after="0" w:line="20" w:lineRule="exact"/>
              <w:rPr>
                <w:sz w:val="1"/>
                <w:szCs w:val="1"/>
                <w:color w:val="auto"/>
              </w:rPr>
            </w:pPr>
          </w:p>
        </w:tc>
        <w:tc>
          <w:tcPr>
            <w:tcW w:w="400" w:type="dxa"/>
            <w:vAlign w:val="bottom"/>
            <w:shd w:val="clear" w:color="auto" w:fill="F0FFFF"/>
          </w:tcPr>
          <w:p>
            <w:pPr>
              <w:spacing w:after="0" w:line="20" w:lineRule="exact"/>
              <w:rPr>
                <w:sz w:val="1"/>
                <w:szCs w:val="1"/>
                <w:color w:val="auto"/>
              </w:rPr>
            </w:pPr>
          </w:p>
        </w:tc>
        <w:tc>
          <w:tcPr>
            <w:tcW w:w="120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280" w:type="dxa"/>
            <w:vAlign w:val="bottom"/>
            <w:shd w:val="clear" w:color="auto" w:fill="F0FFFF"/>
          </w:tcPr>
          <w:p>
            <w:pPr>
              <w:spacing w:after="0" w:line="20" w:lineRule="exact"/>
              <w:rPr>
                <w:sz w:val="1"/>
                <w:szCs w:val="1"/>
                <w:color w:val="auto"/>
              </w:rPr>
            </w:pPr>
          </w:p>
        </w:tc>
        <w:tc>
          <w:tcPr>
            <w:tcW w:w="100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240" w:type="dxa"/>
            <w:vAlign w:val="bottom"/>
            <w:shd w:val="clear" w:color="auto" w:fill="F0FFFF"/>
          </w:tcPr>
          <w:p>
            <w:pPr>
              <w:spacing w:after="0" w:line="20" w:lineRule="exact"/>
              <w:rPr>
                <w:sz w:val="1"/>
                <w:szCs w:val="1"/>
                <w:color w:val="auto"/>
              </w:rPr>
            </w:pPr>
          </w:p>
        </w:tc>
        <w:tc>
          <w:tcPr>
            <w:tcW w:w="1020" w:type="dxa"/>
            <w:vAlign w:val="bottom"/>
            <w:shd w:val="clear" w:color="auto" w:fill="F0FFFF"/>
          </w:tcPr>
          <w:p>
            <w:pPr>
              <w:spacing w:after="0" w:line="20" w:lineRule="exact"/>
              <w:rPr>
                <w:sz w:val="1"/>
                <w:szCs w:val="1"/>
                <w:color w:val="auto"/>
              </w:rPr>
            </w:pPr>
          </w:p>
        </w:tc>
        <w:tc>
          <w:tcPr>
            <w:tcW w:w="120" w:type="dxa"/>
            <w:vAlign w:val="bottom"/>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112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140" w:type="dxa"/>
            <w:vAlign w:val="bottom"/>
            <w:shd w:val="clear" w:color="auto" w:fill="F0FFFF"/>
          </w:tcPr>
          <w:p>
            <w:pPr>
              <w:spacing w:after="0" w:line="20" w:lineRule="exact"/>
              <w:rPr>
                <w:sz w:val="1"/>
                <w:szCs w:val="1"/>
                <w:color w:val="auto"/>
              </w:rPr>
            </w:pPr>
          </w:p>
        </w:tc>
        <w:tc>
          <w:tcPr>
            <w:tcW w:w="112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160" w:type="dxa"/>
            <w:vAlign w:val="bottom"/>
            <w:shd w:val="clear" w:color="auto" w:fill="F0FFFF"/>
          </w:tcPr>
          <w:p>
            <w:pPr>
              <w:spacing w:after="0" w:line="20" w:lineRule="exact"/>
              <w:rPr>
                <w:sz w:val="1"/>
                <w:szCs w:val="1"/>
                <w:color w:val="auto"/>
              </w:rPr>
            </w:pPr>
          </w:p>
        </w:tc>
        <w:tc>
          <w:tcPr>
            <w:tcW w:w="1080" w:type="dxa"/>
            <w:vAlign w:val="bottom"/>
            <w:shd w:val="clear" w:color="auto" w:fill="F0FFFF"/>
          </w:tcPr>
          <w:p>
            <w:pPr>
              <w:spacing w:after="0" w:line="20" w:lineRule="exact"/>
              <w:rPr>
                <w:sz w:val="1"/>
                <w:szCs w:val="1"/>
                <w:color w:val="auto"/>
              </w:rPr>
            </w:pPr>
          </w:p>
        </w:tc>
        <w:tc>
          <w:tcPr>
            <w:tcW w:w="60" w:type="dxa"/>
            <w:vAlign w:val="bottom"/>
            <w:shd w:val="clear" w:color="auto" w:fill="F0FFFF"/>
          </w:tcPr>
          <w:p>
            <w:pPr>
              <w:spacing w:after="0" w:line="20" w:lineRule="exact"/>
              <w:rPr>
                <w:sz w:val="1"/>
                <w:szCs w:val="1"/>
                <w:color w:val="auto"/>
              </w:rPr>
            </w:pPr>
          </w:p>
        </w:tc>
        <w:tc>
          <w:tcPr>
            <w:tcW w:w="40" w:type="dxa"/>
            <w:vAlign w:val="bottom"/>
            <w:shd w:val="clear" w:color="auto" w:fill="F0FFFF"/>
          </w:tcPr>
          <w:p>
            <w:pPr>
              <w:spacing w:after="0" w:line="20" w:lineRule="exact"/>
              <w:rPr>
                <w:sz w:val="1"/>
                <w:szCs w:val="1"/>
                <w:color w:val="auto"/>
              </w:rPr>
            </w:pPr>
          </w:p>
        </w:tc>
        <w:tc>
          <w:tcPr>
            <w:tcW w:w="260" w:type="dxa"/>
            <w:vAlign w:val="bottom"/>
            <w:shd w:val="clear" w:color="auto" w:fill="F0FFFF"/>
          </w:tcPr>
          <w:p>
            <w:pPr>
              <w:spacing w:after="0" w:line="20" w:lineRule="exact"/>
              <w:rPr>
                <w:sz w:val="1"/>
                <w:szCs w:val="1"/>
                <w:color w:val="auto"/>
              </w:rPr>
            </w:pPr>
          </w:p>
        </w:tc>
        <w:tc>
          <w:tcPr>
            <w:tcW w:w="1000" w:type="dxa"/>
            <w:vAlign w:val="bottom"/>
            <w:shd w:val="clear" w:color="auto" w:fill="F0FFFF"/>
          </w:tcPr>
          <w:p>
            <w:pPr>
              <w:spacing w:after="0" w:line="20" w:lineRule="exact"/>
              <w:rPr>
                <w:sz w:val="1"/>
                <w:szCs w:val="1"/>
                <w:color w:val="auto"/>
              </w:rPr>
            </w:pPr>
          </w:p>
        </w:tc>
        <w:tc>
          <w:tcPr>
            <w:tcW w:w="100" w:type="dxa"/>
            <w:vAlign w:val="bottom"/>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100" w:type="dxa"/>
            <w:vAlign w:val="bottom"/>
            <w:gridSpan w:val="4"/>
            <w:vMerge w:val="restart"/>
          </w:tcPr>
          <w:p>
            <w:pPr>
              <w:spacing w:after="0" w:line="189" w:lineRule="exact"/>
              <w:rPr>
                <w:sz w:val="20"/>
                <w:szCs w:val="20"/>
                <w:color w:val="auto"/>
              </w:rPr>
            </w:pPr>
            <w:r>
              <w:rPr>
                <w:rFonts w:ascii="Arial" w:cs="Arial" w:eastAsia="Arial" w:hAnsi="Arial"/>
                <w:sz w:val="18"/>
                <w:szCs w:val="18"/>
                <w:b w:val="1"/>
                <w:bCs w:val="1"/>
                <w:color w:val="auto"/>
              </w:rPr>
              <w:t>As of June 30, 2014</w:t>
            </w: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10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3"/>
            <w:shd w:val="clear" w:color="auto" w:fill="F0FFFF"/>
          </w:tcPr>
          <w:p>
            <w:pPr>
              <w:spacing w:after="0"/>
              <w:rPr>
                <w:sz w:val="20"/>
                <w:szCs w:val="20"/>
                <w:color w:val="auto"/>
              </w:rPr>
            </w:pPr>
            <w:r>
              <w:rPr>
                <w:rFonts w:ascii="Arial" w:cs="Arial" w:eastAsia="Arial" w:hAnsi="Arial"/>
                <w:sz w:val="18"/>
                <w:szCs w:val="18"/>
                <w:color w:val="auto"/>
                <w:w w:val="96"/>
              </w:rPr>
              <w:t>Owner occupied commercial real estate</w:t>
            </w:r>
          </w:p>
        </w:tc>
        <w:tc>
          <w:tcPr>
            <w:tcW w:w="400" w:type="dxa"/>
            <w:vAlign w:val="bottom"/>
            <w:gridSpan w:val="2"/>
            <w:shd w:val="clear" w:color="auto" w:fill="F0FF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1,079,629</w:t>
            </w: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32,501</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48,222</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2,975</w:t>
            </w: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1,163,327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w w:val="92"/>
              </w:rPr>
              <w:t>Income producing commercial real estate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556,223</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16,430</w:t>
            </w: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24,633</w:t>
            </w: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1,032</w:t>
            </w: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598,318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542,836</w:t>
            </w:r>
          </w:p>
        </w:tc>
        <w:tc>
          <w:tcPr>
            <w:tcW w:w="24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4,504</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5,647</w:t>
            </w:r>
          </w:p>
        </w:tc>
        <w:tc>
          <w:tcPr>
            <w:tcW w:w="14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1,102</w:t>
            </w:r>
          </w:p>
        </w:tc>
        <w:tc>
          <w:tcPr>
            <w:tcW w:w="1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554,089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152,894</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4,406</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159,755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tcBorders>
              <w:top w:val="single" w:sz="8" w:color="F0FFFF"/>
            </w:tcBorders>
            <w:gridSpan w:val="3"/>
            <w:shd w:val="clear" w:color="auto" w:fill="F0FFFF"/>
          </w:tcPr>
          <w:p>
            <w:pPr>
              <w:ind w:left="140"/>
              <w:spacing w:after="0"/>
              <w:rPr>
                <w:sz w:val="20"/>
                <w:szCs w:val="20"/>
                <w:color w:val="auto"/>
              </w:rPr>
            </w:pPr>
            <w:r>
              <w:rPr>
                <w:rFonts w:ascii="Arial" w:cs="Arial" w:eastAsia="Arial" w:hAnsi="Arial"/>
                <w:sz w:val="18"/>
                <w:szCs w:val="18"/>
                <w:color w:val="auto"/>
              </w:rPr>
              <w:t>Total commercial</w:t>
            </w:r>
          </w:p>
        </w:tc>
        <w:tc>
          <w:tcPr>
            <w:tcW w:w="120" w:type="dxa"/>
            <w:vAlign w:val="bottom"/>
            <w:tcBorders>
              <w:top w:val="single" w:sz="8" w:color="F0FFFF"/>
            </w:tcBorders>
            <w:shd w:val="clear" w:color="auto" w:fill="F0FFFF"/>
          </w:tcPr>
          <w:p>
            <w:pPr>
              <w:spacing w:after="0"/>
              <w:rPr>
                <w:sz w:val="19"/>
                <w:szCs w:val="19"/>
                <w:color w:val="auto"/>
              </w:rPr>
            </w:pPr>
          </w:p>
        </w:tc>
        <w:tc>
          <w:tcPr>
            <w:tcW w:w="280" w:type="dxa"/>
            <w:vAlign w:val="bottom"/>
            <w:tcBorders>
              <w:top w:val="single" w:sz="8" w:color="auto"/>
            </w:tcBorders>
            <w:shd w:val="clear" w:color="auto" w:fill="F0FFFF"/>
          </w:tcPr>
          <w:p>
            <w:pPr>
              <w:spacing w:after="0"/>
              <w:rPr>
                <w:sz w:val="19"/>
                <w:szCs w:val="19"/>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2,331,582</w:t>
            </w:r>
          </w:p>
        </w:tc>
        <w:tc>
          <w:tcPr>
            <w:tcW w:w="120" w:type="dxa"/>
            <w:vAlign w:val="bottom"/>
            <w:tcBorders>
              <w:top w:val="single" w:sz="8" w:color="F0FFFF"/>
            </w:tcBorders>
            <w:shd w:val="clear" w:color="auto" w:fill="F0FFFF"/>
          </w:tcPr>
          <w:p>
            <w:pPr>
              <w:spacing w:after="0"/>
              <w:rPr>
                <w:sz w:val="19"/>
                <w:szCs w:val="19"/>
                <w:color w:val="auto"/>
              </w:rPr>
            </w:pPr>
          </w:p>
        </w:tc>
        <w:tc>
          <w:tcPr>
            <w:tcW w:w="240" w:type="dxa"/>
            <w:vAlign w:val="bottom"/>
            <w:tcBorders>
              <w:top w:val="single" w:sz="8" w:color="auto"/>
            </w:tcBorders>
            <w:shd w:val="clear" w:color="auto" w:fill="F0FFFF"/>
          </w:tcPr>
          <w:p>
            <w:pPr>
              <w:spacing w:after="0"/>
              <w:rPr>
                <w:sz w:val="19"/>
                <w:szCs w:val="19"/>
                <w:color w:val="auto"/>
              </w:rPr>
            </w:pPr>
          </w:p>
        </w:tc>
        <w:tc>
          <w:tcPr>
            <w:tcW w:w="10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55,795</w:t>
            </w:r>
          </w:p>
        </w:tc>
        <w:tc>
          <w:tcPr>
            <w:tcW w:w="120" w:type="dxa"/>
            <w:vAlign w:val="bottom"/>
            <w:tcBorders>
              <w:top w:val="single" w:sz="8" w:color="F0FFFF"/>
            </w:tcBorders>
            <w:shd w:val="clear" w:color="auto" w:fill="F0FFFF"/>
          </w:tcPr>
          <w:p>
            <w:pPr>
              <w:spacing w:after="0"/>
              <w:rPr>
                <w:sz w:val="19"/>
                <w:szCs w:val="19"/>
                <w:color w:val="auto"/>
              </w:rPr>
            </w:pPr>
          </w:p>
        </w:tc>
        <w:tc>
          <w:tcPr>
            <w:tcW w:w="140" w:type="dxa"/>
            <w:vAlign w:val="bottom"/>
            <w:tcBorders>
              <w:top w:val="single" w:sz="8" w:color="auto"/>
            </w:tcBorders>
            <w:shd w:val="clear" w:color="auto" w:fill="F0FFFF"/>
          </w:tcPr>
          <w:p>
            <w:pPr>
              <w:spacing w:after="0"/>
              <w:rPr>
                <w:sz w:val="19"/>
                <w:szCs w:val="19"/>
                <w:color w:val="auto"/>
              </w:rPr>
            </w:pPr>
          </w:p>
        </w:tc>
        <w:tc>
          <w:tcPr>
            <w:tcW w:w="1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82,908</w:t>
            </w:r>
          </w:p>
        </w:tc>
        <w:tc>
          <w:tcPr>
            <w:tcW w:w="100" w:type="dxa"/>
            <w:vAlign w:val="bottom"/>
            <w:tcBorders>
              <w:top w:val="single" w:sz="8" w:color="F0FFFF"/>
            </w:tcBorders>
            <w:shd w:val="clear" w:color="auto" w:fill="F0FFFF"/>
          </w:tcPr>
          <w:p>
            <w:pPr>
              <w:spacing w:after="0"/>
              <w:rPr>
                <w:sz w:val="19"/>
                <w:szCs w:val="19"/>
                <w:color w:val="auto"/>
              </w:rPr>
            </w:pPr>
          </w:p>
        </w:tc>
        <w:tc>
          <w:tcPr>
            <w:tcW w:w="140" w:type="dxa"/>
            <w:vAlign w:val="bottom"/>
            <w:tcBorders>
              <w:top w:val="single" w:sz="8" w:color="auto"/>
            </w:tcBorders>
            <w:shd w:val="clear" w:color="auto" w:fill="F0FFFF"/>
          </w:tcPr>
          <w:p>
            <w:pPr>
              <w:spacing w:after="0"/>
              <w:rPr>
                <w:sz w:val="19"/>
                <w:szCs w:val="19"/>
                <w:color w:val="auto"/>
              </w:rPr>
            </w:pPr>
          </w:p>
        </w:tc>
        <w:tc>
          <w:tcPr>
            <w:tcW w:w="1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5,204</w:t>
            </w:r>
          </w:p>
        </w:tc>
        <w:tc>
          <w:tcPr>
            <w:tcW w:w="100" w:type="dxa"/>
            <w:vAlign w:val="bottom"/>
            <w:tcBorders>
              <w:top w:val="single" w:sz="8" w:color="F0FFFF"/>
            </w:tcBorders>
            <w:shd w:val="clear" w:color="auto" w:fill="F0FFFF"/>
          </w:tcPr>
          <w:p>
            <w:pPr>
              <w:spacing w:after="0"/>
              <w:rPr>
                <w:sz w:val="19"/>
                <w:szCs w:val="19"/>
                <w:color w:val="auto"/>
              </w:rPr>
            </w:pPr>
          </w:p>
        </w:tc>
        <w:tc>
          <w:tcPr>
            <w:tcW w:w="160" w:type="dxa"/>
            <w:vAlign w:val="bottom"/>
            <w:tcBorders>
              <w:top w:val="single" w:sz="8" w:color="auto"/>
            </w:tcBorders>
            <w:shd w:val="clear" w:color="auto" w:fill="F0FFFF"/>
          </w:tcPr>
          <w:p>
            <w:pPr>
              <w:spacing w:after="0"/>
              <w:rPr>
                <w:sz w:val="19"/>
                <w:szCs w:val="19"/>
                <w:color w:val="auto"/>
              </w:rPr>
            </w:pPr>
          </w:p>
        </w:tc>
        <w:tc>
          <w:tcPr>
            <w:tcW w:w="10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F0FFFF"/>
            </w:tcBorders>
            <w:shd w:val="clear" w:color="auto" w:fill="F0FFFF"/>
          </w:tcPr>
          <w:p>
            <w:pPr>
              <w:spacing w:after="0"/>
              <w:rPr>
                <w:sz w:val="19"/>
                <w:szCs w:val="19"/>
                <w:color w:val="auto"/>
              </w:rPr>
            </w:pPr>
          </w:p>
        </w:tc>
        <w:tc>
          <w:tcPr>
            <w:tcW w:w="40" w:type="dxa"/>
            <w:vAlign w:val="bottom"/>
            <w:tcBorders>
              <w:top w:val="single" w:sz="8" w:color="F0FFFF"/>
            </w:tcBorders>
            <w:shd w:val="clear" w:color="auto" w:fill="F0FFFF"/>
          </w:tcPr>
          <w:p>
            <w:pPr>
              <w:spacing w:after="0"/>
              <w:rPr>
                <w:sz w:val="19"/>
                <w:szCs w:val="19"/>
                <w:color w:val="auto"/>
              </w:rPr>
            </w:pPr>
          </w:p>
        </w:tc>
        <w:tc>
          <w:tcPr>
            <w:tcW w:w="260" w:type="dxa"/>
            <w:vAlign w:val="bottom"/>
            <w:tcBorders>
              <w:top w:val="single" w:sz="8" w:color="auto"/>
            </w:tcBorders>
            <w:shd w:val="clear" w:color="auto" w:fill="F0FFFF"/>
          </w:tcPr>
          <w:p>
            <w:pPr>
              <w:spacing w:after="0"/>
              <w:rPr>
                <w:sz w:val="19"/>
                <w:szCs w:val="19"/>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2,475,489</w:t>
            </w:r>
          </w:p>
        </w:tc>
        <w:tc>
          <w:tcPr>
            <w:tcW w:w="100" w:type="dxa"/>
            <w:vAlign w:val="bottom"/>
            <w:tcBorders>
              <w:top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797,725</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10,743</w:t>
            </w: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41,856</w:t>
            </w: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10,201</w:t>
            </w: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860,525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443,196</w:t>
            </w: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7,562</w:t>
            </w:r>
          </w:p>
        </w:tc>
        <w:tc>
          <w:tcPr>
            <w:tcW w:w="14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510</w:t>
            </w:r>
          </w:p>
        </w:tc>
        <w:tc>
          <w:tcPr>
            <w:tcW w:w="1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451,435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Residential construction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276,539</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12,872</w:t>
            </w: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4,248</w:t>
            </w: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301,737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103,203</w:t>
            </w:r>
          </w:p>
        </w:tc>
        <w:tc>
          <w:tcPr>
            <w:tcW w:w="24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1,776</w:t>
            </w:r>
          </w:p>
        </w:tc>
        <w:tc>
          <w:tcPr>
            <w:tcW w:w="14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105,160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Indirect auto</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214,987</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562</w:t>
            </w: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1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215,939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80" w:type="dxa"/>
            <w:vAlign w:val="bottom"/>
            <w:tcBorders>
              <w:top w:val="single" w:sz="8" w:color="F0FFFF"/>
              <w:bottom w:val="single" w:sz="8" w:color="F0FFFF"/>
            </w:tcBorders>
            <w:gridSpan w:val="3"/>
            <w:shd w:val="clear" w:color="auto" w:fill="F0FFFF"/>
          </w:tcPr>
          <w:p>
            <w:pPr>
              <w:ind w:left="140"/>
              <w:spacing w:after="0"/>
              <w:rPr>
                <w:sz w:val="20"/>
                <w:szCs w:val="20"/>
                <w:color w:val="auto"/>
              </w:rPr>
            </w:pPr>
            <w:r>
              <w:rPr>
                <w:rFonts w:ascii="Arial" w:cs="Arial" w:eastAsia="Arial" w:hAnsi="Arial"/>
                <w:sz w:val="18"/>
                <w:szCs w:val="18"/>
                <w:color w:val="auto"/>
              </w:rPr>
              <w:t>Total loans</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280" w:type="dxa"/>
            <w:vAlign w:val="bottom"/>
            <w:tcBorders>
              <w:top w:val="single" w:sz="8" w:color="auto"/>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4,167,232</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74,793</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147,536</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20,724</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60" w:type="dxa"/>
            <w:vAlign w:val="bottom"/>
            <w:tcBorders>
              <w:top w:val="single" w:sz="8" w:color="auto"/>
              <w:bottom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40" w:type="dxa"/>
            <w:vAlign w:val="bottom"/>
            <w:tcBorders>
              <w:top w:val="single" w:sz="8" w:color="F0FFFF"/>
              <w:bottom w:val="single" w:sz="8" w:color="F0FFFF"/>
            </w:tcBorders>
            <w:shd w:val="clear" w:color="auto" w:fill="F0FFFF"/>
          </w:tcPr>
          <w:p>
            <w:pPr>
              <w:spacing w:after="0"/>
              <w:rPr>
                <w:sz w:val="20"/>
                <w:szCs w:val="20"/>
                <w:color w:val="auto"/>
              </w:rPr>
            </w:pPr>
          </w:p>
        </w:tc>
        <w:tc>
          <w:tcPr>
            <w:tcW w:w="260" w:type="dxa"/>
            <w:vAlign w:val="bottom"/>
            <w:tcBorders>
              <w:top w:val="single" w:sz="8" w:color="auto"/>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4,410,285</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F0FFFF"/>
            </w:tcBorders>
          </w:tcPr>
          <w:p>
            <w:pPr>
              <w:spacing w:after="0" w:line="20" w:lineRule="exact"/>
              <w:rPr>
                <w:sz w:val="1"/>
                <w:szCs w:val="1"/>
                <w:color w:val="auto"/>
              </w:rPr>
            </w:pPr>
          </w:p>
        </w:tc>
        <w:tc>
          <w:tcPr>
            <w:tcW w:w="400" w:type="dxa"/>
            <w:vAlign w:val="bottom"/>
            <w:tcBorders>
              <w:top w:val="single" w:sz="8" w:color="F0FFFF"/>
            </w:tcBorders>
          </w:tcPr>
          <w:p>
            <w:pPr>
              <w:spacing w:after="0" w:line="20" w:lineRule="exact"/>
              <w:rPr>
                <w:sz w:val="1"/>
                <w:szCs w:val="1"/>
                <w:color w:val="auto"/>
              </w:rPr>
            </w:pPr>
          </w:p>
        </w:tc>
        <w:tc>
          <w:tcPr>
            <w:tcW w:w="12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1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11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Ratings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categorizes commercial loans into risk categories based on relevant information about the ability of borrowers to service their debt such as: current financial information, historical payment experience, credit documentation, public information, and current industry and economic trends, among other factors. United analyzes loans individually by classifying the loans as to credit risk. This analysis is performed on a continual basis. United uses the following definitions for its risk ratings:</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Watch. </w:t>
      </w:r>
      <w:r>
        <w:rPr>
          <w:rFonts w:ascii="Arial" w:cs="Arial" w:eastAsia="Arial" w:hAnsi="Arial"/>
          <w:sz w:val="18"/>
          <w:szCs w:val="18"/>
          <w:color w:val="auto"/>
        </w:rPr>
        <w:t>Loans in this category are presently protected from apparent loss; however, weaknesses exist that could cause future impairment,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9" w:name="page30"/>
    <w:bookmarkEnd w:id="29"/>
    <w:p>
      <w:pPr>
        <w:jc w:val="center"/>
        <w:ind w:right="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Substandard. </w:t>
      </w:r>
      <w:r>
        <w:rPr>
          <w:rFonts w:ascii="Arial" w:cs="Arial" w:eastAsia="Arial" w:hAnsi="Arial"/>
          <w:sz w:val="18"/>
          <w:szCs w:val="18"/>
          <w:color w:val="auto"/>
        </w:rPr>
        <w:t>These loans are inadequately protected by the current net worth and paying capacity of the obligor or by the collateral pledged. Specific and</w:t>
      </w:r>
      <w:r>
        <w:rPr>
          <w:rFonts w:ascii="Arial" w:cs="Arial" w:eastAsia="Arial" w:hAnsi="Arial"/>
          <w:sz w:val="18"/>
          <w:szCs w:val="18"/>
          <w:b w:val="1"/>
          <w:bCs w:val="1"/>
          <w:color w:val="auto"/>
        </w:rPr>
        <w:t xml:space="preserve"> </w:t>
      </w:r>
      <w:r>
        <w:rPr>
          <w:rFonts w:ascii="Arial" w:cs="Arial" w:eastAsia="Arial" w:hAnsi="Arial"/>
          <w:sz w:val="18"/>
          <w:szCs w:val="18"/>
          <w:color w:val="auto"/>
        </w:rPr>
        <w:t>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Doubtful. </w:t>
      </w:r>
      <w:r>
        <w:rPr>
          <w:rFonts w:ascii="Arial" w:cs="Arial" w:eastAsia="Arial" w:hAnsi="Arial"/>
          <w:sz w:val="18"/>
          <w:szCs w:val="18"/>
          <w:color w:val="auto"/>
        </w:rPr>
        <w:t>Specific weaknesses characterized as Substandard that are severe enough to make collection in full highly questionable and improbable. There is</w:t>
      </w:r>
      <w:r>
        <w:rPr>
          <w:rFonts w:ascii="Arial" w:cs="Arial" w:eastAsia="Arial" w:hAnsi="Arial"/>
          <w:sz w:val="18"/>
          <w:szCs w:val="18"/>
          <w:b w:val="1"/>
          <w:bCs w:val="1"/>
          <w:color w:val="auto"/>
        </w:rPr>
        <w:t xml:space="preserve"> </w:t>
      </w:r>
      <w:r>
        <w:rPr>
          <w:rFonts w:ascii="Arial" w:cs="Arial" w:eastAsia="Arial" w:hAnsi="Arial"/>
          <w:sz w:val="18"/>
          <w:szCs w:val="18"/>
          <w:color w:val="auto"/>
        </w:rPr>
        <w:t>no reliable secondary source of full repayment.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Loss. </w:t>
      </w:r>
      <w:r>
        <w:rPr>
          <w:rFonts w:ascii="Arial" w:cs="Arial" w:eastAsia="Arial" w:hAnsi="Arial"/>
          <w:sz w:val="16"/>
          <w:szCs w:val="16"/>
          <w:color w:val="auto"/>
        </w:rPr>
        <w:t>Loans categorized as Loss have the same characteristics as Doubtful; however, probability of loss is certain. Loans classified as Loss are charged off.</w:t>
      </w:r>
    </w:p>
    <w:p>
      <w:pPr>
        <w:spacing w:after="0" w:line="24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Consumer Purpose Loans. </w:t>
      </w:r>
      <w:r>
        <w:rPr>
          <w:rFonts w:ascii="Arial" w:cs="Arial" w:eastAsia="Arial" w:hAnsi="Arial"/>
          <w:sz w:val="16"/>
          <w:szCs w:val="16"/>
          <w:color w:val="auto"/>
        </w:rPr>
        <w:t>United applies a pass / fail grading system to all consumer purpose loans. Under the pass / fail grading system, consumer purpose</w:t>
      </w:r>
      <w:r>
        <w:rPr>
          <w:rFonts w:ascii="Arial" w:cs="Arial" w:eastAsia="Arial" w:hAnsi="Arial"/>
          <w:sz w:val="16"/>
          <w:szCs w:val="16"/>
          <w:b w:val="1"/>
          <w:bCs w:val="1"/>
          <w:color w:val="auto"/>
        </w:rPr>
        <w:t xml:space="preserve"> </w:t>
      </w:r>
      <w:r>
        <w:rPr>
          <w:rFonts w:ascii="Arial" w:cs="Arial" w:eastAsia="Arial" w:hAnsi="Arial"/>
          <w:sz w:val="16"/>
          <w:szCs w:val="16"/>
          <w:color w:val="auto"/>
        </w:rPr>
        <w:t>loans meeting the criteria of substandard are classified as “fail” and all other loans are classified as “pass”. For reporting purposes, consumer purpose loans classified as “fail” are reported in the performing substandard or nonaccrual columns and all other consumer purpose loans are reported in the “pass” column. Loan balances reported in the “watch” column for residential mortgage are generally commercial purpose loans secured by the borrower’s residence.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Loans not meeting the criteria above that are analyzed individually as part of the above described process are considered to be pass rated loans.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Servicing Rights for Government Guaranteed Loans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United accounts for servicing rights for government guaranteed loans serviced for others at fair value and includes them in other assets. Changes in the balances of servicing assets and servicing liabilities subsequently measured using the fair value measurement method for the three and six months ended June 30, 2015 and 2014 are recorded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6"/>
          </w:tcPr>
          <w:p>
            <w:pPr>
              <w:ind w:left="34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4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520" w:type="dxa"/>
            <w:vAlign w:val="bottom"/>
            <w:tcBorders>
              <w:bottom w:val="single" w:sz="8" w:color="F0FFFF"/>
            </w:tcBorders>
          </w:tcPr>
          <w:p>
            <w:pPr>
              <w:spacing w:after="0"/>
              <w:rPr>
                <w:sz w:val="19"/>
                <w:szCs w:val="19"/>
                <w:color w:val="auto"/>
              </w:rPr>
            </w:pPr>
          </w:p>
        </w:tc>
        <w:tc>
          <w:tcPr>
            <w:tcW w:w="220" w:type="dxa"/>
            <w:vAlign w:val="bottom"/>
            <w:tcBorders>
              <w:bottom w:val="single" w:sz="8" w:color="F0FF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bottom w:val="single" w:sz="8" w:color="F0FFFF"/>
            </w:tcBorders>
          </w:tcPr>
          <w:p>
            <w:pPr>
              <w:spacing w:after="0"/>
              <w:rPr>
                <w:sz w:val="19"/>
                <w:szCs w:val="19"/>
                <w:color w:val="auto"/>
              </w:rPr>
            </w:pPr>
          </w:p>
        </w:tc>
        <w:tc>
          <w:tcPr>
            <w:tcW w:w="140" w:type="dxa"/>
            <w:vAlign w:val="bottom"/>
            <w:tcBorders>
              <w:bottom w:val="single" w:sz="8" w:color="F0FF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300" w:type="dxa"/>
            <w:vAlign w:val="bottom"/>
            <w:tcBorders>
              <w:bottom w:val="single" w:sz="8" w:color="F0FF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bottom w:val="single" w:sz="8" w:color="F0FFFF"/>
            </w:tcBorders>
          </w:tcPr>
          <w:p>
            <w:pPr>
              <w:spacing w:after="0"/>
              <w:rPr>
                <w:sz w:val="19"/>
                <w:szCs w:val="19"/>
                <w:color w:val="auto"/>
              </w:rPr>
            </w:pPr>
          </w:p>
        </w:tc>
        <w:tc>
          <w:tcPr>
            <w:tcW w:w="120" w:type="dxa"/>
            <w:vAlign w:val="bottom"/>
            <w:tcBorders>
              <w:bottom w:val="single" w:sz="8" w:color="F0FF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F0FFFF"/>
            </w:tcBorders>
          </w:tcPr>
          <w:p>
            <w:pPr>
              <w:spacing w:after="0"/>
              <w:rPr>
                <w:sz w:val="19"/>
                <w:szCs w:val="19"/>
                <w:color w:val="auto"/>
              </w:rPr>
            </w:pPr>
          </w:p>
        </w:tc>
      </w:tr>
      <w:tr>
        <w:trPr>
          <w:trHeight w:val="216"/>
        </w:trPr>
        <w:tc>
          <w:tcPr>
            <w:tcW w:w="4520" w:type="dxa"/>
            <w:vAlign w:val="bottom"/>
            <w:shd w:val="clear" w:color="auto" w:fill="F0FFFF"/>
          </w:tcPr>
          <w:p>
            <w:pPr>
              <w:spacing w:after="0"/>
              <w:rPr>
                <w:sz w:val="20"/>
                <w:szCs w:val="20"/>
                <w:color w:val="auto"/>
              </w:rPr>
            </w:pPr>
            <w:r>
              <w:rPr>
                <w:rFonts w:ascii="Arial" w:cs="Arial" w:eastAsia="Arial" w:hAnsi="Arial"/>
                <w:sz w:val="18"/>
                <w:szCs w:val="18"/>
                <w:color w:val="auto"/>
              </w:rPr>
              <w:t>Fair value at beginning of period</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2,717</w:t>
            </w:r>
          </w:p>
        </w:tc>
        <w:tc>
          <w:tcPr>
            <w:tcW w:w="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2,551</w:t>
            </w: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Additions: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5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Acquired servicing rights</w:t>
            </w:r>
          </w:p>
        </w:tc>
        <w:tc>
          <w:tcPr>
            <w:tcW w:w="22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2,133</w:t>
            </w:r>
          </w:p>
        </w:tc>
        <w:tc>
          <w:tcPr>
            <w:tcW w:w="30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2,133</w:t>
            </w:r>
          </w:p>
        </w:tc>
        <w:tc>
          <w:tcPr>
            <w:tcW w:w="100" w:type="dxa"/>
            <w:vAlign w:val="bottom"/>
            <w:shd w:val="clear" w:color="auto" w:fill="F0FFFF"/>
          </w:tcPr>
          <w:p>
            <w:pPr>
              <w:spacing w:after="0"/>
              <w:rPr>
                <w:sz w:val="21"/>
                <w:szCs w:val="21"/>
                <w:color w:val="auto"/>
              </w:rPr>
            </w:pPr>
          </w:p>
        </w:tc>
      </w:tr>
      <w:tr>
        <w:trPr>
          <w:trHeight w:val="243"/>
        </w:trPr>
        <w:tc>
          <w:tcPr>
            <w:tcW w:w="4520" w:type="dxa"/>
            <w:vAlign w:val="bottom"/>
          </w:tcPr>
          <w:p>
            <w:pPr>
              <w:ind w:left="160"/>
              <w:spacing w:after="0"/>
              <w:rPr>
                <w:sz w:val="20"/>
                <w:szCs w:val="20"/>
                <w:color w:val="auto"/>
              </w:rPr>
            </w:pPr>
            <w:r>
              <w:rPr>
                <w:rFonts w:ascii="Arial" w:cs="Arial" w:eastAsia="Arial" w:hAnsi="Arial"/>
                <w:sz w:val="18"/>
                <w:szCs w:val="18"/>
                <w:color w:val="auto"/>
                <w:w w:val="95"/>
              </w:rPr>
              <w:t>Originated servicing rights capitalized upon sale on loans</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442</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r>
      <w:tr>
        <w:trPr>
          <w:trHeight w:val="216"/>
        </w:trPr>
        <w:tc>
          <w:tcPr>
            <w:tcW w:w="4520" w:type="dxa"/>
            <w:vAlign w:val="bottom"/>
            <w:shd w:val="clear" w:color="auto" w:fill="F0FFFF"/>
          </w:tcPr>
          <w:p>
            <w:pPr>
              <w:spacing w:after="0"/>
              <w:rPr>
                <w:sz w:val="20"/>
                <w:szCs w:val="20"/>
                <w:color w:val="auto"/>
              </w:rPr>
            </w:pPr>
            <w:r>
              <w:rPr>
                <w:rFonts w:ascii="Arial" w:cs="Arial" w:eastAsia="Arial" w:hAnsi="Arial"/>
                <w:sz w:val="18"/>
                <w:szCs w:val="18"/>
                <w:color w:val="auto"/>
              </w:rPr>
              <w:t>Changes in fair value:</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29"/>
        </w:trPr>
        <w:tc>
          <w:tcPr>
            <w:tcW w:w="4520" w:type="dxa"/>
            <w:vAlign w:val="bottom"/>
          </w:tcPr>
          <w:p>
            <w:pPr>
              <w:ind w:left="160"/>
              <w:spacing w:after="0"/>
              <w:rPr>
                <w:sz w:val="20"/>
                <w:szCs w:val="20"/>
                <w:color w:val="auto"/>
              </w:rPr>
            </w:pPr>
            <w:r>
              <w:rPr>
                <w:rFonts w:ascii="Arial" w:cs="Arial" w:eastAsia="Arial" w:hAnsi="Arial"/>
                <w:sz w:val="18"/>
                <w:szCs w:val="18"/>
                <w:color w:val="auto"/>
                <w:w w:val="95"/>
              </w:rPr>
              <w:t>Due to change in valuation inputs or assumptions used in</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1"/>
        </w:trPr>
        <w:tc>
          <w:tcPr>
            <w:tcW w:w="4520" w:type="dxa"/>
            <w:vAlign w:val="bottom"/>
          </w:tcPr>
          <w:p>
            <w:pPr>
              <w:ind w:left="320"/>
              <w:spacing w:after="0"/>
              <w:rPr>
                <w:sz w:val="20"/>
                <w:szCs w:val="20"/>
                <w:color w:val="auto"/>
              </w:rPr>
            </w:pPr>
            <w:r>
              <w:rPr>
                <w:rFonts w:ascii="Arial" w:cs="Arial" w:eastAsia="Arial" w:hAnsi="Arial"/>
                <w:sz w:val="18"/>
                <w:szCs w:val="18"/>
                <w:color w:val="auto"/>
              </w:rPr>
              <w:t>valuation model</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41"/>
        </w:trPr>
        <w:tc>
          <w:tcPr>
            <w:tcW w:w="452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Fair value at end of period</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3,118</w:t>
            </w:r>
          </w:p>
        </w:tc>
        <w:tc>
          <w:tcPr>
            <w:tcW w:w="180" w:type="dxa"/>
            <w:vAlign w:val="bottom"/>
            <w:tcBorders>
              <w:top w:val="single" w:sz="8" w:color="F0FFFF"/>
              <w:bottom w:val="single" w:sz="8" w:color="F0FFFF"/>
            </w:tcBorders>
            <w:shd w:val="clear" w:color="auto" w:fill="F0FFFF"/>
          </w:tcPr>
          <w:p>
            <w:pPr>
              <w:spacing w:after="0"/>
              <w:rPr>
                <w:sz w:val="20"/>
                <w:szCs w:val="20"/>
                <w:color w:val="auto"/>
              </w:rPr>
            </w:pP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260" w:type="dxa"/>
            <w:vAlign w:val="bottom"/>
            <w:tcBorders>
              <w:top w:val="single" w:sz="8" w:color="auto"/>
              <w:bottom w:val="single" w:sz="8" w:color="auto"/>
            </w:tcBorders>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2,262</w:t>
            </w:r>
          </w:p>
        </w:tc>
        <w:tc>
          <w:tcPr>
            <w:tcW w:w="300" w:type="dxa"/>
            <w:vAlign w:val="bottom"/>
            <w:tcBorders>
              <w:top w:val="single" w:sz="8" w:color="F0FFFF"/>
              <w:bottom w:val="single" w:sz="8" w:color="F0FFFF"/>
            </w:tcBorders>
            <w:shd w:val="clear" w:color="auto" w:fill="F0FFFF"/>
          </w:tcPr>
          <w:p>
            <w:pPr>
              <w:spacing w:after="0"/>
              <w:rPr>
                <w:sz w:val="20"/>
                <w:szCs w:val="20"/>
                <w:color w:val="auto"/>
              </w:rPr>
            </w:pPr>
          </w:p>
        </w:tc>
        <w:tc>
          <w:tcPr>
            <w:tcW w:w="220" w:type="dxa"/>
            <w:vAlign w:val="bottom"/>
            <w:tcBorders>
              <w:top w:val="single" w:sz="8" w:color="auto"/>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3,118</w:t>
            </w:r>
          </w:p>
        </w:tc>
        <w:tc>
          <w:tcPr>
            <w:tcW w:w="18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260" w:type="dxa"/>
            <w:vAlign w:val="bottom"/>
            <w:tcBorders>
              <w:top w:val="single" w:sz="8" w:color="auto"/>
              <w:bottom w:val="single" w:sz="8" w:color="auto"/>
            </w:tcBorders>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2,262</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r>
      <w:tr>
        <w:trPr>
          <w:trHeight w:val="20"/>
        </w:trPr>
        <w:tc>
          <w:tcPr>
            <w:tcW w:w="45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3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 summary of the key characteristics, inputs, and economic assumptions used to estimate the fair value of the Company’s government guaranteed servicing assets as of June 30, 2015 and December 31, 2014, and the sensitivity of the fair values to immediate adverse changes in those assumptions are shown in the table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1"/>
              </w:rPr>
              <w:t>June 30,</w:t>
            </w: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1720" w:type="dxa"/>
            <w:vAlign w:val="bottom"/>
          </w:tcPr>
          <w:p>
            <w:pPr>
              <w:spacing w:after="0"/>
              <w:rPr>
                <w:sz w:val="18"/>
                <w:szCs w:val="18"/>
                <w:color w:val="auto"/>
              </w:rPr>
            </w:pPr>
          </w:p>
        </w:tc>
      </w:tr>
      <w:tr>
        <w:trPr>
          <w:trHeight w:val="241"/>
        </w:trPr>
        <w:tc>
          <w:tcPr>
            <w:tcW w:w="1720" w:type="dxa"/>
            <w:vAlign w:val="bottom"/>
          </w:tcPr>
          <w:p>
            <w:pPr>
              <w:spacing w:after="0"/>
              <w:rPr>
                <w:sz w:val="20"/>
                <w:szCs w:val="20"/>
                <w:color w:val="auto"/>
              </w:rPr>
            </w:pPr>
          </w:p>
        </w:tc>
        <w:tc>
          <w:tcPr>
            <w:tcW w:w="3320" w:type="dxa"/>
            <w:vAlign w:val="bottom"/>
            <w:tcBorders>
              <w:bottom w:val="single" w:sz="8" w:color="F0FFFF"/>
            </w:tcBorders>
          </w:tcPr>
          <w:p>
            <w:pPr>
              <w:spacing w:after="0"/>
              <w:rPr>
                <w:sz w:val="20"/>
                <w:szCs w:val="20"/>
                <w:color w:val="auto"/>
              </w:rPr>
            </w:pPr>
          </w:p>
        </w:tc>
        <w:tc>
          <w:tcPr>
            <w:tcW w:w="2180" w:type="dxa"/>
            <w:vAlign w:val="bottom"/>
            <w:tcBorders>
              <w:bottom w:val="single" w:sz="8" w:color="F0FF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F0FF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F0FFFF"/>
            </w:tcBorders>
          </w:tcPr>
          <w:p>
            <w:pPr>
              <w:spacing w:after="0"/>
              <w:rPr>
                <w:sz w:val="20"/>
                <w:szCs w:val="20"/>
                <w:color w:val="auto"/>
              </w:rPr>
            </w:pPr>
          </w:p>
        </w:tc>
        <w:tc>
          <w:tcPr>
            <w:tcW w:w="1720" w:type="dxa"/>
            <w:vAlign w:val="bottom"/>
          </w:tcPr>
          <w:p>
            <w:pPr>
              <w:spacing w:after="0"/>
              <w:rPr>
                <w:sz w:val="20"/>
                <w:szCs w:val="20"/>
                <w:color w:val="auto"/>
              </w:rPr>
            </w:pPr>
          </w:p>
        </w:tc>
      </w:tr>
      <w:tr>
        <w:trPr>
          <w:trHeight w:val="216"/>
        </w:trPr>
        <w:tc>
          <w:tcPr>
            <w:tcW w:w="17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Fair value of retained servicing assets</w:t>
            </w:r>
          </w:p>
        </w:tc>
        <w:tc>
          <w:tcPr>
            <w:tcW w:w="218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3,118</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2,551</w:t>
            </w:r>
          </w:p>
        </w:tc>
        <w:tc>
          <w:tcPr>
            <w:tcW w:w="220" w:type="dxa"/>
            <w:vAlign w:val="bottom"/>
            <w:shd w:val="clear" w:color="auto" w:fill="F0FF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Prepayment rate assumption</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6.98%</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6.70%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10% adverse change</w:t>
            </w:r>
          </w:p>
        </w:tc>
        <w:tc>
          <w:tcPr>
            <w:tcW w:w="23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(80)</w:t>
            </w:r>
          </w:p>
        </w:tc>
        <w:tc>
          <w:tcPr>
            <w:tcW w:w="22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(62)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20% adverse change</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Discount rate</w:t>
            </w:r>
          </w:p>
        </w:tc>
        <w:tc>
          <w:tcPr>
            <w:tcW w:w="2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12.0%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100 bps adverse change</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200bps adverse change</w:t>
            </w:r>
          </w:p>
        </w:tc>
        <w:tc>
          <w:tcPr>
            <w:tcW w:w="23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(211)</w:t>
            </w:r>
          </w:p>
        </w:tc>
        <w:tc>
          <w:tcPr>
            <w:tcW w:w="22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(164)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Weighted-average life (months)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Weighted-average gross margin</w:t>
            </w:r>
          </w:p>
        </w:tc>
        <w:tc>
          <w:tcPr>
            <w:tcW w:w="2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2.00%</w:t>
            </w:r>
          </w:p>
        </w:tc>
        <w:tc>
          <w:tcPr>
            <w:tcW w:w="1720" w:type="dxa"/>
            <w:vAlign w:val="bottom"/>
          </w:tcPr>
          <w:p>
            <w:pPr>
              <w:spacing w:after="0"/>
              <w:rPr>
                <w:sz w:val="18"/>
                <w:szCs w:val="18"/>
                <w:color w:val="auto"/>
              </w:rPr>
            </w:pPr>
          </w:p>
        </w:tc>
      </w:tr>
      <w:tr>
        <w:trPr>
          <w:trHeight w:val="675"/>
        </w:trPr>
        <w:tc>
          <w:tcPr>
            <w:tcW w:w="1720" w:type="dxa"/>
            <w:vAlign w:val="bottom"/>
            <w:tcBorders>
              <w:bottom w:val="single" w:sz="8" w:color="DCDCDC"/>
            </w:tcBorders>
          </w:tcPr>
          <w:p>
            <w:pPr>
              <w:spacing w:after="0"/>
              <w:rPr>
                <w:sz w:val="24"/>
                <w:szCs w:val="24"/>
                <w:color w:val="auto"/>
              </w:rPr>
            </w:pPr>
          </w:p>
        </w:tc>
        <w:tc>
          <w:tcPr>
            <w:tcW w:w="3320" w:type="dxa"/>
            <w:vAlign w:val="bottom"/>
            <w:tcBorders>
              <w:bottom w:val="single" w:sz="8" w:color="DCDCDC"/>
            </w:tcBorders>
          </w:tcPr>
          <w:p>
            <w:pPr>
              <w:spacing w:after="0"/>
              <w:rPr>
                <w:sz w:val="24"/>
                <w:szCs w:val="24"/>
                <w:color w:val="auto"/>
              </w:rPr>
            </w:pPr>
          </w:p>
        </w:tc>
        <w:tc>
          <w:tcPr>
            <w:tcW w:w="2180" w:type="dxa"/>
            <w:vAlign w:val="bottom"/>
            <w:tcBorders>
              <w:bottom w:val="single" w:sz="8" w:color="DCDCDC"/>
            </w:tcBorders>
          </w:tcPr>
          <w:p>
            <w:pPr>
              <w:jc w:val="right"/>
              <w:ind w:right="133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84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7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Reclassifications Out of Accumulated Other Comprehensive Income</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The following table presents the details regarding amounts reclassified out of accumulated other comprehensive income for the three and six months ended June 30, 2015 and 2014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340" w:type="dxa"/>
            <w:vAlign w:val="bottom"/>
            <w:gridSpan w:val="13"/>
          </w:tcPr>
          <w:p>
            <w:pPr>
              <w:jc w:val="right"/>
              <w:ind w:right="530"/>
              <w:spacing w:after="0"/>
              <w:rPr>
                <w:sz w:val="20"/>
                <w:szCs w:val="20"/>
                <w:color w:val="auto"/>
              </w:rPr>
            </w:pPr>
            <w:r>
              <w:rPr>
                <w:rFonts w:ascii="Arial" w:cs="Arial" w:eastAsia="Arial" w:hAnsi="Arial"/>
                <w:sz w:val="18"/>
                <w:szCs w:val="18"/>
                <w:b w:val="1"/>
                <w:bCs w:val="1"/>
                <w:color w:val="auto"/>
                <w:w w:val="91"/>
              </w:rPr>
              <w:t>Amounts Reclassified from Accumulated Other</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7"/>
          </w:tcPr>
          <w:p>
            <w:pPr>
              <w:jc w:val="right"/>
              <w:ind w:right="310"/>
              <w:spacing w:after="0"/>
              <w:rPr>
                <w:sz w:val="20"/>
                <w:szCs w:val="20"/>
                <w:color w:val="auto"/>
              </w:rPr>
            </w:pPr>
            <w:r>
              <w:rPr>
                <w:rFonts w:ascii="Arial" w:cs="Arial" w:eastAsia="Arial" w:hAnsi="Arial"/>
                <w:sz w:val="18"/>
                <w:szCs w:val="18"/>
                <w:b w:val="1"/>
                <w:bCs w:val="1"/>
                <w:color w:val="auto"/>
                <w:w w:val="89"/>
              </w:rPr>
              <w:t>Comprehensive Income</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520" w:type="dxa"/>
            <w:vAlign w:val="bottom"/>
            <w:gridSpan w:val="6"/>
          </w:tcPr>
          <w:p>
            <w:pPr>
              <w:jc w:val="right"/>
              <w:ind w:right="120"/>
              <w:spacing w:after="0" w:line="198" w:lineRule="exact"/>
              <w:rPr>
                <w:sz w:val="20"/>
                <w:szCs w:val="20"/>
                <w:color w:val="auto"/>
              </w:rPr>
            </w:pPr>
            <w:r>
              <w:rPr>
                <w:rFonts w:ascii="Arial" w:cs="Arial" w:eastAsia="Arial" w:hAnsi="Arial"/>
                <w:sz w:val="18"/>
                <w:szCs w:val="18"/>
                <w:b w:val="1"/>
                <w:bCs w:val="1"/>
                <w:color w:val="auto"/>
                <w:w w:val="94"/>
              </w:rPr>
              <w:t>For the Three Months Ended</w:t>
            </w:r>
          </w:p>
        </w:tc>
        <w:tc>
          <w:tcPr>
            <w:tcW w:w="20" w:type="dxa"/>
            <w:vAlign w:val="bottom"/>
          </w:tcPr>
          <w:p>
            <w:pPr>
              <w:spacing w:after="0"/>
              <w:rPr>
                <w:sz w:val="17"/>
                <w:szCs w:val="17"/>
                <w:color w:val="auto"/>
              </w:rPr>
            </w:pPr>
          </w:p>
        </w:tc>
        <w:tc>
          <w:tcPr>
            <w:tcW w:w="2140" w:type="dxa"/>
            <w:vAlign w:val="bottom"/>
            <w:gridSpan w:val="6"/>
          </w:tcPr>
          <w:p>
            <w:pPr>
              <w:jc w:val="center"/>
              <w:spacing w:after="0" w:line="198" w:lineRule="exact"/>
              <w:rPr>
                <w:sz w:val="20"/>
                <w:szCs w:val="20"/>
                <w:color w:val="auto"/>
              </w:rPr>
            </w:pPr>
            <w:r>
              <w:rPr>
                <w:rFonts w:ascii="Arial" w:cs="Arial" w:eastAsia="Arial" w:hAnsi="Arial"/>
                <w:sz w:val="18"/>
                <w:szCs w:val="18"/>
                <w:b w:val="1"/>
                <w:bCs w:val="1"/>
                <w:color w:val="auto"/>
                <w:w w:val="91"/>
              </w:rPr>
              <w:t>For the Six Months Ended</w:t>
            </w:r>
          </w:p>
        </w:tc>
        <w:tc>
          <w:tcPr>
            <w:tcW w:w="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40" w:type="dxa"/>
            <w:vAlign w:val="bottom"/>
          </w:tcPr>
          <w:p>
            <w:pPr>
              <w:ind w:left="420"/>
              <w:spacing w:after="0"/>
              <w:rPr>
                <w:sz w:val="20"/>
                <w:szCs w:val="20"/>
                <w:color w:val="auto"/>
              </w:rPr>
            </w:pPr>
            <w:r>
              <w:rPr>
                <w:rFonts w:ascii="Arial" w:cs="Arial" w:eastAsia="Arial" w:hAnsi="Arial"/>
                <w:sz w:val="18"/>
                <w:szCs w:val="18"/>
                <w:b w:val="1"/>
                <w:bCs w:val="1"/>
                <w:color w:val="auto"/>
              </w:rPr>
              <w:t>Details about Accumulated Other</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center"/>
              <w:ind w:left="410"/>
              <w:spacing w:after="0"/>
              <w:rPr>
                <w:sz w:val="20"/>
                <w:szCs w:val="20"/>
                <w:color w:val="auto"/>
              </w:rPr>
            </w:pPr>
            <w:r>
              <w:rPr>
                <w:rFonts w:ascii="Arial" w:cs="Arial" w:eastAsia="Arial" w:hAnsi="Arial"/>
                <w:sz w:val="18"/>
                <w:szCs w:val="18"/>
                <w:b w:val="1"/>
                <w:bCs w:val="1"/>
                <w:color w:val="auto"/>
                <w:w w:val="88"/>
              </w:rPr>
              <w:t>June 30,</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Pr>
          <w:p>
            <w:pPr>
              <w:ind w:left="180"/>
              <w:spacing w:after="0"/>
              <w:rPr>
                <w:sz w:val="20"/>
                <w:szCs w:val="20"/>
                <w:color w:val="auto"/>
              </w:rPr>
            </w:pPr>
            <w:r>
              <w:rPr>
                <w:rFonts w:ascii="Arial" w:cs="Arial" w:eastAsia="Arial" w:hAnsi="Arial"/>
                <w:sz w:val="18"/>
                <w:szCs w:val="18"/>
                <w:b w:val="1"/>
                <w:bCs w:val="1"/>
                <w:color w:val="auto"/>
                <w:w w:val="96"/>
              </w:rPr>
              <w:t>Affected Line Item in the Statement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Comprehensive Income Components</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2015</w:t>
            </w: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2014</w:t>
            </w:r>
          </w:p>
        </w:tc>
        <w:tc>
          <w:tcPr>
            <w:tcW w:w="8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Where Net Income is Presented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F0FFFF"/>
          </w:tcPr>
          <w:p>
            <w:pPr>
              <w:spacing w:after="0"/>
              <w:rPr>
                <w:sz w:val="20"/>
                <w:szCs w:val="20"/>
                <w:color w:val="auto"/>
              </w:rPr>
            </w:pPr>
            <w:r>
              <w:rPr>
                <w:rFonts w:ascii="Arial" w:cs="Arial" w:eastAsia="Arial" w:hAnsi="Arial"/>
                <w:sz w:val="18"/>
                <w:szCs w:val="18"/>
                <w:color w:val="auto"/>
                <w:w w:val="89"/>
              </w:rPr>
              <w:t>Realized gains on sales of available-for-sale securities:</w:t>
            </w:r>
          </w:p>
        </w:tc>
        <w:tc>
          <w:tcPr>
            <w:tcW w:w="8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4,435</w:t>
            </w:r>
          </w:p>
        </w:tc>
        <w:tc>
          <w:tcPr>
            <w:tcW w:w="220" w:type="dxa"/>
            <w:vAlign w:val="bottom"/>
            <w:gridSpan w:val="2"/>
          </w:tcPr>
          <w:p>
            <w:pPr>
              <w:jc w:val="right"/>
              <w:ind w:right="4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1,552</w:t>
            </w: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4,652</w:t>
            </w:r>
          </w:p>
        </w:tc>
        <w:tc>
          <w:tcPr>
            <w:tcW w:w="3100" w:type="dxa"/>
            <w:vAlign w:val="bottom"/>
          </w:tcPr>
          <w:p>
            <w:pPr>
              <w:ind w:left="20"/>
              <w:spacing w:after="0"/>
              <w:rPr>
                <w:sz w:val="20"/>
                <w:szCs w:val="20"/>
                <w:color w:val="auto"/>
              </w:rPr>
            </w:pPr>
            <w:r>
              <w:rPr>
                <w:rFonts w:ascii="Arial" w:cs="Arial" w:eastAsia="Arial" w:hAnsi="Arial"/>
                <w:sz w:val="18"/>
                <w:szCs w:val="18"/>
                <w:color w:val="auto"/>
              </w:rPr>
              <w:t>Securities gains, net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shd w:val="clear" w:color="auto" w:fill="F0FFFF"/>
          </w:tcPr>
          <w:p>
            <w:pPr>
              <w:spacing w:after="0"/>
              <w:rPr>
                <w:sz w:val="21"/>
                <w:szCs w:val="21"/>
                <w:color w:val="auto"/>
              </w:rPr>
            </w:pPr>
          </w:p>
        </w:tc>
        <w:tc>
          <w:tcPr>
            <w:tcW w:w="420" w:type="dxa"/>
            <w:vAlign w:val="bottom"/>
            <w:shd w:val="clear" w:color="auto" w:fill="F0FFFF"/>
          </w:tcPr>
          <w:p>
            <w:pPr>
              <w:spacing w:after="0"/>
              <w:rPr>
                <w:sz w:val="21"/>
                <w:szCs w:val="21"/>
                <w:color w:val="auto"/>
              </w:rPr>
            </w:pPr>
          </w:p>
        </w:tc>
        <w:tc>
          <w:tcPr>
            <w:tcW w:w="9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F0FFFF"/>
          </w:tcPr>
          <w:p>
            <w:pPr>
              <w:spacing w:after="0"/>
              <w:rPr>
                <w:sz w:val="21"/>
                <w:szCs w:val="21"/>
                <w:color w:val="auto"/>
              </w:rPr>
            </w:pPr>
          </w:p>
        </w:tc>
        <w:tc>
          <w:tcPr>
            <w:tcW w:w="8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(1,725)</w:t>
            </w:r>
          </w:p>
        </w:tc>
        <w:tc>
          <w:tcPr>
            <w:tcW w:w="2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(603)</w:t>
            </w:r>
          </w:p>
        </w:tc>
        <w:tc>
          <w:tcPr>
            <w:tcW w:w="2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8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(1,817)</w:t>
            </w:r>
          </w:p>
        </w:tc>
        <w:tc>
          <w:tcPr>
            <w:tcW w:w="3100" w:type="dxa"/>
            <w:vAlign w:val="bottom"/>
            <w:shd w:val="clear" w:color="auto" w:fill="F0FFFF"/>
          </w:tcPr>
          <w:p>
            <w:pPr>
              <w:ind w:left="20"/>
              <w:spacing w:after="0"/>
              <w:rPr>
                <w:sz w:val="20"/>
                <w:szCs w:val="20"/>
                <w:color w:val="auto"/>
              </w:rPr>
            </w:pPr>
            <w:r>
              <w:rPr>
                <w:rFonts w:ascii="Arial" w:cs="Arial" w:eastAsia="Arial" w:hAnsi="Arial"/>
                <w:sz w:val="18"/>
                <w:szCs w:val="18"/>
                <w:color w:val="auto"/>
              </w:rPr>
              <w:t>Tax expense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40" w:type="dxa"/>
            <w:vAlign w:val="bottom"/>
            <w:tcBorders>
              <w:top w:val="single" w:sz="8" w:color="F0FF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2,710</w:t>
            </w:r>
          </w:p>
        </w:tc>
        <w:tc>
          <w:tcPr>
            <w:tcW w:w="8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8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2,835</w:t>
            </w:r>
          </w:p>
        </w:tc>
        <w:tc>
          <w:tcPr>
            <w:tcW w:w="80" w:type="dxa"/>
            <w:vAlign w:val="bottom"/>
            <w:tcBorders>
              <w:top w:val="single" w:sz="8" w:color="F0FFFF"/>
            </w:tcBorders>
          </w:tcPr>
          <w:p>
            <w:pPr>
              <w:spacing w:after="0"/>
              <w:rPr>
                <w:sz w:val="18"/>
                <w:szCs w:val="18"/>
                <w:color w:val="auto"/>
              </w:rPr>
            </w:pPr>
          </w:p>
        </w:tc>
        <w:tc>
          <w:tcPr>
            <w:tcW w:w="3100" w:type="dxa"/>
            <w:vAlign w:val="bottom"/>
            <w:tcBorders>
              <w:top w:val="single" w:sz="8" w:color="F0FFFF"/>
            </w:tcBorders>
          </w:tcPr>
          <w:p>
            <w:pPr>
              <w:ind w:left="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bottom w:val="single" w:sz="8" w:color="F0FF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3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0" w:type="dxa"/>
            <w:vAlign w:val="bottom"/>
            <w:gridSpan w:val="16"/>
          </w:tcPr>
          <w:p>
            <w:pPr>
              <w:spacing w:after="0"/>
              <w:rPr>
                <w:sz w:val="20"/>
                <w:szCs w:val="20"/>
                <w:color w:val="auto"/>
              </w:rPr>
            </w:pPr>
            <w:r>
              <w:rPr>
                <w:rFonts w:ascii="Arial" w:cs="Arial" w:eastAsia="Arial" w:hAnsi="Arial"/>
                <w:sz w:val="18"/>
                <w:szCs w:val="18"/>
                <w:color w:val="auto"/>
              </w:rPr>
              <w:t>Amortization of (losses) gains included in net income on available-for-sale securities transferred to held to maturity: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F0FFFF"/>
          </w:tcPr>
          <w:p>
            <w:pPr>
              <w:spacing w:after="0"/>
              <w:rPr>
                <w:sz w:val="18"/>
                <w:szCs w:val="18"/>
                <w:color w:val="auto"/>
              </w:rPr>
            </w:pPr>
          </w:p>
        </w:tc>
        <w:tc>
          <w:tcPr>
            <w:tcW w:w="420" w:type="dxa"/>
            <w:vAlign w:val="bottom"/>
            <w:shd w:val="clear" w:color="auto" w:fill="F0FFFF"/>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(289)</w:t>
            </w:r>
          </w:p>
        </w:tc>
        <w:tc>
          <w:tcPr>
            <w:tcW w:w="240" w:type="dxa"/>
            <w:vAlign w:val="bottom"/>
            <w:shd w:val="clear" w:color="auto" w:fill="F0FF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(409)</w:t>
            </w:r>
          </w:p>
        </w:tc>
        <w:tc>
          <w:tcPr>
            <w:tcW w:w="220" w:type="dxa"/>
            <w:vAlign w:val="bottom"/>
            <w:gridSpan w:val="2"/>
            <w:shd w:val="clear" w:color="auto" w:fill="F0FFFF"/>
          </w:tcPr>
          <w:p>
            <w:pPr>
              <w:jc w:val="right"/>
              <w:ind w:right="4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(773)</w:t>
            </w:r>
          </w:p>
        </w:tc>
        <w:tc>
          <w:tcPr>
            <w:tcW w:w="320" w:type="dxa"/>
            <w:vAlign w:val="bottom"/>
            <w:gridSpan w:val="2"/>
            <w:shd w:val="clear" w:color="auto" w:fill="F0FFFF"/>
          </w:tcPr>
          <w:p>
            <w:pPr>
              <w:jc w:val="right"/>
              <w:ind w:right="145"/>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(739)</w:t>
            </w:r>
          </w:p>
        </w:tc>
        <w:tc>
          <w:tcPr>
            <w:tcW w:w="3100" w:type="dxa"/>
            <w:vAlign w:val="bottom"/>
            <w:shd w:val="clear" w:color="auto" w:fill="F0FFFF"/>
          </w:tcPr>
          <w:p>
            <w:pPr>
              <w:ind w:left="20"/>
              <w:spacing w:after="0"/>
              <w:rPr>
                <w:sz w:val="20"/>
                <w:szCs w:val="20"/>
                <w:color w:val="auto"/>
              </w:rPr>
            </w:pPr>
            <w:r>
              <w:rPr>
                <w:rFonts w:ascii="Arial" w:cs="Arial" w:eastAsia="Arial" w:hAnsi="Arial"/>
                <w:sz w:val="18"/>
                <w:szCs w:val="18"/>
                <w:color w:val="auto"/>
              </w:rPr>
              <w:t>Investment securities interest revenue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277</w:t>
            </w:r>
          </w:p>
        </w:tc>
        <w:tc>
          <w:tcPr>
            <w:tcW w:w="3100" w:type="dxa"/>
            <w:vAlign w:val="bottom"/>
          </w:tcPr>
          <w:p>
            <w:pPr>
              <w:ind w:left="20"/>
              <w:spacing w:after="0"/>
              <w:rPr>
                <w:sz w:val="20"/>
                <w:szCs w:val="20"/>
                <w:color w:val="auto"/>
              </w:rPr>
            </w:pPr>
            <w:r>
              <w:rPr>
                <w:rFonts w:ascii="Arial" w:cs="Arial" w:eastAsia="Arial" w:hAnsi="Arial"/>
                <w:sz w:val="18"/>
                <w:szCs w:val="18"/>
                <w:color w:val="auto"/>
              </w:rPr>
              <w:t>Tax benefit (expense)</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540" w:type="dxa"/>
            <w:vAlign w:val="bottom"/>
            <w:tcBorders>
              <w:top w:val="single" w:sz="8" w:color="F0FFFF"/>
              <w:bottom w:val="single" w:sz="8" w:color="F0FFFF"/>
            </w:tcBorders>
            <w:shd w:val="clear" w:color="auto" w:fill="F0FFFF"/>
          </w:tcPr>
          <w:p>
            <w:pPr>
              <w:spacing w:after="0"/>
              <w:rPr>
                <w:sz w:val="21"/>
                <w:szCs w:val="21"/>
                <w:color w:val="auto"/>
              </w:rPr>
            </w:pPr>
          </w:p>
        </w:tc>
        <w:tc>
          <w:tcPr>
            <w:tcW w:w="420" w:type="dxa"/>
            <w:vAlign w:val="bottom"/>
            <w:tcBorders>
              <w:top w:val="single" w:sz="8" w:color="auto"/>
              <w:bottom w:val="single" w:sz="8" w:color="auto"/>
            </w:tcBorders>
            <w:shd w:val="clear" w:color="auto" w:fill="F0FF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F0FFFF"/>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top w:val="single" w:sz="8" w:color="F0FFFF"/>
              <w:bottom w:val="single" w:sz="8" w:color="F0FFFF"/>
            </w:tcBorders>
            <w:gridSpan w:val="2"/>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F0FFFF"/>
          </w:tcPr>
          <w:p>
            <w:pPr>
              <w:jc w:val="right"/>
              <w:ind w:right="42"/>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Borders>
              <w:top w:val="single" w:sz="8" w:color="F0FFFF"/>
              <w:bottom w:val="single" w:sz="8" w:color="F0FFFF"/>
            </w:tcBorders>
            <w:gridSpan w:val="2"/>
            <w:shd w:val="clear" w:color="auto" w:fill="F0FF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F0FFFF"/>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(462</w:t>
            </w:r>
          </w:p>
        </w:tc>
        <w:tc>
          <w:tcPr>
            <w:tcW w:w="3180" w:type="dxa"/>
            <w:vAlign w:val="bottom"/>
            <w:tcBorders>
              <w:top w:val="single" w:sz="8" w:color="F0FFFF"/>
              <w:bottom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 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F0FFFF"/>
            </w:tcBorders>
            <w:gridSpan w:val="3"/>
          </w:tcPr>
          <w:p>
            <w:pPr>
              <w:spacing w:after="0" w:line="20" w:lineRule="exact"/>
              <w:rPr>
                <w:sz w:val="1"/>
                <w:szCs w:val="1"/>
                <w:color w:val="auto"/>
              </w:rPr>
            </w:pPr>
          </w:p>
        </w:tc>
        <w:tc>
          <w:tcPr>
            <w:tcW w:w="1180" w:type="dxa"/>
            <w:vAlign w:val="bottom"/>
            <w:tcBorders>
              <w:top w:val="single" w:sz="8" w:color="F0FFFF"/>
            </w:tcBorders>
            <w:gridSpan w:val="3"/>
          </w:tcPr>
          <w:p>
            <w:pPr>
              <w:spacing w:after="0" w:line="20" w:lineRule="exact"/>
              <w:rPr>
                <w:sz w:val="1"/>
                <w:szCs w:val="1"/>
                <w:color w:val="auto"/>
              </w:rPr>
            </w:pPr>
          </w:p>
        </w:tc>
        <w:tc>
          <w:tcPr>
            <w:tcW w:w="100" w:type="dxa"/>
            <w:vAlign w:val="bottom"/>
            <w:tcBorders>
              <w:top w:val="single" w:sz="8" w:color="F0FFFF"/>
            </w:tcBorders>
            <w:gridSpan w:val="2"/>
          </w:tcPr>
          <w:p>
            <w:pPr>
              <w:spacing w:after="0" w:line="20" w:lineRule="exact"/>
              <w:rPr>
                <w:sz w:val="1"/>
                <w:szCs w:val="1"/>
                <w:color w:val="auto"/>
              </w:rPr>
            </w:pPr>
          </w:p>
        </w:tc>
        <w:tc>
          <w:tcPr>
            <w:tcW w:w="1020" w:type="dxa"/>
            <w:vAlign w:val="bottom"/>
            <w:tcBorders>
              <w:top w:val="single" w:sz="8" w:color="F0FFFF"/>
            </w:tcBorders>
            <w:gridSpan w:val="2"/>
          </w:tcPr>
          <w:p>
            <w:pPr>
              <w:spacing w:after="0" w:line="20" w:lineRule="exact"/>
              <w:rPr>
                <w:sz w:val="1"/>
                <w:szCs w:val="1"/>
                <w:color w:val="auto"/>
              </w:rPr>
            </w:pPr>
          </w:p>
        </w:tc>
        <w:tc>
          <w:tcPr>
            <w:tcW w:w="100" w:type="dxa"/>
            <w:vAlign w:val="bottom"/>
            <w:tcBorders>
              <w:top w:val="single" w:sz="8" w:color="F0FFFF"/>
            </w:tcBorders>
            <w:gridSpan w:val="2"/>
          </w:tcPr>
          <w:p>
            <w:pPr>
              <w:spacing w:after="0" w:line="20" w:lineRule="exact"/>
              <w:rPr>
                <w:sz w:val="1"/>
                <w:szCs w:val="1"/>
                <w:color w:val="auto"/>
              </w:rPr>
            </w:pPr>
          </w:p>
        </w:tc>
        <w:tc>
          <w:tcPr>
            <w:tcW w:w="300" w:type="dxa"/>
            <w:vAlign w:val="bottom"/>
            <w:tcBorders>
              <w:top w:val="single" w:sz="8" w:color="F0FFFF"/>
            </w:tcBorders>
          </w:tcPr>
          <w:p>
            <w:pPr>
              <w:spacing w:after="0" w:line="20" w:lineRule="exact"/>
              <w:rPr>
                <w:sz w:val="1"/>
                <w:szCs w:val="1"/>
                <w:color w:val="auto"/>
              </w:rPr>
            </w:pPr>
          </w:p>
        </w:tc>
        <w:tc>
          <w:tcPr>
            <w:tcW w:w="7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3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35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gridSpan w:val="13"/>
            <w:shd w:val="clear" w:color="auto" w:fill="F0FFFF"/>
          </w:tcPr>
          <w:p>
            <w:pPr>
              <w:spacing w:after="0"/>
              <w:rPr>
                <w:sz w:val="20"/>
                <w:szCs w:val="20"/>
                <w:color w:val="auto"/>
              </w:rPr>
            </w:pPr>
            <w:r>
              <w:rPr>
                <w:rFonts w:ascii="Arial" w:cs="Arial" w:eastAsia="Arial" w:hAnsi="Arial"/>
                <w:sz w:val="18"/>
                <w:szCs w:val="18"/>
                <w:color w:val="auto"/>
                <w:w w:val="94"/>
              </w:rPr>
              <w:t>Gains included in net income on derivative financial instruments accounted for as cash flow hedges:</w:t>
            </w:r>
          </w:p>
        </w:tc>
        <w:tc>
          <w:tcPr>
            <w:tcW w:w="7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Effective portion of interest rate contracts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220" w:type="dxa"/>
            <w:vAlign w:val="bottom"/>
            <w:gridSpan w:val="2"/>
          </w:tcPr>
          <w:p>
            <w:pPr>
              <w:jc w:val="right"/>
              <w:ind w:right="4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(447)</w:t>
            </w:r>
          </w:p>
        </w:tc>
        <w:tc>
          <w:tcPr>
            <w:tcW w:w="3100" w:type="dxa"/>
            <w:vAlign w:val="bottom"/>
          </w:tcPr>
          <w:p>
            <w:pPr>
              <w:ind w:left="20"/>
              <w:spacing w:after="0"/>
              <w:rPr>
                <w:sz w:val="20"/>
                <w:szCs w:val="20"/>
                <w:color w:val="auto"/>
              </w:rPr>
            </w:pPr>
            <w:r>
              <w:rPr>
                <w:rFonts w:ascii="Arial" w:cs="Arial" w:eastAsia="Arial" w:hAnsi="Arial"/>
                <w:sz w:val="18"/>
                <w:szCs w:val="18"/>
                <w:color w:val="auto"/>
              </w:rPr>
              <w:t>Time deposit interest expense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F0FFFF"/>
          </w:tcPr>
          <w:p>
            <w:pPr>
              <w:ind w:left="140"/>
              <w:spacing w:after="0" w:line="201" w:lineRule="exact"/>
              <w:rPr>
                <w:sz w:val="20"/>
                <w:szCs w:val="20"/>
                <w:color w:val="auto"/>
              </w:rPr>
            </w:pPr>
            <w:r>
              <w:rPr>
                <w:rFonts w:ascii="Arial" w:cs="Arial" w:eastAsia="Arial" w:hAnsi="Arial"/>
                <w:sz w:val="18"/>
                <w:szCs w:val="18"/>
                <w:color w:val="auto"/>
              </w:rPr>
              <w:t>Amortization of losses on de-designated</w:t>
            </w:r>
          </w:p>
        </w:tc>
        <w:tc>
          <w:tcPr>
            <w:tcW w:w="42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3100" w:type="dxa"/>
            <w:vAlign w:val="bottom"/>
            <w:shd w:val="clear" w:color="auto" w:fill="F0FFFF"/>
          </w:tcPr>
          <w:p>
            <w:pPr>
              <w:ind w:left="20"/>
              <w:spacing w:after="0" w:line="201" w:lineRule="exact"/>
              <w:rPr>
                <w:sz w:val="20"/>
                <w:szCs w:val="20"/>
                <w:color w:val="auto"/>
              </w:rPr>
            </w:pPr>
            <w:r>
              <w:rPr>
                <w:rFonts w:ascii="Arial" w:cs="Arial" w:eastAsia="Arial" w:hAnsi="Arial"/>
                <w:sz w:val="18"/>
                <w:szCs w:val="18"/>
                <w:color w:val="auto"/>
              </w:rPr>
              <w:t>Deposits in banks and short-term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F0FFFF"/>
          </w:tcPr>
          <w:p>
            <w:pPr>
              <w:ind w:left="300"/>
              <w:spacing w:after="0"/>
              <w:rPr>
                <w:sz w:val="20"/>
                <w:szCs w:val="20"/>
                <w:color w:val="auto"/>
              </w:rPr>
            </w:pPr>
            <w:r>
              <w:rPr>
                <w:rFonts w:ascii="Arial" w:cs="Arial" w:eastAsia="Arial" w:hAnsi="Arial"/>
                <w:sz w:val="18"/>
                <w:szCs w:val="18"/>
                <w:color w:val="auto"/>
              </w:rPr>
              <w:t>positions</w:t>
            </w:r>
          </w:p>
        </w:tc>
        <w:tc>
          <w:tcPr>
            <w:tcW w:w="420" w:type="dxa"/>
            <w:vAlign w:val="bottom"/>
            <w:shd w:val="clear" w:color="auto" w:fill="F0FFFF"/>
          </w:tcPr>
          <w:p>
            <w:pPr>
              <w:spacing w:after="0"/>
              <w:rPr>
                <w:sz w:val="20"/>
                <w:szCs w:val="20"/>
                <w:color w:val="auto"/>
              </w:rPr>
            </w:pPr>
          </w:p>
        </w:tc>
        <w:tc>
          <w:tcPr>
            <w:tcW w:w="9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F0FFFF"/>
          </w:tcPr>
          <w:p>
            <w:pPr>
              <w:spacing w:after="0"/>
              <w:rPr>
                <w:sz w:val="20"/>
                <w:szCs w:val="20"/>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0"/>
                <w:szCs w:val="20"/>
                <w:color w:val="auto"/>
              </w:rPr>
            </w:pPr>
          </w:p>
        </w:tc>
        <w:tc>
          <w:tcPr>
            <w:tcW w:w="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(78)</w:t>
            </w:r>
          </w:p>
        </w:tc>
        <w:tc>
          <w:tcPr>
            <w:tcW w:w="20" w:type="dxa"/>
            <w:vAlign w:val="bottom"/>
            <w:shd w:val="clear" w:color="auto" w:fill="F0FFFF"/>
          </w:tcPr>
          <w:p>
            <w:pPr>
              <w:spacing w:after="0"/>
              <w:rPr>
                <w:sz w:val="20"/>
                <w:szCs w:val="20"/>
                <w:color w:val="auto"/>
              </w:rPr>
            </w:pPr>
          </w:p>
        </w:tc>
        <w:tc>
          <w:tcPr>
            <w:tcW w:w="300" w:type="dxa"/>
            <w:vAlign w:val="bottom"/>
            <w:shd w:val="clear" w:color="auto" w:fill="F0FFFF"/>
          </w:tcPr>
          <w:p>
            <w:pPr>
              <w:spacing w:after="0"/>
              <w:rPr>
                <w:sz w:val="20"/>
                <w:szCs w:val="20"/>
                <w:color w:val="auto"/>
              </w:rPr>
            </w:pPr>
          </w:p>
        </w:tc>
        <w:tc>
          <w:tcPr>
            <w:tcW w:w="8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100" w:type="dxa"/>
            <w:vAlign w:val="bottom"/>
            <w:shd w:val="clear" w:color="auto" w:fill="F0FFFF"/>
          </w:tcPr>
          <w:p>
            <w:pPr>
              <w:ind w:left="20"/>
              <w:spacing w:after="0"/>
              <w:rPr>
                <w:sz w:val="20"/>
                <w:szCs w:val="20"/>
                <w:color w:val="auto"/>
              </w:rPr>
            </w:pPr>
            <w:r>
              <w:rPr>
                <w:rFonts w:ascii="Arial" w:cs="Arial" w:eastAsia="Arial" w:hAnsi="Arial"/>
                <w:sz w:val="18"/>
                <w:szCs w:val="18"/>
                <w:color w:val="auto"/>
              </w:rPr>
              <w:t>investmens in interest revenue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ind w:left="140"/>
              <w:spacing w:after="0" w:line="201" w:lineRule="exact"/>
              <w:rPr>
                <w:sz w:val="20"/>
                <w:szCs w:val="20"/>
                <w:color w:val="auto"/>
              </w:rPr>
            </w:pPr>
            <w:r>
              <w:rPr>
                <w:rFonts w:ascii="Arial" w:cs="Arial" w:eastAsia="Arial" w:hAnsi="Arial"/>
                <w:sz w:val="18"/>
                <w:szCs w:val="18"/>
                <w:color w:val="auto"/>
              </w:rPr>
              <w:t>Amortization of losses on de-designated</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300"/>
              <w:spacing w:after="0"/>
              <w:rPr>
                <w:sz w:val="20"/>
                <w:szCs w:val="20"/>
                <w:color w:val="auto"/>
              </w:rPr>
            </w:pPr>
            <w:r>
              <w:rPr>
                <w:rFonts w:ascii="Arial" w:cs="Arial" w:eastAsia="Arial" w:hAnsi="Arial"/>
                <w:sz w:val="18"/>
                <w:szCs w:val="18"/>
                <w:color w:val="auto"/>
              </w:rPr>
              <w:t>positions</w:t>
            </w:r>
          </w:p>
        </w:tc>
        <w:tc>
          <w:tcPr>
            <w:tcW w:w="4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2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3100" w:type="dxa"/>
            <w:vAlign w:val="bottom"/>
          </w:tcPr>
          <w:p>
            <w:pPr>
              <w:ind w:left="20"/>
              <w:spacing w:after="0"/>
              <w:rPr>
                <w:sz w:val="20"/>
                <w:szCs w:val="20"/>
                <w:color w:val="auto"/>
              </w:rPr>
            </w:pPr>
            <w:r>
              <w:rPr>
                <w:rFonts w:ascii="Arial" w:cs="Arial" w:eastAsia="Arial" w:hAnsi="Arial"/>
                <w:sz w:val="18"/>
                <w:szCs w:val="18"/>
                <w:color w:val="auto"/>
                <w:w w:val="97"/>
              </w:rPr>
              <w:t>Money market deposit interest expense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F0FFFF"/>
          </w:tcPr>
          <w:p>
            <w:pPr>
              <w:ind w:left="140"/>
              <w:spacing w:after="0" w:line="201" w:lineRule="exact"/>
              <w:rPr>
                <w:sz w:val="20"/>
                <w:szCs w:val="20"/>
                <w:color w:val="auto"/>
              </w:rPr>
            </w:pPr>
            <w:r>
              <w:rPr>
                <w:rFonts w:ascii="Arial" w:cs="Arial" w:eastAsia="Arial" w:hAnsi="Arial"/>
                <w:sz w:val="18"/>
                <w:szCs w:val="18"/>
                <w:color w:val="auto"/>
              </w:rPr>
              <w:t>Amortization of losses on de-designated</w:t>
            </w:r>
          </w:p>
        </w:tc>
        <w:tc>
          <w:tcPr>
            <w:tcW w:w="42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30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3100" w:type="dxa"/>
            <w:vAlign w:val="bottom"/>
            <w:shd w:val="clear" w:color="auto" w:fill="F0FFFF"/>
          </w:tcPr>
          <w:p>
            <w:pPr>
              <w:ind w:left="20"/>
              <w:spacing w:after="0" w:line="201" w:lineRule="exact"/>
              <w:rPr>
                <w:sz w:val="20"/>
                <w:szCs w:val="20"/>
                <w:color w:val="auto"/>
              </w:rPr>
            </w:pPr>
            <w:r>
              <w:rPr>
                <w:rFonts w:ascii="Arial" w:cs="Arial" w:eastAsia="Arial" w:hAnsi="Arial"/>
                <w:sz w:val="18"/>
                <w:szCs w:val="18"/>
                <w:color w:val="auto"/>
              </w:rPr>
              <w:t>Federal Home Loan Bank advances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F0FFFF"/>
          </w:tcPr>
          <w:p>
            <w:pPr>
              <w:ind w:left="300"/>
              <w:spacing w:after="0"/>
              <w:rPr>
                <w:sz w:val="20"/>
                <w:szCs w:val="20"/>
                <w:color w:val="auto"/>
              </w:rPr>
            </w:pPr>
            <w:r>
              <w:rPr>
                <w:rFonts w:ascii="Arial" w:cs="Arial" w:eastAsia="Arial" w:hAnsi="Arial"/>
                <w:sz w:val="18"/>
                <w:szCs w:val="18"/>
                <w:color w:val="auto"/>
              </w:rPr>
              <w:t>positions</w:t>
            </w:r>
          </w:p>
        </w:tc>
        <w:tc>
          <w:tcPr>
            <w:tcW w:w="420" w:type="dxa"/>
            <w:vAlign w:val="bottom"/>
            <w:shd w:val="clear" w:color="auto" w:fill="F0FFFF"/>
          </w:tcPr>
          <w:p>
            <w:pPr>
              <w:spacing w:after="0"/>
              <w:rPr>
                <w:sz w:val="20"/>
                <w:szCs w:val="20"/>
                <w:color w:val="auto"/>
              </w:rPr>
            </w:pPr>
          </w:p>
        </w:tc>
        <w:tc>
          <w:tcPr>
            <w:tcW w:w="9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(279)</w:t>
            </w:r>
          </w:p>
        </w:tc>
        <w:tc>
          <w:tcPr>
            <w:tcW w:w="240" w:type="dxa"/>
            <w:vAlign w:val="bottom"/>
            <w:shd w:val="clear" w:color="auto" w:fill="F0FFFF"/>
          </w:tcPr>
          <w:p>
            <w:pPr>
              <w:spacing w:after="0"/>
              <w:rPr>
                <w:sz w:val="20"/>
                <w:szCs w:val="20"/>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0"/>
                <w:szCs w:val="20"/>
                <w:color w:val="auto"/>
              </w:rPr>
            </w:pPr>
          </w:p>
        </w:tc>
        <w:tc>
          <w:tcPr>
            <w:tcW w:w="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(537)</w:t>
            </w:r>
          </w:p>
        </w:tc>
        <w:tc>
          <w:tcPr>
            <w:tcW w:w="20" w:type="dxa"/>
            <w:vAlign w:val="bottom"/>
            <w:shd w:val="clear" w:color="auto" w:fill="F0FFFF"/>
          </w:tcPr>
          <w:p>
            <w:pPr>
              <w:spacing w:after="0"/>
              <w:rPr>
                <w:sz w:val="20"/>
                <w:szCs w:val="20"/>
                <w:color w:val="auto"/>
              </w:rPr>
            </w:pPr>
          </w:p>
        </w:tc>
        <w:tc>
          <w:tcPr>
            <w:tcW w:w="300" w:type="dxa"/>
            <w:vAlign w:val="bottom"/>
            <w:shd w:val="clear" w:color="auto" w:fill="F0FFFF"/>
          </w:tcPr>
          <w:p>
            <w:pPr>
              <w:spacing w:after="0"/>
              <w:rPr>
                <w:sz w:val="20"/>
                <w:szCs w:val="20"/>
                <w:color w:val="auto"/>
              </w:rPr>
            </w:pPr>
          </w:p>
        </w:tc>
        <w:tc>
          <w:tcPr>
            <w:tcW w:w="8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100" w:type="dxa"/>
            <w:vAlign w:val="bottom"/>
            <w:shd w:val="clear" w:color="auto" w:fill="F0FF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ind w:left="140"/>
              <w:spacing w:after="0" w:line="201" w:lineRule="exact"/>
              <w:rPr>
                <w:sz w:val="20"/>
                <w:szCs w:val="20"/>
                <w:color w:val="auto"/>
              </w:rPr>
            </w:pPr>
            <w:r>
              <w:rPr>
                <w:rFonts w:ascii="Arial" w:cs="Arial" w:eastAsia="Arial" w:hAnsi="Arial"/>
                <w:sz w:val="18"/>
                <w:szCs w:val="18"/>
                <w:color w:val="auto"/>
              </w:rPr>
              <w:t>Amortization of losses on de-designated</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540" w:type="dxa"/>
            <w:vAlign w:val="bottom"/>
          </w:tcPr>
          <w:p>
            <w:pPr>
              <w:ind w:left="300"/>
              <w:spacing w:after="0"/>
              <w:rPr>
                <w:sz w:val="20"/>
                <w:szCs w:val="20"/>
                <w:color w:val="auto"/>
              </w:rPr>
            </w:pPr>
            <w:r>
              <w:rPr>
                <w:rFonts w:ascii="Arial" w:cs="Arial" w:eastAsia="Arial" w:hAnsi="Arial"/>
                <w:sz w:val="18"/>
                <w:szCs w:val="18"/>
                <w:color w:val="auto"/>
              </w:rPr>
              <w:t>positions</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900" w:type="dxa"/>
            <w:vAlign w:val="bottom"/>
            <w:gridSpan w:val="3"/>
          </w:tcPr>
          <w:p>
            <w:pPr>
              <w:ind w:left="380"/>
              <w:spacing w:after="0"/>
              <w:rPr>
                <w:sz w:val="20"/>
                <w:szCs w:val="20"/>
                <w:color w:val="auto"/>
              </w:rPr>
            </w:pPr>
            <w:r>
              <w:rPr>
                <w:rFonts w:ascii="Arial" w:cs="Arial" w:eastAsia="Arial" w:hAnsi="Arial"/>
                <w:sz w:val="18"/>
                <w:szCs w:val="18"/>
                <w:color w:val="auto"/>
              </w:rPr>
              <w:t>(199) Time deposit interest expense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Borders>
              <w:top w:val="single" w:sz="8" w:color="F0FFFF"/>
            </w:tcBorders>
            <w:shd w:val="clear" w:color="auto" w:fill="F0FFFF"/>
          </w:tcPr>
          <w:p>
            <w:pPr>
              <w:spacing w:after="0"/>
              <w:rPr>
                <w:sz w:val="18"/>
                <w:szCs w:val="18"/>
                <w:color w:val="auto"/>
              </w:rPr>
            </w:pPr>
          </w:p>
        </w:tc>
        <w:tc>
          <w:tcPr>
            <w:tcW w:w="42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(455)</w:t>
            </w:r>
          </w:p>
        </w:tc>
        <w:tc>
          <w:tcPr>
            <w:tcW w:w="14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(573)</w:t>
            </w:r>
          </w:p>
        </w:tc>
        <w:tc>
          <w:tcPr>
            <w:tcW w:w="8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(880)</w:t>
            </w:r>
          </w:p>
        </w:tc>
        <w:tc>
          <w:tcPr>
            <w:tcW w:w="8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7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(670)</w:t>
            </w:r>
          </w:p>
        </w:tc>
        <w:tc>
          <w:tcPr>
            <w:tcW w:w="80" w:type="dxa"/>
            <w:vAlign w:val="bottom"/>
            <w:tcBorders>
              <w:top w:val="single" w:sz="8" w:color="F0FFFF"/>
            </w:tcBorders>
            <w:shd w:val="clear" w:color="auto" w:fill="F0FFFF"/>
          </w:tcPr>
          <w:p>
            <w:pPr>
              <w:spacing w:after="0"/>
              <w:rPr>
                <w:sz w:val="18"/>
                <w:szCs w:val="18"/>
                <w:color w:val="auto"/>
              </w:rPr>
            </w:pPr>
          </w:p>
        </w:tc>
        <w:tc>
          <w:tcPr>
            <w:tcW w:w="3100" w:type="dxa"/>
            <w:vAlign w:val="bottom"/>
            <w:tcBorders>
              <w:top w:val="single" w:sz="8" w:color="F0FFFF"/>
            </w:tcBorders>
            <w:shd w:val="clear" w:color="auto" w:fill="F0FFFF"/>
          </w:tcPr>
          <w:p>
            <w:pPr>
              <w:ind w:left="2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261</w:t>
            </w:r>
          </w:p>
        </w:tc>
        <w:tc>
          <w:tcPr>
            <w:tcW w:w="3100" w:type="dxa"/>
            <w:vAlign w:val="bottom"/>
          </w:tcPr>
          <w:p>
            <w:pPr>
              <w:ind w:left="20"/>
              <w:spacing w:after="0"/>
              <w:rPr>
                <w:sz w:val="20"/>
                <w:szCs w:val="20"/>
                <w:color w:val="auto"/>
              </w:rPr>
            </w:pPr>
            <w:r>
              <w:rPr>
                <w:rFonts w:ascii="Arial" w:cs="Arial" w:eastAsia="Arial" w:hAnsi="Arial"/>
                <w:sz w:val="18"/>
                <w:szCs w:val="18"/>
                <w:color w:val="auto"/>
              </w:rPr>
              <w:t>Tax or benefit (expense)</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540" w:type="dxa"/>
            <w:vAlign w:val="bottom"/>
            <w:tcBorders>
              <w:top w:val="single" w:sz="8" w:color="F0FFFF"/>
              <w:bottom w:val="single" w:sz="8" w:color="F0FFFF"/>
            </w:tcBorders>
            <w:shd w:val="clear" w:color="auto" w:fill="F0FFFF"/>
          </w:tcPr>
          <w:p>
            <w:pPr>
              <w:spacing w:after="0"/>
              <w:rPr>
                <w:sz w:val="21"/>
                <w:szCs w:val="21"/>
                <w:color w:val="auto"/>
              </w:rPr>
            </w:pPr>
          </w:p>
        </w:tc>
        <w:tc>
          <w:tcPr>
            <w:tcW w:w="420" w:type="dxa"/>
            <w:vAlign w:val="bottom"/>
            <w:tcBorders>
              <w:top w:val="single" w:sz="8" w:color="auto"/>
              <w:bottom w:val="single" w:sz="8" w:color="auto"/>
            </w:tcBorders>
            <w:shd w:val="clear" w:color="auto" w:fill="F0FF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(278</w:t>
            </w:r>
          </w:p>
        </w:tc>
        <w:tc>
          <w:tcPr>
            <w:tcW w:w="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F0FFFF"/>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top w:val="single" w:sz="8" w:color="F0FFFF"/>
              <w:bottom w:val="single" w:sz="8" w:color="F0FFFF"/>
            </w:tcBorders>
            <w:gridSpan w:val="2"/>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F0FFFF"/>
          </w:tcPr>
          <w:p>
            <w:pPr>
              <w:jc w:val="right"/>
              <w:ind w:right="42"/>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Borders>
              <w:top w:val="single" w:sz="8" w:color="F0FFFF"/>
              <w:bottom w:val="single" w:sz="8" w:color="F0FFFF"/>
            </w:tcBorders>
            <w:gridSpan w:val="2"/>
            <w:shd w:val="clear" w:color="auto" w:fill="F0FF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F0FFFF"/>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(409</w:t>
            </w:r>
          </w:p>
        </w:tc>
        <w:tc>
          <w:tcPr>
            <w:tcW w:w="3180" w:type="dxa"/>
            <w:vAlign w:val="bottom"/>
            <w:tcBorders>
              <w:top w:val="single" w:sz="8" w:color="F0FFFF"/>
              <w:bottom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 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F0FFFF"/>
            </w:tcBorders>
            <w:gridSpan w:val="3"/>
          </w:tcPr>
          <w:p>
            <w:pPr>
              <w:spacing w:after="0" w:line="20" w:lineRule="exact"/>
              <w:rPr>
                <w:sz w:val="1"/>
                <w:szCs w:val="1"/>
                <w:color w:val="auto"/>
              </w:rPr>
            </w:pPr>
          </w:p>
        </w:tc>
        <w:tc>
          <w:tcPr>
            <w:tcW w:w="1180" w:type="dxa"/>
            <w:vAlign w:val="bottom"/>
            <w:tcBorders>
              <w:top w:val="single" w:sz="8" w:color="F0FFFF"/>
            </w:tcBorders>
            <w:gridSpan w:val="3"/>
          </w:tcPr>
          <w:p>
            <w:pPr>
              <w:spacing w:after="0" w:line="20" w:lineRule="exact"/>
              <w:rPr>
                <w:sz w:val="1"/>
                <w:szCs w:val="1"/>
                <w:color w:val="auto"/>
              </w:rPr>
            </w:pPr>
          </w:p>
        </w:tc>
        <w:tc>
          <w:tcPr>
            <w:tcW w:w="100" w:type="dxa"/>
            <w:vAlign w:val="bottom"/>
            <w:tcBorders>
              <w:top w:val="single" w:sz="8" w:color="F0FFFF"/>
            </w:tcBorders>
            <w:gridSpan w:val="2"/>
          </w:tcPr>
          <w:p>
            <w:pPr>
              <w:spacing w:after="0" w:line="20" w:lineRule="exact"/>
              <w:rPr>
                <w:sz w:val="1"/>
                <w:szCs w:val="1"/>
                <w:color w:val="auto"/>
              </w:rPr>
            </w:pPr>
          </w:p>
        </w:tc>
        <w:tc>
          <w:tcPr>
            <w:tcW w:w="1020" w:type="dxa"/>
            <w:vAlign w:val="bottom"/>
            <w:tcBorders>
              <w:top w:val="single" w:sz="8" w:color="F0FFFF"/>
            </w:tcBorders>
            <w:gridSpan w:val="2"/>
          </w:tcPr>
          <w:p>
            <w:pPr>
              <w:spacing w:after="0" w:line="20" w:lineRule="exact"/>
              <w:rPr>
                <w:sz w:val="1"/>
                <w:szCs w:val="1"/>
                <w:color w:val="auto"/>
              </w:rPr>
            </w:pPr>
          </w:p>
        </w:tc>
        <w:tc>
          <w:tcPr>
            <w:tcW w:w="100" w:type="dxa"/>
            <w:vAlign w:val="bottom"/>
            <w:tcBorders>
              <w:top w:val="single" w:sz="8" w:color="F0FFFF"/>
            </w:tcBorders>
            <w:gridSpan w:val="2"/>
          </w:tcPr>
          <w:p>
            <w:pPr>
              <w:spacing w:after="0" w:line="20" w:lineRule="exact"/>
              <w:rPr>
                <w:sz w:val="1"/>
                <w:szCs w:val="1"/>
                <w:color w:val="auto"/>
              </w:rPr>
            </w:pPr>
          </w:p>
        </w:tc>
        <w:tc>
          <w:tcPr>
            <w:tcW w:w="1020" w:type="dxa"/>
            <w:vAlign w:val="bottom"/>
            <w:tcBorders>
              <w:top w:val="single" w:sz="8" w:color="F0FFFF"/>
            </w:tcBorders>
            <w:gridSpan w:val="2"/>
          </w:tcPr>
          <w:p>
            <w:pPr>
              <w:spacing w:after="0" w:line="20" w:lineRule="exact"/>
              <w:rPr>
                <w:sz w:val="1"/>
                <w:szCs w:val="1"/>
                <w:color w:val="auto"/>
              </w:rPr>
            </w:pPr>
          </w:p>
        </w:tc>
        <w:tc>
          <w:tcPr>
            <w:tcW w:w="3180" w:type="dxa"/>
            <w:vAlign w:val="bottom"/>
            <w:tcBorders>
              <w:top w:val="single" w:sz="8" w:color="F0FF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35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0" w:type="dxa"/>
            <w:vAlign w:val="bottom"/>
            <w:gridSpan w:val="16"/>
            <w:shd w:val="clear" w:color="auto" w:fill="F0FFFF"/>
          </w:tcPr>
          <w:p>
            <w:pPr>
              <w:spacing w:after="0"/>
              <w:rPr>
                <w:sz w:val="20"/>
                <w:szCs w:val="20"/>
                <w:color w:val="auto"/>
              </w:rPr>
            </w:pPr>
            <w:r>
              <w:rPr>
                <w:rFonts w:ascii="Arial" w:cs="Arial" w:eastAsia="Arial" w:hAnsi="Arial"/>
                <w:sz w:val="18"/>
                <w:szCs w:val="18"/>
                <w:color w:val="auto"/>
              </w:rPr>
              <w:t>Amortization of prior service cost and actuarial losses included in net periodic pension cost for defined benefit pension 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40"/>
              <w:spacing w:after="0"/>
              <w:rPr>
                <w:sz w:val="20"/>
                <w:szCs w:val="20"/>
                <w:color w:val="auto"/>
              </w:rPr>
            </w:pPr>
            <w:r>
              <w:rPr>
                <w:rFonts w:ascii="Arial" w:cs="Arial" w:eastAsia="Arial" w:hAnsi="Arial"/>
                <w:sz w:val="18"/>
                <w:szCs w:val="18"/>
                <w:color w:val="auto"/>
              </w:rPr>
              <w:t>Prior service cost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220" w:type="dxa"/>
            <w:vAlign w:val="bottom"/>
            <w:gridSpan w:val="2"/>
          </w:tcPr>
          <w:p>
            <w:pPr>
              <w:jc w:val="right"/>
              <w:ind w:right="4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3100" w:type="dxa"/>
            <w:vAlign w:val="bottom"/>
          </w:tcPr>
          <w:p>
            <w:pPr>
              <w:ind w:left="20"/>
              <w:spacing w:after="0"/>
              <w:rPr>
                <w:sz w:val="20"/>
                <w:szCs w:val="20"/>
                <w:color w:val="auto"/>
              </w:rPr>
            </w:pPr>
            <w:r>
              <w:rPr>
                <w:rFonts w:ascii="Arial" w:cs="Arial" w:eastAsia="Arial" w:hAnsi="Arial"/>
                <w:sz w:val="18"/>
                <w:szCs w:val="18"/>
                <w:color w:val="auto"/>
                <w:w w:val="94"/>
              </w:rPr>
              <w:t>Salaries and employee benefits expense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Actuarial losses</w:t>
            </w:r>
          </w:p>
        </w:tc>
        <w:tc>
          <w:tcPr>
            <w:tcW w:w="420" w:type="dxa"/>
            <w:vAlign w:val="bottom"/>
            <w:shd w:val="clear" w:color="auto" w:fill="F0FFFF"/>
          </w:tcPr>
          <w:p>
            <w:pPr>
              <w:spacing w:after="0"/>
              <w:rPr>
                <w:sz w:val="21"/>
                <w:szCs w:val="21"/>
                <w:color w:val="auto"/>
              </w:rPr>
            </w:pPr>
          </w:p>
        </w:tc>
        <w:tc>
          <w:tcPr>
            <w:tcW w:w="9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F0FFFF"/>
          </w:tcPr>
          <w:p>
            <w:pPr>
              <w:spacing w:after="0"/>
              <w:rPr>
                <w:sz w:val="21"/>
                <w:szCs w:val="21"/>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1"/>
                <w:szCs w:val="21"/>
                <w:color w:val="auto"/>
              </w:rPr>
            </w:pPr>
          </w:p>
        </w:tc>
        <w:tc>
          <w:tcPr>
            <w:tcW w:w="2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(136)</w:t>
            </w:r>
          </w:p>
        </w:tc>
        <w:tc>
          <w:tcPr>
            <w:tcW w:w="2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8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100" w:type="dxa"/>
            <w:vAlign w:val="bottom"/>
            <w:shd w:val="clear" w:color="auto" w:fill="F0FFFF"/>
          </w:tcPr>
          <w:p>
            <w:pPr>
              <w:ind w:left="20"/>
              <w:spacing w:after="0"/>
              <w:rPr>
                <w:sz w:val="20"/>
                <w:szCs w:val="20"/>
                <w:color w:val="auto"/>
              </w:rPr>
            </w:pPr>
            <w:r>
              <w:rPr>
                <w:rFonts w:ascii="Arial" w:cs="Arial" w:eastAsia="Arial" w:hAnsi="Arial"/>
                <w:sz w:val="18"/>
                <w:szCs w:val="18"/>
                <w:color w:val="auto"/>
                <w:w w:val="94"/>
              </w:rPr>
              <w:t>Salaries and employee benefits expense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Borders>
              <w:top w:val="single" w:sz="8" w:color="F0FF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(159)</w:t>
            </w:r>
          </w:p>
        </w:tc>
        <w:tc>
          <w:tcPr>
            <w:tcW w:w="140" w:type="dxa"/>
            <w:vAlign w:val="bottom"/>
            <w:tcBorders>
              <w:top w:val="single" w:sz="8" w:color="F0FF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(92)</w:t>
            </w:r>
          </w:p>
        </w:tc>
        <w:tc>
          <w:tcPr>
            <w:tcW w:w="8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(318)</w:t>
            </w:r>
          </w:p>
        </w:tc>
        <w:tc>
          <w:tcPr>
            <w:tcW w:w="8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(183)</w:t>
            </w:r>
          </w:p>
        </w:tc>
        <w:tc>
          <w:tcPr>
            <w:tcW w:w="80" w:type="dxa"/>
            <w:vAlign w:val="bottom"/>
            <w:tcBorders>
              <w:top w:val="single" w:sz="8" w:color="F0FFFF"/>
            </w:tcBorders>
          </w:tcPr>
          <w:p>
            <w:pPr>
              <w:spacing w:after="0"/>
              <w:rPr>
                <w:sz w:val="17"/>
                <w:szCs w:val="17"/>
                <w:color w:val="auto"/>
              </w:rPr>
            </w:pPr>
          </w:p>
        </w:tc>
        <w:tc>
          <w:tcPr>
            <w:tcW w:w="3100" w:type="dxa"/>
            <w:vAlign w:val="bottom"/>
            <w:tcBorders>
              <w:top w:val="single" w:sz="8" w:color="F0FFFF"/>
            </w:tcBorders>
          </w:tcPr>
          <w:p>
            <w:pPr>
              <w:ind w:left="20"/>
              <w:spacing w:after="0" w:line="203" w:lineRule="exact"/>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40" w:type="dxa"/>
            <w:vAlign w:val="bottom"/>
            <w:shd w:val="clear" w:color="auto" w:fill="F0FFFF"/>
          </w:tcPr>
          <w:p>
            <w:pPr>
              <w:spacing w:after="0"/>
              <w:rPr>
                <w:sz w:val="21"/>
                <w:szCs w:val="21"/>
                <w:color w:val="auto"/>
              </w:rPr>
            </w:pPr>
          </w:p>
        </w:tc>
        <w:tc>
          <w:tcPr>
            <w:tcW w:w="420" w:type="dxa"/>
            <w:vAlign w:val="bottom"/>
            <w:shd w:val="clear" w:color="auto" w:fill="F0FFFF"/>
          </w:tcPr>
          <w:p>
            <w:pPr>
              <w:spacing w:after="0"/>
              <w:rPr>
                <w:sz w:val="21"/>
                <w:szCs w:val="21"/>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F0FFFF"/>
          </w:tcPr>
          <w:p>
            <w:pPr>
              <w:spacing w:after="0"/>
              <w:rPr>
                <w:sz w:val="21"/>
                <w:szCs w:val="21"/>
                <w:color w:val="auto"/>
              </w:rPr>
            </w:pPr>
          </w:p>
        </w:tc>
        <w:tc>
          <w:tcPr>
            <w:tcW w:w="2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124</w:t>
            </w:r>
          </w:p>
        </w:tc>
        <w:tc>
          <w:tcPr>
            <w:tcW w:w="2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8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71</w:t>
            </w:r>
          </w:p>
        </w:tc>
        <w:tc>
          <w:tcPr>
            <w:tcW w:w="3100" w:type="dxa"/>
            <w:vAlign w:val="bottom"/>
            <w:shd w:val="clear" w:color="auto" w:fill="F0FFFF"/>
          </w:tcPr>
          <w:p>
            <w:pPr>
              <w:ind w:left="20"/>
              <w:spacing w:after="0"/>
              <w:rPr>
                <w:sz w:val="20"/>
                <w:szCs w:val="20"/>
                <w:color w:val="auto"/>
              </w:rPr>
            </w:pPr>
            <w:r>
              <w:rPr>
                <w:rFonts w:ascii="Arial" w:cs="Arial" w:eastAsia="Arial" w:hAnsi="Arial"/>
                <w:sz w:val="18"/>
                <w:szCs w:val="18"/>
                <w:color w:val="auto"/>
              </w:rPr>
              <w:t>Tax benefit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40" w:type="dxa"/>
            <w:vAlign w:val="bottom"/>
            <w:tcBorders>
              <w:top w:val="single" w:sz="8" w:color="F0FF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4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F0FFFF"/>
            </w:tcBorders>
            <w:gridSpan w:val="2"/>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top w:val="single" w:sz="8" w:color="F0FFFF"/>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80" w:type="dxa"/>
            <w:vAlign w:val="bottom"/>
            <w:tcBorders>
              <w:top w:val="single" w:sz="8" w:color="F0FFFF"/>
            </w:tcBorders>
          </w:tcPr>
          <w:p>
            <w:pPr>
              <w:spacing w:after="0"/>
              <w:rPr>
                <w:sz w:val="20"/>
                <w:szCs w:val="20"/>
                <w:color w:val="auto"/>
              </w:rPr>
            </w:pPr>
            <w:r>
              <w:rPr>
                <w:rFonts w:ascii="Arial" w:cs="Arial" w:eastAsia="Arial" w:hAnsi="Arial"/>
                <w:sz w:val="18"/>
                <w:szCs w:val="18"/>
                <w:color w:val="auto"/>
                <w:w w:val="99"/>
              </w:rPr>
              <w:t>)</w:t>
            </w:r>
          </w:p>
        </w:tc>
        <w:tc>
          <w:tcPr>
            <w:tcW w:w="3100" w:type="dxa"/>
            <w:vAlign w:val="bottom"/>
            <w:tcBorders>
              <w:top w:val="single" w:sz="8" w:color="F0FFFF"/>
            </w:tcBorders>
          </w:tcPr>
          <w:p>
            <w:pPr>
              <w:ind w:left="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bottom w:val="single" w:sz="8" w:color="F0FF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3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Total reclassifications for the period</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83"/>
              <w:spacing w:after="0"/>
              <w:rPr>
                <w:sz w:val="20"/>
                <w:szCs w:val="20"/>
                <w:color w:val="auto"/>
              </w:rPr>
            </w:pPr>
            <w:r>
              <w:rPr>
                <w:rFonts w:ascii="Arial" w:cs="Arial" w:eastAsia="Arial" w:hAnsi="Arial"/>
                <w:sz w:val="18"/>
                <w:szCs w:val="18"/>
                <w:color w:val="auto"/>
              </w:rPr>
              <w:t>(551) $</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2,049</w:t>
            </w:r>
          </w:p>
        </w:tc>
        <w:tc>
          <w:tcPr>
            <w:tcW w:w="220" w:type="dxa"/>
            <w:vAlign w:val="bottom"/>
            <w:gridSpan w:val="2"/>
          </w:tcPr>
          <w:p>
            <w:pPr>
              <w:jc w:val="right"/>
              <w:ind w:right="42"/>
              <w:spacing w:after="0"/>
              <w:rPr>
                <w:sz w:val="20"/>
                <w:szCs w:val="20"/>
                <w:color w:val="auto"/>
              </w:rPr>
            </w:pPr>
            <w:r>
              <w:rPr>
                <w:rFonts w:ascii="Arial" w:cs="Arial" w:eastAsia="Arial" w:hAnsi="Arial"/>
                <w:sz w:val="18"/>
                <w:szCs w:val="18"/>
                <w:color w:val="auto"/>
                <w:w w:val="79"/>
              </w:rPr>
              <w:t>$</w:t>
            </w:r>
          </w:p>
        </w:tc>
        <w:tc>
          <w:tcPr>
            <w:tcW w:w="1220" w:type="dxa"/>
            <w:vAlign w:val="bottom"/>
            <w:gridSpan w:val="4"/>
          </w:tcPr>
          <w:p>
            <w:pPr>
              <w:jc w:val="right"/>
              <w:ind w:right="145"/>
              <w:spacing w:after="0"/>
              <w:rPr>
                <w:sz w:val="20"/>
                <w:szCs w:val="20"/>
                <w:color w:val="auto"/>
              </w:rPr>
            </w:pPr>
            <w:r>
              <w:rPr>
                <w:rFonts w:ascii="Arial" w:cs="Arial" w:eastAsia="Arial" w:hAnsi="Arial"/>
                <w:sz w:val="18"/>
                <w:szCs w:val="18"/>
                <w:color w:val="auto"/>
              </w:rPr>
              <w:t>(269)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1,852</w:t>
            </w:r>
          </w:p>
        </w:tc>
        <w:tc>
          <w:tcPr>
            <w:tcW w:w="310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1"/>
        </w:trPr>
        <w:tc>
          <w:tcPr>
            <w:tcW w:w="356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980" w:type="dxa"/>
            <w:vAlign w:val="bottom"/>
            <w:gridSpan w:val="3"/>
          </w:tcPr>
          <w:p>
            <w:pPr>
              <w:spacing w:after="0"/>
              <w:rPr>
                <w:sz w:val="20"/>
                <w:szCs w:val="20"/>
                <w:color w:val="auto"/>
              </w:rPr>
            </w:pPr>
            <w:r>
              <w:rPr>
                <w:rFonts w:ascii="Arial" w:cs="Arial" w:eastAsia="Arial" w:hAnsi="Arial"/>
                <w:sz w:val="18"/>
                <w:szCs w:val="18"/>
                <w:color w:val="auto"/>
                <w:w w:val="90"/>
              </w:rPr>
              <w:t>Amounts shown above in parentheses reduce earnings</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Note 9 – Earnings Per Share</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United is required to report on the face of the consolidated statement of income, earnings per common share with and without the dilutive effects of potential common stock issuances from instruments such as options, convertible securities and warrants. Basic earnings per common share is based on the weighted average number of common shares outstanding during the period while the effects of potential common shares outstanding during the period are included in diluted earnings per common share.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During the three and six months ended June 30, 2015 and 2014, United accrued dividends on preferred stock as shown in the following table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240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5"/>
          </w:tcPr>
          <w:p>
            <w:pPr>
              <w:jc w:val="right"/>
              <w:ind w:right="165"/>
              <w:spacing w:after="0"/>
              <w:rPr>
                <w:sz w:val="20"/>
                <w:szCs w:val="20"/>
                <w:color w:val="auto"/>
              </w:rPr>
            </w:pPr>
            <w:r>
              <w:rPr>
                <w:rFonts w:ascii="Arial" w:cs="Arial" w:eastAsia="Arial" w:hAnsi="Arial"/>
                <w:sz w:val="18"/>
                <w:szCs w:val="18"/>
                <w:b w:val="1"/>
                <w:bCs w:val="1"/>
                <w:color w:val="auto"/>
              </w:rPr>
              <w:t>Six Months Ended</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59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w w:val="99"/>
              </w:rPr>
              <w:t>June 30,</w:t>
            </w:r>
          </w:p>
        </w:tc>
        <w:tc>
          <w:tcPr>
            <w:tcW w:w="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ind w:right="545"/>
              <w:spacing w:after="0"/>
              <w:rPr>
                <w:sz w:val="20"/>
                <w:szCs w:val="20"/>
                <w:color w:val="auto"/>
              </w:rPr>
            </w:pPr>
            <w:r>
              <w:rPr>
                <w:rFonts w:ascii="Arial" w:cs="Arial" w:eastAsia="Arial" w:hAnsi="Arial"/>
                <w:sz w:val="18"/>
                <w:szCs w:val="18"/>
                <w:b w:val="1"/>
                <w:bCs w:val="1"/>
                <w:color w:val="auto"/>
                <w:w w:val="99"/>
              </w:rPr>
              <w:t>June 30,</w:t>
            </w:r>
          </w:p>
        </w:tc>
        <w:tc>
          <w:tcPr>
            <w:tcW w:w="3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960" w:type="dxa"/>
            <w:vAlign w:val="bottom"/>
          </w:tcPr>
          <w:p>
            <w:pPr>
              <w:spacing w:after="0"/>
              <w:rPr>
                <w:sz w:val="19"/>
                <w:szCs w:val="19"/>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b w:val="1"/>
                <w:bCs w:val="1"/>
                <w:color w:val="auto"/>
              </w:rPr>
              <w:t>2015</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rPr>
              <w:t>2014</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88"/>
        </w:trPr>
        <w:tc>
          <w:tcPr>
            <w:tcW w:w="5960" w:type="dxa"/>
            <w:vAlign w:val="bottom"/>
            <w:tcBorders>
              <w:top w:val="single" w:sz="8" w:color="F0FFFF"/>
            </w:tcBorders>
            <w:shd w:val="clear" w:color="auto" w:fill="F0FFFF"/>
          </w:tcPr>
          <w:p>
            <w:pPr>
              <w:spacing w:after="0" w:line="189" w:lineRule="exact"/>
              <w:rPr>
                <w:sz w:val="20"/>
                <w:szCs w:val="20"/>
                <w:color w:val="auto"/>
              </w:rPr>
            </w:pPr>
            <w:r>
              <w:rPr>
                <w:rFonts w:ascii="Arial" w:cs="Arial" w:eastAsia="Arial" w:hAnsi="Arial"/>
                <w:sz w:val="18"/>
                <w:szCs w:val="18"/>
                <w:color w:val="auto"/>
                <w:w w:val="93"/>
              </w:rPr>
              <w:t>Series H - 1% until March 15, 2016, subject to change based on Qualified Small</w:t>
            </w:r>
          </w:p>
        </w:tc>
        <w:tc>
          <w:tcPr>
            <w:tcW w:w="900" w:type="dxa"/>
            <w:vAlign w:val="bottom"/>
            <w:tcBorders>
              <w:top w:val="single" w:sz="8" w:color="auto"/>
            </w:tcBorders>
            <w:shd w:val="clear" w:color="auto" w:fill="F0FFFF"/>
          </w:tcPr>
          <w:p>
            <w:pPr>
              <w:spacing w:after="0"/>
              <w:rPr>
                <w:sz w:val="16"/>
                <w:szCs w:val="16"/>
                <w:color w:val="auto"/>
              </w:rPr>
            </w:pPr>
          </w:p>
        </w:tc>
        <w:tc>
          <w:tcPr>
            <w:tcW w:w="360" w:type="dxa"/>
            <w:vAlign w:val="bottom"/>
            <w:tcBorders>
              <w:top w:val="single" w:sz="8" w:color="auto"/>
            </w:tcBorders>
            <w:shd w:val="clear" w:color="auto" w:fill="F0FFFF"/>
          </w:tcPr>
          <w:p>
            <w:pPr>
              <w:spacing w:after="0"/>
              <w:rPr>
                <w:sz w:val="16"/>
                <w:szCs w:val="16"/>
                <w:color w:val="auto"/>
              </w:rPr>
            </w:pPr>
          </w:p>
        </w:tc>
        <w:tc>
          <w:tcPr>
            <w:tcW w:w="120" w:type="dxa"/>
            <w:vAlign w:val="bottom"/>
            <w:tcBorders>
              <w:top w:val="single" w:sz="8" w:color="F0FFFF"/>
            </w:tcBorders>
            <w:shd w:val="clear" w:color="auto" w:fill="F0FFFF"/>
          </w:tcPr>
          <w:p>
            <w:pPr>
              <w:spacing w:after="0"/>
              <w:rPr>
                <w:sz w:val="16"/>
                <w:szCs w:val="16"/>
                <w:color w:val="auto"/>
              </w:rPr>
            </w:pPr>
          </w:p>
        </w:tc>
        <w:tc>
          <w:tcPr>
            <w:tcW w:w="1020" w:type="dxa"/>
            <w:vAlign w:val="bottom"/>
            <w:tcBorders>
              <w:top w:val="single" w:sz="8" w:color="auto"/>
            </w:tcBorders>
            <w:shd w:val="clear" w:color="auto" w:fill="F0FFFF"/>
          </w:tcPr>
          <w:p>
            <w:pPr>
              <w:spacing w:after="0"/>
              <w:rPr>
                <w:sz w:val="16"/>
                <w:szCs w:val="16"/>
                <w:color w:val="auto"/>
              </w:rPr>
            </w:pPr>
          </w:p>
        </w:tc>
        <w:tc>
          <w:tcPr>
            <w:tcW w:w="260" w:type="dxa"/>
            <w:vAlign w:val="bottom"/>
            <w:tcBorders>
              <w:top w:val="single" w:sz="8" w:color="auto"/>
            </w:tcBorders>
            <w:shd w:val="clear" w:color="auto" w:fill="F0FFFF"/>
          </w:tcPr>
          <w:p>
            <w:pPr>
              <w:spacing w:after="0"/>
              <w:rPr>
                <w:sz w:val="16"/>
                <w:szCs w:val="16"/>
                <w:color w:val="auto"/>
              </w:rPr>
            </w:pPr>
          </w:p>
        </w:tc>
        <w:tc>
          <w:tcPr>
            <w:tcW w:w="100" w:type="dxa"/>
            <w:vAlign w:val="bottom"/>
            <w:tcBorders>
              <w:top w:val="single" w:sz="8" w:color="F0FFFF"/>
            </w:tcBorders>
            <w:shd w:val="clear" w:color="auto" w:fill="F0FFFF"/>
          </w:tcPr>
          <w:p>
            <w:pPr>
              <w:spacing w:after="0"/>
              <w:rPr>
                <w:sz w:val="16"/>
                <w:szCs w:val="16"/>
                <w:color w:val="auto"/>
              </w:rPr>
            </w:pPr>
          </w:p>
        </w:tc>
        <w:tc>
          <w:tcPr>
            <w:tcW w:w="880" w:type="dxa"/>
            <w:vAlign w:val="bottom"/>
            <w:tcBorders>
              <w:top w:val="single" w:sz="8" w:color="auto"/>
            </w:tcBorders>
            <w:shd w:val="clear" w:color="auto" w:fill="F0FFFF"/>
          </w:tcPr>
          <w:p>
            <w:pPr>
              <w:spacing w:after="0"/>
              <w:rPr>
                <w:sz w:val="16"/>
                <w:szCs w:val="16"/>
                <w:color w:val="auto"/>
              </w:rPr>
            </w:pPr>
          </w:p>
        </w:tc>
        <w:tc>
          <w:tcPr>
            <w:tcW w:w="360" w:type="dxa"/>
            <w:vAlign w:val="bottom"/>
            <w:tcBorders>
              <w:top w:val="single" w:sz="8" w:color="auto"/>
            </w:tcBorders>
            <w:shd w:val="clear" w:color="auto" w:fill="F0FFFF"/>
          </w:tcPr>
          <w:p>
            <w:pPr>
              <w:spacing w:after="0"/>
              <w:rPr>
                <w:sz w:val="16"/>
                <w:szCs w:val="16"/>
                <w:color w:val="auto"/>
              </w:rPr>
            </w:pPr>
          </w:p>
        </w:tc>
        <w:tc>
          <w:tcPr>
            <w:tcW w:w="100" w:type="dxa"/>
            <w:vAlign w:val="bottom"/>
            <w:tcBorders>
              <w:top w:val="single" w:sz="8" w:color="F0FFFF"/>
            </w:tcBorders>
            <w:shd w:val="clear" w:color="auto" w:fill="F0FFFF"/>
          </w:tcPr>
          <w:p>
            <w:pPr>
              <w:spacing w:after="0"/>
              <w:rPr>
                <w:sz w:val="16"/>
                <w:szCs w:val="16"/>
                <w:color w:val="auto"/>
              </w:rPr>
            </w:pPr>
          </w:p>
        </w:tc>
        <w:tc>
          <w:tcPr>
            <w:tcW w:w="20" w:type="dxa"/>
            <w:vAlign w:val="bottom"/>
            <w:tcBorders>
              <w:top w:val="single" w:sz="8" w:color="F0FFFF"/>
            </w:tcBorders>
            <w:shd w:val="clear" w:color="auto" w:fill="F0FFFF"/>
          </w:tcPr>
          <w:p>
            <w:pPr>
              <w:spacing w:after="0"/>
              <w:rPr>
                <w:sz w:val="16"/>
                <w:szCs w:val="16"/>
                <w:color w:val="auto"/>
              </w:rPr>
            </w:pPr>
          </w:p>
        </w:tc>
        <w:tc>
          <w:tcPr>
            <w:tcW w:w="880" w:type="dxa"/>
            <w:vAlign w:val="bottom"/>
            <w:tcBorders>
              <w:top w:val="single" w:sz="8" w:color="auto"/>
            </w:tcBorders>
            <w:shd w:val="clear" w:color="auto" w:fill="F0FFFF"/>
          </w:tcPr>
          <w:p>
            <w:pPr>
              <w:spacing w:after="0"/>
              <w:rPr>
                <w:sz w:val="16"/>
                <w:szCs w:val="16"/>
                <w:color w:val="auto"/>
              </w:rPr>
            </w:pPr>
          </w:p>
        </w:tc>
        <w:tc>
          <w:tcPr>
            <w:tcW w:w="360" w:type="dxa"/>
            <w:vAlign w:val="bottom"/>
            <w:tcBorders>
              <w:top w:val="single" w:sz="8" w:color="auto"/>
            </w:tcBorders>
            <w:shd w:val="clear" w:color="auto" w:fill="F0FFFF"/>
          </w:tcPr>
          <w:p>
            <w:pPr>
              <w:spacing w:after="0"/>
              <w:rPr>
                <w:sz w:val="16"/>
                <w:szCs w:val="16"/>
                <w:color w:val="auto"/>
              </w:rPr>
            </w:pPr>
          </w:p>
        </w:tc>
        <w:tc>
          <w:tcPr>
            <w:tcW w:w="20" w:type="dxa"/>
            <w:vAlign w:val="bottom"/>
            <w:tcBorders>
              <w:top w:val="single" w:sz="8" w:color="F0FFFF"/>
            </w:tcBorders>
            <w:shd w:val="clear" w:color="auto" w:fill="F0FFFF"/>
          </w:tcPr>
          <w:p>
            <w:pPr>
              <w:spacing w:after="0"/>
              <w:rPr>
                <w:sz w:val="16"/>
                <w:szCs w:val="16"/>
                <w:color w:val="auto"/>
              </w:rPr>
            </w:pPr>
          </w:p>
        </w:tc>
        <w:tc>
          <w:tcPr>
            <w:tcW w:w="80" w:type="dxa"/>
            <w:vAlign w:val="bottom"/>
            <w:tcBorders>
              <w:top w:val="single" w:sz="8" w:color="F0FFFF"/>
            </w:tcBorders>
            <w:shd w:val="clear" w:color="auto" w:fill="F0FFFF"/>
          </w:tcPr>
          <w:p>
            <w:pPr>
              <w:spacing w:after="0"/>
              <w:rPr>
                <w:sz w:val="16"/>
                <w:szCs w:val="16"/>
                <w:color w:val="auto"/>
              </w:rPr>
            </w:pPr>
          </w:p>
        </w:tc>
      </w:tr>
      <w:tr>
        <w:trPr>
          <w:trHeight w:val="230"/>
        </w:trPr>
        <w:tc>
          <w:tcPr>
            <w:tcW w:w="5960" w:type="dxa"/>
            <w:vAlign w:val="bottom"/>
            <w:shd w:val="clear" w:color="auto" w:fill="F0FFFF"/>
          </w:tcPr>
          <w:p>
            <w:pPr>
              <w:jc w:val="center"/>
              <w:ind w:right="3190"/>
              <w:spacing w:after="0"/>
              <w:rPr>
                <w:sz w:val="20"/>
                <w:szCs w:val="20"/>
                <w:color w:val="auto"/>
              </w:rPr>
            </w:pPr>
            <w:r>
              <w:rPr>
                <w:rFonts w:ascii="Arial" w:cs="Arial" w:eastAsia="Arial" w:hAnsi="Arial"/>
                <w:sz w:val="18"/>
                <w:szCs w:val="18"/>
                <w:color w:val="auto"/>
                <w:w w:val="90"/>
              </w:rPr>
              <w:t>Business Lending, 9% thereafter</w:t>
            </w:r>
          </w:p>
        </w:tc>
        <w:tc>
          <w:tcPr>
            <w:tcW w:w="900" w:type="dxa"/>
            <w:vAlign w:val="bottom"/>
            <w:shd w:val="clear" w:color="auto" w:fill="F0FFFF"/>
          </w:tcPr>
          <w:p>
            <w:pPr>
              <w:jc w:val="right"/>
              <w:ind w:right="73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F0FFFF"/>
          </w:tcPr>
          <w:p>
            <w:pPr>
              <w:spacing w:after="0"/>
              <w:rPr>
                <w:sz w:val="20"/>
                <w:szCs w:val="20"/>
                <w:color w:val="auto"/>
              </w:rPr>
            </w:pPr>
          </w:p>
        </w:tc>
        <w:tc>
          <w:tcPr>
            <w:tcW w:w="1020" w:type="dxa"/>
            <w:vAlign w:val="bottom"/>
            <w:shd w:val="clear" w:color="auto" w:fill="F0FFFF"/>
          </w:tcPr>
          <w:p>
            <w:pPr>
              <w:jc w:val="right"/>
              <w:ind w:right="83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0"/>
                <w:szCs w:val="20"/>
                <w:color w:val="auto"/>
              </w:rPr>
            </w:pPr>
          </w:p>
        </w:tc>
        <w:tc>
          <w:tcPr>
            <w:tcW w:w="880" w:type="dxa"/>
            <w:vAlign w:val="bottom"/>
            <w:shd w:val="clear" w:color="auto" w:fill="F0FFFF"/>
          </w:tcPr>
          <w:p>
            <w:pPr>
              <w:jc w:val="right"/>
              <w:ind w:right="717"/>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w:t>
            </w:r>
          </w:p>
        </w:tc>
        <w:tc>
          <w:tcPr>
            <w:tcW w:w="900" w:type="dxa"/>
            <w:vAlign w:val="bottom"/>
            <w:gridSpan w:val="2"/>
            <w:shd w:val="clear" w:color="auto" w:fill="F0FFFF"/>
          </w:tcPr>
          <w:p>
            <w:pPr>
              <w:jc w:val="right"/>
              <w:ind w:right="725"/>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0"/>
                <w:szCs w:val="20"/>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Series B - 5% fixed until December 6, 2013, 9% thereafter</w:t>
            </w:r>
          </w:p>
        </w:tc>
        <w:tc>
          <w:tcPr>
            <w:tcW w:w="9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8"/>
                <w:szCs w:val="18"/>
                <w:color w:val="auto"/>
              </w:rPr>
            </w:pPr>
          </w:p>
        </w:tc>
      </w:tr>
      <w:tr>
        <w:trPr>
          <w:trHeight w:val="236"/>
        </w:trPr>
        <w:tc>
          <w:tcPr>
            <w:tcW w:w="5960" w:type="dxa"/>
            <w:vAlign w:val="bottom"/>
            <w:shd w:val="clear" w:color="auto" w:fill="F0FFFF"/>
          </w:tcPr>
          <w:p>
            <w:pPr>
              <w:spacing w:after="0"/>
              <w:rPr>
                <w:sz w:val="20"/>
                <w:szCs w:val="20"/>
                <w:color w:val="auto"/>
              </w:rPr>
            </w:pPr>
            <w:r>
              <w:rPr>
                <w:rFonts w:ascii="Arial" w:cs="Arial" w:eastAsia="Arial" w:hAnsi="Arial"/>
                <w:sz w:val="18"/>
                <w:szCs w:val="18"/>
                <w:color w:val="auto"/>
              </w:rPr>
              <w:t>Series D - LIBOR plus 9.6875%, resets quarterly</w:t>
            </w:r>
          </w:p>
        </w:tc>
        <w:tc>
          <w:tcPr>
            <w:tcW w:w="900" w:type="dxa"/>
            <w:vAlign w:val="bottom"/>
            <w:shd w:val="clear" w:color="auto" w:fill="F0FFFF"/>
          </w:tcPr>
          <w:p>
            <w:pPr>
              <w:spacing w:after="0"/>
              <w:rPr>
                <w:sz w:val="20"/>
                <w:szCs w:val="20"/>
                <w:color w:val="auto"/>
              </w:rPr>
            </w:pPr>
          </w:p>
        </w:tc>
        <w:tc>
          <w:tcPr>
            <w:tcW w:w="3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0"/>
                <w:szCs w:val="20"/>
                <w:color w:val="auto"/>
              </w:rPr>
            </w:pPr>
          </w:p>
        </w:tc>
        <w:tc>
          <w:tcPr>
            <w:tcW w:w="880" w:type="dxa"/>
            <w:vAlign w:val="bottom"/>
            <w:shd w:val="clear" w:color="auto" w:fill="F0FFFF"/>
          </w:tcPr>
          <w:p>
            <w:pPr>
              <w:spacing w:after="0"/>
              <w:rPr>
                <w:sz w:val="20"/>
                <w:szCs w:val="20"/>
                <w:color w:val="auto"/>
              </w:rPr>
            </w:pPr>
          </w:p>
        </w:tc>
        <w:tc>
          <w:tcPr>
            <w:tcW w:w="4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20"/>
                <w:szCs w:val="20"/>
                <w:color w:val="auto"/>
              </w:rPr>
            </w:pPr>
          </w:p>
        </w:tc>
        <w:tc>
          <w:tcPr>
            <w:tcW w:w="880" w:type="dxa"/>
            <w:vAlign w:val="bottom"/>
            <w:shd w:val="clear" w:color="auto" w:fill="F0FFFF"/>
          </w:tcPr>
          <w:p>
            <w:pPr>
              <w:spacing w:after="0"/>
              <w:rPr>
                <w:sz w:val="20"/>
                <w:szCs w:val="20"/>
                <w:color w:val="auto"/>
              </w:rPr>
            </w:pPr>
          </w:p>
        </w:tc>
        <w:tc>
          <w:tcPr>
            <w:tcW w:w="3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280</w:t>
            </w:r>
          </w:p>
        </w:tc>
        <w:tc>
          <w:tcPr>
            <w:tcW w:w="80" w:type="dxa"/>
            <w:vAlign w:val="bottom"/>
            <w:shd w:val="clear" w:color="auto" w:fill="F0FFFF"/>
          </w:tcPr>
          <w:p>
            <w:pPr>
              <w:spacing w:after="0"/>
              <w:rPr>
                <w:sz w:val="20"/>
                <w:szCs w:val="20"/>
                <w:color w:val="auto"/>
              </w:rPr>
            </w:pPr>
          </w:p>
        </w:tc>
      </w:tr>
      <w:tr>
        <w:trPr>
          <w:trHeight w:val="203"/>
        </w:trPr>
        <w:tc>
          <w:tcPr>
            <w:tcW w:w="5960" w:type="dxa"/>
            <w:vAlign w:val="bottom"/>
            <w:tcBorders>
              <w:top w:val="single" w:sz="8" w:color="F0FFFF"/>
            </w:tcBorders>
          </w:tcPr>
          <w:p>
            <w:pPr>
              <w:jc w:val="center"/>
              <w:ind w:right="3230"/>
              <w:spacing w:after="0" w:line="203" w:lineRule="exact"/>
              <w:rPr>
                <w:sz w:val="20"/>
                <w:szCs w:val="20"/>
                <w:color w:val="auto"/>
              </w:rPr>
            </w:pPr>
            <w:r>
              <w:rPr>
                <w:rFonts w:ascii="Arial" w:cs="Arial" w:eastAsia="Arial" w:hAnsi="Arial"/>
                <w:sz w:val="18"/>
                <w:szCs w:val="18"/>
                <w:color w:val="auto"/>
                <w:w w:val="91"/>
              </w:rPr>
              <w:t>Total preferred stock dividends</w:t>
            </w:r>
          </w:p>
        </w:tc>
        <w:tc>
          <w:tcPr>
            <w:tcW w:w="900" w:type="dxa"/>
            <w:vAlign w:val="bottom"/>
            <w:tcBorders>
              <w:top w:val="single" w:sz="8" w:color="auto"/>
              <w:bottom w:val="single" w:sz="8" w:color="auto"/>
            </w:tcBorders>
          </w:tcPr>
          <w:p>
            <w:pPr>
              <w:jc w:val="right"/>
              <w:ind w:right="73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w:t>
            </w:r>
          </w:p>
        </w:tc>
        <w:tc>
          <w:tcPr>
            <w:tcW w:w="120" w:type="dxa"/>
            <w:vAlign w:val="bottom"/>
            <w:tcBorders>
              <w:top w:val="single" w:sz="8" w:color="F0FFFF"/>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830"/>
              <w:spacing w:after="0" w:line="203" w:lineRule="exact"/>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F0FFFF"/>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71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w:t>
            </w:r>
          </w:p>
        </w:tc>
        <w:tc>
          <w:tcPr>
            <w:tcW w:w="100" w:type="dxa"/>
            <w:vAlign w:val="bottom"/>
            <w:tcBorders>
              <w:top w:val="single" w:sz="8" w:color="F0FFFF"/>
            </w:tcBorders>
          </w:tcPr>
          <w:p>
            <w:pPr>
              <w:spacing w:after="0"/>
              <w:rPr>
                <w:sz w:val="17"/>
                <w:szCs w:val="17"/>
                <w:color w:val="auto"/>
              </w:rPr>
            </w:pPr>
          </w:p>
        </w:tc>
        <w:tc>
          <w:tcPr>
            <w:tcW w:w="20" w:type="dxa"/>
            <w:vAlign w:val="bottom"/>
            <w:tcBorders>
              <w:top w:val="single" w:sz="8" w:color="F0FFFF"/>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72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439</w:t>
            </w:r>
          </w:p>
        </w:tc>
        <w:tc>
          <w:tcPr>
            <w:tcW w:w="20" w:type="dxa"/>
            <w:vAlign w:val="bottom"/>
            <w:tcBorders>
              <w:top w:val="single" w:sz="8" w:color="F0FFFF"/>
              <w:bottom w:val="single" w:sz="8" w:color="auto"/>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r>
      <w:tr>
        <w:trPr>
          <w:trHeight w:val="21"/>
        </w:trPr>
        <w:tc>
          <w:tcPr>
            <w:tcW w:w="5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ind w:left="60"/>
        <w:spacing w:after="0"/>
        <w:rPr>
          <w:sz w:val="20"/>
          <w:szCs w:val="20"/>
          <w:color w:val="auto"/>
        </w:rPr>
      </w:pPr>
      <w:r>
        <w:rPr>
          <w:rFonts w:ascii="Arial" w:cs="Arial" w:eastAsia="Arial" w:hAnsi="Arial"/>
          <w:sz w:val="22"/>
          <w:szCs w:val="22"/>
          <w:color w:val="auto"/>
        </w:rPr>
        <w:t>All preferred stock dividends are payable quarterly.</w:t>
      </w:r>
    </w:p>
    <w:p>
      <w:pPr>
        <w:sectPr>
          <w:pgSz w:w="11900" w:h="16838" w:orient="portrait"/>
          <w:cols w:equalWidth="0" w:num="1">
            <w:col w:w="11420"/>
          </w:cols>
          <w:pgMar w:left="240" w:top="904" w:right="239" w:bottom="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The preferred stock dividends were subtracted from net income in order to arrive at net income available to common shareholders.</w:t>
      </w: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bookmarkStart w:id="32" w:name="page33"/>
    <w:bookmarkEnd w:id="32"/>
    <w:p>
      <w:pPr>
        <w:jc w:val="center"/>
        <w:ind w:right="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sets forth the computation of basic and diluted earnings per share for the three and six months ended June 30, 2015 and 2014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 except per share data)</w:t>
      </w:r>
      <w:r>
        <w:rPr>
          <w:rFonts w:ascii="Arial" w:cs="Arial" w:eastAsia="Arial" w:hAnsi="Arial"/>
          <w:sz w:val="18"/>
          <w:szCs w:val="18"/>
          <w:color w:val="auto"/>
        </w:rPr>
        <w: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6"/>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80" w:type="dxa"/>
            <w:vAlign w:val="bottom"/>
            <w:gridSpan w:val="6"/>
          </w:tcPr>
          <w:p>
            <w:pPr>
              <w:ind w:left="56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4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19"/>
                <w:szCs w:val="19"/>
                <w:color w:val="auto"/>
              </w:rPr>
            </w:pPr>
          </w:p>
        </w:tc>
      </w:tr>
      <w:tr>
        <w:trPr>
          <w:trHeight w:val="243"/>
        </w:trPr>
        <w:tc>
          <w:tcPr>
            <w:tcW w:w="4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4180" w:type="dxa"/>
            <w:vAlign w:val="bottom"/>
            <w:shd w:val="clear" w:color="auto" w:fill="F0FFFF"/>
          </w:tcPr>
          <w:p>
            <w:pPr>
              <w:ind w:left="60"/>
              <w:spacing w:after="0"/>
              <w:rPr>
                <w:sz w:val="20"/>
                <w:szCs w:val="20"/>
                <w:color w:val="auto"/>
              </w:rPr>
            </w:pPr>
            <w:r>
              <w:rPr>
                <w:rFonts w:ascii="Arial" w:cs="Arial" w:eastAsia="Arial" w:hAnsi="Arial"/>
                <w:sz w:val="18"/>
                <w:szCs w:val="18"/>
                <w:color w:val="auto"/>
              </w:rPr>
              <w:t>Net income available to common shareholders</w:t>
            </w:r>
          </w:p>
        </w:tc>
        <w:tc>
          <w:tcPr>
            <w:tcW w:w="1020" w:type="dxa"/>
            <w:vAlign w:val="bottom"/>
            <w:gridSpan w:val="2"/>
            <w:shd w:val="clear" w:color="auto" w:fill="F0FF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17,796</w:t>
            </w:r>
          </w:p>
        </w:tc>
        <w:tc>
          <w:tcPr>
            <w:tcW w:w="620" w:type="dxa"/>
            <w:vAlign w:val="bottom"/>
            <w:gridSpan w:val="2"/>
            <w:shd w:val="clear" w:color="auto" w:fill="F0FFFF"/>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16,357</w:t>
            </w:r>
          </w:p>
        </w:tc>
        <w:tc>
          <w:tcPr>
            <w:tcW w:w="60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35,466</w:t>
            </w:r>
          </w:p>
        </w:tc>
        <w:tc>
          <w:tcPr>
            <w:tcW w:w="600" w:type="dxa"/>
            <w:vAlign w:val="bottom"/>
            <w:gridSpan w:val="2"/>
            <w:shd w:val="clear" w:color="auto" w:fill="F0FF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31,318</w:t>
            </w:r>
          </w:p>
        </w:tc>
      </w:tr>
      <w:tr>
        <w:trPr>
          <w:trHeight w:val="20"/>
        </w:trPr>
        <w:tc>
          <w:tcPr>
            <w:tcW w:w="4180" w:type="dxa"/>
            <w:vAlign w:val="bottom"/>
            <w:tcBorders>
              <w:top w:val="single" w:sz="8" w:color="F0FFFF"/>
            </w:tcBorders>
          </w:tcPr>
          <w:p>
            <w:pPr>
              <w:spacing w:after="0" w:line="20" w:lineRule="exact"/>
              <w:rPr>
                <w:sz w:val="1"/>
                <w:szCs w:val="1"/>
                <w:color w:val="auto"/>
              </w:rPr>
            </w:pPr>
          </w:p>
        </w:tc>
        <w:tc>
          <w:tcPr>
            <w:tcW w:w="76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6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4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r>
      <w:tr>
        <w:trPr>
          <w:trHeight w:val="217"/>
        </w:trPr>
        <w:tc>
          <w:tcPr>
            <w:tcW w:w="4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180" w:type="dxa"/>
            <w:vAlign w:val="bottom"/>
            <w:shd w:val="clear" w:color="auto" w:fill="F0FFFF"/>
          </w:tcPr>
          <w:p>
            <w:pPr>
              <w:ind w:left="60"/>
              <w:spacing w:after="0"/>
              <w:rPr>
                <w:sz w:val="20"/>
                <w:szCs w:val="20"/>
                <w:color w:val="auto"/>
              </w:rPr>
            </w:pPr>
            <w:r>
              <w:rPr>
                <w:rFonts w:ascii="Arial" w:cs="Arial" w:eastAsia="Arial" w:hAnsi="Arial"/>
                <w:sz w:val="18"/>
                <w:szCs w:val="18"/>
                <w:b w:val="1"/>
                <w:bCs w:val="1"/>
                <w:color w:val="auto"/>
              </w:rPr>
              <w:t>Weighted average shares outstanding:</w:t>
            </w:r>
          </w:p>
        </w:tc>
        <w:tc>
          <w:tcPr>
            <w:tcW w:w="76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0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36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0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34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98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32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98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r>
      <w:tr>
        <w:trPr>
          <w:trHeight w:val="216"/>
        </w:trPr>
        <w:tc>
          <w:tcPr>
            <w:tcW w:w="4180" w:type="dxa"/>
            <w:vAlign w:val="bottom"/>
          </w:tcPr>
          <w:p>
            <w:pPr>
              <w:ind w:left="240"/>
              <w:spacing w:after="0"/>
              <w:rPr>
                <w:sz w:val="20"/>
                <w:szCs w:val="20"/>
                <w:color w:val="auto"/>
              </w:rPr>
            </w:pPr>
            <w:r>
              <w:rPr>
                <w:rFonts w:ascii="Arial" w:cs="Arial" w:eastAsia="Arial" w:hAnsi="Arial"/>
                <w:sz w:val="18"/>
                <w:szCs w:val="18"/>
                <w:color w:val="auto"/>
              </w:rPr>
              <w:t>Basic</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62,549</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60,712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61,730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60,386</w:t>
            </w:r>
          </w:p>
        </w:tc>
      </w:tr>
      <w:tr>
        <w:trPr>
          <w:trHeight w:val="243"/>
        </w:trPr>
        <w:tc>
          <w:tcPr>
            <w:tcW w:w="4180" w:type="dxa"/>
            <w:vAlign w:val="bottom"/>
            <w:shd w:val="clear" w:color="auto" w:fill="F0FFFF"/>
          </w:tcPr>
          <w:p>
            <w:pPr>
              <w:ind w:left="240"/>
              <w:spacing w:after="0"/>
              <w:rPr>
                <w:sz w:val="20"/>
                <w:szCs w:val="20"/>
                <w:color w:val="auto"/>
              </w:rPr>
            </w:pPr>
            <w:r>
              <w:rPr>
                <w:rFonts w:ascii="Arial" w:cs="Arial" w:eastAsia="Arial" w:hAnsi="Arial"/>
                <w:sz w:val="18"/>
                <w:szCs w:val="18"/>
                <w:color w:val="auto"/>
              </w:rPr>
              <w:t>Effect of dilutive securities</w:t>
            </w:r>
          </w:p>
        </w:tc>
        <w:tc>
          <w:tcPr>
            <w:tcW w:w="76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0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36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0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34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98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32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98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r>
      <w:tr>
        <w:trPr>
          <w:trHeight w:val="223"/>
        </w:trPr>
        <w:tc>
          <w:tcPr>
            <w:tcW w:w="4180" w:type="dxa"/>
            <w:vAlign w:val="bottom"/>
          </w:tcPr>
          <w:p>
            <w:pPr>
              <w:ind w:left="480"/>
              <w:spacing w:after="0"/>
              <w:rPr>
                <w:sz w:val="20"/>
                <w:szCs w:val="20"/>
                <w:color w:val="auto"/>
              </w:rPr>
            </w:pPr>
            <w:r>
              <w:rPr>
                <w:rFonts w:ascii="Arial" w:cs="Arial" w:eastAsia="Arial" w:hAnsi="Arial"/>
                <w:sz w:val="18"/>
                <w:szCs w:val="18"/>
                <w:color w:val="auto"/>
              </w:rPr>
              <w:t>Stock options</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41"/>
        </w:trPr>
        <w:tc>
          <w:tcPr>
            <w:tcW w:w="4180" w:type="dxa"/>
            <w:vAlign w:val="bottom"/>
            <w:tcBorders>
              <w:top w:val="single" w:sz="8" w:color="F0FFFF"/>
              <w:bottom w:val="single" w:sz="8" w:color="F0FFFF"/>
            </w:tcBorders>
            <w:shd w:val="clear" w:color="auto" w:fill="F0FFFF"/>
          </w:tcPr>
          <w:p>
            <w:pPr>
              <w:ind w:left="240"/>
              <w:spacing w:after="0"/>
              <w:rPr>
                <w:sz w:val="20"/>
                <w:szCs w:val="20"/>
                <w:color w:val="auto"/>
              </w:rPr>
            </w:pPr>
            <w:r>
              <w:rPr>
                <w:rFonts w:ascii="Arial" w:cs="Arial" w:eastAsia="Arial" w:hAnsi="Arial"/>
                <w:sz w:val="18"/>
                <w:szCs w:val="18"/>
                <w:color w:val="auto"/>
              </w:rPr>
              <w:t>Diluted</w:t>
            </w:r>
          </w:p>
        </w:tc>
        <w:tc>
          <w:tcPr>
            <w:tcW w:w="760" w:type="dxa"/>
            <w:vAlign w:val="bottom"/>
            <w:tcBorders>
              <w:top w:val="single" w:sz="8" w:color="F0FFFF"/>
              <w:bottom w:val="single" w:sz="8" w:color="F0FFFF"/>
            </w:tcBorders>
            <w:shd w:val="clear" w:color="auto" w:fill="F0FFFF"/>
          </w:tcPr>
          <w:p>
            <w:pPr>
              <w:spacing w:after="0"/>
              <w:rPr>
                <w:sz w:val="20"/>
                <w:szCs w:val="20"/>
                <w:color w:val="auto"/>
              </w:rPr>
            </w:pPr>
          </w:p>
        </w:tc>
        <w:tc>
          <w:tcPr>
            <w:tcW w:w="260" w:type="dxa"/>
            <w:vAlign w:val="bottom"/>
            <w:tcBorders>
              <w:top w:val="single" w:sz="8" w:color="auto"/>
              <w:bottom w:val="single" w:sz="8" w:color="auto"/>
            </w:tcBorders>
            <w:shd w:val="clear" w:color="auto" w:fill="F0FFFF"/>
          </w:tcPr>
          <w:p>
            <w:pPr>
              <w:spacing w:after="0"/>
              <w:rPr>
                <w:sz w:val="20"/>
                <w:szCs w:val="20"/>
                <w:color w:val="auto"/>
              </w:rPr>
            </w:pP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62,553</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360" w:type="dxa"/>
            <w:vAlign w:val="bottom"/>
            <w:tcBorders>
              <w:top w:val="single" w:sz="8" w:color="F0FFFF"/>
              <w:bottom w:val="single" w:sz="8" w:color="F0FFFF"/>
            </w:tcBorders>
            <w:shd w:val="clear" w:color="auto" w:fill="F0FFFF"/>
          </w:tcPr>
          <w:p>
            <w:pPr>
              <w:spacing w:after="0"/>
              <w:rPr>
                <w:sz w:val="20"/>
                <w:szCs w:val="20"/>
                <w:color w:val="auto"/>
              </w:rPr>
            </w:pPr>
          </w:p>
        </w:tc>
        <w:tc>
          <w:tcPr>
            <w:tcW w:w="260" w:type="dxa"/>
            <w:vAlign w:val="bottom"/>
            <w:tcBorders>
              <w:top w:val="single" w:sz="8" w:color="auto"/>
              <w:bottom w:val="single" w:sz="8" w:color="auto"/>
            </w:tcBorders>
            <w:shd w:val="clear" w:color="auto" w:fill="F0FFFF"/>
          </w:tcPr>
          <w:p>
            <w:pPr>
              <w:spacing w:after="0"/>
              <w:rPr>
                <w:sz w:val="20"/>
                <w:szCs w:val="20"/>
                <w:color w:val="auto"/>
              </w:rPr>
            </w:pP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60,714</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340" w:type="dxa"/>
            <w:vAlign w:val="bottom"/>
            <w:tcBorders>
              <w:top w:val="single" w:sz="8" w:color="F0FFFF"/>
              <w:bottom w:val="single" w:sz="8" w:color="F0FFFF"/>
            </w:tcBorders>
            <w:shd w:val="clear" w:color="auto" w:fill="F0FFFF"/>
          </w:tcPr>
          <w:p>
            <w:pPr>
              <w:spacing w:after="0"/>
              <w:rPr>
                <w:sz w:val="20"/>
                <w:szCs w:val="20"/>
                <w:color w:val="auto"/>
              </w:rPr>
            </w:pPr>
          </w:p>
        </w:tc>
        <w:tc>
          <w:tcPr>
            <w:tcW w:w="260" w:type="dxa"/>
            <w:vAlign w:val="bottom"/>
            <w:tcBorders>
              <w:top w:val="single" w:sz="8" w:color="auto"/>
              <w:bottom w:val="single" w:sz="8" w:color="auto"/>
            </w:tcBorders>
            <w:shd w:val="clear" w:color="auto" w:fill="F0FFFF"/>
          </w:tcPr>
          <w:p>
            <w:pPr>
              <w:spacing w:after="0"/>
              <w:rPr>
                <w:sz w:val="20"/>
                <w:szCs w:val="20"/>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61,734</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320" w:type="dxa"/>
            <w:vAlign w:val="bottom"/>
            <w:tcBorders>
              <w:top w:val="single" w:sz="8" w:color="F0FFFF"/>
              <w:bottom w:val="single" w:sz="8" w:color="F0FFFF"/>
            </w:tcBorders>
            <w:shd w:val="clear" w:color="auto" w:fill="F0FFFF"/>
          </w:tcPr>
          <w:p>
            <w:pPr>
              <w:spacing w:after="0"/>
              <w:rPr>
                <w:sz w:val="20"/>
                <w:szCs w:val="20"/>
                <w:color w:val="auto"/>
              </w:rPr>
            </w:pPr>
          </w:p>
        </w:tc>
        <w:tc>
          <w:tcPr>
            <w:tcW w:w="280" w:type="dxa"/>
            <w:vAlign w:val="bottom"/>
            <w:tcBorders>
              <w:top w:val="single" w:sz="8" w:color="auto"/>
              <w:bottom w:val="single" w:sz="8" w:color="auto"/>
            </w:tcBorders>
            <w:shd w:val="clear" w:color="auto" w:fill="F0FFFF"/>
          </w:tcPr>
          <w:p>
            <w:pPr>
              <w:spacing w:after="0"/>
              <w:rPr>
                <w:sz w:val="20"/>
                <w:szCs w:val="20"/>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60,388</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r>
      <w:tr>
        <w:trPr>
          <w:trHeight w:val="20"/>
        </w:trPr>
        <w:tc>
          <w:tcPr>
            <w:tcW w:w="4180" w:type="dxa"/>
            <w:vAlign w:val="bottom"/>
            <w:tcBorders>
              <w:top w:val="single" w:sz="8" w:color="F0FFFF"/>
            </w:tcBorders>
          </w:tcPr>
          <w:p>
            <w:pPr>
              <w:spacing w:after="0" w:line="20" w:lineRule="exact"/>
              <w:rPr>
                <w:sz w:val="1"/>
                <w:szCs w:val="1"/>
                <w:color w:val="auto"/>
              </w:rPr>
            </w:pPr>
          </w:p>
        </w:tc>
        <w:tc>
          <w:tcPr>
            <w:tcW w:w="76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6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4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r>
      <w:tr>
        <w:trPr>
          <w:trHeight w:val="217"/>
        </w:trPr>
        <w:tc>
          <w:tcPr>
            <w:tcW w:w="4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F0FFFF"/>
          </w:tcPr>
          <w:p>
            <w:pPr>
              <w:ind w:left="60"/>
              <w:spacing w:after="0"/>
              <w:rPr>
                <w:sz w:val="20"/>
                <w:szCs w:val="20"/>
                <w:color w:val="auto"/>
              </w:rPr>
            </w:pPr>
            <w:r>
              <w:rPr>
                <w:rFonts w:ascii="Arial" w:cs="Arial" w:eastAsia="Arial" w:hAnsi="Arial"/>
                <w:sz w:val="18"/>
                <w:szCs w:val="18"/>
                <w:b w:val="1"/>
                <w:bCs w:val="1"/>
                <w:color w:val="auto"/>
              </w:rPr>
              <w:t>Net income per common share:</w:t>
            </w:r>
          </w:p>
        </w:tc>
        <w:tc>
          <w:tcPr>
            <w:tcW w:w="7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4180" w:type="dxa"/>
            <w:vAlign w:val="bottom"/>
          </w:tcPr>
          <w:p>
            <w:pPr>
              <w:ind w:left="240"/>
              <w:spacing w:after="0"/>
              <w:rPr>
                <w:sz w:val="20"/>
                <w:szCs w:val="20"/>
                <w:color w:val="auto"/>
              </w:rPr>
            </w:pPr>
            <w:r>
              <w:rPr>
                <w:rFonts w:ascii="Arial" w:cs="Arial" w:eastAsia="Arial" w:hAnsi="Arial"/>
                <w:sz w:val="18"/>
                <w:szCs w:val="18"/>
                <w:color w:val="auto"/>
              </w:rPr>
              <w:t>Basic</w:t>
            </w:r>
          </w:p>
        </w:tc>
        <w:tc>
          <w:tcPr>
            <w:tcW w:w="10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6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6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r>
      <w:tr>
        <w:trPr>
          <w:trHeight w:val="20"/>
        </w:trPr>
        <w:tc>
          <w:tcPr>
            <w:tcW w:w="4180" w:type="dxa"/>
            <w:vAlign w:val="bottom"/>
            <w:tcBorders>
              <w:bottom w:val="single" w:sz="8" w:color="F0FFFF"/>
            </w:tcBorders>
          </w:tcPr>
          <w:p>
            <w:pPr>
              <w:spacing w:after="0" w:line="20" w:lineRule="exact"/>
              <w:rPr>
                <w:sz w:val="1"/>
                <w:szCs w:val="1"/>
                <w:color w:val="auto"/>
              </w:rPr>
            </w:pPr>
          </w:p>
        </w:tc>
        <w:tc>
          <w:tcPr>
            <w:tcW w:w="760" w:type="dxa"/>
            <w:vAlign w:val="bottom"/>
            <w:tcBorders>
              <w:bottom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360" w:type="dxa"/>
            <w:vAlign w:val="bottom"/>
            <w:tcBorders>
              <w:bottom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340" w:type="dxa"/>
            <w:vAlign w:val="bottom"/>
            <w:tcBorders>
              <w:bottom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320" w:type="dxa"/>
            <w:vAlign w:val="bottom"/>
            <w:tcBorders>
              <w:bottom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r>
      <w:tr>
        <w:trPr>
          <w:trHeight w:val="235"/>
        </w:trPr>
        <w:tc>
          <w:tcPr>
            <w:tcW w:w="4180" w:type="dxa"/>
            <w:vAlign w:val="bottom"/>
            <w:tcBorders>
              <w:bottom w:val="single" w:sz="8" w:color="F0FFFF"/>
            </w:tcBorders>
            <w:shd w:val="clear" w:color="auto" w:fill="F0FFFF"/>
          </w:tcPr>
          <w:p>
            <w:pPr>
              <w:ind w:left="240"/>
              <w:spacing w:after="0"/>
              <w:rPr>
                <w:sz w:val="20"/>
                <w:szCs w:val="20"/>
                <w:color w:val="auto"/>
              </w:rPr>
            </w:pPr>
            <w:r>
              <w:rPr>
                <w:rFonts w:ascii="Arial" w:cs="Arial" w:eastAsia="Arial" w:hAnsi="Arial"/>
                <w:sz w:val="18"/>
                <w:szCs w:val="18"/>
                <w:color w:val="auto"/>
              </w:rPr>
              <w:t>Diluted</w:t>
            </w:r>
          </w:p>
        </w:tc>
        <w:tc>
          <w:tcPr>
            <w:tcW w:w="76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F0FFFF"/>
            </w:tcBorders>
            <w:shd w:val="clear" w:color="auto" w:fill="F0FFFF"/>
          </w:tcPr>
          <w:p>
            <w:pPr>
              <w:spacing w:after="0"/>
              <w:rPr>
                <w:sz w:val="20"/>
                <w:szCs w:val="20"/>
                <w:color w:val="auto"/>
              </w:rPr>
            </w:pPr>
          </w:p>
        </w:tc>
        <w:tc>
          <w:tcPr>
            <w:tcW w:w="36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F0FFFF"/>
            </w:tcBorders>
            <w:shd w:val="clear" w:color="auto" w:fill="F0FFFF"/>
          </w:tcPr>
          <w:p>
            <w:pPr>
              <w:spacing w:after="0"/>
              <w:rPr>
                <w:sz w:val="20"/>
                <w:szCs w:val="20"/>
                <w:color w:val="auto"/>
              </w:rPr>
            </w:pPr>
          </w:p>
        </w:tc>
        <w:tc>
          <w:tcPr>
            <w:tcW w:w="34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F0FFFF"/>
            </w:tcBorders>
            <w:shd w:val="clear" w:color="auto" w:fill="F0FFFF"/>
          </w:tcPr>
          <w:p>
            <w:pPr>
              <w:spacing w:after="0"/>
              <w:rPr>
                <w:sz w:val="20"/>
                <w:szCs w:val="20"/>
                <w:color w:val="auto"/>
              </w:rPr>
            </w:pPr>
          </w:p>
        </w:tc>
        <w:tc>
          <w:tcPr>
            <w:tcW w:w="3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auto"/>
            </w:tcBorders>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F0FFFF"/>
            </w:tcBorders>
            <w:shd w:val="clear" w:color="auto" w:fill="F0FFFF"/>
          </w:tcPr>
          <w:p>
            <w:pPr>
              <w:spacing w:after="0"/>
              <w:rPr>
                <w:sz w:val="20"/>
                <w:szCs w:val="20"/>
                <w:color w:val="auto"/>
              </w:rPr>
            </w:pPr>
          </w:p>
        </w:tc>
      </w:tr>
      <w:tr>
        <w:trPr>
          <w:trHeight w:val="20"/>
        </w:trPr>
        <w:tc>
          <w:tcPr>
            <w:tcW w:w="4180" w:type="dxa"/>
            <w:vAlign w:val="bottom"/>
            <w:tcBorders>
              <w:top w:val="single" w:sz="8" w:color="F0FFFF"/>
            </w:tcBorders>
          </w:tcPr>
          <w:p>
            <w:pPr>
              <w:spacing w:after="0" w:line="20" w:lineRule="exact"/>
              <w:rPr>
                <w:sz w:val="1"/>
                <w:szCs w:val="1"/>
                <w:color w:val="auto"/>
              </w:rPr>
            </w:pPr>
          </w:p>
        </w:tc>
        <w:tc>
          <w:tcPr>
            <w:tcW w:w="76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6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4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June 30, 2015, United had the following potentially dilutive stock options and warrants outstanding: a warrant to purchase 219,909 shares of common stock at $61.40 per share; 256,102 shares of common stock issuable upon exercise of stock options granted to employees with a weighted average exercise price of $90.25; and 765,061 shares of common stock issuable upon completion of vesting of restricted stock unit awards.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June 30, 2014, United had the following potentially dilutive stock options and warrants outstanding: a warrant to purchase 219,909 common shares at $61.40 per share originally issued to the U.S. Treasury; 316,343 common shares issuable upon exercise of stock options granted to employees with a weighted average exercise price of $96.22; 973,467 shares issuable upon completion of vesting of restricted stock awards; and warrants to purchase common stock equivalent junior preferred stock that would be convertible into 1,411,765 common shares exercisable at $21.25 per share granted to Fletcher International Ltd. (“Fletcher”) in connection with a 2010 asset purchase and sale agreement. United repurchased the warrant from Fletcher in the fourth quarter of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Derivatives and Hedging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Management Objective of Using Derivatives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primarily by managing the amount, sources, and duration of its investment securities portfolio and wholesale funding and through the use of derivative financial instruments. Specifically, United enters into derivative financial instruments to manage exposures that arise from business activities that result in the receipt or payment of future known and uncertain cash amounts, the value of which are determined by interest rates. United’s derivative financial instruments are used to manage differences in the amount, timing, and duration of United’s known or expected cash receipts and its known or expected cash payments principally related to United’s loans, investment securities, wholesale borrowings and deposits.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conjunction with the FASB’s fair value measurement guidance, United made an accounting policy election to measure the credit risk of its derivative financial instruments that are subject to master netting agreements on a gross basis.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jc w:val="center"/>
        <w:ind w:right="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fair value of United’s derivative financial instruments as well as their classification on the consolidated balance sheet as of June 30, 2015, December 31, 2014 and June 30, 2014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Derivatives designated as hedging instruments under ASC 815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20" w:type="dxa"/>
            <w:vAlign w:val="bottom"/>
            <w:gridSpan w:val="2"/>
          </w:tcPr>
          <w:p>
            <w:pPr>
              <w:ind w:left="400"/>
              <w:spacing w:after="0" w:line="198" w:lineRule="exact"/>
              <w:rPr>
                <w:sz w:val="20"/>
                <w:szCs w:val="20"/>
                <w:color w:val="auto"/>
              </w:rPr>
            </w:pPr>
            <w:r>
              <w:rPr>
                <w:rFonts w:ascii="Arial" w:cs="Arial" w:eastAsia="Arial" w:hAnsi="Arial"/>
                <w:sz w:val="18"/>
                <w:szCs w:val="18"/>
                <w:b w:val="1"/>
                <w:bCs w:val="1"/>
                <w:color w:val="auto"/>
              </w:rPr>
              <w:t>Balance Sheet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3"/>
          </w:tcPr>
          <w:p>
            <w:pPr>
              <w:ind w:left="220"/>
              <w:spacing w:after="0" w:line="198" w:lineRule="exact"/>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90"/>
              </w:rPr>
              <w:t>December 31,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3"/>
          </w:tcPr>
          <w:p>
            <w:pPr>
              <w:jc w:val="center"/>
              <w:ind w:right="300"/>
              <w:spacing w:after="0" w:line="198" w:lineRule="exact"/>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41"/>
        </w:trPr>
        <w:tc>
          <w:tcPr>
            <w:tcW w:w="4200" w:type="dxa"/>
            <w:vAlign w:val="bottom"/>
            <w:gridSpan w:val="3"/>
          </w:tcPr>
          <w:p>
            <w:pPr>
              <w:ind w:left="1140"/>
              <w:spacing w:after="0"/>
              <w:rPr>
                <w:sz w:val="20"/>
                <w:szCs w:val="20"/>
                <w:color w:val="auto"/>
              </w:rPr>
            </w:pPr>
            <w:r>
              <w:rPr>
                <w:rFonts w:ascii="Arial" w:cs="Arial" w:eastAsia="Arial" w:hAnsi="Arial"/>
                <w:sz w:val="18"/>
                <w:szCs w:val="18"/>
                <w:b w:val="1"/>
                <w:bCs w:val="1"/>
                <w:color w:val="auto"/>
              </w:rPr>
              <w:t>Interest Rate Products</w:t>
            </w:r>
          </w:p>
        </w:tc>
        <w:tc>
          <w:tcPr>
            <w:tcW w:w="40" w:type="dxa"/>
            <w:vAlign w:val="bottom"/>
          </w:tcPr>
          <w:p>
            <w:pPr>
              <w:spacing w:after="0"/>
              <w:rPr>
                <w:sz w:val="20"/>
                <w:szCs w:val="20"/>
                <w:color w:val="auto"/>
              </w:rPr>
            </w:pPr>
          </w:p>
        </w:tc>
        <w:tc>
          <w:tcPr>
            <w:tcW w:w="1920" w:type="dxa"/>
            <w:vAlign w:val="bottom"/>
            <w:gridSpan w:val="2"/>
          </w:tcPr>
          <w:p>
            <w:pPr>
              <w:ind w:left="600"/>
              <w:spacing w:after="0"/>
              <w:rPr>
                <w:sz w:val="20"/>
                <w:szCs w:val="20"/>
                <w:color w:val="auto"/>
              </w:rPr>
            </w:pPr>
            <w:r>
              <w:rPr>
                <w:rFonts w:ascii="Arial" w:cs="Arial" w:eastAsia="Arial" w:hAnsi="Arial"/>
                <w:sz w:val="18"/>
                <w:szCs w:val="18"/>
                <w:b w:val="1"/>
                <w:bCs w:val="1"/>
                <w:color w:val="auto"/>
              </w:rPr>
              <w:t>Location</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tcBorders>
              <w:top w:val="single" w:sz="8" w:color="auto"/>
            </w:tcBorders>
            <w:shd w:val="clear" w:color="auto" w:fill="F0FFFF"/>
          </w:tcPr>
          <w:p>
            <w:pPr>
              <w:ind w:left="20"/>
              <w:spacing w:after="0"/>
              <w:rPr>
                <w:sz w:val="20"/>
                <w:szCs w:val="20"/>
                <w:color w:val="auto"/>
              </w:rPr>
            </w:pPr>
            <w:r>
              <w:rPr>
                <w:rFonts w:ascii="Arial" w:cs="Arial" w:eastAsia="Arial" w:hAnsi="Arial"/>
                <w:sz w:val="18"/>
                <w:szCs w:val="18"/>
                <w:color w:val="auto"/>
              </w:rPr>
              <w:t>Cash flow hedge of money market deposits</w:t>
            </w:r>
          </w:p>
        </w:tc>
        <w:tc>
          <w:tcPr>
            <w:tcW w:w="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1960" w:type="dxa"/>
            <w:vAlign w:val="bottom"/>
            <w:tcBorders>
              <w:top w:val="single" w:sz="8" w:color="auto"/>
            </w:tcBorders>
            <w:gridSpan w:val="3"/>
            <w:shd w:val="clear" w:color="auto" w:fill="F0FFFF"/>
          </w:tcPr>
          <w:p>
            <w:pPr>
              <w:ind w:left="20"/>
              <w:spacing w:after="0"/>
              <w:rPr>
                <w:sz w:val="20"/>
                <w:szCs w:val="20"/>
                <w:color w:val="auto"/>
              </w:rPr>
            </w:pPr>
            <w:r>
              <w:rPr>
                <w:rFonts w:ascii="Arial" w:cs="Arial" w:eastAsia="Arial" w:hAnsi="Arial"/>
                <w:sz w:val="18"/>
                <w:szCs w:val="18"/>
                <w:color w:val="auto"/>
              </w:rPr>
              <w:t>Derivative assets</w:t>
            </w:r>
          </w:p>
        </w:tc>
        <w:tc>
          <w:tcPr>
            <w:tcW w:w="2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gridSpan w:val="3"/>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jc w:val="right"/>
              <w:ind w:right="15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1,109</w:t>
            </w:r>
          </w:p>
        </w:tc>
        <w:tc>
          <w:tcPr>
            <w:tcW w:w="80" w:type="dxa"/>
            <w:vAlign w:val="bottom"/>
            <w:tcBorders>
              <w:top w:val="single" w:sz="8" w:color="auto"/>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gridSpan w:val="3"/>
          </w:tcPr>
          <w:p>
            <w:pPr>
              <w:ind w:left="20"/>
              <w:spacing w:after="0"/>
              <w:rPr>
                <w:sz w:val="20"/>
                <w:szCs w:val="20"/>
                <w:color w:val="auto"/>
              </w:rPr>
            </w:pPr>
            <w:r>
              <w:rPr>
                <w:rFonts w:ascii="Arial" w:cs="Arial" w:eastAsia="Arial" w:hAnsi="Arial"/>
                <w:sz w:val="18"/>
                <w:szCs w:val="18"/>
                <w:color w:val="auto"/>
              </w:rPr>
              <w:t>Fair value hedge of corporate bonds</w:t>
            </w:r>
          </w:p>
        </w:tc>
        <w:tc>
          <w:tcPr>
            <w:tcW w:w="1960" w:type="dxa"/>
            <w:vAlign w:val="bottom"/>
            <w:gridSpan w:val="3"/>
          </w:tcPr>
          <w:p>
            <w:pPr>
              <w:ind w:left="20"/>
              <w:spacing w:after="0"/>
              <w:rPr>
                <w:sz w:val="20"/>
                <w:szCs w:val="20"/>
                <w:color w:val="auto"/>
              </w:rPr>
            </w:pPr>
            <w:r>
              <w:rPr>
                <w:rFonts w:ascii="Arial" w:cs="Arial" w:eastAsia="Arial" w:hAnsi="Arial"/>
                <w:sz w:val="18"/>
                <w:szCs w:val="18"/>
                <w:color w:val="auto"/>
              </w:rPr>
              <w:t>Derivative assets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970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00" w:type="dxa"/>
            <w:vAlign w:val="bottom"/>
            <w:tcBorders>
              <w:top w:val="single" w:sz="8" w:color="F0FFFF"/>
              <w:bottom w:val="single" w:sz="8" w:color="F0FFFF"/>
            </w:tcBorders>
            <w:shd w:val="clear" w:color="auto" w:fill="F0FFFF"/>
          </w:tcPr>
          <w:p>
            <w:pPr>
              <w:spacing w:after="0"/>
              <w:rPr>
                <w:sz w:val="20"/>
                <w:szCs w:val="20"/>
                <w:color w:val="auto"/>
              </w:rPr>
            </w:pP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180" w:type="dxa"/>
            <w:vAlign w:val="bottom"/>
            <w:tcBorders>
              <w:top w:val="single" w:sz="8" w:color="F0FFFF"/>
              <w:bottom w:val="single" w:sz="8" w:color="F0FFFF"/>
            </w:tcBorders>
            <w:shd w:val="clear" w:color="auto" w:fill="F0FFFF"/>
          </w:tcPr>
          <w:p>
            <w:pPr>
              <w:spacing w:after="0"/>
              <w:rPr>
                <w:sz w:val="20"/>
                <w:szCs w:val="20"/>
                <w:color w:val="auto"/>
              </w:rPr>
            </w:pPr>
          </w:p>
        </w:tc>
        <w:tc>
          <w:tcPr>
            <w:tcW w:w="40" w:type="dxa"/>
            <w:vAlign w:val="bottom"/>
            <w:tcBorders>
              <w:top w:val="single" w:sz="8" w:color="F0FFFF"/>
              <w:bottom w:val="single" w:sz="8" w:color="F0FFFF"/>
            </w:tcBorders>
            <w:shd w:val="clear" w:color="auto" w:fill="F0FFFF"/>
          </w:tcPr>
          <w:p>
            <w:pPr>
              <w:spacing w:after="0"/>
              <w:rPr>
                <w:sz w:val="20"/>
                <w:szCs w:val="20"/>
                <w:color w:val="auto"/>
              </w:rPr>
            </w:pPr>
          </w:p>
        </w:tc>
        <w:tc>
          <w:tcPr>
            <w:tcW w:w="1720" w:type="dxa"/>
            <w:vAlign w:val="bottom"/>
            <w:tcBorders>
              <w:top w:val="single" w:sz="8" w:color="F0FFFF"/>
              <w:bottom w:val="single" w:sz="8" w:color="F0FFFF"/>
            </w:tcBorders>
            <w:shd w:val="clear" w:color="auto" w:fill="F0FFFF"/>
          </w:tcPr>
          <w:p>
            <w:pPr>
              <w:spacing w:after="0"/>
              <w:rPr>
                <w:sz w:val="20"/>
                <w:szCs w:val="20"/>
                <w:color w:val="auto"/>
              </w:rPr>
            </w:pPr>
          </w:p>
        </w:tc>
        <w:tc>
          <w:tcPr>
            <w:tcW w:w="200" w:type="dxa"/>
            <w:vAlign w:val="bottom"/>
            <w:tcBorders>
              <w:top w:val="single" w:sz="8" w:color="F0FFFF"/>
              <w:bottom w:val="single" w:sz="8" w:color="F0FFFF"/>
            </w:tcBorders>
            <w:shd w:val="clear" w:color="auto" w:fill="F0FFFF"/>
          </w:tcPr>
          <w:p>
            <w:pPr>
              <w:spacing w:after="0"/>
              <w:rPr>
                <w:sz w:val="20"/>
                <w:szCs w:val="20"/>
                <w:color w:val="auto"/>
              </w:rPr>
            </w:pP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260" w:type="dxa"/>
            <w:vAlign w:val="bottom"/>
            <w:tcBorders>
              <w:top w:val="single" w:sz="8" w:color="auto"/>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F0FF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16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260" w:type="dxa"/>
            <w:vAlign w:val="bottom"/>
            <w:tcBorders>
              <w:top w:val="single" w:sz="8" w:color="auto"/>
              <w:bottom w:val="single" w:sz="8" w:color="auto"/>
            </w:tcBorders>
            <w:shd w:val="clear" w:color="auto" w:fill="F0FFFF"/>
          </w:tcPr>
          <w:p>
            <w:pPr>
              <w:jc w:val="right"/>
              <w:ind w:right="15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1,109</w:t>
            </w: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F0FFFF"/>
              <w:bottom w:val="single" w:sz="8" w:color="F0FFFF"/>
            </w:tcBorders>
            <w:gridSpan w:val="3"/>
            <w:vMerge w:val="restart"/>
          </w:tcPr>
          <w:p>
            <w:pPr>
              <w:ind w:left="20"/>
              <w:spacing w:after="0"/>
              <w:rPr>
                <w:sz w:val="20"/>
                <w:szCs w:val="20"/>
                <w:color w:val="auto"/>
              </w:rPr>
            </w:pPr>
            <w:r>
              <w:rPr>
                <w:rFonts w:ascii="Arial" w:cs="Arial" w:eastAsia="Arial" w:hAnsi="Arial"/>
                <w:sz w:val="18"/>
                <w:szCs w:val="18"/>
                <w:color w:val="auto"/>
              </w:rPr>
              <w:t>Cash flow hedge of money market deposits</w:t>
            </w:r>
          </w:p>
        </w:tc>
        <w:tc>
          <w:tcPr>
            <w:tcW w:w="1960" w:type="dxa"/>
            <w:vAlign w:val="bottom"/>
            <w:tcBorders>
              <w:top w:val="single" w:sz="8" w:color="F0FFFF"/>
              <w:bottom w:val="single" w:sz="8" w:color="F0FFFF"/>
            </w:tcBorders>
            <w:gridSpan w:val="3"/>
            <w:vMerge w:val="restart"/>
          </w:tcPr>
          <w:p>
            <w:pPr>
              <w:ind w:left="20"/>
              <w:spacing w:after="0"/>
              <w:rPr>
                <w:sz w:val="20"/>
                <w:szCs w:val="20"/>
                <w:color w:val="auto"/>
              </w:rPr>
            </w:pPr>
            <w:r>
              <w:rPr>
                <w:rFonts w:ascii="Arial" w:cs="Arial" w:eastAsia="Arial" w:hAnsi="Arial"/>
                <w:sz w:val="18"/>
                <w:szCs w:val="18"/>
                <w:color w:val="auto"/>
              </w:rPr>
              <w:t>Derivative liabilities</w:t>
            </w:r>
          </w:p>
        </w:tc>
        <w:tc>
          <w:tcPr>
            <w:tcW w:w="20" w:type="dxa"/>
            <w:vAlign w:val="bottom"/>
            <w:tcBorders>
              <w:top w:val="single" w:sz="8" w:color="F0FFFF"/>
              <w:bottom w:val="single" w:sz="8" w:color="F0FFFF"/>
            </w:tcBorders>
            <w:vMerge w:val="restart"/>
          </w:tcPr>
          <w:p>
            <w:pPr>
              <w:spacing w:after="0" w:line="20" w:lineRule="exact"/>
              <w:rPr>
                <w:sz w:val="1"/>
                <w:szCs w:val="1"/>
                <w:color w:val="auto"/>
              </w:rPr>
            </w:pPr>
          </w:p>
        </w:tc>
        <w:tc>
          <w:tcPr>
            <w:tcW w:w="60" w:type="dxa"/>
            <w:vAlign w:val="bottom"/>
            <w:tcBorders>
              <w:top w:val="single" w:sz="8" w:color="F0FFFF"/>
              <w:bottom w:val="single" w:sz="8" w:color="F0FFFF"/>
            </w:tcBorders>
            <w:vMerge w:val="restart"/>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180" w:type="dxa"/>
            <w:vAlign w:val="bottom"/>
            <w:tcBorders>
              <w:top w:val="single" w:sz="8" w:color="F0FFFF"/>
              <w:bottom w:val="single" w:sz="8" w:color="auto"/>
            </w:tcBorders>
          </w:tcPr>
          <w:p>
            <w:pPr>
              <w:spacing w:after="0" w:line="20" w:lineRule="exact"/>
              <w:rPr>
                <w:sz w:val="1"/>
                <w:szCs w:val="1"/>
                <w:color w:val="auto"/>
              </w:rPr>
            </w:pPr>
          </w:p>
        </w:tc>
        <w:tc>
          <w:tcPr>
            <w:tcW w:w="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bottom w:val="single" w:sz="8" w:color="F0FFFF"/>
            </w:tcBorders>
            <w:vMerge w:val="restart"/>
          </w:tcPr>
          <w:p>
            <w:pPr>
              <w:spacing w:after="0" w:line="20" w:lineRule="exact"/>
              <w:rPr>
                <w:sz w:val="1"/>
                <w:szCs w:val="1"/>
                <w:color w:val="auto"/>
              </w:rPr>
            </w:pPr>
          </w:p>
        </w:tc>
        <w:tc>
          <w:tcPr>
            <w:tcW w:w="220" w:type="dxa"/>
            <w:vAlign w:val="bottom"/>
            <w:tcBorders>
              <w:top w:val="single" w:sz="8" w:color="F0FFFF"/>
              <w:bottom w:val="single" w:sz="8" w:color="F0FFFF"/>
            </w:tcBorders>
            <w:vMerge w:val="restart"/>
          </w:tcPr>
          <w:p>
            <w:pPr>
              <w:spacing w:after="0" w:line="20" w:lineRule="exact"/>
              <w:rPr>
                <w:sz w:val="1"/>
                <w:szCs w:val="1"/>
                <w:color w:val="auto"/>
              </w:rPr>
            </w:pPr>
          </w:p>
        </w:tc>
        <w:tc>
          <w:tcPr>
            <w:tcW w:w="20" w:type="dxa"/>
            <w:vAlign w:val="bottom"/>
            <w:tcBorders>
              <w:top w:val="single" w:sz="8" w:color="F0FFFF"/>
              <w:bottom w:val="single" w:sz="8" w:color="F0FFFF"/>
            </w:tcBorders>
            <w:vMerge w:val="restart"/>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13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bottom w:val="single" w:sz="8" w:color="F0FFFF"/>
            </w:tcBorders>
            <w:vMerge w:val="restart"/>
          </w:tcPr>
          <w:p>
            <w:pPr>
              <w:spacing w:after="0" w:line="20" w:lineRule="exact"/>
              <w:rPr>
                <w:sz w:val="1"/>
                <w:szCs w:val="1"/>
                <w:color w:val="auto"/>
              </w:rPr>
            </w:pPr>
          </w:p>
        </w:tc>
        <w:tc>
          <w:tcPr>
            <w:tcW w:w="220" w:type="dxa"/>
            <w:vAlign w:val="bottom"/>
            <w:tcBorders>
              <w:top w:val="single" w:sz="8" w:color="F0FFFF"/>
              <w:bottom w:val="single" w:sz="8" w:color="F0FFFF"/>
            </w:tcBorders>
            <w:vMerge w:val="restart"/>
          </w:tcPr>
          <w:p>
            <w:pPr>
              <w:spacing w:after="0" w:line="20" w:lineRule="exact"/>
              <w:rPr>
                <w:sz w:val="1"/>
                <w:szCs w:val="1"/>
                <w:color w:val="auto"/>
              </w:rPr>
            </w:pPr>
          </w:p>
        </w:tc>
        <w:tc>
          <w:tcPr>
            <w:tcW w:w="20" w:type="dxa"/>
            <w:vAlign w:val="bottom"/>
            <w:tcBorders>
              <w:top w:val="single" w:sz="8" w:color="F0FFFF"/>
              <w:bottom w:val="single" w:sz="8" w:color="F0FFFF"/>
            </w:tcBorders>
            <w:vMerge w:val="restart"/>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20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bottom w:val="single" w:sz="8" w:color="F0FFFF"/>
            </w:tcBorders>
            <w:vMerge w:val="restart"/>
          </w:tcPr>
          <w:p>
            <w:pPr>
              <w:spacing w:after="0" w:line="20" w:lineRule="exact"/>
              <w:rPr>
                <w:sz w:val="1"/>
                <w:szCs w:val="1"/>
                <w:color w:val="auto"/>
              </w:rPr>
            </w:pPr>
          </w:p>
        </w:tc>
        <w:tc>
          <w:tcPr>
            <w:tcW w:w="80" w:type="dxa"/>
            <w:vAlign w:val="bottom"/>
            <w:tcBorders>
              <w:top w:val="single" w:sz="8" w:color="F0FFFF"/>
              <w:bottom w:val="single" w:sz="8" w:color="F0FF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00" w:type="dxa"/>
            <w:vAlign w:val="bottom"/>
            <w:gridSpan w:val="3"/>
            <w:vMerge w:val="continue"/>
          </w:tcPr>
          <w:p>
            <w:pPr>
              <w:spacing w:after="0"/>
              <w:rPr>
                <w:sz w:val="16"/>
                <w:szCs w:val="16"/>
                <w:color w:val="auto"/>
              </w:rPr>
            </w:pPr>
          </w:p>
        </w:tc>
        <w:tc>
          <w:tcPr>
            <w:tcW w:w="1960" w:type="dxa"/>
            <w:vAlign w:val="bottom"/>
            <w:gridSpan w:val="3"/>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260" w:type="dxa"/>
            <w:vAlign w:val="bottom"/>
          </w:tcPr>
          <w:p>
            <w:pPr>
              <w:jc w:val="right"/>
              <w:ind w:right="70"/>
              <w:spacing w:after="0" w:line="190"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spacing w:after="0" w:line="190"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60" w:type="dxa"/>
            <w:vAlign w:val="bottom"/>
          </w:tcPr>
          <w:p>
            <w:pPr>
              <w:spacing w:after="0" w:line="190"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90" w:lineRule="exact"/>
              <w:rPr>
                <w:sz w:val="20"/>
                <w:szCs w:val="20"/>
                <w:color w:val="auto"/>
              </w:rPr>
            </w:pPr>
            <w:r>
              <w:rPr>
                <w:rFonts w:ascii="Arial" w:cs="Arial" w:eastAsia="Arial" w:hAnsi="Arial"/>
                <w:sz w:val="18"/>
                <w:szCs w:val="18"/>
                <w:color w:val="auto"/>
              </w:rPr>
              <w:t>350</w:t>
            </w:r>
          </w:p>
        </w:tc>
        <w:tc>
          <w:tcPr>
            <w:tcW w:w="10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line="190" w:lineRule="exact"/>
              <w:rPr>
                <w:sz w:val="20"/>
                <w:szCs w:val="20"/>
                <w:color w:val="auto"/>
              </w:rPr>
            </w:pPr>
            <w:r>
              <w:rPr>
                <w:rFonts w:ascii="Arial" w:cs="Arial" w:eastAsia="Arial" w:hAnsi="Arial"/>
                <w:sz w:val="18"/>
                <w:szCs w:val="18"/>
                <w:color w:val="auto"/>
              </w:rPr>
              <w:t>523</w:t>
            </w:r>
          </w:p>
        </w:tc>
        <w:tc>
          <w:tcPr>
            <w:tcW w:w="2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200" w:type="dxa"/>
            <w:vAlign w:val="bottom"/>
            <w:gridSpan w:val="3"/>
            <w:shd w:val="clear" w:color="auto" w:fill="F0FFFF"/>
          </w:tcPr>
          <w:p>
            <w:pPr>
              <w:ind w:left="20"/>
              <w:spacing w:after="0"/>
              <w:rPr>
                <w:sz w:val="20"/>
                <w:szCs w:val="20"/>
                <w:color w:val="auto"/>
              </w:rPr>
            </w:pPr>
            <w:r>
              <w:rPr>
                <w:rFonts w:ascii="Arial" w:cs="Arial" w:eastAsia="Arial" w:hAnsi="Arial"/>
                <w:sz w:val="18"/>
                <w:szCs w:val="18"/>
                <w:color w:val="auto"/>
              </w:rPr>
              <w:t>Fair value hedge of brokered CD’s</w:t>
            </w:r>
          </w:p>
        </w:tc>
        <w:tc>
          <w:tcPr>
            <w:tcW w:w="1960" w:type="dxa"/>
            <w:vAlign w:val="bottom"/>
            <w:gridSpan w:val="3"/>
            <w:shd w:val="clear" w:color="auto" w:fill="F0FFFF"/>
          </w:tcPr>
          <w:p>
            <w:pPr>
              <w:ind w:left="20"/>
              <w:spacing w:after="0"/>
              <w:rPr>
                <w:sz w:val="20"/>
                <w:szCs w:val="20"/>
                <w:color w:val="auto"/>
              </w:rPr>
            </w:pPr>
            <w:r>
              <w:rPr>
                <w:rFonts w:ascii="Arial" w:cs="Arial" w:eastAsia="Arial" w:hAnsi="Arial"/>
                <w:sz w:val="18"/>
                <w:szCs w:val="18"/>
                <w:color w:val="auto"/>
              </w:rPr>
              <w:t>Derivative liabilities</w:t>
            </w:r>
          </w:p>
        </w:tc>
        <w:tc>
          <w:tcPr>
            <w:tcW w:w="20" w:type="dxa"/>
            <w:vAlign w:val="bottom"/>
            <w:shd w:val="clear" w:color="auto" w:fill="F0FFFF"/>
          </w:tcPr>
          <w:p>
            <w:pPr>
              <w:spacing w:after="0"/>
              <w:rPr>
                <w:sz w:val="20"/>
                <w:szCs w:val="20"/>
                <w:color w:val="auto"/>
              </w:rPr>
            </w:pPr>
          </w:p>
        </w:tc>
        <w:tc>
          <w:tcPr>
            <w:tcW w:w="6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1320" w:type="dxa"/>
            <w:vAlign w:val="bottom"/>
            <w:gridSpan w:val="3"/>
            <w:shd w:val="clear" w:color="auto" w:fill="F0FFFF"/>
          </w:tcPr>
          <w:p>
            <w:pPr>
              <w:jc w:val="right"/>
              <w:ind w:right="100"/>
              <w:spacing w:after="0"/>
              <w:rPr>
                <w:sz w:val="20"/>
                <w:szCs w:val="20"/>
                <w:color w:val="auto"/>
              </w:rPr>
            </w:pPr>
            <w:r>
              <w:rPr>
                <w:rFonts w:ascii="Arial" w:cs="Arial" w:eastAsia="Arial" w:hAnsi="Arial"/>
                <w:sz w:val="18"/>
                <w:szCs w:val="18"/>
                <w:color w:val="auto"/>
              </w:rPr>
              <w:t>4,855</w:t>
            </w:r>
          </w:p>
        </w:tc>
        <w:tc>
          <w:tcPr>
            <w:tcW w:w="220" w:type="dxa"/>
            <w:vAlign w:val="bottom"/>
            <w:shd w:val="clear" w:color="auto" w:fill="F0FFFF"/>
          </w:tcPr>
          <w:p>
            <w:pPr>
              <w:spacing w:after="0"/>
              <w:rPr>
                <w:sz w:val="20"/>
                <w:szCs w:val="20"/>
                <w:color w:val="auto"/>
              </w:rPr>
            </w:pPr>
          </w:p>
        </w:tc>
        <w:tc>
          <w:tcPr>
            <w:tcW w:w="2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4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5,817</w:t>
            </w:r>
          </w:p>
        </w:tc>
        <w:tc>
          <w:tcPr>
            <w:tcW w:w="220" w:type="dxa"/>
            <w:vAlign w:val="bottom"/>
            <w:shd w:val="clear" w:color="auto" w:fill="F0FFFF"/>
          </w:tcPr>
          <w:p>
            <w:pPr>
              <w:spacing w:after="0"/>
              <w:rPr>
                <w:sz w:val="20"/>
                <w:szCs w:val="20"/>
                <w:color w:val="auto"/>
              </w:rPr>
            </w:pPr>
          </w:p>
        </w:tc>
        <w:tc>
          <w:tcPr>
            <w:tcW w:w="2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1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9,857</w:t>
            </w:r>
          </w:p>
        </w:tc>
        <w:tc>
          <w:tcPr>
            <w:tcW w:w="8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0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180" w:type="dxa"/>
            <w:vAlign w:val="bottom"/>
            <w:tcBorders>
              <w:top w:val="single" w:sz="8" w:color="F0FFFF"/>
            </w:tcBorders>
          </w:tcPr>
          <w:p>
            <w:pPr>
              <w:spacing w:after="0"/>
              <w:rPr>
                <w:sz w:val="17"/>
                <w:szCs w:val="17"/>
                <w:color w:val="auto"/>
              </w:rPr>
            </w:pPr>
          </w:p>
        </w:tc>
        <w:tc>
          <w:tcPr>
            <w:tcW w:w="40" w:type="dxa"/>
            <w:vAlign w:val="bottom"/>
            <w:tcBorders>
              <w:top w:val="single" w:sz="8" w:color="F0FFFF"/>
            </w:tcBorders>
          </w:tcPr>
          <w:p>
            <w:pPr>
              <w:spacing w:after="0"/>
              <w:rPr>
                <w:sz w:val="17"/>
                <w:szCs w:val="17"/>
                <w:color w:val="auto"/>
              </w:rPr>
            </w:pPr>
          </w:p>
        </w:tc>
        <w:tc>
          <w:tcPr>
            <w:tcW w:w="1720" w:type="dxa"/>
            <w:vAlign w:val="bottom"/>
            <w:tcBorders>
              <w:top w:val="single" w:sz="8" w:color="F0FFFF"/>
            </w:tcBorders>
          </w:tcPr>
          <w:p>
            <w:pPr>
              <w:spacing w:after="0"/>
              <w:rPr>
                <w:sz w:val="17"/>
                <w:szCs w:val="17"/>
                <w:color w:val="auto"/>
              </w:rPr>
            </w:pPr>
          </w:p>
        </w:tc>
        <w:tc>
          <w:tcPr>
            <w:tcW w:w="20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60" w:type="dxa"/>
            <w:vAlign w:val="bottom"/>
            <w:tcBorders>
              <w:top w:val="single" w:sz="8" w:color="F0FF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4,855</w:t>
            </w:r>
          </w:p>
        </w:tc>
        <w:tc>
          <w:tcPr>
            <w:tcW w:w="100" w:type="dxa"/>
            <w:vAlign w:val="bottom"/>
            <w:tcBorders>
              <w:top w:val="single" w:sz="8" w:color="F0FFFF"/>
            </w:tcBorders>
          </w:tcPr>
          <w:p>
            <w:pPr>
              <w:spacing w:after="0"/>
              <w:rPr>
                <w:sz w:val="17"/>
                <w:szCs w:val="17"/>
                <w:color w:val="auto"/>
              </w:rPr>
            </w:pPr>
          </w:p>
        </w:tc>
        <w:tc>
          <w:tcPr>
            <w:tcW w:w="22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6,167</w:t>
            </w:r>
          </w:p>
        </w:tc>
        <w:tc>
          <w:tcPr>
            <w:tcW w:w="100" w:type="dxa"/>
            <w:vAlign w:val="bottom"/>
            <w:tcBorders>
              <w:top w:val="single" w:sz="8" w:color="F0FFFF"/>
            </w:tcBorders>
          </w:tcPr>
          <w:p>
            <w:pPr>
              <w:spacing w:after="0"/>
              <w:rPr>
                <w:sz w:val="17"/>
                <w:szCs w:val="17"/>
                <w:color w:val="auto"/>
              </w:rPr>
            </w:pPr>
          </w:p>
        </w:tc>
        <w:tc>
          <w:tcPr>
            <w:tcW w:w="22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10,380</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160" w:type="dxa"/>
            <w:vAlign w:val="bottom"/>
            <w:gridSpan w:val="6"/>
            <w:vMerge w:val="restart"/>
          </w:tcPr>
          <w:p>
            <w:pPr>
              <w:ind w:left="60"/>
              <w:spacing w:after="0"/>
              <w:rPr>
                <w:sz w:val="20"/>
                <w:szCs w:val="20"/>
                <w:color w:val="auto"/>
              </w:rPr>
            </w:pPr>
            <w:r>
              <w:rPr>
                <w:rFonts w:ascii="Arial" w:cs="Arial" w:eastAsia="Arial" w:hAnsi="Arial"/>
                <w:sz w:val="18"/>
                <w:szCs w:val="18"/>
                <w:b w:val="1"/>
                <w:bCs w:val="1"/>
                <w:i w:val="1"/>
                <w:iCs w:val="1"/>
                <w:color w:val="auto"/>
              </w:rPr>
              <w:t>Derivatives not designated as hedging instruments under ASC 815</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6160" w:type="dxa"/>
            <w:vAlign w:val="bottom"/>
            <w:gridSpan w:val="6"/>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20" w:type="dxa"/>
            <w:vAlign w:val="bottom"/>
            <w:gridSpan w:val="2"/>
          </w:tcPr>
          <w:p>
            <w:pPr>
              <w:ind w:left="320"/>
              <w:spacing w:after="0" w:line="198" w:lineRule="exact"/>
              <w:rPr>
                <w:sz w:val="20"/>
                <w:szCs w:val="20"/>
                <w:color w:val="auto"/>
              </w:rPr>
            </w:pPr>
            <w:r>
              <w:rPr>
                <w:rFonts w:ascii="Arial" w:cs="Arial" w:eastAsia="Arial" w:hAnsi="Arial"/>
                <w:sz w:val="18"/>
                <w:szCs w:val="18"/>
                <w:b w:val="1"/>
                <w:bCs w:val="1"/>
                <w:color w:val="auto"/>
              </w:rPr>
              <w:t>Balance Sheet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3"/>
          </w:tcPr>
          <w:p>
            <w:pPr>
              <w:ind w:left="180"/>
              <w:spacing w:after="0" w:line="198" w:lineRule="exact"/>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90"/>
              </w:rPr>
              <w:t>December 31,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center"/>
              <w:ind w:right="110"/>
              <w:spacing w:after="0" w:line="198" w:lineRule="exact"/>
              <w:rPr>
                <w:sz w:val="20"/>
                <w:szCs w:val="20"/>
                <w:color w:val="auto"/>
              </w:rPr>
            </w:pPr>
            <w:r>
              <w:rPr>
                <w:rFonts w:ascii="Arial" w:cs="Arial" w:eastAsia="Arial" w:hAnsi="Arial"/>
                <w:sz w:val="18"/>
                <w:szCs w:val="18"/>
                <w:b w:val="1"/>
                <w:bCs w:val="1"/>
                <w:color w:val="auto"/>
                <w:w w:val="88"/>
              </w:rPr>
              <w:t>June 30,</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200" w:type="dxa"/>
            <w:vAlign w:val="bottom"/>
            <w:gridSpan w:val="3"/>
          </w:tcPr>
          <w:p>
            <w:pPr>
              <w:ind w:left="1140"/>
              <w:spacing w:after="0"/>
              <w:rPr>
                <w:sz w:val="20"/>
                <w:szCs w:val="20"/>
                <w:color w:val="auto"/>
              </w:rPr>
            </w:pPr>
            <w:r>
              <w:rPr>
                <w:rFonts w:ascii="Arial" w:cs="Arial" w:eastAsia="Arial" w:hAnsi="Arial"/>
                <w:sz w:val="18"/>
                <w:szCs w:val="18"/>
                <w:b w:val="1"/>
                <w:bCs w:val="1"/>
                <w:color w:val="auto"/>
              </w:rPr>
              <w:t>Interest Rate Products</w:t>
            </w:r>
          </w:p>
        </w:tc>
        <w:tc>
          <w:tcPr>
            <w:tcW w:w="40" w:type="dxa"/>
            <w:vAlign w:val="bottom"/>
          </w:tcPr>
          <w:p>
            <w:pPr>
              <w:spacing w:after="0"/>
              <w:rPr>
                <w:sz w:val="20"/>
                <w:szCs w:val="20"/>
                <w:color w:val="auto"/>
              </w:rPr>
            </w:pPr>
          </w:p>
        </w:tc>
        <w:tc>
          <w:tcPr>
            <w:tcW w:w="1920" w:type="dxa"/>
            <w:vAlign w:val="bottom"/>
            <w:gridSpan w:val="2"/>
          </w:tcPr>
          <w:p>
            <w:pPr>
              <w:ind w:left="520"/>
              <w:spacing w:after="0"/>
              <w:rPr>
                <w:sz w:val="20"/>
                <w:szCs w:val="20"/>
                <w:color w:val="auto"/>
              </w:rPr>
            </w:pPr>
            <w:r>
              <w:rPr>
                <w:rFonts w:ascii="Arial" w:cs="Arial" w:eastAsia="Arial" w:hAnsi="Arial"/>
                <w:sz w:val="18"/>
                <w:szCs w:val="18"/>
                <w:b w:val="1"/>
                <w:bCs w:val="1"/>
                <w:color w:val="auto"/>
              </w:rPr>
              <w:t>Location</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20" w:type="dxa"/>
            <w:vAlign w:val="bottom"/>
            <w:tcBorders>
              <w:top w:val="single" w:sz="8" w:color="auto"/>
            </w:tcBorders>
            <w:gridSpan w:val="2"/>
            <w:shd w:val="clear" w:color="auto" w:fill="F0FFFF"/>
          </w:tcPr>
          <w:p>
            <w:pPr>
              <w:ind w:left="20"/>
              <w:spacing w:after="0"/>
              <w:rPr>
                <w:sz w:val="20"/>
                <w:szCs w:val="20"/>
                <w:color w:val="auto"/>
              </w:rPr>
            </w:pPr>
            <w:r>
              <w:rPr>
                <w:rFonts w:ascii="Arial" w:cs="Arial" w:eastAsia="Arial" w:hAnsi="Arial"/>
                <w:sz w:val="18"/>
                <w:szCs w:val="18"/>
                <w:color w:val="auto"/>
              </w:rPr>
              <w:t>Customer swap positions</w:t>
            </w:r>
          </w:p>
        </w:tc>
        <w:tc>
          <w:tcPr>
            <w:tcW w:w="180" w:type="dxa"/>
            <w:vAlign w:val="bottom"/>
            <w:tcBorders>
              <w:top w:val="single" w:sz="8" w:color="F0FFFF"/>
            </w:tcBorders>
            <w:shd w:val="clear" w:color="auto" w:fill="F0FFFF"/>
          </w:tcPr>
          <w:p>
            <w:pPr>
              <w:spacing w:after="0"/>
              <w:rPr>
                <w:sz w:val="18"/>
                <w:szCs w:val="18"/>
                <w:color w:val="auto"/>
              </w:rPr>
            </w:pPr>
          </w:p>
        </w:tc>
        <w:tc>
          <w:tcPr>
            <w:tcW w:w="40" w:type="dxa"/>
            <w:vAlign w:val="bottom"/>
            <w:tcBorders>
              <w:top w:val="single" w:sz="8" w:color="F0FFFF"/>
            </w:tcBorders>
            <w:shd w:val="clear" w:color="auto" w:fill="F0FFFF"/>
          </w:tcPr>
          <w:p>
            <w:pPr>
              <w:spacing w:after="0"/>
              <w:rPr>
                <w:sz w:val="18"/>
                <w:szCs w:val="18"/>
                <w:color w:val="auto"/>
              </w:rPr>
            </w:pPr>
          </w:p>
        </w:tc>
        <w:tc>
          <w:tcPr>
            <w:tcW w:w="1720" w:type="dxa"/>
            <w:vAlign w:val="bottom"/>
            <w:tcBorders>
              <w:top w:val="single" w:sz="8" w:color="auto"/>
            </w:tcBorders>
            <w:shd w:val="clear" w:color="auto" w:fill="F0FFFF"/>
          </w:tcPr>
          <w:p>
            <w:pPr>
              <w:ind w:left="20"/>
              <w:spacing w:after="0"/>
              <w:rPr>
                <w:sz w:val="20"/>
                <w:szCs w:val="20"/>
                <w:color w:val="auto"/>
              </w:rPr>
            </w:pPr>
            <w:r>
              <w:rPr>
                <w:rFonts w:ascii="Arial" w:cs="Arial" w:eastAsia="Arial" w:hAnsi="Arial"/>
                <w:sz w:val="18"/>
                <w:szCs w:val="18"/>
                <w:color w:val="auto"/>
              </w:rPr>
              <w:t>Derivative assets</w:t>
            </w:r>
          </w:p>
        </w:tc>
        <w:tc>
          <w:tcPr>
            <w:tcW w:w="20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320" w:type="dxa"/>
            <w:vAlign w:val="bottom"/>
            <w:tcBorders>
              <w:top w:val="single" w:sz="8" w:color="auto"/>
            </w:tcBorders>
            <w:gridSpan w:val="2"/>
            <w:shd w:val="clear" w:color="auto" w:fill="F0FF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3,456</w:t>
            </w:r>
          </w:p>
        </w:tc>
        <w:tc>
          <w:tcPr>
            <w:tcW w:w="4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gridSpan w:val="2"/>
            <w:shd w:val="clear" w:color="auto" w:fill="F0FF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3,433</w:t>
            </w:r>
          </w:p>
        </w:tc>
        <w:tc>
          <w:tcPr>
            <w:tcW w:w="10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F0FFFF"/>
            </w:tcBorders>
            <w:gridSpan w:val="2"/>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jc w:val="right"/>
              <w:ind w:right="15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2,572</w:t>
            </w: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tcPr>
          <w:p>
            <w:pPr>
              <w:ind w:left="20"/>
              <w:spacing w:after="0"/>
              <w:rPr>
                <w:sz w:val="20"/>
                <w:szCs w:val="20"/>
                <w:color w:val="auto"/>
              </w:rPr>
            </w:pPr>
            <w:r>
              <w:rPr>
                <w:rFonts w:ascii="Arial" w:cs="Arial" w:eastAsia="Arial" w:hAnsi="Arial"/>
                <w:sz w:val="18"/>
                <w:szCs w:val="18"/>
                <w:color w:val="auto"/>
              </w:rPr>
              <w:t>Dealer offsets to customer swap positions</w:t>
            </w:r>
          </w:p>
        </w:tc>
        <w:tc>
          <w:tcPr>
            <w:tcW w:w="40" w:type="dxa"/>
            <w:vAlign w:val="bottom"/>
          </w:tcPr>
          <w:p>
            <w:pPr>
              <w:spacing w:after="0"/>
              <w:rPr>
                <w:sz w:val="18"/>
                <w:szCs w:val="18"/>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Derivative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F0FFFF"/>
          </w:tcPr>
          <w:p>
            <w:pPr>
              <w:ind w:left="20"/>
              <w:spacing w:after="0"/>
              <w:rPr>
                <w:sz w:val="20"/>
                <w:szCs w:val="20"/>
                <w:color w:val="auto"/>
              </w:rPr>
            </w:pPr>
            <w:r>
              <w:rPr>
                <w:rFonts w:ascii="Arial" w:cs="Arial" w:eastAsia="Arial" w:hAnsi="Arial"/>
                <w:sz w:val="18"/>
                <w:szCs w:val="18"/>
                <w:color w:val="auto"/>
              </w:rPr>
              <w:t>Bifurcated embedded derivatives</w:t>
            </w:r>
          </w:p>
        </w:tc>
        <w:tc>
          <w:tcPr>
            <w:tcW w:w="40" w:type="dxa"/>
            <w:vAlign w:val="bottom"/>
            <w:shd w:val="clear" w:color="auto" w:fill="F0FFFF"/>
          </w:tcPr>
          <w:p>
            <w:pPr>
              <w:spacing w:after="0"/>
              <w:rPr>
                <w:sz w:val="18"/>
                <w:szCs w:val="18"/>
                <w:color w:val="auto"/>
              </w:rPr>
            </w:pPr>
          </w:p>
        </w:tc>
        <w:tc>
          <w:tcPr>
            <w:tcW w:w="1920" w:type="dxa"/>
            <w:vAlign w:val="bottom"/>
            <w:gridSpan w:val="2"/>
            <w:shd w:val="clear" w:color="auto" w:fill="F0FFFF"/>
          </w:tcPr>
          <w:p>
            <w:pPr>
              <w:ind w:left="20"/>
              <w:spacing w:after="0"/>
              <w:rPr>
                <w:sz w:val="20"/>
                <w:szCs w:val="20"/>
                <w:color w:val="auto"/>
              </w:rPr>
            </w:pPr>
            <w:r>
              <w:rPr>
                <w:rFonts w:ascii="Arial" w:cs="Arial" w:eastAsia="Arial" w:hAnsi="Arial"/>
                <w:sz w:val="18"/>
                <w:szCs w:val="18"/>
                <w:color w:val="auto"/>
              </w:rPr>
              <w:t>Derivative assets</w:t>
            </w:r>
          </w:p>
        </w:tc>
        <w:tc>
          <w:tcPr>
            <w:tcW w:w="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11,531</w:t>
            </w:r>
          </w:p>
        </w:tc>
        <w:tc>
          <w:tcPr>
            <w:tcW w:w="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4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12,262</w:t>
            </w: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12,369</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0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Offsetting positions for de-designated cash flow</w:t>
            </w:r>
          </w:p>
        </w:tc>
        <w:tc>
          <w:tcPr>
            <w:tcW w:w="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5,771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4,776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5,641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00" w:type="dxa"/>
            <w:vAlign w:val="bottom"/>
            <w:gridSpan w:val="3"/>
          </w:tcPr>
          <w:p>
            <w:pPr>
              <w:ind w:left="20"/>
              <w:spacing w:after="0"/>
              <w:rPr>
                <w:sz w:val="20"/>
                <w:szCs w:val="20"/>
                <w:color w:val="auto"/>
              </w:rPr>
            </w:pPr>
            <w:r>
              <w:rPr>
                <w:rFonts w:ascii="Arial" w:cs="Arial" w:eastAsia="Arial" w:hAnsi="Arial"/>
                <w:sz w:val="18"/>
                <w:szCs w:val="18"/>
                <w:color w:val="auto"/>
              </w:rPr>
              <w:t>hedges</w:t>
            </w:r>
          </w:p>
        </w:tc>
        <w:tc>
          <w:tcPr>
            <w:tcW w:w="4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Derivative assets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00" w:type="dxa"/>
            <w:vAlign w:val="bottom"/>
            <w:tcBorders>
              <w:top w:val="single" w:sz="8" w:color="F0FFFF"/>
              <w:bottom w:val="single" w:sz="8" w:color="F0FFFF"/>
            </w:tcBorders>
            <w:shd w:val="clear" w:color="auto" w:fill="F0FFFF"/>
          </w:tcPr>
          <w:p>
            <w:pPr>
              <w:spacing w:after="0"/>
              <w:rPr>
                <w:sz w:val="20"/>
                <w:szCs w:val="20"/>
                <w:color w:val="auto"/>
              </w:rPr>
            </w:pP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180" w:type="dxa"/>
            <w:vAlign w:val="bottom"/>
            <w:tcBorders>
              <w:top w:val="single" w:sz="8" w:color="F0FFFF"/>
              <w:bottom w:val="single" w:sz="8" w:color="F0FFFF"/>
            </w:tcBorders>
            <w:shd w:val="clear" w:color="auto" w:fill="F0FFFF"/>
          </w:tcPr>
          <w:p>
            <w:pPr>
              <w:spacing w:after="0"/>
              <w:rPr>
                <w:sz w:val="20"/>
                <w:szCs w:val="20"/>
                <w:color w:val="auto"/>
              </w:rPr>
            </w:pPr>
          </w:p>
        </w:tc>
        <w:tc>
          <w:tcPr>
            <w:tcW w:w="40" w:type="dxa"/>
            <w:vAlign w:val="bottom"/>
            <w:tcBorders>
              <w:top w:val="single" w:sz="8" w:color="F0FFFF"/>
              <w:bottom w:val="single" w:sz="8" w:color="F0FFFF"/>
            </w:tcBorders>
            <w:shd w:val="clear" w:color="auto" w:fill="F0FFFF"/>
          </w:tcPr>
          <w:p>
            <w:pPr>
              <w:spacing w:after="0"/>
              <w:rPr>
                <w:sz w:val="20"/>
                <w:szCs w:val="20"/>
                <w:color w:val="auto"/>
              </w:rPr>
            </w:pPr>
          </w:p>
        </w:tc>
        <w:tc>
          <w:tcPr>
            <w:tcW w:w="1720" w:type="dxa"/>
            <w:vAlign w:val="bottom"/>
            <w:tcBorders>
              <w:top w:val="single" w:sz="8" w:color="F0FFFF"/>
              <w:bottom w:val="single" w:sz="8" w:color="F0FFFF"/>
            </w:tcBorders>
            <w:shd w:val="clear" w:color="auto" w:fill="F0FFFF"/>
          </w:tcPr>
          <w:p>
            <w:pPr>
              <w:spacing w:after="0"/>
              <w:rPr>
                <w:sz w:val="20"/>
                <w:szCs w:val="20"/>
                <w:color w:val="auto"/>
              </w:rPr>
            </w:pPr>
          </w:p>
        </w:tc>
        <w:tc>
          <w:tcPr>
            <w:tcW w:w="200" w:type="dxa"/>
            <w:vAlign w:val="bottom"/>
            <w:tcBorders>
              <w:top w:val="single" w:sz="8" w:color="F0FFFF"/>
              <w:bottom w:val="single" w:sz="8" w:color="F0FFFF"/>
            </w:tcBorders>
            <w:shd w:val="clear" w:color="auto" w:fill="F0FFFF"/>
          </w:tcPr>
          <w:p>
            <w:pPr>
              <w:spacing w:after="0"/>
              <w:rPr>
                <w:sz w:val="20"/>
                <w:szCs w:val="20"/>
                <w:color w:val="auto"/>
              </w:rPr>
            </w:pP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320" w:type="dxa"/>
            <w:vAlign w:val="bottom"/>
            <w:tcBorders>
              <w:top w:val="single" w:sz="8" w:color="auto"/>
              <w:bottom w:val="single" w:sz="8" w:color="auto"/>
            </w:tcBorders>
            <w:gridSpan w:val="2"/>
            <w:shd w:val="clear" w:color="auto" w:fill="F0FF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20,758</w:t>
            </w:r>
          </w:p>
        </w:tc>
        <w:tc>
          <w:tcPr>
            <w:tcW w:w="4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180" w:type="dxa"/>
            <w:vAlign w:val="bottom"/>
            <w:tcBorders>
              <w:top w:val="single" w:sz="8" w:color="auto"/>
              <w:bottom w:val="single" w:sz="8" w:color="auto"/>
            </w:tcBorders>
            <w:gridSpan w:val="2"/>
            <w:shd w:val="clear" w:color="auto" w:fill="F0FF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20,599</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240" w:type="dxa"/>
            <w:vAlign w:val="bottom"/>
            <w:tcBorders>
              <w:top w:val="single" w:sz="8" w:color="F0FFFF"/>
              <w:bottom w:val="single" w:sz="8" w:color="F0FFFF"/>
            </w:tcBorders>
            <w:gridSpan w:val="2"/>
            <w:shd w:val="clear" w:color="auto" w:fill="F0FFFF"/>
          </w:tcPr>
          <w:p>
            <w:pPr>
              <w:spacing w:after="0"/>
              <w:rPr>
                <w:sz w:val="20"/>
                <w:szCs w:val="20"/>
                <w:color w:val="auto"/>
              </w:rPr>
            </w:pPr>
          </w:p>
        </w:tc>
        <w:tc>
          <w:tcPr>
            <w:tcW w:w="260" w:type="dxa"/>
            <w:vAlign w:val="bottom"/>
            <w:tcBorders>
              <w:top w:val="single" w:sz="8" w:color="auto"/>
              <w:bottom w:val="single" w:sz="8" w:color="auto"/>
            </w:tcBorders>
            <w:shd w:val="clear" w:color="auto" w:fill="F0FFFF"/>
          </w:tcPr>
          <w:p>
            <w:pPr>
              <w:jc w:val="right"/>
              <w:ind w:right="15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20,915</w:t>
            </w: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F0FFFF"/>
              <w:bottom w:val="single" w:sz="8" w:color="F0FFFF"/>
            </w:tcBorders>
            <w:gridSpan w:val="3"/>
            <w:vMerge w:val="restart"/>
          </w:tcPr>
          <w:p>
            <w:pPr>
              <w:ind w:left="20"/>
              <w:spacing w:after="0"/>
              <w:rPr>
                <w:sz w:val="20"/>
                <w:szCs w:val="20"/>
                <w:color w:val="auto"/>
              </w:rPr>
            </w:pPr>
            <w:r>
              <w:rPr>
                <w:rFonts w:ascii="Arial" w:cs="Arial" w:eastAsia="Arial" w:hAnsi="Arial"/>
                <w:sz w:val="18"/>
                <w:szCs w:val="18"/>
                <w:color w:val="auto"/>
              </w:rPr>
              <w:t>Customer swap positions</w:t>
            </w:r>
          </w:p>
        </w:tc>
        <w:tc>
          <w:tcPr>
            <w:tcW w:w="40" w:type="dxa"/>
            <w:vAlign w:val="bottom"/>
            <w:tcBorders>
              <w:top w:val="single" w:sz="8" w:color="F0FFFF"/>
              <w:bottom w:val="single" w:sz="8" w:color="F0FFFF"/>
            </w:tcBorders>
            <w:vMerge w:val="restart"/>
          </w:tcPr>
          <w:p>
            <w:pPr>
              <w:spacing w:after="0" w:line="20" w:lineRule="exact"/>
              <w:rPr>
                <w:sz w:val="1"/>
                <w:szCs w:val="1"/>
                <w:color w:val="auto"/>
              </w:rPr>
            </w:pPr>
          </w:p>
        </w:tc>
        <w:tc>
          <w:tcPr>
            <w:tcW w:w="1920" w:type="dxa"/>
            <w:vAlign w:val="bottom"/>
            <w:tcBorders>
              <w:top w:val="single" w:sz="8" w:color="F0FFFF"/>
              <w:bottom w:val="single" w:sz="8" w:color="F0FFFF"/>
            </w:tcBorders>
            <w:gridSpan w:val="2"/>
            <w:vMerge w:val="restart"/>
          </w:tcPr>
          <w:p>
            <w:pPr>
              <w:ind w:left="20"/>
              <w:spacing w:after="0"/>
              <w:rPr>
                <w:sz w:val="20"/>
                <w:szCs w:val="20"/>
                <w:color w:val="auto"/>
              </w:rPr>
            </w:pPr>
            <w:r>
              <w:rPr>
                <w:rFonts w:ascii="Arial" w:cs="Arial" w:eastAsia="Arial" w:hAnsi="Arial"/>
                <w:sz w:val="18"/>
                <w:szCs w:val="18"/>
                <w:color w:val="auto"/>
              </w:rPr>
              <w:t>Derivative liabilities</w:t>
            </w:r>
          </w:p>
        </w:tc>
        <w:tc>
          <w:tcPr>
            <w:tcW w:w="20" w:type="dxa"/>
            <w:vAlign w:val="bottom"/>
            <w:tcBorders>
              <w:top w:val="single" w:sz="8" w:color="F0FFFF"/>
              <w:bottom w:val="single" w:sz="8" w:color="F0FFFF"/>
            </w:tcBorders>
            <w:vMerge w:val="restart"/>
          </w:tcPr>
          <w:p>
            <w:pPr>
              <w:spacing w:after="0" w:line="20" w:lineRule="exact"/>
              <w:rPr>
                <w:sz w:val="1"/>
                <w:szCs w:val="1"/>
                <w:color w:val="auto"/>
              </w:rPr>
            </w:pPr>
          </w:p>
        </w:tc>
        <w:tc>
          <w:tcPr>
            <w:tcW w:w="320" w:type="dxa"/>
            <w:vAlign w:val="bottom"/>
            <w:tcBorders>
              <w:top w:val="single" w:sz="8" w:color="F0FFFF"/>
              <w:bottom w:val="single" w:sz="8" w:color="auto"/>
            </w:tcBorders>
            <w:gridSpan w:val="2"/>
          </w:tcPr>
          <w:p>
            <w:pPr>
              <w:spacing w:after="0" w:line="20" w:lineRule="exact"/>
              <w:rPr>
                <w:sz w:val="1"/>
                <w:szCs w:val="1"/>
                <w:color w:val="auto"/>
              </w:rPr>
            </w:pPr>
          </w:p>
        </w:tc>
        <w:tc>
          <w:tcPr>
            <w:tcW w:w="1180" w:type="dxa"/>
            <w:vAlign w:val="bottom"/>
            <w:tcBorders>
              <w:top w:val="single" w:sz="8" w:color="F0FFFF"/>
              <w:bottom w:val="single" w:sz="8" w:color="auto"/>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F0FFFF"/>
            </w:tcBorders>
            <w:vMerge w:val="restart"/>
          </w:tcPr>
          <w:p>
            <w:pPr>
              <w:spacing w:after="0" w:line="20" w:lineRule="exact"/>
              <w:rPr>
                <w:sz w:val="1"/>
                <w:szCs w:val="1"/>
                <w:color w:val="auto"/>
              </w:rPr>
            </w:pPr>
          </w:p>
        </w:tc>
        <w:tc>
          <w:tcPr>
            <w:tcW w:w="180" w:type="dxa"/>
            <w:vAlign w:val="bottom"/>
            <w:tcBorders>
              <w:top w:val="single" w:sz="8" w:color="F0FFFF"/>
              <w:bottom w:val="single" w:sz="8" w:color="auto"/>
            </w:tcBorders>
            <w:gridSpan w:val="2"/>
          </w:tcPr>
          <w:p>
            <w:pPr>
              <w:spacing w:after="0" w:line="20" w:lineRule="exact"/>
              <w:rPr>
                <w:sz w:val="1"/>
                <w:szCs w:val="1"/>
                <w:color w:val="auto"/>
              </w:rPr>
            </w:pPr>
          </w:p>
        </w:tc>
        <w:tc>
          <w:tcPr>
            <w:tcW w:w="13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bottom w:val="single" w:sz="8" w:color="F0FFFF"/>
            </w:tcBorders>
            <w:vMerge w:val="restart"/>
          </w:tcPr>
          <w:p>
            <w:pPr>
              <w:spacing w:after="0" w:line="20" w:lineRule="exact"/>
              <w:rPr>
                <w:sz w:val="1"/>
                <w:szCs w:val="1"/>
                <w:color w:val="auto"/>
              </w:rPr>
            </w:pPr>
          </w:p>
        </w:tc>
        <w:tc>
          <w:tcPr>
            <w:tcW w:w="240" w:type="dxa"/>
            <w:vAlign w:val="bottom"/>
            <w:tcBorders>
              <w:top w:val="single" w:sz="8" w:color="F0FFFF"/>
              <w:bottom w:val="single" w:sz="8" w:color="F0FFFF"/>
            </w:tcBorders>
            <w:gridSpan w:val="2"/>
            <w:vMerge w:val="restart"/>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120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bottom w:val="single" w:sz="8" w:color="F0FFFF"/>
            </w:tcBorders>
            <w:vMerge w:val="restart"/>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00" w:type="dxa"/>
            <w:vAlign w:val="bottom"/>
            <w:gridSpan w:val="3"/>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320" w:type="dxa"/>
            <w:vAlign w:val="bottom"/>
            <w:gridSpan w:val="2"/>
          </w:tcPr>
          <w:p>
            <w:pPr>
              <w:jc w:val="right"/>
              <w:ind w:right="130"/>
              <w:spacing w:after="0" w:line="190"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90" w:lineRule="exact"/>
              <w:rPr>
                <w:sz w:val="20"/>
                <w:szCs w:val="20"/>
                <w:color w:val="auto"/>
              </w:rPr>
            </w:pPr>
            <w:r>
              <w:rPr>
                <w:rFonts w:ascii="Arial" w:cs="Arial" w:eastAsia="Arial" w:hAnsi="Arial"/>
                <w:sz w:val="18"/>
                <w:szCs w:val="18"/>
                <w:color w:val="auto"/>
              </w:rPr>
              <w:t>3,485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180" w:type="dxa"/>
            <w:vAlign w:val="bottom"/>
            <w:gridSpan w:val="2"/>
          </w:tcPr>
          <w:p>
            <w:pPr>
              <w:spacing w:after="0" w:line="190"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90" w:lineRule="exact"/>
              <w:rPr>
                <w:sz w:val="20"/>
                <w:szCs w:val="20"/>
                <w:color w:val="auto"/>
              </w:rPr>
            </w:pPr>
            <w:r>
              <w:rPr>
                <w:rFonts w:ascii="Arial" w:cs="Arial" w:eastAsia="Arial" w:hAnsi="Arial"/>
                <w:sz w:val="18"/>
                <w:szCs w:val="18"/>
                <w:color w:val="auto"/>
              </w:rPr>
              <w:t>129</w:t>
            </w:r>
          </w:p>
        </w:tc>
        <w:tc>
          <w:tcPr>
            <w:tcW w:w="10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line="190" w:lineRule="exact"/>
              <w:rPr>
                <w:sz w:val="20"/>
                <w:szCs w:val="20"/>
                <w:color w:val="auto"/>
              </w:rPr>
            </w:pPr>
            <w:r>
              <w:rPr>
                <w:rFonts w:ascii="Arial" w:cs="Arial" w:eastAsia="Arial" w:hAnsi="Arial"/>
                <w:sz w:val="18"/>
                <w:szCs w:val="18"/>
                <w:color w:val="auto"/>
              </w:rPr>
              <w:t>333</w:t>
            </w:r>
          </w:p>
        </w:tc>
        <w:tc>
          <w:tcPr>
            <w:tcW w:w="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F0FFFF"/>
          </w:tcPr>
          <w:p>
            <w:pPr>
              <w:ind w:left="20"/>
              <w:spacing w:after="0"/>
              <w:rPr>
                <w:sz w:val="20"/>
                <w:szCs w:val="20"/>
                <w:color w:val="auto"/>
              </w:rPr>
            </w:pPr>
            <w:r>
              <w:rPr>
                <w:rFonts w:ascii="Arial" w:cs="Arial" w:eastAsia="Arial" w:hAnsi="Arial"/>
                <w:sz w:val="18"/>
                <w:szCs w:val="18"/>
                <w:color w:val="auto"/>
              </w:rPr>
              <w:t>Dealer offsets to customer swap positions</w:t>
            </w:r>
          </w:p>
        </w:tc>
        <w:tc>
          <w:tcPr>
            <w:tcW w:w="40" w:type="dxa"/>
            <w:vAlign w:val="bottom"/>
            <w:shd w:val="clear" w:color="auto" w:fill="F0FFFF"/>
          </w:tcPr>
          <w:p>
            <w:pPr>
              <w:spacing w:after="0"/>
              <w:rPr>
                <w:sz w:val="18"/>
                <w:szCs w:val="18"/>
                <w:color w:val="auto"/>
              </w:rPr>
            </w:pPr>
          </w:p>
        </w:tc>
        <w:tc>
          <w:tcPr>
            <w:tcW w:w="1920" w:type="dxa"/>
            <w:vAlign w:val="bottom"/>
            <w:gridSpan w:val="2"/>
            <w:shd w:val="clear" w:color="auto" w:fill="F0FFFF"/>
          </w:tcPr>
          <w:p>
            <w:pPr>
              <w:ind w:left="20"/>
              <w:spacing w:after="0"/>
              <w:rPr>
                <w:sz w:val="20"/>
                <w:szCs w:val="20"/>
                <w:color w:val="auto"/>
              </w:rPr>
            </w:pPr>
            <w:r>
              <w:rPr>
                <w:rFonts w:ascii="Arial" w:cs="Arial" w:eastAsia="Arial" w:hAnsi="Arial"/>
                <w:sz w:val="18"/>
                <w:szCs w:val="18"/>
                <w:color w:val="auto"/>
              </w:rPr>
              <w:t>Derivative liabilities</w:t>
            </w:r>
          </w:p>
        </w:tc>
        <w:tc>
          <w:tcPr>
            <w:tcW w:w="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4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3,456</w:t>
            </w: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2,592</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tcPr>
          <w:p>
            <w:pPr>
              <w:ind w:left="20"/>
              <w:spacing w:after="0"/>
              <w:rPr>
                <w:sz w:val="20"/>
                <w:szCs w:val="20"/>
                <w:color w:val="auto"/>
              </w:rPr>
            </w:pPr>
            <w:r>
              <w:rPr>
                <w:rFonts w:ascii="Arial" w:cs="Arial" w:eastAsia="Arial" w:hAnsi="Arial"/>
                <w:sz w:val="18"/>
                <w:szCs w:val="18"/>
                <w:color w:val="auto"/>
              </w:rPr>
              <w:t>Dealer offsets to bifurcated embedded derivatives</w:t>
            </w:r>
          </w:p>
        </w:tc>
        <w:tc>
          <w:tcPr>
            <w:tcW w:w="40" w:type="dxa"/>
            <w:vAlign w:val="bottom"/>
          </w:tcPr>
          <w:p>
            <w:pPr>
              <w:spacing w:after="0"/>
              <w:rPr>
                <w:sz w:val="18"/>
                <w:szCs w:val="18"/>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rPr>
              <w:t>Derivative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18,261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17,467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17,599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00" w:type="dxa"/>
            <w:vAlign w:val="bottom"/>
            <w:gridSpan w:val="3"/>
            <w:shd w:val="clear" w:color="auto" w:fill="F0FFFF"/>
          </w:tcPr>
          <w:p>
            <w:pPr>
              <w:ind w:left="20"/>
              <w:spacing w:after="0"/>
              <w:rPr>
                <w:sz w:val="20"/>
                <w:szCs w:val="20"/>
                <w:color w:val="auto"/>
              </w:rPr>
            </w:pPr>
            <w:r>
              <w:rPr>
                <w:rFonts w:ascii="Arial" w:cs="Arial" w:eastAsia="Arial" w:hAnsi="Arial"/>
                <w:sz w:val="18"/>
                <w:szCs w:val="18"/>
                <w:color w:val="auto"/>
              </w:rPr>
              <w:t>De-designated cash flow hedges</w:t>
            </w:r>
          </w:p>
        </w:tc>
        <w:tc>
          <w:tcPr>
            <w:tcW w:w="40" w:type="dxa"/>
            <w:vAlign w:val="bottom"/>
            <w:shd w:val="clear" w:color="auto" w:fill="F0FFFF"/>
          </w:tcPr>
          <w:p>
            <w:pPr>
              <w:spacing w:after="0"/>
              <w:rPr>
                <w:sz w:val="20"/>
                <w:szCs w:val="20"/>
                <w:color w:val="auto"/>
              </w:rPr>
            </w:pPr>
          </w:p>
        </w:tc>
        <w:tc>
          <w:tcPr>
            <w:tcW w:w="1920" w:type="dxa"/>
            <w:vAlign w:val="bottom"/>
            <w:gridSpan w:val="2"/>
            <w:shd w:val="clear" w:color="auto" w:fill="F0FFFF"/>
          </w:tcPr>
          <w:p>
            <w:pPr>
              <w:ind w:left="20"/>
              <w:spacing w:after="0"/>
              <w:rPr>
                <w:sz w:val="20"/>
                <w:szCs w:val="20"/>
                <w:color w:val="auto"/>
              </w:rPr>
            </w:pPr>
            <w:r>
              <w:rPr>
                <w:rFonts w:ascii="Arial" w:cs="Arial" w:eastAsia="Arial" w:hAnsi="Arial"/>
                <w:sz w:val="18"/>
                <w:szCs w:val="18"/>
                <w:color w:val="auto"/>
              </w:rPr>
              <w:t>Derivative liabilities</w:t>
            </w:r>
          </w:p>
        </w:tc>
        <w:tc>
          <w:tcPr>
            <w:tcW w:w="20" w:type="dxa"/>
            <w:vAlign w:val="bottom"/>
            <w:shd w:val="clear" w:color="auto" w:fill="F0FFFF"/>
          </w:tcPr>
          <w:p>
            <w:pPr>
              <w:spacing w:after="0"/>
              <w:rPr>
                <w:sz w:val="20"/>
                <w:szCs w:val="20"/>
                <w:color w:val="auto"/>
              </w:rPr>
            </w:pPr>
          </w:p>
        </w:tc>
        <w:tc>
          <w:tcPr>
            <w:tcW w:w="6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5,773</w:t>
            </w:r>
          </w:p>
        </w:tc>
        <w:tc>
          <w:tcPr>
            <w:tcW w:w="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2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4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4,778</w:t>
            </w:r>
          </w:p>
        </w:tc>
        <w:tc>
          <w:tcPr>
            <w:tcW w:w="220" w:type="dxa"/>
            <w:vAlign w:val="bottom"/>
            <w:shd w:val="clear" w:color="auto" w:fill="F0FFFF"/>
          </w:tcPr>
          <w:p>
            <w:pPr>
              <w:spacing w:after="0"/>
              <w:rPr>
                <w:sz w:val="20"/>
                <w:szCs w:val="20"/>
                <w:color w:val="auto"/>
              </w:rPr>
            </w:pPr>
          </w:p>
        </w:tc>
        <w:tc>
          <w:tcPr>
            <w:tcW w:w="2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1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5,641</w:t>
            </w:r>
          </w:p>
        </w:tc>
        <w:tc>
          <w:tcPr>
            <w:tcW w:w="8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0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180" w:type="dxa"/>
            <w:vAlign w:val="bottom"/>
            <w:tcBorders>
              <w:top w:val="single" w:sz="8" w:color="F0FFFF"/>
            </w:tcBorders>
          </w:tcPr>
          <w:p>
            <w:pPr>
              <w:spacing w:after="0"/>
              <w:rPr>
                <w:sz w:val="17"/>
                <w:szCs w:val="17"/>
                <w:color w:val="auto"/>
              </w:rPr>
            </w:pPr>
          </w:p>
        </w:tc>
        <w:tc>
          <w:tcPr>
            <w:tcW w:w="40" w:type="dxa"/>
            <w:vAlign w:val="bottom"/>
            <w:tcBorders>
              <w:top w:val="single" w:sz="8" w:color="F0FFFF"/>
            </w:tcBorders>
          </w:tcPr>
          <w:p>
            <w:pPr>
              <w:spacing w:after="0"/>
              <w:rPr>
                <w:sz w:val="17"/>
                <w:szCs w:val="17"/>
                <w:color w:val="auto"/>
              </w:rPr>
            </w:pPr>
          </w:p>
        </w:tc>
        <w:tc>
          <w:tcPr>
            <w:tcW w:w="1720" w:type="dxa"/>
            <w:vAlign w:val="bottom"/>
            <w:tcBorders>
              <w:top w:val="single" w:sz="8" w:color="F0FFFF"/>
            </w:tcBorders>
          </w:tcPr>
          <w:p>
            <w:pPr>
              <w:spacing w:after="0"/>
              <w:rPr>
                <w:sz w:val="17"/>
                <w:szCs w:val="17"/>
                <w:color w:val="auto"/>
              </w:rPr>
            </w:pPr>
          </w:p>
        </w:tc>
        <w:tc>
          <w:tcPr>
            <w:tcW w:w="20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320" w:type="dxa"/>
            <w:vAlign w:val="bottom"/>
            <w:tcBorders>
              <w:top w:val="single" w:sz="8" w:color="auto"/>
            </w:tcBorders>
            <w:gridSpan w:val="2"/>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27,519</w:t>
            </w:r>
          </w:p>
        </w:tc>
        <w:tc>
          <w:tcPr>
            <w:tcW w:w="4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22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gridSpan w:val="2"/>
          </w:tcPr>
          <w:p>
            <w:pPr>
              <w:spacing w:after="0" w:line="203"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25,830</w:t>
            </w:r>
          </w:p>
        </w:tc>
        <w:tc>
          <w:tcPr>
            <w:tcW w:w="100" w:type="dxa"/>
            <w:vAlign w:val="bottom"/>
            <w:tcBorders>
              <w:top w:val="single" w:sz="8" w:color="F0FFFF"/>
            </w:tcBorders>
          </w:tcPr>
          <w:p>
            <w:pPr>
              <w:spacing w:after="0"/>
              <w:rPr>
                <w:sz w:val="17"/>
                <w:szCs w:val="17"/>
                <w:color w:val="auto"/>
              </w:rPr>
            </w:pPr>
          </w:p>
        </w:tc>
        <w:tc>
          <w:tcPr>
            <w:tcW w:w="240" w:type="dxa"/>
            <w:vAlign w:val="bottom"/>
            <w:tcBorders>
              <w:top w:val="single" w:sz="8" w:color="F0FFFF"/>
            </w:tcBorders>
            <w:gridSpan w:val="2"/>
          </w:tcPr>
          <w:p>
            <w:pPr>
              <w:spacing w:after="0"/>
              <w:rPr>
                <w:sz w:val="17"/>
                <w:szCs w:val="17"/>
                <w:color w:val="auto"/>
              </w:rPr>
            </w:pPr>
          </w:p>
        </w:tc>
        <w:tc>
          <w:tcPr>
            <w:tcW w:w="260" w:type="dxa"/>
            <w:vAlign w:val="bottom"/>
            <w:tcBorders>
              <w:top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26,165</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Derivative contracts that are not accounted for as hedging instruments under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and are described as “customer derivatives,” are between United and certain commercial loan customers with offsetting positions to dealers under a back-to-back swap program. United also has three interest rate swap contracts that are not designated as hedging instruments but are economic hedges of market linked brokered certificates of deposit. The market linked brokered certificates of deposit contain embedded derivatives that are bifurcated from the host instruments and marked to market through earnings. The marks on the market linked swaps and the bifurcated embedded derivatives tend to move in opposite directions with changes in 90-day LIBOR and therefore provide an effective economic hedge.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 of Interest Rate Risk</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United’s objectives in using interest rate derivatives are to add stability to net interest revenue and to manage its exposure to interest rate movements. To accomplish this objective, United uses interest rate swaps as part of its interest rate risk management strategy. United’s interest rate swaps designated as cash flow hedges involved the payment of fixed-rate amounts to a counterparty in exchange for United receiving variable-rate payments over the life of the agreements without exchange of the underlying notional amount. United’s cash flow hedges were for the purpose of converting variable rate deposits and wholesale borrowings to the economic equivalent of a fixed rate to protect United in a rising rate environment. At June 30, 2015 United did not have any active cash flow hedges. At December 31, 2014, United had one swap contract outstanding with a total notional amount of $175 million that was designated as a cash flow hedge of indexed money market accounts. At June 30, 2014, United had two swap contracts outstanding with a total notional amount of $275 million that were designated as cash flow hedges of indexed money market accounts. During the second and fourth quarters of 2014, United de-designated swaps with a notional of $500 million and put on offsetting positions which had a similar effect to terminating the positions. In addition, in the first quarter of 2015, United terminated its one remaining cash flow hedge with a notional of $175 million. Changes in United’s balance sheet composition and interest rate risk position made the hedges no longer necessary as protection against rising interest rates. The loss remaining in other comprehensive income on the de-designated swaps is being amortized into earnings over the original term of the swaps as the forecasted transactions that the swaps were originally designated to hedge are still expected to occur.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4" w:name="page35"/>
    <w:bookmarkEnd w:id="34"/>
    <w:p>
      <w:pPr>
        <w:jc w:val="center"/>
        <w:ind w:right="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effective portion of changes in the fair value of derivatives designated and that qualify as cash flow hedges is recorded in accumulated other comprehensive income and is subsequently reclassified into earnings in the period that the hedged forecasted transaction affects earnings. Amounts reported in accumulated other comprehensive income related to derivatives will be reclassified to interest expense when the swaps become effective, as interest payments are made on United’s LIBOR based, variable-rate wholesale borrowings and indexed deposit accounts. United did not recognize any hedge ineffectiveness on active cash flow hedges during the three months ended June 30, 2015 but did recognize $7,000 in hedge ineffectiveness gains in interest expense during the six months ended June 30, 2015. United recognized $50,000 and $85,000, respectively, in hedge ineffectiveness losses in interest expense on active cash flow hedges during the three and six months ended June 30, 2014. United expects that $1.83 million will be reclassified as an increase to deposit interest expense over the next twelve months related to these cash flow hedges.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Hedges of Interest Rate Risk</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United is exposed to changes in the fair value of certain of its fixed rate obligations due to changes in interest rates. United uses interest rate swaps to manage its exposure to changes in fair value on these instruments attributable to changes in interest rates. Interest rate swaps designated as fair value hedges of brokered deposits involve the receipt of fixed-rate amounts from a counterparty in exchange for United making variable rate payments over the life of the agreements without the exchange of the underlying notional amount. Interest rate swaps designated as fair value hedges of fixed rate investments involve the receipt of variable-rate payments from a counterparty in exchange for United making fixed rate payments over the life of the instrument without the exchange of the underlying notional amount. At June 30, 2015, United had 15 interest rate swaps with an aggregate notional amount of $184 million that were designated as fair value hedges of interest rate risk and were pay-variable / receive-fixed swaps hedging the changes in the fair value of fixed rate brokered time deposits resulting from changes in interest rates. Also at June 30, 2015, United had 1 interest rate swap with a notional of $30 million that was designated as a pay-fixed / receive variable fair value hedge of changes in the fair value of a fixed rate corporate bond. At June 30, 2014, United had 16 interest rate swaps with an aggregate notional amount of $199 million that were designated as fair value hedges of interest rate risk. These contracts were pay-variable / receive-fixed swaps hedging changes in the fair value of fixed rate brokered time deposits resulting from changes in interest rates.</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 During the three and six months ended June 30, 2015, United recognized net gains of $207,000 and $170,000, respectively, and during the three and six months ended June 30, 2014, United recognized net losses of $236,000 and $625,000, respectively, related to ineffectiveness in the fair value hedging relationships. United also recognized net reductions of interest expense of $1.13 million and $2.26 million, respectively, for the three and six months ended June 30, 2015 and net reductions of interest expense of $1.22 million and $2.43 million, respectively, for the three and six months ended June 30, 2014 related to United’s fair value hedges of brokered time deposits, which includes net settlements on the derivatives. United recognized reductions of interest revenue on securities during the three and six months ended June 30, 2015 of $146,000 and $220,000, respectively, and reductions of interest revenue on securities during the three and six months ended June 30, 2014 of $425,000 and $955,000 related to United’s fair value hedges of corporate bonds.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Disclosure of the Effect of Derivative Instruments on the Income Statement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tables below present the effect of United’s derivative financial instruments on the consolidated statement of operations for the three and six months ended June 30, 2015 and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Derivatives in Fair Value Hedging Relationships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Location of Gain</w:t>
            </w:r>
          </w:p>
        </w:tc>
        <w:tc>
          <w:tcPr>
            <w:tcW w:w="280" w:type="dxa"/>
            <w:vAlign w:val="bottom"/>
          </w:tcPr>
          <w:p>
            <w:pPr>
              <w:spacing w:after="0"/>
              <w:rPr>
                <w:sz w:val="18"/>
                <w:szCs w:val="18"/>
                <w:color w:val="auto"/>
              </w:rPr>
            </w:pPr>
          </w:p>
        </w:tc>
        <w:tc>
          <w:tcPr>
            <w:tcW w:w="2720" w:type="dxa"/>
            <w:vAlign w:val="bottom"/>
            <w:gridSpan w:val="5"/>
          </w:tcPr>
          <w:p>
            <w:pPr>
              <w:jc w:val="center"/>
              <w:ind w:right="600"/>
              <w:spacing w:after="0"/>
              <w:rPr>
                <w:sz w:val="20"/>
                <w:szCs w:val="20"/>
                <w:color w:val="auto"/>
              </w:rPr>
            </w:pPr>
            <w:r>
              <w:rPr>
                <w:rFonts w:ascii="Arial" w:cs="Arial" w:eastAsia="Arial" w:hAnsi="Arial"/>
                <w:sz w:val="18"/>
                <w:szCs w:val="18"/>
                <w:b w:val="1"/>
                <w:bCs w:val="1"/>
                <w:color w:val="auto"/>
                <w:w w:val="90"/>
              </w:rPr>
              <w:t>Amount of Gain (Loss)</w:t>
            </w:r>
          </w:p>
        </w:tc>
        <w:tc>
          <w:tcPr>
            <w:tcW w:w="260" w:type="dxa"/>
            <w:vAlign w:val="bottom"/>
          </w:tcPr>
          <w:p>
            <w:pPr>
              <w:spacing w:after="0"/>
              <w:rPr>
                <w:sz w:val="18"/>
                <w:szCs w:val="18"/>
                <w:color w:val="auto"/>
              </w:rPr>
            </w:pPr>
          </w:p>
        </w:tc>
        <w:tc>
          <w:tcPr>
            <w:tcW w:w="244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0"/>
              </w:rPr>
              <w:t>Amount of Gain (Loss)</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(Loss) Recognized</w:t>
            </w:r>
          </w:p>
        </w:tc>
        <w:tc>
          <w:tcPr>
            <w:tcW w:w="280" w:type="dxa"/>
            <w:vAlign w:val="bottom"/>
          </w:tcPr>
          <w:p>
            <w:pPr>
              <w:spacing w:after="0"/>
              <w:rPr>
                <w:sz w:val="18"/>
                <w:szCs w:val="18"/>
                <w:color w:val="auto"/>
              </w:rPr>
            </w:pPr>
          </w:p>
        </w:tc>
        <w:tc>
          <w:tcPr>
            <w:tcW w:w="2720" w:type="dxa"/>
            <w:vAlign w:val="bottom"/>
            <w:gridSpan w:val="5"/>
          </w:tcPr>
          <w:p>
            <w:pPr>
              <w:jc w:val="center"/>
              <w:ind w:right="600"/>
              <w:spacing w:after="0"/>
              <w:rPr>
                <w:sz w:val="20"/>
                <w:szCs w:val="20"/>
                <w:color w:val="auto"/>
              </w:rPr>
            </w:pPr>
            <w:r>
              <w:rPr>
                <w:rFonts w:ascii="Arial" w:cs="Arial" w:eastAsia="Arial" w:hAnsi="Arial"/>
                <w:sz w:val="18"/>
                <w:szCs w:val="18"/>
                <w:b w:val="1"/>
                <w:bCs w:val="1"/>
                <w:color w:val="auto"/>
                <w:w w:val="88"/>
              </w:rPr>
              <w:t>Recognized in Income</w:t>
            </w:r>
          </w:p>
        </w:tc>
        <w:tc>
          <w:tcPr>
            <w:tcW w:w="260" w:type="dxa"/>
            <w:vAlign w:val="bottom"/>
          </w:tcPr>
          <w:p>
            <w:pPr>
              <w:spacing w:after="0"/>
              <w:rPr>
                <w:sz w:val="18"/>
                <w:szCs w:val="18"/>
                <w:color w:val="auto"/>
              </w:rPr>
            </w:pPr>
          </w:p>
        </w:tc>
        <w:tc>
          <w:tcPr>
            <w:tcW w:w="244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88"/>
              </w:rPr>
              <w:t>Recognized in Income</w:t>
            </w:r>
          </w:p>
        </w:tc>
        <w:tc>
          <w:tcPr>
            <w:tcW w:w="0" w:type="dxa"/>
            <w:vAlign w:val="bottom"/>
          </w:tcPr>
          <w:p>
            <w:pPr>
              <w:spacing w:after="0"/>
              <w:rPr>
                <w:sz w:val="1"/>
                <w:szCs w:val="1"/>
                <w:color w:val="auto"/>
              </w:rPr>
            </w:pPr>
          </w:p>
        </w:tc>
      </w:tr>
      <w:tr>
        <w:trPr>
          <w:trHeight w:val="241"/>
        </w:trPr>
        <w:tc>
          <w:tcPr>
            <w:tcW w:w="3780" w:type="dxa"/>
            <w:vAlign w:val="bottom"/>
          </w:tcPr>
          <w:p>
            <w:pPr>
              <w:spacing w:after="0"/>
              <w:rPr>
                <w:sz w:val="20"/>
                <w:szCs w:val="20"/>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 Income on</w:t>
            </w:r>
          </w:p>
        </w:tc>
        <w:tc>
          <w:tcPr>
            <w:tcW w:w="280" w:type="dxa"/>
            <w:vAlign w:val="bottom"/>
          </w:tcPr>
          <w:p>
            <w:pPr>
              <w:spacing w:after="0"/>
              <w:rPr>
                <w:sz w:val="20"/>
                <w:szCs w:val="20"/>
                <w:color w:val="auto"/>
              </w:rPr>
            </w:pPr>
          </w:p>
        </w:tc>
        <w:tc>
          <w:tcPr>
            <w:tcW w:w="164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1"/>
              </w:rPr>
              <w:t>on Derivative</w:t>
            </w: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gridSpan w:val="6"/>
          </w:tcPr>
          <w:p>
            <w:pPr>
              <w:jc w:val="center"/>
              <w:ind w:right="280"/>
              <w:spacing w:after="0"/>
              <w:rPr>
                <w:sz w:val="20"/>
                <w:szCs w:val="20"/>
                <w:color w:val="auto"/>
              </w:rPr>
            </w:pPr>
            <w:r>
              <w:rPr>
                <w:rFonts w:ascii="Arial" w:cs="Arial" w:eastAsia="Arial" w:hAnsi="Arial"/>
                <w:sz w:val="18"/>
                <w:szCs w:val="18"/>
                <w:b w:val="1"/>
                <w:bCs w:val="1"/>
                <w:color w:val="auto"/>
                <w:w w:val="91"/>
              </w:rPr>
              <w:t>on Hedged Item</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Derivative</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2014</w:t>
            </w:r>
          </w:p>
        </w:tc>
        <w:tc>
          <w:tcPr>
            <w:tcW w:w="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80" w:type="dxa"/>
            <w:vAlign w:val="bottom"/>
            <w:tcBorders>
              <w:top w:val="single" w:sz="8" w:color="F0FFFF"/>
            </w:tcBorders>
            <w:shd w:val="clear" w:color="auto" w:fill="F0FFFF"/>
          </w:tcPr>
          <w:p>
            <w:pPr>
              <w:ind w:left="20"/>
              <w:spacing w:after="0"/>
              <w:rPr>
                <w:sz w:val="20"/>
                <w:szCs w:val="20"/>
                <w:color w:val="auto"/>
              </w:rPr>
            </w:pPr>
            <w:r>
              <w:rPr>
                <w:rFonts w:ascii="Arial" w:cs="Arial" w:eastAsia="Arial" w:hAnsi="Arial"/>
                <w:sz w:val="18"/>
                <w:szCs w:val="18"/>
                <w:b w:val="1"/>
                <w:bCs w:val="1"/>
                <w:color w:val="auto"/>
              </w:rPr>
              <w:t>Three Months Ended June 30,</w:t>
            </w:r>
          </w:p>
        </w:tc>
        <w:tc>
          <w:tcPr>
            <w:tcW w:w="1720" w:type="dxa"/>
            <w:vAlign w:val="bottom"/>
            <w:tcBorders>
              <w:top w:val="single" w:sz="8" w:color="auto"/>
            </w:tcBorders>
            <w:shd w:val="clear" w:color="auto" w:fill="F0FFFF"/>
          </w:tcPr>
          <w:p>
            <w:pPr>
              <w:spacing w:after="0"/>
              <w:rPr>
                <w:sz w:val="21"/>
                <w:szCs w:val="21"/>
                <w:color w:val="auto"/>
              </w:rPr>
            </w:pPr>
          </w:p>
        </w:tc>
        <w:tc>
          <w:tcPr>
            <w:tcW w:w="220" w:type="dxa"/>
            <w:vAlign w:val="bottom"/>
            <w:tcBorders>
              <w:top w:val="single" w:sz="8" w:color="F0FFFF"/>
            </w:tcBorders>
            <w:shd w:val="clear" w:color="auto" w:fill="F0FFFF"/>
          </w:tcPr>
          <w:p>
            <w:pPr>
              <w:spacing w:after="0"/>
              <w:rPr>
                <w:sz w:val="21"/>
                <w:szCs w:val="21"/>
                <w:color w:val="auto"/>
              </w:rPr>
            </w:pPr>
          </w:p>
        </w:tc>
        <w:tc>
          <w:tcPr>
            <w:tcW w:w="280" w:type="dxa"/>
            <w:vAlign w:val="bottom"/>
            <w:tcBorders>
              <w:top w:val="single" w:sz="8" w:color="auto"/>
            </w:tcBorders>
            <w:shd w:val="clear" w:color="auto" w:fill="F0FFFF"/>
          </w:tcPr>
          <w:p>
            <w:pPr>
              <w:spacing w:after="0"/>
              <w:rPr>
                <w:sz w:val="21"/>
                <w:szCs w:val="21"/>
                <w:color w:val="auto"/>
              </w:rPr>
            </w:pPr>
          </w:p>
        </w:tc>
        <w:tc>
          <w:tcPr>
            <w:tcW w:w="880" w:type="dxa"/>
            <w:vAlign w:val="bottom"/>
            <w:tcBorders>
              <w:top w:val="single" w:sz="8" w:color="auto"/>
            </w:tcBorders>
            <w:shd w:val="clear" w:color="auto" w:fill="F0FFFF"/>
          </w:tcPr>
          <w:p>
            <w:pPr>
              <w:spacing w:after="0"/>
              <w:rPr>
                <w:sz w:val="21"/>
                <w:szCs w:val="21"/>
                <w:color w:val="auto"/>
              </w:rPr>
            </w:pPr>
          </w:p>
        </w:tc>
        <w:tc>
          <w:tcPr>
            <w:tcW w:w="360" w:type="dxa"/>
            <w:vAlign w:val="bottom"/>
            <w:tcBorders>
              <w:top w:val="single" w:sz="8" w:color="F0FFFF"/>
            </w:tcBorders>
            <w:shd w:val="clear" w:color="auto" w:fill="F0FFFF"/>
          </w:tcPr>
          <w:p>
            <w:pPr>
              <w:spacing w:after="0"/>
              <w:rPr>
                <w:sz w:val="21"/>
                <w:szCs w:val="21"/>
                <w:color w:val="auto"/>
              </w:rPr>
            </w:pPr>
          </w:p>
        </w:tc>
        <w:tc>
          <w:tcPr>
            <w:tcW w:w="400" w:type="dxa"/>
            <w:vAlign w:val="bottom"/>
            <w:tcBorders>
              <w:top w:val="single" w:sz="8" w:color="auto"/>
            </w:tcBorders>
            <w:shd w:val="clear" w:color="auto" w:fill="F0FFFF"/>
          </w:tcPr>
          <w:p>
            <w:pPr>
              <w:spacing w:after="0"/>
              <w:rPr>
                <w:sz w:val="21"/>
                <w:szCs w:val="21"/>
                <w:color w:val="auto"/>
              </w:rPr>
            </w:pPr>
          </w:p>
        </w:tc>
        <w:tc>
          <w:tcPr>
            <w:tcW w:w="760" w:type="dxa"/>
            <w:vAlign w:val="bottom"/>
            <w:tcBorders>
              <w:top w:val="single" w:sz="8" w:color="auto"/>
            </w:tcBorders>
            <w:shd w:val="clear" w:color="auto" w:fill="F0FFFF"/>
          </w:tcPr>
          <w:p>
            <w:pPr>
              <w:spacing w:after="0"/>
              <w:rPr>
                <w:sz w:val="21"/>
                <w:szCs w:val="21"/>
                <w:color w:val="auto"/>
              </w:rPr>
            </w:pPr>
          </w:p>
        </w:tc>
        <w:tc>
          <w:tcPr>
            <w:tcW w:w="320" w:type="dxa"/>
            <w:vAlign w:val="bottom"/>
            <w:tcBorders>
              <w:top w:val="single" w:sz="8" w:color="F0FFFF"/>
            </w:tcBorders>
            <w:shd w:val="clear" w:color="auto" w:fill="F0FFFF"/>
          </w:tcPr>
          <w:p>
            <w:pPr>
              <w:spacing w:after="0"/>
              <w:rPr>
                <w:sz w:val="21"/>
                <w:szCs w:val="21"/>
                <w:color w:val="auto"/>
              </w:rPr>
            </w:pPr>
          </w:p>
        </w:tc>
        <w:tc>
          <w:tcPr>
            <w:tcW w:w="260" w:type="dxa"/>
            <w:vAlign w:val="bottom"/>
            <w:tcBorders>
              <w:top w:val="single" w:sz="8" w:color="auto"/>
            </w:tcBorders>
            <w:shd w:val="clear" w:color="auto" w:fill="F0FFFF"/>
          </w:tcPr>
          <w:p>
            <w:pPr>
              <w:spacing w:after="0"/>
              <w:rPr>
                <w:sz w:val="21"/>
                <w:szCs w:val="21"/>
                <w:color w:val="auto"/>
              </w:rPr>
            </w:pPr>
          </w:p>
        </w:tc>
        <w:tc>
          <w:tcPr>
            <w:tcW w:w="880" w:type="dxa"/>
            <w:vAlign w:val="bottom"/>
            <w:tcBorders>
              <w:top w:val="single" w:sz="8" w:color="auto"/>
            </w:tcBorders>
            <w:shd w:val="clear" w:color="auto" w:fill="F0FFFF"/>
          </w:tcPr>
          <w:p>
            <w:pPr>
              <w:spacing w:after="0"/>
              <w:rPr>
                <w:sz w:val="21"/>
                <w:szCs w:val="21"/>
                <w:color w:val="auto"/>
              </w:rPr>
            </w:pPr>
          </w:p>
        </w:tc>
        <w:tc>
          <w:tcPr>
            <w:tcW w:w="180" w:type="dxa"/>
            <w:vAlign w:val="bottom"/>
            <w:tcBorders>
              <w:top w:val="single" w:sz="8" w:color="F0FFFF"/>
            </w:tcBorders>
            <w:shd w:val="clear" w:color="auto" w:fill="F0FFFF"/>
          </w:tcPr>
          <w:p>
            <w:pPr>
              <w:spacing w:after="0"/>
              <w:rPr>
                <w:sz w:val="21"/>
                <w:szCs w:val="21"/>
                <w:color w:val="auto"/>
              </w:rPr>
            </w:pPr>
          </w:p>
        </w:tc>
        <w:tc>
          <w:tcPr>
            <w:tcW w:w="140" w:type="dxa"/>
            <w:vAlign w:val="bottom"/>
            <w:tcBorders>
              <w:top w:val="single" w:sz="8" w:color="F0FFFF"/>
            </w:tcBorders>
            <w:shd w:val="clear" w:color="auto" w:fill="F0FFFF"/>
          </w:tcPr>
          <w:p>
            <w:pPr>
              <w:spacing w:after="0"/>
              <w:rPr>
                <w:sz w:val="21"/>
                <w:szCs w:val="21"/>
                <w:color w:val="auto"/>
              </w:rPr>
            </w:pPr>
          </w:p>
        </w:tc>
        <w:tc>
          <w:tcPr>
            <w:tcW w:w="260" w:type="dxa"/>
            <w:vAlign w:val="bottom"/>
            <w:tcBorders>
              <w:top w:val="single" w:sz="8" w:color="auto"/>
            </w:tcBorders>
            <w:shd w:val="clear" w:color="auto" w:fill="F0FFFF"/>
          </w:tcPr>
          <w:p>
            <w:pPr>
              <w:spacing w:after="0"/>
              <w:rPr>
                <w:sz w:val="21"/>
                <w:szCs w:val="21"/>
                <w:color w:val="auto"/>
              </w:rPr>
            </w:pPr>
          </w:p>
        </w:tc>
        <w:tc>
          <w:tcPr>
            <w:tcW w:w="880" w:type="dxa"/>
            <w:vAlign w:val="bottom"/>
            <w:tcBorders>
              <w:top w:val="single" w:sz="8" w:color="auto"/>
            </w:tcBorders>
            <w:shd w:val="clear" w:color="auto" w:fill="F0FFFF"/>
          </w:tcPr>
          <w:p>
            <w:pPr>
              <w:spacing w:after="0"/>
              <w:rPr>
                <w:sz w:val="21"/>
                <w:szCs w:val="21"/>
                <w:color w:val="auto"/>
              </w:rPr>
            </w:pPr>
          </w:p>
        </w:tc>
        <w:tc>
          <w:tcPr>
            <w:tcW w:w="100" w:type="dxa"/>
            <w:vAlign w:val="bottom"/>
            <w:tcBorders>
              <w:top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Fair value hedges of brokered CD’s</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(3,145)</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4,262</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3,287</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(4,382)</w:t>
            </w:r>
          </w:p>
        </w:tc>
        <w:tc>
          <w:tcPr>
            <w:tcW w:w="0" w:type="dxa"/>
            <w:vAlign w:val="bottom"/>
          </w:tcPr>
          <w:p>
            <w:pPr>
              <w:spacing w:after="0"/>
              <w:rPr>
                <w:sz w:val="1"/>
                <w:szCs w:val="1"/>
                <w:color w:val="auto"/>
              </w:rPr>
            </w:pPr>
          </w:p>
        </w:tc>
      </w:tr>
      <w:tr>
        <w:trPr>
          <w:trHeight w:val="216"/>
        </w:trPr>
        <w:tc>
          <w:tcPr>
            <w:tcW w:w="3780" w:type="dxa"/>
            <w:vAlign w:val="bottom"/>
            <w:shd w:val="clear" w:color="auto" w:fill="F0FFFF"/>
          </w:tcPr>
          <w:p>
            <w:pPr>
              <w:ind w:left="20"/>
              <w:spacing w:after="0"/>
              <w:rPr>
                <w:sz w:val="20"/>
                <w:szCs w:val="20"/>
                <w:color w:val="auto"/>
              </w:rPr>
            </w:pPr>
            <w:r>
              <w:rPr>
                <w:rFonts w:ascii="Arial" w:cs="Arial" w:eastAsia="Arial" w:hAnsi="Arial"/>
                <w:sz w:val="18"/>
                <w:szCs w:val="18"/>
                <w:color w:val="auto"/>
              </w:rPr>
              <w:t>Fair value hedges of corporate bonds</w:t>
            </w:r>
          </w:p>
        </w:tc>
        <w:tc>
          <w:tcPr>
            <w:tcW w:w="1940" w:type="dxa"/>
            <w:vAlign w:val="bottom"/>
            <w:gridSpan w:val="2"/>
            <w:shd w:val="clear" w:color="auto" w:fill="F0FFFF"/>
          </w:tcPr>
          <w:p>
            <w:pPr>
              <w:ind w:left="20"/>
              <w:spacing w:after="0"/>
              <w:rPr>
                <w:sz w:val="20"/>
                <w:szCs w:val="20"/>
                <w:color w:val="auto"/>
              </w:rPr>
            </w:pPr>
            <w:r>
              <w:rPr>
                <w:rFonts w:ascii="Arial" w:cs="Arial" w:eastAsia="Arial" w:hAnsi="Arial"/>
                <w:sz w:val="18"/>
                <w:szCs w:val="18"/>
                <w:color w:val="auto"/>
              </w:rPr>
              <w:t>Interest revenue</w:t>
            </w:r>
          </w:p>
        </w:tc>
        <w:tc>
          <w:tcPr>
            <w:tcW w:w="28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1,315</w:t>
            </w:r>
          </w:p>
        </w:tc>
        <w:tc>
          <w:tcPr>
            <w:tcW w:w="36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(783)</w:t>
            </w:r>
          </w:p>
        </w:tc>
        <w:tc>
          <w:tcPr>
            <w:tcW w:w="26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(1,250)</w:t>
            </w:r>
          </w:p>
        </w:tc>
        <w:tc>
          <w:tcPr>
            <w:tcW w:w="1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0"/>
        </w:trPr>
        <w:tc>
          <w:tcPr>
            <w:tcW w:w="3780" w:type="dxa"/>
            <w:vAlign w:val="bottom"/>
            <w:tcBorders>
              <w:top w:val="single" w:sz="8" w:color="F0FFFF"/>
            </w:tcBorders>
          </w:tcPr>
          <w:p>
            <w:pPr>
              <w:spacing w:after="0" w:line="20" w:lineRule="exact"/>
              <w:rPr>
                <w:sz w:val="1"/>
                <w:szCs w:val="1"/>
                <w:color w:val="auto"/>
              </w:rPr>
            </w:pPr>
          </w:p>
        </w:tc>
        <w:tc>
          <w:tcPr>
            <w:tcW w:w="17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F0FFFF"/>
            </w:tcBorders>
            <w:vMerge w:val="restart"/>
          </w:tcPr>
          <w:p>
            <w:pPr>
              <w:jc w:val="right"/>
              <w:ind w:right="220"/>
              <w:spacing w:after="0"/>
              <w:rPr>
                <w:sz w:val="20"/>
                <w:szCs w:val="20"/>
                <w:color w:val="auto"/>
              </w:rPr>
            </w:pPr>
            <w:r>
              <w:rPr>
                <w:rFonts w:ascii="Arial" w:cs="Arial" w:eastAsia="Arial" w:hAnsi="Arial"/>
                <w:sz w:val="16"/>
                <w:szCs w:val="16"/>
                <w:color w:val="auto"/>
                <w:w w:val="74"/>
              </w:rPr>
              <w:t>)</w:t>
            </w: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44"/>
        </w:trPr>
        <w:tc>
          <w:tcPr>
            <w:tcW w:w="37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(1,830</w:t>
            </w:r>
          </w:p>
        </w:tc>
        <w:tc>
          <w:tcPr>
            <w:tcW w:w="360" w:type="dxa"/>
            <w:vAlign w:val="bottom"/>
            <w:vMerge w:val="continue"/>
          </w:tcPr>
          <w:p>
            <w:pPr>
              <w:spacing w:after="0"/>
              <w:rPr>
                <w:sz w:val="21"/>
                <w:szCs w:val="21"/>
                <w:color w:val="auto"/>
              </w:rPr>
            </w:pP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3,479</w:t>
            </w:r>
          </w:p>
        </w:tc>
        <w:tc>
          <w:tcPr>
            <w:tcW w:w="320" w:type="dxa"/>
            <w:vAlign w:val="bottom"/>
          </w:tcPr>
          <w:p>
            <w:pPr>
              <w:spacing w:after="0"/>
              <w:rPr>
                <w:sz w:val="21"/>
                <w:szCs w:val="21"/>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2,037</w:t>
            </w:r>
          </w:p>
        </w:tc>
        <w:tc>
          <w:tcPr>
            <w:tcW w:w="180" w:type="dxa"/>
            <w:vAlign w:val="bottom"/>
          </w:tcPr>
          <w:p>
            <w:pPr>
              <w:spacing w:after="0"/>
              <w:rPr>
                <w:sz w:val="21"/>
                <w:szCs w:val="21"/>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(3,715</w:t>
            </w:r>
          </w:p>
        </w:tc>
        <w:tc>
          <w:tcPr>
            <w:tcW w:w="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tcBorders>
              <w:bottom w:val="single" w:sz="8" w:color="F0FFFF"/>
            </w:tcBorders>
          </w:tcPr>
          <w:p>
            <w:pPr>
              <w:spacing w:after="0" w:line="20" w:lineRule="exact"/>
              <w:rPr>
                <w:sz w:val="1"/>
                <w:szCs w:val="1"/>
                <w:color w:val="auto"/>
              </w:rPr>
            </w:pPr>
          </w:p>
        </w:tc>
        <w:tc>
          <w:tcPr>
            <w:tcW w:w="172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F0FF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shd w:val="clear" w:color="auto" w:fill="F0FFFF"/>
          </w:tcPr>
          <w:p>
            <w:pPr>
              <w:spacing w:after="0"/>
              <w:rPr>
                <w:sz w:val="20"/>
                <w:szCs w:val="20"/>
                <w:color w:val="auto"/>
              </w:rPr>
            </w:pPr>
          </w:p>
        </w:tc>
        <w:tc>
          <w:tcPr>
            <w:tcW w:w="172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880" w:type="dxa"/>
            <w:vAlign w:val="bottom"/>
            <w:shd w:val="clear" w:color="auto" w:fill="F0FFFF"/>
          </w:tcPr>
          <w:p>
            <w:pPr>
              <w:spacing w:after="0"/>
              <w:rPr>
                <w:sz w:val="20"/>
                <w:szCs w:val="20"/>
                <w:color w:val="auto"/>
              </w:rPr>
            </w:pPr>
          </w:p>
        </w:tc>
        <w:tc>
          <w:tcPr>
            <w:tcW w:w="360" w:type="dxa"/>
            <w:vAlign w:val="bottom"/>
            <w:shd w:val="clear" w:color="auto" w:fill="F0FFFF"/>
          </w:tcPr>
          <w:p>
            <w:pPr>
              <w:spacing w:after="0"/>
              <w:rPr>
                <w:sz w:val="20"/>
                <w:szCs w:val="20"/>
                <w:color w:val="auto"/>
              </w:rPr>
            </w:pPr>
          </w:p>
        </w:tc>
        <w:tc>
          <w:tcPr>
            <w:tcW w:w="400" w:type="dxa"/>
            <w:vAlign w:val="bottom"/>
            <w:shd w:val="clear" w:color="auto" w:fill="F0FFFF"/>
          </w:tcPr>
          <w:p>
            <w:pPr>
              <w:spacing w:after="0"/>
              <w:rPr>
                <w:sz w:val="20"/>
                <w:szCs w:val="20"/>
                <w:color w:val="auto"/>
              </w:rPr>
            </w:pPr>
          </w:p>
        </w:tc>
        <w:tc>
          <w:tcPr>
            <w:tcW w:w="760" w:type="dxa"/>
            <w:vAlign w:val="bottom"/>
            <w:shd w:val="clear" w:color="auto" w:fill="F0FFFF"/>
          </w:tcPr>
          <w:p>
            <w:pPr>
              <w:spacing w:after="0"/>
              <w:rPr>
                <w:sz w:val="20"/>
                <w:szCs w:val="20"/>
                <w:color w:val="auto"/>
              </w:rPr>
            </w:pPr>
          </w:p>
        </w:tc>
        <w:tc>
          <w:tcPr>
            <w:tcW w:w="32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88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88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1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F0FFFF"/>
          </w:tcPr>
          <w:p>
            <w:pPr>
              <w:ind w:left="20"/>
              <w:spacing w:after="0"/>
              <w:rPr>
                <w:sz w:val="20"/>
                <w:szCs w:val="20"/>
                <w:color w:val="auto"/>
              </w:rPr>
            </w:pPr>
            <w:r>
              <w:rPr>
                <w:rFonts w:ascii="Arial" w:cs="Arial" w:eastAsia="Arial" w:hAnsi="Arial"/>
                <w:sz w:val="18"/>
                <w:szCs w:val="18"/>
                <w:color w:val="auto"/>
              </w:rPr>
              <w:t>Fair value hedges of brokered CD’s</w:t>
            </w:r>
          </w:p>
        </w:tc>
        <w:tc>
          <w:tcPr>
            <w:tcW w:w="1940" w:type="dxa"/>
            <w:vAlign w:val="bottom"/>
            <w:gridSpan w:val="2"/>
            <w:shd w:val="clear" w:color="auto" w:fill="F0FF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(775)</w:t>
            </w:r>
          </w:p>
        </w:tc>
        <w:tc>
          <w:tcPr>
            <w:tcW w:w="400" w:type="dxa"/>
            <w:vAlign w:val="bottom"/>
            <w:shd w:val="clear" w:color="auto" w:fill="F0FFFF"/>
          </w:tcPr>
          <w:p>
            <w:pPr>
              <w:jc w:val="right"/>
              <w:ind w:right="2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10,115</w:t>
            </w:r>
          </w:p>
        </w:tc>
        <w:tc>
          <w:tcPr>
            <w:tcW w:w="260" w:type="dxa"/>
            <w:vAlign w:val="bottom"/>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882</w:t>
            </w:r>
          </w:p>
        </w:tc>
        <w:tc>
          <w:tcPr>
            <w:tcW w:w="4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(10,416)</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Fair value hedges of corporate bonds</w:t>
            </w:r>
          </w:p>
        </w:tc>
        <w:tc>
          <w:tcPr>
            <w:tcW w:w="1940" w:type="dxa"/>
            <w:vAlign w:val="bottom"/>
            <w:gridSpan w:val="2"/>
          </w:tcPr>
          <w:p>
            <w:pPr>
              <w:ind w:left="20"/>
              <w:spacing w:after="0"/>
              <w:rPr>
                <w:sz w:val="20"/>
                <w:szCs w:val="20"/>
                <w:color w:val="auto"/>
              </w:rPr>
            </w:pPr>
            <w:r>
              <w:rPr>
                <w:rFonts w:ascii="Arial" w:cs="Arial" w:eastAsia="Arial" w:hAnsi="Arial"/>
                <w:sz w:val="18"/>
                <w:szCs w:val="18"/>
                <w:color w:val="auto"/>
              </w:rPr>
              <w:t>Interest revenue</w:t>
            </w:r>
          </w:p>
        </w:tc>
        <w:tc>
          <w:tcPr>
            <w:tcW w:w="2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970</w:t>
            </w:r>
          </w:p>
        </w:tc>
        <w:tc>
          <w:tcPr>
            <w:tcW w:w="4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(2,487)</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(907)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7"/>
        </w:trPr>
        <w:tc>
          <w:tcPr>
            <w:tcW w:w="3780" w:type="dxa"/>
            <w:vAlign w:val="bottom"/>
            <w:shd w:val="clear" w:color="auto" w:fill="F0FFFF"/>
          </w:tcPr>
          <w:p>
            <w:pPr>
              <w:spacing w:after="0"/>
              <w:rPr>
                <w:sz w:val="2"/>
                <w:szCs w:val="2"/>
                <w:color w:val="auto"/>
              </w:rPr>
            </w:pPr>
          </w:p>
        </w:tc>
        <w:tc>
          <w:tcPr>
            <w:tcW w:w="1720" w:type="dxa"/>
            <w:vAlign w:val="bottom"/>
            <w:shd w:val="clear" w:color="auto" w:fill="F0FFFF"/>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shd w:val="clear" w:color="auto" w:fill="F0FF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shd w:val="clear" w:color="auto" w:fill="F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vMerge w:val="restart"/>
            <w:shd w:val="clear" w:color="auto" w:fill="F0FF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F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vMerge w:val="restart"/>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7"/>
        </w:trPr>
        <w:tc>
          <w:tcPr>
            <w:tcW w:w="3780" w:type="dxa"/>
            <w:vAlign w:val="bottom"/>
            <w:shd w:val="clear" w:color="auto" w:fill="F0FFFF"/>
          </w:tcPr>
          <w:p>
            <w:pPr>
              <w:spacing w:after="0"/>
              <w:rPr>
                <w:sz w:val="22"/>
                <w:szCs w:val="22"/>
                <w:color w:val="auto"/>
              </w:rPr>
            </w:pPr>
          </w:p>
        </w:tc>
        <w:tc>
          <w:tcPr>
            <w:tcW w:w="1720" w:type="dxa"/>
            <w:vAlign w:val="bottom"/>
            <w:shd w:val="clear" w:color="auto" w:fill="F0FFFF"/>
          </w:tcPr>
          <w:p>
            <w:pPr>
              <w:spacing w:after="0"/>
              <w:rPr>
                <w:sz w:val="22"/>
                <w:szCs w:val="22"/>
                <w:color w:val="auto"/>
              </w:rPr>
            </w:pPr>
          </w:p>
        </w:tc>
        <w:tc>
          <w:tcPr>
            <w:tcW w:w="220" w:type="dxa"/>
            <w:vAlign w:val="bottom"/>
            <w:shd w:val="clear" w:color="auto" w:fill="F0FFFF"/>
          </w:tcPr>
          <w:p>
            <w:pPr>
              <w:spacing w:after="0"/>
              <w:rPr>
                <w:sz w:val="22"/>
                <w:szCs w:val="22"/>
                <w:color w:val="auto"/>
              </w:rPr>
            </w:pPr>
          </w:p>
        </w:tc>
        <w:tc>
          <w:tcPr>
            <w:tcW w:w="280" w:type="dxa"/>
            <w:vAlign w:val="bottom"/>
            <w:shd w:val="clear" w:color="auto" w:fill="F0FF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195</w:t>
            </w:r>
          </w:p>
        </w:tc>
        <w:tc>
          <w:tcPr>
            <w:tcW w:w="400" w:type="dxa"/>
            <w:vAlign w:val="bottom"/>
            <w:shd w:val="clear" w:color="auto" w:fill="F0FFFF"/>
          </w:tcPr>
          <w:p>
            <w:pPr>
              <w:jc w:val="right"/>
              <w:ind w:right="2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7,628</w:t>
            </w:r>
          </w:p>
        </w:tc>
        <w:tc>
          <w:tcPr>
            <w:tcW w:w="260" w:type="dxa"/>
            <w:vAlign w:val="bottom"/>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w:t>
            </w:r>
          </w:p>
        </w:tc>
        <w:tc>
          <w:tcPr>
            <w:tcW w:w="180" w:type="dxa"/>
            <w:vAlign w:val="bottom"/>
            <w:vMerge w:val="continue"/>
            <w:shd w:val="clear" w:color="auto" w:fill="F0FFFF"/>
          </w:tcPr>
          <w:p>
            <w:pPr>
              <w:spacing w:after="0"/>
              <w:rPr>
                <w:sz w:val="22"/>
                <w:szCs w:val="22"/>
                <w:color w:val="auto"/>
              </w:rPr>
            </w:pPr>
          </w:p>
        </w:tc>
        <w:tc>
          <w:tcPr>
            <w:tcW w:w="4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(8,253</w:t>
            </w:r>
          </w:p>
        </w:tc>
        <w:tc>
          <w:tcPr>
            <w:tcW w:w="100" w:type="dxa"/>
            <w:vAlign w:val="bottom"/>
            <w:vMerge w:val="continue"/>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F0FFFF"/>
            </w:tcBorders>
          </w:tcPr>
          <w:p>
            <w:pPr>
              <w:spacing w:after="0" w:line="20" w:lineRule="exact"/>
              <w:rPr>
                <w:sz w:val="1"/>
                <w:szCs w:val="1"/>
                <w:color w:val="auto"/>
              </w:rPr>
            </w:pPr>
          </w:p>
        </w:tc>
        <w:tc>
          <w:tcPr>
            <w:tcW w:w="17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F0FF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certain cases, the estate of deceased brokered certificate of deposit holders may put the certificate of deposit back to the issuing bank at par upon the death of the holder. When these estate puts occur, a gain or loss is recognized for the difference between the fair value and the par amount of the deposits put back. The change in the fair value of brokered time deposits that are being hedged in fair value hedging relationships reported in the table above includes gains and losses from estate puts and such gains and losses are included in the amount of reported ineffectiveness gains or losses.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964" w:gutter="0" w:footer="0" w:header="0"/>
        </w:sectPr>
      </w:pPr>
    </w:p>
    <w:bookmarkStart w:id="35" w:name="page36"/>
    <w:bookmarkEnd w:id="35"/>
    <w:p>
      <w:pPr>
        <w:jc w:val="center"/>
        <w:ind w:right="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gridSpan w:val="11"/>
          </w:tcPr>
          <w:p>
            <w:pPr>
              <w:spacing w:after="0"/>
              <w:rPr>
                <w:sz w:val="20"/>
                <w:szCs w:val="20"/>
                <w:color w:val="auto"/>
              </w:rPr>
            </w:pPr>
            <w:r>
              <w:rPr>
                <w:rFonts w:ascii="Arial" w:cs="Arial" w:eastAsia="Arial" w:hAnsi="Arial"/>
                <w:sz w:val="18"/>
                <w:szCs w:val="18"/>
                <w:b w:val="1"/>
                <w:bCs w:val="1"/>
                <w:color w:val="auto"/>
              </w:rPr>
              <w:t xml:space="preserve">Derivatives in Cash Flow Hedging Relationships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7"/>
          </w:tcPr>
          <w:p>
            <w:pPr>
              <w:jc w:val="center"/>
              <w:ind w:right="380"/>
              <w:spacing w:after="0"/>
              <w:rPr>
                <w:sz w:val="20"/>
                <w:szCs w:val="20"/>
                <w:color w:val="auto"/>
              </w:rPr>
            </w:pPr>
            <w:r>
              <w:rPr>
                <w:rFonts w:ascii="Arial" w:cs="Arial" w:eastAsia="Arial" w:hAnsi="Arial"/>
                <w:sz w:val="18"/>
                <w:szCs w:val="18"/>
                <w:b w:val="1"/>
                <w:bCs w:val="1"/>
                <w:color w:val="auto"/>
                <w:w w:val="90"/>
              </w:rPr>
              <w:t>Amount of Gain (Loss)</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7"/>
          </w:tcPr>
          <w:p>
            <w:pPr>
              <w:jc w:val="center"/>
              <w:ind w:right="320"/>
              <w:spacing w:after="0"/>
              <w:rPr>
                <w:sz w:val="20"/>
                <w:szCs w:val="20"/>
                <w:color w:val="auto"/>
              </w:rPr>
            </w:pPr>
            <w:r>
              <w:rPr>
                <w:rFonts w:ascii="Arial" w:cs="Arial" w:eastAsia="Arial" w:hAnsi="Arial"/>
                <w:sz w:val="18"/>
                <w:szCs w:val="18"/>
                <w:b w:val="1"/>
                <w:bCs w:val="1"/>
                <w:color w:val="auto"/>
                <w:w w:val="90"/>
              </w:rPr>
              <w:t>Recognized in Other</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7"/>
          </w:tcPr>
          <w:p>
            <w:pPr>
              <w:jc w:val="center"/>
              <w:ind w:right="380"/>
              <w:spacing w:after="0"/>
              <w:rPr>
                <w:sz w:val="20"/>
                <w:szCs w:val="20"/>
                <w:color w:val="auto"/>
              </w:rPr>
            </w:pPr>
            <w:r>
              <w:rPr>
                <w:rFonts w:ascii="Arial" w:cs="Arial" w:eastAsia="Arial" w:hAnsi="Arial"/>
                <w:sz w:val="18"/>
                <w:szCs w:val="18"/>
                <w:b w:val="1"/>
                <w:bCs w:val="1"/>
                <w:color w:val="auto"/>
                <w:w w:val="88"/>
              </w:rPr>
              <w:t>Comprehensive Income</w:t>
            </w:r>
          </w:p>
        </w:tc>
        <w:tc>
          <w:tcPr>
            <w:tcW w:w="3900" w:type="dxa"/>
            <w:vAlign w:val="bottom"/>
            <w:gridSpan w:val="11"/>
          </w:tcPr>
          <w:p>
            <w:pPr>
              <w:jc w:val="center"/>
              <w:ind w:right="260"/>
              <w:spacing w:after="0"/>
              <w:rPr>
                <w:sz w:val="20"/>
                <w:szCs w:val="20"/>
                <w:color w:val="auto"/>
              </w:rPr>
            </w:pPr>
            <w:r>
              <w:rPr>
                <w:rFonts w:ascii="Arial" w:cs="Arial" w:eastAsia="Arial" w:hAnsi="Arial"/>
                <w:sz w:val="18"/>
                <w:szCs w:val="18"/>
                <w:b w:val="1"/>
                <w:bCs w:val="1"/>
                <w:color w:val="auto"/>
                <w:w w:val="89"/>
              </w:rPr>
              <w:t>Gain (Loss) Reclassified from Accumulated</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7"/>
          </w:tcPr>
          <w:p>
            <w:pPr>
              <w:jc w:val="center"/>
              <w:ind w:right="400"/>
              <w:spacing w:after="0"/>
              <w:rPr>
                <w:sz w:val="20"/>
                <w:szCs w:val="20"/>
                <w:color w:val="auto"/>
              </w:rPr>
            </w:pPr>
            <w:r>
              <w:rPr>
                <w:rFonts w:ascii="Arial" w:cs="Arial" w:eastAsia="Arial" w:hAnsi="Arial"/>
                <w:sz w:val="18"/>
                <w:szCs w:val="18"/>
                <w:b w:val="1"/>
                <w:bCs w:val="1"/>
                <w:color w:val="auto"/>
                <w:w w:val="91"/>
              </w:rPr>
              <w:t>on Derivative (Effective</w:t>
            </w:r>
          </w:p>
        </w:tc>
        <w:tc>
          <w:tcPr>
            <w:tcW w:w="3900" w:type="dxa"/>
            <w:vAlign w:val="bottom"/>
            <w:gridSpan w:val="11"/>
          </w:tcPr>
          <w:p>
            <w:pPr>
              <w:jc w:val="center"/>
              <w:ind w:right="260"/>
              <w:spacing w:after="0"/>
              <w:rPr>
                <w:sz w:val="20"/>
                <w:szCs w:val="20"/>
                <w:color w:val="auto"/>
              </w:rPr>
            </w:pPr>
            <w:r>
              <w:rPr>
                <w:rFonts w:ascii="Arial" w:cs="Arial" w:eastAsia="Arial" w:hAnsi="Arial"/>
                <w:sz w:val="18"/>
                <w:szCs w:val="18"/>
                <w:b w:val="1"/>
                <w:bCs w:val="1"/>
                <w:color w:val="auto"/>
                <w:w w:val="90"/>
              </w:rPr>
              <w:t>Other Comprehensive Income into Income</w:t>
            </w:r>
          </w:p>
        </w:tc>
        <w:tc>
          <w:tcPr>
            <w:tcW w:w="3580" w:type="dxa"/>
            <w:vAlign w:val="bottom"/>
            <w:gridSpan w:val="9"/>
          </w:tcPr>
          <w:p>
            <w:pPr>
              <w:jc w:val="center"/>
              <w:spacing w:after="0"/>
              <w:rPr>
                <w:sz w:val="20"/>
                <w:szCs w:val="20"/>
                <w:color w:val="auto"/>
              </w:rPr>
            </w:pPr>
            <w:r>
              <w:rPr>
                <w:rFonts w:ascii="Arial" w:cs="Arial" w:eastAsia="Arial" w:hAnsi="Arial"/>
                <w:sz w:val="18"/>
                <w:szCs w:val="18"/>
                <w:b w:val="1"/>
                <w:bCs w:val="1"/>
                <w:color w:val="auto"/>
                <w:w w:val="89"/>
              </w:rPr>
              <w:t>Gain (Loss) Recognized in Income on</w:t>
            </w:r>
          </w:p>
        </w:tc>
      </w:tr>
      <w:tr>
        <w:trPr>
          <w:trHeight w:val="241"/>
        </w:trPr>
        <w:tc>
          <w:tcPr>
            <w:tcW w:w="1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b w:val="1"/>
                <w:bCs w:val="1"/>
                <w:color w:val="auto"/>
                <w:w w:val="92"/>
              </w:rPr>
              <w:t>Portion)</w:t>
            </w: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60" w:type="dxa"/>
            <w:vAlign w:val="bottom"/>
            <w:tcBorders>
              <w:bottom w:val="single" w:sz="8" w:color="auto"/>
            </w:tcBorders>
            <w:gridSpan w:val="6"/>
          </w:tcPr>
          <w:p>
            <w:pPr>
              <w:jc w:val="center"/>
              <w:ind w:left="930"/>
              <w:spacing w:after="0"/>
              <w:rPr>
                <w:sz w:val="20"/>
                <w:szCs w:val="20"/>
                <w:color w:val="auto"/>
              </w:rPr>
            </w:pPr>
            <w:r>
              <w:rPr>
                <w:rFonts w:ascii="Arial" w:cs="Arial" w:eastAsia="Arial" w:hAnsi="Arial"/>
                <w:sz w:val="18"/>
                <w:szCs w:val="18"/>
                <w:b w:val="1"/>
                <w:bCs w:val="1"/>
                <w:color w:val="auto"/>
                <w:w w:val="92"/>
              </w:rPr>
              <w:t>(Effective Portion)</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58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b w:val="1"/>
                <w:bCs w:val="1"/>
                <w:color w:val="auto"/>
                <w:w w:val="92"/>
              </w:rPr>
              <w:t>Derivative (Ineffective Portion)</w:t>
            </w:r>
          </w:p>
        </w:tc>
      </w:tr>
      <w:tr>
        <w:trPr>
          <w:trHeight w:val="223"/>
        </w:trPr>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2014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ind w:left="340"/>
              <w:spacing w:after="0"/>
              <w:rPr>
                <w:sz w:val="20"/>
                <w:szCs w:val="20"/>
                <w:color w:val="auto"/>
              </w:rPr>
            </w:pPr>
            <w:r>
              <w:rPr>
                <w:rFonts w:ascii="Arial" w:cs="Arial" w:eastAsia="Arial" w:hAnsi="Arial"/>
                <w:sz w:val="18"/>
                <w:szCs w:val="18"/>
                <w:b w:val="1"/>
                <w:bCs w:val="1"/>
                <w:color w:val="auto"/>
              </w:rPr>
              <w:t>Location</w:t>
            </w:r>
          </w:p>
        </w:tc>
        <w:tc>
          <w:tcPr>
            <w:tcW w:w="200" w:type="dxa"/>
            <w:vAlign w:val="bottom"/>
          </w:tcPr>
          <w:p>
            <w:pPr>
              <w:spacing w:after="0"/>
              <w:rPr>
                <w:sz w:val="19"/>
                <w:szCs w:val="19"/>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ind w:left="340"/>
              <w:spacing w:after="0"/>
              <w:rPr>
                <w:sz w:val="20"/>
                <w:szCs w:val="20"/>
                <w:color w:val="auto"/>
              </w:rPr>
            </w:pPr>
            <w:r>
              <w:rPr>
                <w:rFonts w:ascii="Arial" w:cs="Arial" w:eastAsia="Arial" w:hAnsi="Arial"/>
                <w:sz w:val="18"/>
                <w:szCs w:val="18"/>
                <w:b w:val="1"/>
                <w:bCs w:val="1"/>
                <w:color w:val="auto"/>
              </w:rPr>
              <w:t>Location</w:t>
            </w:r>
          </w:p>
        </w:tc>
        <w:tc>
          <w:tcPr>
            <w:tcW w:w="180" w:type="dxa"/>
            <w:vAlign w:val="bottom"/>
          </w:tcPr>
          <w:p>
            <w:pPr>
              <w:spacing w:after="0"/>
              <w:rPr>
                <w:sz w:val="19"/>
                <w:szCs w:val="19"/>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r>
      <w:tr>
        <w:trPr>
          <w:trHeight w:val="243"/>
        </w:trPr>
        <w:tc>
          <w:tcPr>
            <w:tcW w:w="16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r>
      <w:tr>
        <w:trPr>
          <w:trHeight w:val="243"/>
        </w:trPr>
        <w:tc>
          <w:tcPr>
            <w:tcW w:w="2540" w:type="dxa"/>
            <w:vAlign w:val="bottom"/>
            <w:gridSpan w:val="4"/>
            <w:shd w:val="clear" w:color="auto" w:fill="F0FFFF"/>
          </w:tcPr>
          <w:p>
            <w:pPr>
              <w:spacing w:after="0"/>
              <w:rPr>
                <w:sz w:val="20"/>
                <w:szCs w:val="20"/>
                <w:color w:val="auto"/>
              </w:rPr>
            </w:pPr>
            <w:r>
              <w:rPr>
                <w:rFonts w:ascii="Arial" w:cs="Arial" w:eastAsia="Arial" w:hAnsi="Arial"/>
                <w:sz w:val="18"/>
                <w:szCs w:val="18"/>
                <w:b w:val="1"/>
                <w:bCs w:val="1"/>
                <w:color w:val="auto"/>
                <w:w w:val="98"/>
              </w:rPr>
              <w:t>Three Months Ended June 30,</w:t>
            </w:r>
          </w:p>
        </w:tc>
        <w:tc>
          <w:tcPr>
            <w:tcW w:w="24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56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38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6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6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3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6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6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r>
      <w:tr>
        <w:trPr>
          <w:trHeight w:val="243"/>
        </w:trPr>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1620" w:type="dxa"/>
            <w:vAlign w:val="bottom"/>
            <w:shd w:val="clear" w:color="auto" w:fill="F0FFFF"/>
          </w:tcPr>
          <w:p>
            <w:pPr>
              <w:ind w:left="20"/>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2"/>
                <w:szCs w:val="22"/>
                <w:color w:val="auto"/>
              </w:rPr>
            </w:pPr>
          </w:p>
        </w:tc>
        <w:tc>
          <w:tcPr>
            <w:tcW w:w="4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(3,547)</w:t>
            </w:r>
          </w:p>
        </w:tc>
        <w:tc>
          <w:tcPr>
            <w:tcW w:w="240" w:type="dxa"/>
            <w:vAlign w:val="bottom"/>
            <w:shd w:val="clear" w:color="auto" w:fill="F0FFFF"/>
          </w:tcPr>
          <w:p>
            <w:pPr>
              <w:spacing w:after="0"/>
              <w:rPr>
                <w:sz w:val="22"/>
                <w:szCs w:val="22"/>
                <w:color w:val="auto"/>
              </w:rPr>
            </w:pPr>
          </w:p>
        </w:tc>
        <w:tc>
          <w:tcPr>
            <w:tcW w:w="1600" w:type="dxa"/>
            <w:vAlign w:val="bottom"/>
            <w:gridSpan w:val="2"/>
            <w:shd w:val="clear" w:color="auto" w:fill="F0FF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F0FFFF"/>
          </w:tcPr>
          <w:p>
            <w:pPr>
              <w:spacing w:after="0"/>
              <w:rPr>
                <w:sz w:val="22"/>
                <w:szCs w:val="22"/>
                <w:color w:val="auto"/>
              </w:rPr>
            </w:pP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(573)</w:t>
            </w:r>
          </w:p>
        </w:tc>
        <w:tc>
          <w:tcPr>
            <w:tcW w:w="220" w:type="dxa"/>
            <w:vAlign w:val="bottom"/>
            <w:shd w:val="clear" w:color="auto" w:fill="F0FFFF"/>
          </w:tcPr>
          <w:p>
            <w:pPr>
              <w:spacing w:after="0"/>
              <w:rPr>
                <w:sz w:val="22"/>
                <w:szCs w:val="22"/>
                <w:color w:val="auto"/>
              </w:rPr>
            </w:pPr>
          </w:p>
        </w:tc>
        <w:tc>
          <w:tcPr>
            <w:tcW w:w="1580" w:type="dxa"/>
            <w:vAlign w:val="bottom"/>
            <w:gridSpan w:val="2"/>
            <w:shd w:val="clear" w:color="auto" w:fill="F0FF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(50)</w:t>
            </w:r>
          </w:p>
        </w:tc>
      </w:tr>
      <w:tr>
        <w:trPr>
          <w:trHeight w:val="20"/>
        </w:trPr>
        <w:tc>
          <w:tcPr>
            <w:tcW w:w="1620" w:type="dxa"/>
            <w:vAlign w:val="bottom"/>
            <w:tcBorders>
              <w:top w:val="single" w:sz="8" w:color="F0FFFF"/>
            </w:tcBorders>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3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3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r>
      <w:tr>
        <w:trPr>
          <w:trHeight w:val="217"/>
        </w:trPr>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2540" w:type="dxa"/>
            <w:vAlign w:val="bottom"/>
            <w:gridSpan w:val="4"/>
            <w:shd w:val="clear" w:color="auto" w:fill="F0FFFF"/>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24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56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38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6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6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3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6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1620" w:type="dxa"/>
            <w:vAlign w:val="bottom"/>
            <w:shd w:val="clear" w:color="auto" w:fill="F0FFFF"/>
          </w:tcPr>
          <w:p>
            <w:pPr>
              <w:ind w:left="20"/>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(471)</w:t>
            </w:r>
          </w:p>
        </w:tc>
        <w:tc>
          <w:tcPr>
            <w:tcW w:w="4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(6,379)</w:t>
            </w:r>
          </w:p>
        </w:tc>
        <w:tc>
          <w:tcPr>
            <w:tcW w:w="240" w:type="dxa"/>
            <w:vAlign w:val="bottom"/>
            <w:shd w:val="clear" w:color="auto" w:fill="F0FFFF"/>
          </w:tcPr>
          <w:p>
            <w:pPr>
              <w:spacing w:after="0"/>
              <w:rPr>
                <w:sz w:val="22"/>
                <w:szCs w:val="22"/>
                <w:color w:val="auto"/>
              </w:rPr>
            </w:pPr>
          </w:p>
        </w:tc>
        <w:tc>
          <w:tcPr>
            <w:tcW w:w="1600" w:type="dxa"/>
            <w:vAlign w:val="bottom"/>
            <w:gridSpan w:val="2"/>
            <w:shd w:val="clear" w:color="auto" w:fill="F0FF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(880)</w:t>
            </w:r>
          </w:p>
        </w:tc>
        <w:tc>
          <w:tcPr>
            <w:tcW w:w="120" w:type="dxa"/>
            <w:vAlign w:val="bottom"/>
            <w:shd w:val="clear" w:color="auto" w:fill="F0FFFF"/>
          </w:tcPr>
          <w:p>
            <w:pPr>
              <w:spacing w:after="0"/>
              <w:rPr>
                <w:sz w:val="22"/>
                <w:szCs w:val="22"/>
                <w:color w:val="auto"/>
              </w:rPr>
            </w:pP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(670)</w:t>
            </w:r>
          </w:p>
        </w:tc>
        <w:tc>
          <w:tcPr>
            <w:tcW w:w="220" w:type="dxa"/>
            <w:vAlign w:val="bottom"/>
            <w:shd w:val="clear" w:color="auto" w:fill="F0FFFF"/>
          </w:tcPr>
          <w:p>
            <w:pPr>
              <w:spacing w:after="0"/>
              <w:rPr>
                <w:sz w:val="22"/>
                <w:szCs w:val="22"/>
                <w:color w:val="auto"/>
              </w:rPr>
            </w:pPr>
          </w:p>
        </w:tc>
        <w:tc>
          <w:tcPr>
            <w:tcW w:w="1580" w:type="dxa"/>
            <w:vAlign w:val="bottom"/>
            <w:gridSpan w:val="2"/>
            <w:shd w:val="clear" w:color="auto" w:fill="F0FF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(7)</w:t>
            </w:r>
          </w:p>
        </w:tc>
        <w:tc>
          <w:tcPr>
            <w:tcW w:w="3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(85)</w:t>
            </w:r>
          </w:p>
        </w:tc>
      </w:tr>
      <w:tr>
        <w:trPr>
          <w:trHeight w:val="20"/>
        </w:trPr>
        <w:tc>
          <w:tcPr>
            <w:tcW w:w="16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3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3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 manages its credit exposure on derivatives transactions by entering into a bilateral credit support agreement with each counterparty. The credit support agreements require collateralization of exposures beyond specified minimum threshold amounts. The details of these agreements, including the minimum thresholds, vary by counterparty. As of June 30, 2015, collateral totaling $35.5 million was pledged toward derivatives in a liability position.</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agreements with each of its derivative counterparties contain a provision where if either party defaults on any of its indebtedness, then it could also be declared in default on its derivative obligations. The agreements with derivatives counterparties also include provisions that if not met, could result in United being declared in default. United has agreements with certain of its derivative counterparties that contain a provision where if United fails to maintain its status as a well-capitalized institution or is subject to a prompt corrective action directive, the counterparty could terminate the derivative positions and United would be required to settle its obligations under the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Stock-Based Compensation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United has an equity compensation plan that allows for grants of incentive stock options, nonqualified stock options, restricted stock and restricted stock unit awards (also referred to as “nonvested stock” awards), stock awards, performance share awards or stock appreciation rights. Options granted under the plan can have an exercise price no less than the fair market value of the underlying stock at the date of grant. The general terms of the plan include a vesting period (usually four years) with an exercisable period not to exceed ten years. Certain options, restricted stock and restricted stock unit awards provide for accelerated vesting if there is a change in control (as defined in the plan). As of June 30, 2015, 404,000 additional awards could be granted under the plan. Through June 30, 2015, incentive stock options, nonqualified stock options, restricted stock and restricted stock unit awards, base salary stock grants and performance share awards have been granted under the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stock option activity for the first six months of 2015.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Weighted-</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4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Average</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32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Intrinisic Value</w:t>
            </w:r>
          </w:p>
        </w:tc>
      </w:tr>
      <w:tr>
        <w:trPr>
          <w:trHeight w:val="241"/>
        </w:trPr>
        <w:tc>
          <w:tcPr>
            <w:tcW w:w="5280" w:type="dxa"/>
            <w:vAlign w:val="bottom"/>
            <w:gridSpan w:val="2"/>
          </w:tcPr>
          <w:p>
            <w:pPr>
              <w:ind w:left="2160"/>
              <w:spacing w:after="0"/>
              <w:rPr>
                <w:sz w:val="20"/>
                <w:szCs w:val="20"/>
                <w:color w:val="auto"/>
              </w:rPr>
            </w:pPr>
            <w:r>
              <w:rPr>
                <w:rFonts w:ascii="Arial" w:cs="Arial" w:eastAsia="Arial" w:hAnsi="Arial"/>
                <w:sz w:val="18"/>
                <w:szCs w:val="18"/>
                <w:b w:val="1"/>
                <w:bCs w:val="1"/>
                <w:color w:val="auto"/>
              </w:rPr>
              <w:t>Options</w:t>
            </w:r>
          </w:p>
        </w:tc>
        <w:tc>
          <w:tcPr>
            <w:tcW w:w="162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Shares</w:t>
            </w:r>
          </w:p>
        </w:tc>
        <w:tc>
          <w:tcPr>
            <w:tcW w:w="15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Exercise Price</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2"/>
              </w:rPr>
              <w:t>Term (Years)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($000)</w:t>
            </w:r>
          </w:p>
        </w:tc>
        <w:tc>
          <w:tcPr>
            <w:tcW w:w="100" w:type="dxa"/>
            <w:vAlign w:val="bottom"/>
          </w:tcPr>
          <w:p>
            <w:pPr>
              <w:spacing w:after="0"/>
              <w:rPr>
                <w:sz w:val="20"/>
                <w:szCs w:val="20"/>
                <w:color w:val="auto"/>
              </w:rPr>
            </w:pPr>
          </w:p>
        </w:tc>
      </w:tr>
      <w:tr>
        <w:trPr>
          <w:trHeight w:val="243"/>
        </w:trPr>
        <w:tc>
          <w:tcPr>
            <w:tcW w:w="492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2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Outstanding at December 31, 2014</w:t>
            </w:r>
          </w:p>
        </w:tc>
        <w:tc>
          <w:tcPr>
            <w:tcW w:w="1620" w:type="dxa"/>
            <w:vAlign w:val="bottom"/>
            <w:gridSpan w:val="2"/>
            <w:shd w:val="clear" w:color="auto" w:fill="F0FFFF"/>
          </w:tcPr>
          <w:p>
            <w:pPr>
              <w:jc w:val="right"/>
              <w:ind w:right="360"/>
              <w:spacing w:after="0"/>
              <w:rPr>
                <w:sz w:val="20"/>
                <w:szCs w:val="20"/>
                <w:color w:val="auto"/>
              </w:rPr>
            </w:pPr>
            <w:r>
              <w:rPr>
                <w:rFonts w:ascii="Arial" w:cs="Arial" w:eastAsia="Arial" w:hAnsi="Arial"/>
                <w:sz w:val="18"/>
                <w:szCs w:val="18"/>
                <w:color w:val="auto"/>
              </w:rPr>
              <w:t>313,555</w:t>
            </w:r>
          </w:p>
        </w:tc>
        <w:tc>
          <w:tcPr>
            <w:tcW w:w="16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93.40</w:t>
            </w:r>
          </w:p>
        </w:tc>
        <w:tc>
          <w:tcPr>
            <w:tcW w:w="1260" w:type="dxa"/>
            <w:vAlign w:val="bottom"/>
            <w:shd w:val="clear" w:color="auto" w:fill="F0FFFF"/>
          </w:tcPr>
          <w:p>
            <w:pPr>
              <w:spacing w:after="0"/>
              <w:rPr>
                <w:sz w:val="21"/>
                <w:szCs w:val="21"/>
                <w:color w:val="auto"/>
              </w:rPr>
            </w:pPr>
          </w:p>
        </w:tc>
        <w:tc>
          <w:tcPr>
            <w:tcW w:w="3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1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r>
      <w:tr>
        <w:trPr>
          <w:trHeight w:val="243"/>
        </w:trPr>
        <w:tc>
          <w:tcPr>
            <w:tcW w:w="528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(45,242)</w:t>
            </w:r>
          </w:p>
        </w:tc>
        <w:tc>
          <w:tcPr>
            <w:tcW w:w="1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108.61</w:t>
            </w: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52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Forfeited</w:t>
            </w:r>
          </w:p>
        </w:tc>
        <w:tc>
          <w:tcPr>
            <w:tcW w:w="1620" w:type="dxa"/>
            <w:vAlign w:val="bottom"/>
            <w:gridSpan w:val="2"/>
            <w:shd w:val="clear" w:color="auto" w:fill="F0FFFF"/>
          </w:tcPr>
          <w:p>
            <w:pPr>
              <w:jc w:val="right"/>
              <w:ind w:right="300"/>
              <w:spacing w:after="0"/>
              <w:rPr>
                <w:sz w:val="20"/>
                <w:szCs w:val="20"/>
                <w:color w:val="auto"/>
              </w:rPr>
            </w:pPr>
            <w:r>
              <w:rPr>
                <w:rFonts w:ascii="Arial" w:cs="Arial" w:eastAsia="Arial" w:hAnsi="Arial"/>
                <w:sz w:val="18"/>
                <w:szCs w:val="18"/>
                <w:color w:val="auto"/>
              </w:rPr>
              <w:t>(12,211)</w:t>
            </w:r>
          </w:p>
        </w:tc>
        <w:tc>
          <w:tcPr>
            <w:tcW w:w="160" w:type="dxa"/>
            <w:vAlign w:val="bottom"/>
            <w:shd w:val="clear" w:color="auto" w:fill="F0FFFF"/>
          </w:tcPr>
          <w:p>
            <w:pPr>
              <w:spacing w:after="0"/>
              <w:rPr>
                <w:sz w:val="22"/>
                <w:szCs w:val="22"/>
                <w:color w:val="auto"/>
              </w:rPr>
            </w:pPr>
          </w:p>
        </w:tc>
        <w:tc>
          <w:tcPr>
            <w:tcW w:w="142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103.12</w:t>
            </w:r>
          </w:p>
        </w:tc>
        <w:tc>
          <w:tcPr>
            <w:tcW w:w="1260" w:type="dxa"/>
            <w:vAlign w:val="bottom"/>
            <w:shd w:val="clear" w:color="auto" w:fill="F0FFFF"/>
          </w:tcPr>
          <w:p>
            <w:pPr>
              <w:spacing w:after="0"/>
              <w:rPr>
                <w:sz w:val="22"/>
                <w:szCs w:val="22"/>
                <w:color w:val="auto"/>
              </w:rPr>
            </w:pPr>
          </w:p>
        </w:tc>
        <w:tc>
          <w:tcPr>
            <w:tcW w:w="32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110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r>
      <w:tr>
        <w:trPr>
          <w:trHeight w:val="27"/>
        </w:trPr>
        <w:tc>
          <w:tcPr>
            <w:tcW w:w="4920" w:type="dxa"/>
            <w:vAlign w:val="bottom"/>
            <w:shd w:val="clear" w:color="auto" w:fill="F0FFFF"/>
          </w:tcPr>
          <w:p>
            <w:pPr>
              <w:spacing w:after="0"/>
              <w:rPr>
                <w:sz w:val="2"/>
                <w:szCs w:val="2"/>
                <w:color w:val="auto"/>
              </w:rPr>
            </w:pPr>
          </w:p>
        </w:tc>
        <w:tc>
          <w:tcPr>
            <w:tcW w:w="360" w:type="dxa"/>
            <w:vAlign w:val="bottom"/>
            <w:shd w:val="clear" w:color="auto" w:fill="F0FF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6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1100" w:type="dxa"/>
            <w:vAlign w:val="bottom"/>
            <w:shd w:val="clear" w:color="auto" w:fill="F0FFFF"/>
          </w:tcPr>
          <w:p>
            <w:pPr>
              <w:spacing w:after="0"/>
              <w:rPr>
                <w:sz w:val="2"/>
                <w:szCs w:val="2"/>
                <w:color w:val="auto"/>
              </w:rPr>
            </w:pPr>
          </w:p>
        </w:tc>
        <w:tc>
          <w:tcPr>
            <w:tcW w:w="320" w:type="dxa"/>
            <w:vAlign w:val="bottom"/>
            <w:shd w:val="clear" w:color="auto" w:fill="F0FFFF"/>
          </w:tcPr>
          <w:p>
            <w:pPr>
              <w:spacing w:after="0"/>
              <w:rPr>
                <w:sz w:val="2"/>
                <w:szCs w:val="2"/>
                <w:color w:val="auto"/>
              </w:rPr>
            </w:pPr>
          </w:p>
        </w:tc>
        <w:tc>
          <w:tcPr>
            <w:tcW w:w="1260" w:type="dxa"/>
            <w:vAlign w:val="bottom"/>
            <w:shd w:val="clear" w:color="auto" w:fill="F0FFFF"/>
          </w:tcPr>
          <w:p>
            <w:pPr>
              <w:spacing w:after="0"/>
              <w:rPr>
                <w:sz w:val="2"/>
                <w:szCs w:val="2"/>
                <w:color w:val="auto"/>
              </w:rPr>
            </w:pPr>
          </w:p>
        </w:tc>
        <w:tc>
          <w:tcPr>
            <w:tcW w:w="32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110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r>
      <w:tr>
        <w:trPr>
          <w:trHeight w:val="243"/>
        </w:trPr>
        <w:tc>
          <w:tcPr>
            <w:tcW w:w="5280" w:type="dxa"/>
            <w:vAlign w:val="bottom"/>
            <w:gridSpan w:val="2"/>
          </w:tcPr>
          <w:p>
            <w:pPr>
              <w:spacing w:after="0"/>
              <w:rPr>
                <w:sz w:val="20"/>
                <w:szCs w:val="20"/>
                <w:color w:val="auto"/>
              </w:rPr>
            </w:pPr>
            <w:r>
              <w:rPr>
                <w:rFonts w:ascii="Arial" w:cs="Arial" w:eastAsia="Arial" w:hAnsi="Arial"/>
                <w:sz w:val="18"/>
                <w:szCs w:val="18"/>
                <w:color w:val="auto"/>
              </w:rPr>
              <w:t>Outstanding at June 30, 2015</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256,102</w:t>
            </w:r>
          </w:p>
        </w:tc>
        <w:tc>
          <w:tcPr>
            <w:tcW w:w="1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90.25</w:t>
            </w: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r>
      <w:tr>
        <w:trPr>
          <w:trHeight w:val="20"/>
        </w:trPr>
        <w:tc>
          <w:tcPr>
            <w:tcW w:w="4920" w:type="dxa"/>
            <w:vAlign w:val="bottom"/>
            <w:tcBorders>
              <w:bottom w:val="single" w:sz="8" w:color="F0FFFF"/>
            </w:tcBorders>
          </w:tcPr>
          <w:p>
            <w:pPr>
              <w:spacing w:after="0" w:line="20" w:lineRule="exact"/>
              <w:rPr>
                <w:sz w:val="1"/>
                <w:szCs w:val="1"/>
                <w:color w:val="auto"/>
              </w:rPr>
            </w:pPr>
          </w:p>
        </w:tc>
        <w:tc>
          <w:tcPr>
            <w:tcW w:w="360" w:type="dxa"/>
            <w:vAlign w:val="bottom"/>
            <w:tcBorders>
              <w:bottom w:val="single" w:sz="8" w:color="F0FF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100" w:type="dxa"/>
            <w:vAlign w:val="bottom"/>
            <w:tcBorders>
              <w:bottom w:val="single" w:sz="8" w:color="F0FFFF"/>
            </w:tcBorders>
          </w:tcPr>
          <w:p>
            <w:pPr>
              <w:spacing w:after="0" w:line="20" w:lineRule="exact"/>
              <w:rPr>
                <w:sz w:val="1"/>
                <w:szCs w:val="1"/>
                <w:color w:val="auto"/>
              </w:rPr>
            </w:pPr>
          </w:p>
        </w:tc>
        <w:tc>
          <w:tcPr>
            <w:tcW w:w="320" w:type="dxa"/>
            <w:vAlign w:val="bottom"/>
            <w:tcBorders>
              <w:bottom w:val="single" w:sz="8" w:color="F0FFFF"/>
            </w:tcBorders>
          </w:tcPr>
          <w:p>
            <w:pPr>
              <w:spacing w:after="0" w:line="20" w:lineRule="exact"/>
              <w:rPr>
                <w:sz w:val="1"/>
                <w:szCs w:val="1"/>
                <w:color w:val="auto"/>
              </w:rPr>
            </w:pPr>
          </w:p>
        </w:tc>
        <w:tc>
          <w:tcPr>
            <w:tcW w:w="1260" w:type="dxa"/>
            <w:vAlign w:val="bottom"/>
            <w:tcBorders>
              <w:bottom w:val="single" w:sz="8" w:color="F0FFFF"/>
            </w:tcBorders>
          </w:tcPr>
          <w:p>
            <w:pPr>
              <w:spacing w:after="0" w:line="20" w:lineRule="exact"/>
              <w:rPr>
                <w:sz w:val="1"/>
                <w:szCs w:val="1"/>
                <w:color w:val="auto"/>
              </w:rPr>
            </w:pPr>
          </w:p>
        </w:tc>
        <w:tc>
          <w:tcPr>
            <w:tcW w:w="32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10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r>
      <w:tr>
        <w:trPr>
          <w:trHeight w:val="237"/>
        </w:trPr>
        <w:tc>
          <w:tcPr>
            <w:tcW w:w="4920" w:type="dxa"/>
            <w:vAlign w:val="bottom"/>
            <w:shd w:val="clear" w:color="auto" w:fill="F0FFFF"/>
          </w:tcPr>
          <w:p>
            <w:pPr>
              <w:spacing w:after="0"/>
              <w:rPr>
                <w:sz w:val="20"/>
                <w:szCs w:val="20"/>
                <w:color w:val="auto"/>
              </w:rPr>
            </w:pPr>
          </w:p>
        </w:tc>
        <w:tc>
          <w:tcPr>
            <w:tcW w:w="360" w:type="dxa"/>
            <w:vAlign w:val="bottom"/>
            <w:shd w:val="clear" w:color="auto" w:fill="F0FFFF"/>
          </w:tcPr>
          <w:p>
            <w:pPr>
              <w:spacing w:after="0"/>
              <w:rPr>
                <w:sz w:val="20"/>
                <w:szCs w:val="20"/>
                <w:color w:val="auto"/>
              </w:rPr>
            </w:pPr>
          </w:p>
        </w:tc>
        <w:tc>
          <w:tcPr>
            <w:tcW w:w="1260" w:type="dxa"/>
            <w:vAlign w:val="bottom"/>
            <w:shd w:val="clear" w:color="auto" w:fill="F0FFFF"/>
          </w:tcPr>
          <w:p>
            <w:pPr>
              <w:spacing w:after="0"/>
              <w:rPr>
                <w:sz w:val="20"/>
                <w:szCs w:val="20"/>
                <w:color w:val="auto"/>
              </w:rPr>
            </w:pPr>
          </w:p>
        </w:tc>
        <w:tc>
          <w:tcPr>
            <w:tcW w:w="36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100" w:type="dxa"/>
            <w:vAlign w:val="bottom"/>
            <w:shd w:val="clear" w:color="auto" w:fill="F0FFFF"/>
          </w:tcPr>
          <w:p>
            <w:pPr>
              <w:spacing w:after="0"/>
              <w:rPr>
                <w:sz w:val="20"/>
                <w:szCs w:val="20"/>
                <w:color w:val="auto"/>
              </w:rPr>
            </w:pPr>
          </w:p>
        </w:tc>
        <w:tc>
          <w:tcPr>
            <w:tcW w:w="320" w:type="dxa"/>
            <w:vAlign w:val="bottom"/>
            <w:shd w:val="clear" w:color="auto" w:fill="F0FFFF"/>
          </w:tcPr>
          <w:p>
            <w:pPr>
              <w:spacing w:after="0"/>
              <w:rPr>
                <w:sz w:val="20"/>
                <w:szCs w:val="20"/>
                <w:color w:val="auto"/>
              </w:rPr>
            </w:pPr>
          </w:p>
        </w:tc>
        <w:tc>
          <w:tcPr>
            <w:tcW w:w="1260" w:type="dxa"/>
            <w:vAlign w:val="bottom"/>
            <w:shd w:val="clear" w:color="auto" w:fill="F0FFFF"/>
          </w:tcPr>
          <w:p>
            <w:pPr>
              <w:spacing w:after="0"/>
              <w:rPr>
                <w:sz w:val="20"/>
                <w:szCs w:val="20"/>
                <w:color w:val="auto"/>
              </w:rPr>
            </w:pPr>
          </w:p>
        </w:tc>
        <w:tc>
          <w:tcPr>
            <w:tcW w:w="32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10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r>
      <w:tr>
        <w:trPr>
          <w:trHeight w:val="243"/>
        </w:trPr>
        <w:tc>
          <w:tcPr>
            <w:tcW w:w="5280" w:type="dxa"/>
            <w:vAlign w:val="bottom"/>
            <w:gridSpan w:val="2"/>
          </w:tcPr>
          <w:p>
            <w:pPr>
              <w:spacing w:after="0"/>
              <w:rPr>
                <w:sz w:val="20"/>
                <w:szCs w:val="20"/>
                <w:color w:val="auto"/>
              </w:rPr>
            </w:pPr>
            <w:r>
              <w:rPr>
                <w:rFonts w:ascii="Arial" w:cs="Arial" w:eastAsia="Arial" w:hAnsi="Arial"/>
                <w:sz w:val="18"/>
                <w:szCs w:val="18"/>
                <w:color w:val="auto"/>
              </w:rPr>
              <w:t>Exercisable at June 30, 2015</w:t>
            </w: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239,852</w:t>
            </w:r>
          </w:p>
        </w:tc>
        <w:tc>
          <w:tcPr>
            <w:tcW w:w="1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95.32</w:t>
            </w: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r>
      <w:tr>
        <w:trPr>
          <w:trHeight w:val="21"/>
        </w:trPr>
        <w:tc>
          <w:tcPr>
            <w:tcW w:w="4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42"/>
        </w:trPr>
        <w:tc>
          <w:tcPr>
            <w:tcW w:w="492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tcPr>
          <w:p>
            <w:pPr>
              <w:spacing w:after="0"/>
              <w:rPr>
                <w:sz w:val="24"/>
                <w:szCs w:val="24"/>
                <w:color w:val="auto"/>
              </w:rPr>
            </w:pPr>
          </w:p>
        </w:tc>
        <w:tc>
          <w:tcPr>
            <w:tcW w:w="1260" w:type="dxa"/>
            <w:vAlign w:val="bottom"/>
            <w:tcBorders>
              <w:bottom w:val="single" w:sz="8" w:color="DCDCDC"/>
            </w:tcBorders>
          </w:tcPr>
          <w:p>
            <w:pPr>
              <w:jc w:val="right"/>
              <w:ind w:right="650"/>
              <w:spacing w:after="0"/>
              <w:rPr>
                <w:sz w:val="20"/>
                <w:szCs w:val="20"/>
                <w:color w:val="auto"/>
              </w:rPr>
            </w:pPr>
            <w:r>
              <w:rPr>
                <w:rFonts w:ascii="Arial" w:cs="Arial" w:eastAsia="Arial" w:hAnsi="Arial"/>
                <w:sz w:val="18"/>
                <w:szCs w:val="18"/>
                <w:color w:val="auto"/>
              </w:rPr>
              <w:t>31</w:t>
            </w:r>
          </w:p>
        </w:tc>
        <w:tc>
          <w:tcPr>
            <w:tcW w:w="36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10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126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36" w:name="page37"/>
    <w:bookmarkEnd w:id="36"/>
    <w:p>
      <w:pPr>
        <w:jc w:val="center"/>
        <w:ind w:right="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each option is estimated on the date of grant using the Black-Scholes model. No stock options were granted during the six months ended June 30, 2015 and 2014.</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of United’s outstanding stock options were granted prior to the economic downturn during which time United’s stock price decreased sharply. The lower stock price has rendered most of United’s outstanding options severely out of the money and potentially worthless to the grantee. Therefore, historical exercise patterns do not provide a reasonable basis for determining the expected life of new option grants. United therefore uses the formula provided by the SEC in ASC Topic 718-10-S99 to determine the expected life of options.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recognized $19,000 and $2,000, respectively, in compensation expense related to stock options during the six months ended June 30, 2015 and 2014. The amount of compensation expense was determined based on the fair value of the options at the time of grant, multiplied by the number of options granted that were expected to vest, which was then amortized over the vesting period. The forfeiture rate for new options issued is estimated to be approximately 3% per year. No options were exercised during the first six months of 2015 or 2014.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gridSpan w:val="4"/>
          </w:tcPr>
          <w:p>
            <w:pPr>
              <w:spacing w:after="0"/>
              <w:rPr>
                <w:sz w:val="20"/>
                <w:szCs w:val="20"/>
                <w:color w:val="auto"/>
              </w:rPr>
            </w:pPr>
            <w:r>
              <w:rPr>
                <w:rFonts w:ascii="Arial" w:cs="Arial" w:eastAsia="Arial" w:hAnsi="Arial"/>
                <w:sz w:val="18"/>
                <w:szCs w:val="18"/>
                <w:color w:val="auto"/>
                <w:w w:val="94"/>
              </w:rPr>
              <w:t>The table below presents restricted stock units activity for the first six months of 2015.</w:t>
            </w: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17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7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Average Grant-</w:t>
            </w:r>
          </w:p>
        </w:tc>
      </w:tr>
      <w:tr>
        <w:trPr>
          <w:trHeight w:val="241"/>
        </w:trPr>
        <w:tc>
          <w:tcPr>
            <w:tcW w:w="1720" w:type="dxa"/>
            <w:vAlign w:val="bottom"/>
          </w:tcPr>
          <w:p>
            <w:pPr>
              <w:spacing w:after="0"/>
              <w:rPr>
                <w:sz w:val="20"/>
                <w:szCs w:val="20"/>
                <w:color w:val="auto"/>
              </w:rPr>
            </w:pPr>
          </w:p>
        </w:tc>
        <w:tc>
          <w:tcPr>
            <w:tcW w:w="4740" w:type="dxa"/>
            <w:vAlign w:val="bottom"/>
            <w:gridSpan w:val="3"/>
          </w:tcPr>
          <w:p>
            <w:pPr>
              <w:ind w:left="920"/>
              <w:spacing w:after="0"/>
              <w:rPr>
                <w:sz w:val="20"/>
                <w:szCs w:val="20"/>
                <w:color w:val="auto"/>
              </w:rPr>
            </w:pPr>
            <w:r>
              <w:rPr>
                <w:rFonts w:ascii="Arial" w:cs="Arial" w:eastAsia="Arial" w:hAnsi="Arial"/>
                <w:sz w:val="18"/>
                <w:szCs w:val="18"/>
                <w:b w:val="1"/>
                <w:bCs w:val="1"/>
                <w:color w:val="auto"/>
              </w:rPr>
              <w:t>Restricted Stock Unit Awards</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Date Fair Value</w:t>
            </w:r>
          </w:p>
        </w:tc>
      </w:tr>
      <w:tr>
        <w:trPr>
          <w:trHeight w:val="243"/>
        </w:trPr>
        <w:tc>
          <w:tcPr>
            <w:tcW w:w="1720" w:type="dxa"/>
            <w:vAlign w:val="bottom"/>
          </w:tcPr>
          <w:p>
            <w:pPr>
              <w:spacing w:after="0"/>
              <w:rPr>
                <w:sz w:val="21"/>
                <w:szCs w:val="21"/>
                <w:color w:val="auto"/>
              </w:rPr>
            </w:pPr>
          </w:p>
        </w:tc>
        <w:tc>
          <w:tcPr>
            <w:tcW w:w="41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1720" w:type="dxa"/>
            <w:vAlign w:val="bottom"/>
          </w:tcPr>
          <w:p>
            <w:pPr>
              <w:spacing w:after="0"/>
              <w:rPr>
                <w:sz w:val="18"/>
                <w:szCs w:val="18"/>
                <w:color w:val="auto"/>
              </w:rPr>
            </w:pPr>
          </w:p>
        </w:tc>
        <w:tc>
          <w:tcPr>
            <w:tcW w:w="4740" w:type="dxa"/>
            <w:vAlign w:val="bottom"/>
            <w:gridSpan w:val="3"/>
            <w:shd w:val="clear" w:color="auto" w:fill="F0FFFF"/>
          </w:tcPr>
          <w:p>
            <w:pPr>
              <w:ind w:left="20"/>
              <w:spacing w:after="0"/>
              <w:rPr>
                <w:sz w:val="20"/>
                <w:szCs w:val="20"/>
                <w:color w:val="auto"/>
              </w:rPr>
            </w:pPr>
            <w:r>
              <w:rPr>
                <w:rFonts w:ascii="Arial" w:cs="Arial" w:eastAsia="Arial" w:hAnsi="Arial"/>
                <w:sz w:val="18"/>
                <w:szCs w:val="18"/>
                <w:color w:val="auto"/>
              </w:rPr>
              <w:t>Outstanding at December 31, 2014</w:t>
            </w:r>
          </w:p>
        </w:tc>
        <w:tc>
          <w:tcPr>
            <w:tcW w:w="13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829,201</w:t>
            </w:r>
          </w:p>
        </w:tc>
        <w:tc>
          <w:tcPr>
            <w:tcW w:w="3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14.76</w:t>
            </w:r>
          </w:p>
        </w:tc>
      </w:tr>
      <w:tr>
        <w:trPr>
          <w:trHeight w:val="216"/>
        </w:trPr>
        <w:tc>
          <w:tcPr>
            <w:tcW w:w="1720" w:type="dxa"/>
            <w:vAlign w:val="bottom"/>
          </w:tcPr>
          <w:p>
            <w:pPr>
              <w:spacing w:after="0"/>
              <w:rPr>
                <w:sz w:val="18"/>
                <w:szCs w:val="18"/>
                <w:color w:val="auto"/>
              </w:rPr>
            </w:pPr>
          </w:p>
        </w:tc>
        <w:tc>
          <w:tcPr>
            <w:tcW w:w="4740" w:type="dxa"/>
            <w:vAlign w:val="bottom"/>
            <w:gridSpan w:val="3"/>
          </w:tcPr>
          <w:p>
            <w:pPr>
              <w:ind w:left="2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129,507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18.23</w:t>
            </w:r>
          </w:p>
        </w:tc>
      </w:tr>
      <w:tr>
        <w:trPr>
          <w:trHeight w:val="216"/>
        </w:trPr>
        <w:tc>
          <w:tcPr>
            <w:tcW w:w="1720" w:type="dxa"/>
            <w:vAlign w:val="bottom"/>
          </w:tcPr>
          <w:p>
            <w:pPr>
              <w:spacing w:after="0"/>
              <w:rPr>
                <w:sz w:val="18"/>
                <w:szCs w:val="18"/>
                <w:color w:val="auto"/>
              </w:rPr>
            </w:pPr>
          </w:p>
        </w:tc>
        <w:tc>
          <w:tcPr>
            <w:tcW w:w="4740" w:type="dxa"/>
            <w:vAlign w:val="bottom"/>
            <w:gridSpan w:val="3"/>
            <w:shd w:val="clear" w:color="auto" w:fill="F0FFFF"/>
          </w:tcPr>
          <w:p>
            <w:pPr>
              <w:ind w:left="20"/>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(140,102)</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5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14.36</w:t>
            </w:r>
          </w:p>
        </w:tc>
      </w:tr>
      <w:tr>
        <w:trPr>
          <w:trHeight w:val="223"/>
        </w:trPr>
        <w:tc>
          <w:tcPr>
            <w:tcW w:w="1720" w:type="dxa"/>
            <w:vAlign w:val="bottom"/>
          </w:tcPr>
          <w:p>
            <w:pPr>
              <w:spacing w:after="0"/>
              <w:rPr>
                <w:sz w:val="19"/>
                <w:szCs w:val="19"/>
                <w:color w:val="auto"/>
              </w:rPr>
            </w:pPr>
          </w:p>
        </w:tc>
        <w:tc>
          <w:tcPr>
            <w:tcW w:w="4740" w:type="dxa"/>
            <w:vAlign w:val="bottom"/>
            <w:gridSpan w:val="3"/>
          </w:tcPr>
          <w:p>
            <w:pPr>
              <w:ind w:left="20"/>
              <w:spacing w:after="0"/>
              <w:rPr>
                <w:sz w:val="20"/>
                <w:szCs w:val="20"/>
                <w:color w:val="auto"/>
              </w:rPr>
            </w:pPr>
            <w:r>
              <w:rPr>
                <w:rFonts w:ascii="Arial" w:cs="Arial" w:eastAsia="Arial" w:hAnsi="Arial"/>
                <w:sz w:val="18"/>
                <w:szCs w:val="18"/>
                <w:color w:val="auto"/>
              </w:rPr>
              <w:t>Cancelled</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(53,545)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15.26</w:t>
            </w:r>
          </w:p>
        </w:tc>
      </w:tr>
      <w:tr>
        <w:trPr>
          <w:trHeight w:val="241"/>
        </w:trPr>
        <w:tc>
          <w:tcPr>
            <w:tcW w:w="1720" w:type="dxa"/>
            <w:vAlign w:val="bottom"/>
          </w:tcPr>
          <w:p>
            <w:pPr>
              <w:spacing w:after="0"/>
              <w:rPr>
                <w:sz w:val="20"/>
                <w:szCs w:val="20"/>
                <w:color w:val="auto"/>
              </w:rPr>
            </w:pPr>
          </w:p>
        </w:tc>
        <w:tc>
          <w:tcPr>
            <w:tcW w:w="4360" w:type="dxa"/>
            <w:vAlign w:val="bottom"/>
            <w:tcBorders>
              <w:top w:val="single" w:sz="8" w:color="F0FFFF"/>
              <w:bottom w:val="single" w:sz="8" w:color="F0FFFF"/>
            </w:tcBorders>
            <w:gridSpan w:val="2"/>
            <w:shd w:val="clear" w:color="auto" w:fill="F0FFFF"/>
          </w:tcPr>
          <w:p>
            <w:pPr>
              <w:ind w:left="20"/>
              <w:spacing w:after="0"/>
              <w:rPr>
                <w:sz w:val="20"/>
                <w:szCs w:val="20"/>
                <w:color w:val="auto"/>
              </w:rPr>
            </w:pPr>
            <w:r>
              <w:rPr>
                <w:rFonts w:ascii="Arial" w:cs="Arial" w:eastAsia="Arial" w:hAnsi="Arial"/>
                <w:sz w:val="18"/>
                <w:szCs w:val="18"/>
                <w:color w:val="auto"/>
              </w:rPr>
              <w:t>Outstanding at June 30, 2015</w:t>
            </w:r>
          </w:p>
        </w:tc>
        <w:tc>
          <w:tcPr>
            <w:tcW w:w="380" w:type="dxa"/>
            <w:vAlign w:val="bottom"/>
            <w:tcBorders>
              <w:top w:val="single" w:sz="8" w:color="auto"/>
              <w:bottom w:val="single" w:sz="8" w:color="auto"/>
            </w:tcBorders>
            <w:shd w:val="clear" w:color="auto" w:fill="F0FFFF"/>
          </w:tcPr>
          <w:p>
            <w:pPr>
              <w:spacing w:after="0"/>
              <w:rPr>
                <w:sz w:val="20"/>
                <w:szCs w:val="20"/>
                <w:color w:val="auto"/>
              </w:rPr>
            </w:pPr>
          </w:p>
        </w:tc>
        <w:tc>
          <w:tcPr>
            <w:tcW w:w="12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765,061</w:t>
            </w:r>
          </w:p>
        </w:tc>
        <w:tc>
          <w:tcPr>
            <w:tcW w:w="18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80" w:type="dxa"/>
            <w:vAlign w:val="bottom"/>
            <w:tcBorders>
              <w:top w:val="single" w:sz="8" w:color="F0FFFF"/>
              <w:bottom w:val="single" w:sz="8" w:color="F0FFFF"/>
            </w:tcBorders>
            <w:shd w:val="clear" w:color="auto" w:fill="F0FFFF"/>
          </w:tcPr>
          <w:p>
            <w:pPr>
              <w:spacing w:after="0"/>
              <w:rPr>
                <w:sz w:val="20"/>
                <w:szCs w:val="20"/>
                <w:color w:val="auto"/>
              </w:rPr>
            </w:pPr>
          </w:p>
        </w:tc>
        <w:tc>
          <w:tcPr>
            <w:tcW w:w="1560" w:type="dxa"/>
            <w:vAlign w:val="bottom"/>
            <w:tcBorders>
              <w:top w:val="single" w:sz="8" w:color="F0FFFF"/>
              <w:bottom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15.39</w:t>
            </w:r>
          </w:p>
        </w:tc>
      </w:tr>
      <w:tr>
        <w:trPr>
          <w:trHeight w:val="20"/>
        </w:trPr>
        <w:tc>
          <w:tcPr>
            <w:tcW w:w="1720" w:type="dxa"/>
            <w:vAlign w:val="bottom"/>
          </w:tcPr>
          <w:p>
            <w:pPr>
              <w:spacing w:after="0" w:line="20" w:lineRule="exact"/>
              <w:rPr>
                <w:sz w:val="1"/>
                <w:szCs w:val="1"/>
                <w:color w:val="auto"/>
              </w:rPr>
            </w:pPr>
          </w:p>
        </w:tc>
        <w:tc>
          <w:tcPr>
            <w:tcW w:w="41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380" w:type="dxa"/>
            <w:vAlign w:val="bottom"/>
            <w:tcBorders>
              <w:top w:val="single" w:sz="8" w:color="F0FFFF"/>
              <w:bottom w:val="single" w:sz="8" w:color="auto"/>
            </w:tcBorders>
          </w:tcPr>
          <w:p>
            <w:pPr>
              <w:spacing w:after="0" w:line="20" w:lineRule="exact"/>
              <w:rPr>
                <w:sz w:val="1"/>
                <w:szCs w:val="1"/>
                <w:color w:val="auto"/>
              </w:rPr>
            </w:pPr>
          </w:p>
        </w:tc>
        <w:tc>
          <w:tcPr>
            <w:tcW w:w="120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4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r>
      <w:tr>
        <w:trPr>
          <w:trHeight w:val="217"/>
        </w:trPr>
        <w:tc>
          <w:tcPr>
            <w:tcW w:w="17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1720" w:type="dxa"/>
            <w:vAlign w:val="bottom"/>
          </w:tcPr>
          <w:p>
            <w:pPr>
              <w:spacing w:after="0"/>
              <w:rPr>
                <w:sz w:val="21"/>
                <w:szCs w:val="21"/>
                <w:color w:val="auto"/>
              </w:rPr>
            </w:pPr>
          </w:p>
        </w:tc>
        <w:tc>
          <w:tcPr>
            <w:tcW w:w="4740" w:type="dxa"/>
            <w:vAlign w:val="bottom"/>
            <w:gridSpan w:val="3"/>
            <w:shd w:val="clear" w:color="auto" w:fill="F0FFFF"/>
          </w:tcPr>
          <w:p>
            <w:pPr>
              <w:ind w:left="20"/>
              <w:spacing w:after="0"/>
              <w:rPr>
                <w:sz w:val="20"/>
                <w:szCs w:val="20"/>
                <w:color w:val="auto"/>
              </w:rPr>
            </w:pPr>
            <w:r>
              <w:rPr>
                <w:rFonts w:ascii="Arial" w:cs="Arial" w:eastAsia="Arial" w:hAnsi="Arial"/>
                <w:sz w:val="18"/>
                <w:szCs w:val="18"/>
                <w:color w:val="auto"/>
              </w:rPr>
              <w:t>Vested at June 30, 2015</w:t>
            </w:r>
          </w:p>
        </w:tc>
        <w:tc>
          <w:tcPr>
            <w:tcW w:w="13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1,170</w:t>
            </w:r>
          </w:p>
        </w:tc>
        <w:tc>
          <w:tcPr>
            <w:tcW w:w="1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5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10.69</w:t>
            </w:r>
          </w:p>
        </w:tc>
      </w:tr>
      <w:tr>
        <w:trPr>
          <w:trHeight w:val="20"/>
        </w:trPr>
        <w:tc>
          <w:tcPr>
            <w:tcW w:w="1720" w:type="dxa"/>
            <w:vAlign w:val="bottom"/>
          </w:tcPr>
          <w:p>
            <w:pPr>
              <w:spacing w:after="0" w:line="20" w:lineRule="exact"/>
              <w:rPr>
                <w:sz w:val="1"/>
                <w:szCs w:val="1"/>
                <w:color w:val="auto"/>
              </w:rPr>
            </w:pPr>
          </w:p>
        </w:tc>
        <w:tc>
          <w:tcPr>
            <w:tcW w:w="41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4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Compensation expense for restricted stock units is based on the fair value of restricted stock unit awards at the time of grant, which is equal to the value of United’s common stock on the date of grant. The value of restricted stock unit awards that are expected to vest is amortized into expense over the vesting period. For the six months ended June 30, 2015 and 2014, compensation expense of $2.11 million and $2.18 million, respectively, was recognized related to restricted stock unit awards. In addition, for the six months ended June 30, 2015 and 2014, $47,000 and $50,000, respectively, was recognized in other operating expense for restricted stock unit awards granted to members of United’s board of directors. The total intrinsic value of outstanding restricted stock unit awards was $16.0 million at June 30, 2015.</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2015, there was $8.95 million of unrecognized compensation cost related to non-vested stock options and restricted stock unit awards granted under the plan. That cost is expected to be recognized over a weighted-average period of 2.51 years. The aggregate grant date fair value of options and restricted stock unit awards that vested during the six months ended June 30, 2015, was $1.95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Common and Preferred Stock Issued / Common Stock Issuable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 sponsors a Dividend Reinvestment and Share Purchase Plan (“DRIP”) that allows participants who already own United’s common stock to purchase additional shares directly from United. The DRIP also allows participants to automatically reinvest their quarterly dividends in additional shares of common stock without a commission. No shares were issued through the DRIP in the first six months of 2014 as the DRIP was suspended during that time. The DRIP was re-activated following United’s reinstatement of its quarterly dividend in the second quarter of 2014. In the six months ended June 30, 2015, 997 shares were issued through the DRIP.</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United’s 401(k) Plan has routinely purchased shares of United’s common stock directly from United. Effective January 1, 2015, the 401(k) Plan discontinued offering shares of United’s common stock as an investment option. During the six months ended June 30, 2014, United’s 401(k) Plan purchased 14,171 shares directly from United at the average of the high and low stock prices on the transaction dates which increased capital by $245,000.</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United has an Employee Stock Purchase Program (“ESPP”) that allows eligible employees to purchase shares of common stock at a 5% discount, with no commission charges. Effective January 1, 2015, the discount was increased to 10% on purchases made through the ESPP. During the first six months of 2015 and 2014, United issued 6,664 shares and 5,128 shares, respectively, through the ESPP.</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7" w:name="page38"/>
    <w:bookmarkEnd w:id="37"/>
    <w:p>
      <w:pPr>
        <w:jc w:val="center"/>
        <w:ind w:right="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United offers its common stock as an investment option in its deferred compensation plan. United also allows for the deferral of restricted stock unit awards. The common stock component of the deferred compensation plan is accounted for as an equity instrument and is reflected in the consolidated financial statements as common stock issuable. The deferred compensation plan does not allow for diversification once an election is made to invest in United’s common stock and settlement must be accomplished in shares at the time the deferral period is completed. At June 30, 2015 and 2014, 413,014 and 314,039 shares of common stock, respectively, were issuable under the deferred compensation plan.</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discussed in Note 3, on May 1, 2015, the Company completed its previously announced acquisition of Moneytree. Upon completion of the acquisition, each share of preferred stock issued by MoneyTree as part of the SBLF program of the United States Department of Treasury (9,992 shares in the aggregate with a liquidation preference amount of $1,000 per share) was converted automatically into one substantially identical share of preferred stock of the Company with a liquidation preference amount of $1,000 per share, designated as the Company’s Non-Cumulative Perpetual Preferred Stock, Series H. The SBLF Preferred Shares have terms and conditions identical to those shares of preferred stock issued by MoneyTree to the Treasury. United will pay noncumulative dividends quarterly. The current dividend rate is 1.00% per annum through March 15, 2016. Following this date, the dividend rate will increase to 9% per annum thereafter.</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SBLF Preferred Shares may be redeemed at any time at the option of United, subject to the approval of the appropriate federal banking agency. All redemptions must be made at a per share redemption price equal to 100% of the liquidation preference, plus accrued and unpaid dividends as of the date of the redemption (“Redemption Date”) for the quarter that includes the Redemption Date, and a pro rata portion of any lending incentive fee. All redemptions must be in amounts equal to at least 25% of the number of originally issued shares, or 100% of the then outstanding shares, if less than 25% of the number of originally issued shares.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the first quarter of 2014, United redeemed all of its outstanding Series B and D preferred stock. The preferred stock was redeemed at par and did not result in any gain or loss. The redemptions were funded from a combination of dividends from United Community Bank and cash on hand.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income tax provision for the three and six months ended June 30, 2015 was $11.1 million and $21.5 million, respectively, which represents effective tax rates of 38.4% and 37.7%, respectively, for each period. The income tax provision for the three and six months ended June 30, 2014 was $9.63 million and $18.7 million, respectively, which represents effective tax rates of 37.0% for each period. At June 30, 2015, December 31, 2014 and June 30, 2014, United maintained a valuation allowance on its net deferred tax asset of $4.43 million, $4.12 million and $4.10 million, respectively. Management assesses the valuation allowance recorded against its net deferred tax asset at each reporting period. The determination of whether a valuation allowance for its net deferred tax asset is appropriate is subject to considerable judgment and requires an evaluation of all the positive and negative evidence.</w:t>
      </w:r>
    </w:p>
    <w:p>
      <w:pPr>
        <w:spacing w:after="0" w:line="16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United evaluated the need for a valuation allowance at June 30, 2015. Based on the assessment of all the positive and negative evidence, management concluded that it is more likely than not that nearly all of its net deferred tax asset will be realized based upon future taxable income. The remaining valuation allowance of $4.43 million is related to specific state income tax credits that have short carryforward periods and are expected to expire unused.</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valuation allowance could fluctuate in future periods based on the assessment of the positive and negative evidence. Management’s conclusion at June 30, 2015 that it was more likely than not that United’s net deferred tax asset of $196 million will be realized is based upon management’s estimate of future taxable income. Management’s estimate of future taxable income is based on internal forecasts that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even if caused by adverse macro-economic conditions, the valuation allowance may need to be increased for some or all of its net deferred tax asset. Such an increase to the net deferred tax asset valuation allowance could have a material adverse effect on United’s financial condition and results of operations.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 is subject to income taxation in the United States and various state jurisdictions. United’s federal and state income tax returns are filed on a consolidated basis. Currently, no years for which United filed a federal income tax return are under examination by the IRS, and there are no state tax examinations currently in progress. United is no longer subject to income tax examinations from state and local income tax authorities for years before 2011. Although United is unable to determine the ultimate outcome of future examinations, United believes that the liability recorded for uncertain tax positions is appropriate.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8" w:name="page39"/>
    <w:bookmarkEnd w:id="38"/>
    <w:p>
      <w:pPr>
        <w:jc w:val="center"/>
        <w:ind w:right="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2015, December 31, 2014 and June 30, 2014, unrecognized income tax benefits totaled $4.38 million, $4.20 million and $4.69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Assets and Liabilities Measured at Fair Value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Fair value measurements are determined based on the assumptions that market participants would use in pricing the asset or liability. As a basis for considering market participant assumptions in fair value measurements, United uses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 United has processes in place to review the significant valuation inputs and to reassess how the instruments are classified in the valuation framework.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Hierarchy</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Valuation is based upon quoted prices (unadjusted) in active markets for identical assets or liabilities that United has the ability to access.</w:t>
      </w:r>
    </w:p>
    <w:p>
      <w:pPr>
        <w:spacing w:after="0" w:line="302" w:lineRule="exact"/>
        <w:rPr>
          <w:sz w:val="20"/>
          <w:szCs w:val="20"/>
          <w:color w:val="auto"/>
        </w:rPr>
      </w:pPr>
    </w:p>
    <w:p>
      <w:pPr>
        <w:jc w:val="both"/>
        <w:ind w:left="700"/>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Valuation is based upon quoted prices for similar assets and liabilities in active markets, as well as inputs that are observable for the asset or</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(other than quoted prices), such as interest rates, foreign exchange rates, and yield curves that are observable at commonly quoted intervals.</w:t>
      </w:r>
    </w:p>
    <w:p>
      <w:pPr>
        <w:spacing w:after="0" w:line="151" w:lineRule="exact"/>
        <w:rPr>
          <w:sz w:val="20"/>
          <w:szCs w:val="20"/>
          <w:color w:val="auto"/>
        </w:rPr>
      </w:pPr>
    </w:p>
    <w:p>
      <w:pPr>
        <w:jc w:val="both"/>
        <w:ind w:left="700"/>
        <w:spacing w:after="0" w:line="255"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generated from model-based techniques that use at least one significant assumption based on unobservable inputs for the asset</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liability, which are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United’s assessment of the significance of a particular input to the fair value measurement in its entirety requires judgment, and considers factors specific to the asset or liability.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methodologies used for assets and liabilities recorded at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 Available-for-Sale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Investment securities available-for-sale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mortgage-backed securities issued by government sponsored entities, municipal bonds, corporate debt securities and asset-backed securities and are valued based on observable inputs that include: quoted market prices for similar assets, quoted market prices that are not in an active market, or other inputs that are observable in the market and can be corroborated by observable market data for substantially the full term of the securities. Securities classified as Level 3 include asset-backed securities in less liquid markets. Securities classified as Level 3 are valued based on estimates obtained from broker-dealers and are not directly observable.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 Assets and Liabilities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Loans Held for Sale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Mortgage loans held for sale are carried at the lower of cost or fair value. The fair value of mortgage loans held for sale is based on what secondary markets are currently offering for mortgage loans with similar characteristics.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9" w:name="page40"/>
    <w:bookmarkEnd w:id="39"/>
    <w:p>
      <w:pPr>
        <w:jc w:val="center"/>
        <w:ind w:right="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United does not record loans at fair value on a recurring basis. However, from time to time, a loan is considered impaired and an allowance for loan losses is established. Loans for which it is probable that payment of interest and principal will not be made in accordance with the contractual terms of the loan agreement are considered impaired. Once a loan is identified as individually impaired, management measures impairment based on the present value of expected future cash flows discounted at the loan’s effective interest rate, except that as a practical expedient, a creditor may measure impairment based on a loan’s observable market price, or the fair value of the collateral if repayment of the loan is dependent upon the sale of the underlying collateral. Those impaired loans not requiring an allowance represent loans for which the fair value of the expected repayments or collateral exceed the recorded investments in such loans. In accordance with ASC 820, impaired loans where an allowance is established based on the fair value of collateral require classification in the fair value hierarchy.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Foreclosed Assets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Foreclosed assets are adjusted to fair value, less cost to sell, upon transfer of the loans to foreclosed assets. Subsequently, foreclosed assets are carried at the lower of carrying value or fair value. Fair value is based upon independent market prices, appraised values of the collateral or management’s estimation of the value of the collateral. When the fair value of the collateral is based on an observable market price or a current appraised value, United records the foreclosed asset as nonrecurring Level 2. When an appraised value is not available or management determines the fair value of the collateral is further impaired below the appraised value and there is no observable market price, United records the foreclosed asset as nonrecurring Level 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uses interest rate swaps and interest rate floors to manage its interest rate risk. The valuation of these instruments is typically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comply with the provisions of ASC 820, United incorporates credit valuation adjustments to appropriately reflect both its own nonperformance risk and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mutual puts, and guarantees.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management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June 30, 2015, management had assessed the significance of the effect of the credit valuation adjustments on the overall valuation of its derivative positions and has determined that the credit valuation adjustments are not significant to the overall valuation of its derivatives. Additionally, in the review of the structured derivative inputs, it was determined that the broker quotes, used as a key valuation input, were not observable consistent with a level 2 disclosure. This resulted in United transferring those derivatives to Level 3 in the ASC 820 leveling disclosures as of December 31,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Servicing Rights for Government Guaranteed Loans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United expanded its government guaranteed lending and subsequent loan sales activities, a servicing asset has been recognized (per ASC 860). This asset is recorded at fair value on recognition, and management has elected to carry this asset at fair value for subsequent reporting. Given the nature of the asset, the key valuation inputs are unobservable and management classifies this asset as Level 3.</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0" w:name="page41"/>
    <w:bookmarkEnd w:id="40"/>
    <w:p>
      <w:pPr>
        <w:jc w:val="center"/>
        <w:ind w:right="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The table below presents United’s assets and liabilities measured at fair value on a recurring basis as of June 30, 2015, December 31, 2014 and June 30, 2014,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June 30, 2015</w:t>
            </w:r>
          </w:p>
        </w:tc>
        <w:tc>
          <w:tcPr>
            <w:tcW w:w="30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4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140"/>
              <w:spacing w:after="0"/>
              <w:rPr>
                <w:sz w:val="20"/>
                <w:szCs w:val="20"/>
                <w:color w:val="auto"/>
              </w:rPr>
            </w:pPr>
            <w:r>
              <w:rPr>
                <w:rFonts w:ascii="Arial" w:cs="Arial" w:eastAsia="Arial" w:hAnsi="Arial"/>
                <w:sz w:val="18"/>
                <w:szCs w:val="18"/>
                <w:color w:val="auto"/>
              </w:rPr>
              <w:t>Securities available for sale: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shd w:val="clear" w:color="auto" w:fill="F0FFFF"/>
          </w:tcPr>
          <w:p>
            <w:pPr>
              <w:ind w:left="300"/>
              <w:spacing w:after="0"/>
              <w:rPr>
                <w:sz w:val="20"/>
                <w:szCs w:val="20"/>
                <w:color w:val="auto"/>
              </w:rPr>
            </w:pPr>
            <w:r>
              <w:rPr>
                <w:rFonts w:ascii="Arial" w:cs="Arial" w:eastAsia="Arial" w:hAnsi="Arial"/>
                <w:sz w:val="18"/>
                <w:szCs w:val="18"/>
                <w:color w:val="auto"/>
              </w:rPr>
              <w:t>U.S. Treasuries</w:t>
            </w:r>
          </w:p>
        </w:tc>
        <w:tc>
          <w:tcPr>
            <w:tcW w:w="3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127,901</w:t>
            </w:r>
          </w:p>
        </w:tc>
        <w:tc>
          <w:tcPr>
            <w:tcW w:w="240" w:type="dxa"/>
            <w:vAlign w:val="bottom"/>
            <w:shd w:val="clear" w:color="auto" w:fill="F0FFFF"/>
          </w:tcPr>
          <w:p>
            <w:pPr>
              <w:spacing w:after="0"/>
              <w:rPr>
                <w:sz w:val="21"/>
                <w:szCs w:val="21"/>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F0FF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F0FF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127,901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300"/>
              <w:spacing w:after="0"/>
              <w:rPr>
                <w:sz w:val="20"/>
                <w:szCs w:val="20"/>
                <w:color w:val="auto"/>
              </w:rPr>
            </w:pPr>
            <w:r>
              <w:rPr>
                <w:rFonts w:ascii="Arial" w:cs="Arial" w:eastAsia="Arial" w:hAnsi="Arial"/>
                <w:sz w:val="18"/>
                <w:szCs w:val="18"/>
                <w:color w:val="auto"/>
              </w:rPr>
              <w:t>U.S. Government agencies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110,311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110,311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shd w:val="clear" w:color="auto" w:fill="F0FFFF"/>
          </w:tcPr>
          <w:p>
            <w:pPr>
              <w:ind w:left="300"/>
              <w:spacing w:after="0"/>
              <w:rPr>
                <w:sz w:val="20"/>
                <w:szCs w:val="20"/>
                <w:color w:val="auto"/>
              </w:rPr>
            </w:pPr>
            <w:r>
              <w:rPr>
                <w:rFonts w:ascii="Arial" w:cs="Arial" w:eastAsia="Arial" w:hAnsi="Arial"/>
                <w:sz w:val="18"/>
                <w:szCs w:val="18"/>
                <w:color w:val="auto"/>
              </w:rPr>
              <w:t>State and political subdivisions</w:t>
            </w:r>
          </w:p>
        </w:tc>
        <w:tc>
          <w:tcPr>
            <w:tcW w:w="300" w:type="dxa"/>
            <w:vAlign w:val="bottom"/>
            <w:shd w:val="clear" w:color="auto" w:fill="F0FFFF"/>
          </w:tcPr>
          <w:p>
            <w:pPr>
              <w:spacing w:after="0"/>
              <w:rPr>
                <w:sz w:val="21"/>
                <w:szCs w:val="21"/>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30,764</w:t>
            </w:r>
          </w:p>
        </w:tc>
        <w:tc>
          <w:tcPr>
            <w:tcW w:w="12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30,764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300"/>
              <w:spacing w:after="0"/>
              <w:rPr>
                <w:sz w:val="20"/>
                <w:szCs w:val="20"/>
                <w:color w:val="auto"/>
              </w:rPr>
            </w:pPr>
            <w:r>
              <w:rPr>
                <w:rFonts w:ascii="Arial" w:cs="Arial" w:eastAsia="Arial" w:hAnsi="Arial"/>
                <w:sz w:val="18"/>
                <w:szCs w:val="18"/>
                <w:color w:val="auto"/>
              </w:rPr>
              <w:t>Mortgage-backed securities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998,116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998,116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shd w:val="clear" w:color="auto" w:fill="F0FFFF"/>
          </w:tcPr>
          <w:p>
            <w:pPr>
              <w:ind w:left="300"/>
              <w:spacing w:after="0"/>
              <w:rPr>
                <w:sz w:val="20"/>
                <w:szCs w:val="20"/>
                <w:color w:val="auto"/>
              </w:rPr>
            </w:pPr>
            <w:r>
              <w:rPr>
                <w:rFonts w:ascii="Arial" w:cs="Arial" w:eastAsia="Arial" w:hAnsi="Arial"/>
                <w:sz w:val="18"/>
                <w:szCs w:val="18"/>
                <w:color w:val="auto"/>
              </w:rPr>
              <w:t>Corporate bonds</w:t>
            </w:r>
          </w:p>
        </w:tc>
        <w:tc>
          <w:tcPr>
            <w:tcW w:w="300" w:type="dxa"/>
            <w:vAlign w:val="bottom"/>
            <w:shd w:val="clear" w:color="auto" w:fill="F0FFFF"/>
          </w:tcPr>
          <w:p>
            <w:pPr>
              <w:spacing w:after="0"/>
              <w:rPr>
                <w:sz w:val="21"/>
                <w:szCs w:val="21"/>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206,274</w:t>
            </w:r>
          </w:p>
        </w:tc>
        <w:tc>
          <w:tcPr>
            <w:tcW w:w="12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207,024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30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466,332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466,332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shd w:val="clear" w:color="auto" w:fill="F0FFFF"/>
          </w:tcPr>
          <w:p>
            <w:pPr>
              <w:ind w:left="30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F0FFFF"/>
          </w:tcPr>
          <w:p>
            <w:pPr>
              <w:spacing w:after="0"/>
              <w:rPr>
                <w:sz w:val="21"/>
                <w:szCs w:val="21"/>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1,871</w:t>
            </w:r>
          </w:p>
        </w:tc>
        <w:tc>
          <w:tcPr>
            <w:tcW w:w="12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140"/>
              <w:spacing w:after="0"/>
              <w:rPr>
                <w:sz w:val="20"/>
                <w:szCs w:val="20"/>
                <w:color w:val="auto"/>
              </w:rPr>
            </w:pPr>
            <w:r>
              <w:rPr>
                <w:rFonts w:ascii="Arial" w:cs="Arial" w:eastAsia="Arial" w:hAnsi="Arial"/>
                <w:sz w:val="18"/>
                <w:szCs w:val="18"/>
                <w:color w:val="auto"/>
              </w:rPr>
              <w:t>Deferred compensation plan assets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3,429</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3,429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Servicing rights for government guaranteed loans</w:t>
            </w:r>
          </w:p>
        </w:tc>
        <w:tc>
          <w:tcPr>
            <w:tcW w:w="300" w:type="dxa"/>
            <w:vAlign w:val="bottom"/>
            <w:shd w:val="clear" w:color="auto" w:fill="F0FFFF"/>
          </w:tcPr>
          <w:p>
            <w:pPr>
              <w:spacing w:after="0"/>
              <w:rPr>
                <w:sz w:val="21"/>
                <w:szCs w:val="21"/>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3,118</w:t>
            </w:r>
          </w:p>
        </w:tc>
        <w:tc>
          <w:tcPr>
            <w:tcW w:w="10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gridSpan w:val="2"/>
          </w:tcPr>
          <w:p>
            <w:pPr>
              <w:ind w:left="140"/>
              <w:spacing w:after="0"/>
              <w:rPr>
                <w:sz w:val="20"/>
                <w:szCs w:val="20"/>
                <w:color w:val="auto"/>
              </w:rPr>
            </w:pPr>
            <w:r>
              <w:rPr>
                <w:rFonts w:ascii="Arial" w:cs="Arial" w:eastAsia="Arial" w:hAnsi="Arial"/>
                <w:sz w:val="18"/>
                <w:szCs w:val="18"/>
                <w:color w:val="auto"/>
              </w:rPr>
              <w:t>Derivative financial instruments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10,197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11,531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21,728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00" w:type="dxa"/>
            <w:vAlign w:val="bottom"/>
            <w:tcBorders>
              <w:top w:val="single" w:sz="8" w:color="F0FFFF"/>
              <w:bottom w:val="single" w:sz="8" w:color="F0FFFF"/>
            </w:tcBorders>
            <w:gridSpan w:val="2"/>
            <w:shd w:val="clear" w:color="auto" w:fill="F0FFFF"/>
          </w:tcPr>
          <w:p>
            <w:pPr>
              <w:ind w:left="46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131,330</w:t>
            </w:r>
          </w:p>
        </w:tc>
        <w:tc>
          <w:tcPr>
            <w:tcW w:w="240" w:type="dxa"/>
            <w:vAlign w:val="bottom"/>
            <w:tcBorders>
              <w:top w:val="single" w:sz="8" w:color="F0FFFF"/>
              <w:bottom w:val="single" w:sz="8" w:color="F0FFFF"/>
            </w:tcBorders>
            <w:shd w:val="clear" w:color="auto" w:fill="F0FFFF"/>
          </w:tcPr>
          <w:p>
            <w:pPr>
              <w:spacing w:after="0"/>
              <w:rPr>
                <w:sz w:val="20"/>
                <w:szCs w:val="20"/>
                <w:color w:val="auto"/>
              </w:rPr>
            </w:pP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1,823,865</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15,399</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300" w:type="dxa"/>
            <w:vAlign w:val="bottom"/>
            <w:tcBorders>
              <w:top w:val="single" w:sz="8" w:color="auto"/>
              <w:bottom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1,970,594</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5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F0FFFF"/>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140"/>
              <w:spacing w:after="0"/>
              <w:rPr>
                <w:sz w:val="20"/>
                <w:szCs w:val="20"/>
                <w:color w:val="auto"/>
              </w:rPr>
            </w:pPr>
            <w:r>
              <w:rPr>
                <w:rFonts w:ascii="Arial" w:cs="Arial" w:eastAsia="Arial" w:hAnsi="Arial"/>
                <w:sz w:val="18"/>
                <w:szCs w:val="18"/>
                <w:color w:val="auto"/>
              </w:rPr>
              <w:t>Deferred compensation plan liability</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3,429</w:t>
            </w:r>
          </w:p>
        </w:tc>
        <w:tc>
          <w:tcPr>
            <w:tcW w:w="240" w:type="dxa"/>
            <w:vAlign w:val="bottom"/>
          </w:tcPr>
          <w:p>
            <w:pPr>
              <w:spacing w:after="0"/>
              <w:rPr>
                <w:sz w:val="21"/>
                <w:szCs w:val="21"/>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3,429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Derivative financial instruments</w:t>
            </w:r>
          </w:p>
        </w:tc>
        <w:tc>
          <w:tcPr>
            <w:tcW w:w="300" w:type="dxa"/>
            <w:vAlign w:val="bottom"/>
            <w:shd w:val="clear" w:color="auto" w:fill="F0FFFF"/>
          </w:tcPr>
          <w:p>
            <w:pPr>
              <w:spacing w:after="0"/>
              <w:rPr>
                <w:sz w:val="21"/>
                <w:szCs w:val="21"/>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14,113</w:t>
            </w:r>
          </w:p>
        </w:tc>
        <w:tc>
          <w:tcPr>
            <w:tcW w:w="12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18,261</w:t>
            </w:r>
          </w:p>
        </w:tc>
        <w:tc>
          <w:tcPr>
            <w:tcW w:w="10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32,374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Borders>
              <w:top w:val="single" w:sz="8" w:color="F0FFFF"/>
            </w:tcBorders>
            <w:gridSpan w:val="2"/>
          </w:tcPr>
          <w:p>
            <w:pPr>
              <w:ind w:left="460"/>
              <w:spacing w:after="0" w:line="203" w:lineRule="exact"/>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3,429</w:t>
            </w:r>
          </w:p>
        </w:tc>
        <w:tc>
          <w:tcPr>
            <w:tcW w:w="240" w:type="dxa"/>
            <w:vAlign w:val="bottom"/>
            <w:tcBorders>
              <w:top w:val="single" w:sz="8" w:color="F0FF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14,113</w:t>
            </w:r>
          </w:p>
        </w:tc>
        <w:tc>
          <w:tcPr>
            <w:tcW w:w="12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18,261</w:t>
            </w:r>
          </w:p>
        </w:tc>
        <w:tc>
          <w:tcPr>
            <w:tcW w:w="10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35,803</w:t>
            </w:r>
          </w:p>
        </w:tc>
        <w:tc>
          <w:tcPr>
            <w:tcW w:w="10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620" w:type="dxa"/>
            <w:vAlign w:val="bottom"/>
            <w:gridSpan w:val="3"/>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December 31, 2014</w:t>
            </w:r>
          </w:p>
        </w:tc>
        <w:tc>
          <w:tcPr>
            <w:tcW w:w="300" w:type="dxa"/>
            <w:vAlign w:val="bottom"/>
          </w:tcPr>
          <w:p>
            <w:pPr>
              <w:spacing w:after="0"/>
              <w:rPr>
                <w:sz w:val="24"/>
                <w:szCs w:val="24"/>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4"/>
                <w:szCs w:val="2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4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140"/>
              <w:spacing w:after="0"/>
              <w:rPr>
                <w:sz w:val="20"/>
                <w:szCs w:val="20"/>
                <w:color w:val="auto"/>
              </w:rPr>
            </w:pPr>
            <w:r>
              <w:rPr>
                <w:rFonts w:ascii="Arial" w:cs="Arial" w:eastAsia="Arial" w:hAnsi="Arial"/>
                <w:sz w:val="18"/>
                <w:szCs w:val="18"/>
                <w:color w:val="auto"/>
              </w:rPr>
              <w:t>Securities available for sale: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shd w:val="clear" w:color="auto" w:fill="F0FFFF"/>
          </w:tcPr>
          <w:p>
            <w:pPr>
              <w:ind w:left="300"/>
              <w:spacing w:after="0"/>
              <w:rPr>
                <w:sz w:val="20"/>
                <w:szCs w:val="20"/>
                <w:color w:val="auto"/>
              </w:rPr>
            </w:pPr>
            <w:r>
              <w:rPr>
                <w:rFonts w:ascii="Arial" w:cs="Arial" w:eastAsia="Arial" w:hAnsi="Arial"/>
                <w:sz w:val="18"/>
                <w:szCs w:val="18"/>
                <w:color w:val="auto"/>
              </w:rPr>
              <w:t>U.S. Treasuries</w:t>
            </w:r>
          </w:p>
        </w:tc>
        <w:tc>
          <w:tcPr>
            <w:tcW w:w="3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105,709</w:t>
            </w:r>
          </w:p>
        </w:tc>
        <w:tc>
          <w:tcPr>
            <w:tcW w:w="240" w:type="dxa"/>
            <w:vAlign w:val="bottom"/>
            <w:shd w:val="clear" w:color="auto" w:fill="F0FFFF"/>
          </w:tcPr>
          <w:p>
            <w:pPr>
              <w:spacing w:after="0"/>
              <w:rPr>
                <w:sz w:val="21"/>
                <w:szCs w:val="21"/>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F0FF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F0FF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105,709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300"/>
              <w:spacing w:after="0"/>
              <w:rPr>
                <w:sz w:val="20"/>
                <w:szCs w:val="20"/>
                <w:color w:val="auto"/>
              </w:rPr>
            </w:pPr>
            <w:r>
              <w:rPr>
                <w:rFonts w:ascii="Arial" w:cs="Arial" w:eastAsia="Arial" w:hAnsi="Arial"/>
                <w:sz w:val="18"/>
                <w:szCs w:val="18"/>
                <w:color w:val="auto"/>
              </w:rPr>
              <w:t>U.S. Government agencies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36,299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36,299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shd w:val="clear" w:color="auto" w:fill="F0FFFF"/>
          </w:tcPr>
          <w:p>
            <w:pPr>
              <w:ind w:left="300"/>
              <w:spacing w:after="0"/>
              <w:rPr>
                <w:sz w:val="20"/>
                <w:szCs w:val="20"/>
                <w:color w:val="auto"/>
              </w:rPr>
            </w:pPr>
            <w:r>
              <w:rPr>
                <w:rFonts w:ascii="Arial" w:cs="Arial" w:eastAsia="Arial" w:hAnsi="Arial"/>
                <w:sz w:val="18"/>
                <w:szCs w:val="18"/>
                <w:color w:val="auto"/>
              </w:rPr>
              <w:t>State and political subdivisions</w:t>
            </w:r>
          </w:p>
        </w:tc>
        <w:tc>
          <w:tcPr>
            <w:tcW w:w="300" w:type="dxa"/>
            <w:vAlign w:val="bottom"/>
            <w:shd w:val="clear" w:color="auto" w:fill="F0FFFF"/>
          </w:tcPr>
          <w:p>
            <w:pPr>
              <w:spacing w:after="0"/>
              <w:rPr>
                <w:sz w:val="21"/>
                <w:szCs w:val="21"/>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20,233</w:t>
            </w:r>
          </w:p>
        </w:tc>
        <w:tc>
          <w:tcPr>
            <w:tcW w:w="12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20,233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300"/>
              <w:spacing w:after="0"/>
              <w:rPr>
                <w:sz w:val="20"/>
                <w:szCs w:val="20"/>
                <w:color w:val="auto"/>
              </w:rPr>
            </w:pPr>
            <w:r>
              <w:rPr>
                <w:rFonts w:ascii="Arial" w:cs="Arial" w:eastAsia="Arial" w:hAnsi="Arial"/>
                <w:sz w:val="18"/>
                <w:szCs w:val="18"/>
                <w:color w:val="auto"/>
              </w:rPr>
              <w:t>Mortgage-backed securities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996,820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996,820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shd w:val="clear" w:color="auto" w:fill="F0FFFF"/>
          </w:tcPr>
          <w:p>
            <w:pPr>
              <w:ind w:left="300"/>
              <w:spacing w:after="0"/>
              <w:rPr>
                <w:sz w:val="20"/>
                <w:szCs w:val="20"/>
                <w:color w:val="auto"/>
              </w:rPr>
            </w:pPr>
            <w:r>
              <w:rPr>
                <w:rFonts w:ascii="Arial" w:cs="Arial" w:eastAsia="Arial" w:hAnsi="Arial"/>
                <w:sz w:val="18"/>
                <w:szCs w:val="18"/>
                <w:color w:val="auto"/>
              </w:rPr>
              <w:t>Corporate bonds</w:t>
            </w:r>
          </w:p>
        </w:tc>
        <w:tc>
          <w:tcPr>
            <w:tcW w:w="300" w:type="dxa"/>
            <w:vAlign w:val="bottom"/>
            <w:shd w:val="clear" w:color="auto" w:fill="F0FFFF"/>
          </w:tcPr>
          <w:p>
            <w:pPr>
              <w:spacing w:after="0"/>
              <w:rPr>
                <w:sz w:val="21"/>
                <w:szCs w:val="21"/>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164,878</w:t>
            </w:r>
          </w:p>
        </w:tc>
        <w:tc>
          <w:tcPr>
            <w:tcW w:w="12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165,628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300"/>
              <w:spacing w:after="0"/>
              <w:rPr>
                <w:sz w:val="20"/>
                <w:szCs w:val="20"/>
                <w:color w:val="auto"/>
              </w:rPr>
            </w:pPr>
            <w:r>
              <w:rPr>
                <w:rFonts w:ascii="Arial" w:cs="Arial" w:eastAsia="Arial" w:hAnsi="Arial"/>
                <w:sz w:val="18"/>
                <w:szCs w:val="18"/>
                <w:color w:val="auto"/>
              </w:rPr>
              <w:t>Asset-backed securities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455,928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455,928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shd w:val="clear" w:color="auto" w:fill="F0FFFF"/>
          </w:tcPr>
          <w:p>
            <w:pPr>
              <w:ind w:left="30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F0FFFF"/>
          </w:tcPr>
          <w:p>
            <w:pPr>
              <w:spacing w:after="0"/>
              <w:rPr>
                <w:sz w:val="21"/>
                <w:szCs w:val="21"/>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2,117</w:t>
            </w:r>
          </w:p>
        </w:tc>
        <w:tc>
          <w:tcPr>
            <w:tcW w:w="12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140"/>
              <w:spacing w:after="0"/>
              <w:rPr>
                <w:sz w:val="20"/>
                <w:szCs w:val="20"/>
                <w:color w:val="auto"/>
              </w:rPr>
            </w:pPr>
            <w:r>
              <w:rPr>
                <w:rFonts w:ascii="Arial" w:cs="Arial" w:eastAsia="Arial" w:hAnsi="Arial"/>
                <w:sz w:val="18"/>
                <w:szCs w:val="18"/>
                <w:color w:val="auto"/>
              </w:rPr>
              <w:t>Deferred compensation plan assets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3,864</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3,864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Servicing rights for government guaranteed loans</w:t>
            </w:r>
          </w:p>
        </w:tc>
        <w:tc>
          <w:tcPr>
            <w:tcW w:w="300" w:type="dxa"/>
            <w:vAlign w:val="bottom"/>
            <w:shd w:val="clear" w:color="auto" w:fill="F0FFFF"/>
          </w:tcPr>
          <w:p>
            <w:pPr>
              <w:spacing w:after="0"/>
              <w:rPr>
                <w:sz w:val="21"/>
                <w:szCs w:val="21"/>
                <w:color w:val="auto"/>
              </w:rPr>
            </w:pPr>
          </w:p>
        </w:tc>
        <w:tc>
          <w:tcPr>
            <w:tcW w:w="96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2,551</w:t>
            </w:r>
          </w:p>
        </w:tc>
        <w:tc>
          <w:tcPr>
            <w:tcW w:w="10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0" w:type="dxa"/>
            <w:vAlign w:val="bottom"/>
            <w:gridSpan w:val="2"/>
          </w:tcPr>
          <w:p>
            <w:pPr>
              <w:ind w:left="140"/>
              <w:spacing w:after="0"/>
              <w:rPr>
                <w:sz w:val="20"/>
                <w:szCs w:val="20"/>
                <w:color w:val="auto"/>
              </w:rPr>
            </w:pPr>
            <w:r>
              <w:rPr>
                <w:rFonts w:ascii="Arial" w:cs="Arial" w:eastAsia="Arial" w:hAnsi="Arial"/>
                <w:sz w:val="18"/>
                <w:szCs w:val="18"/>
                <w:color w:val="auto"/>
              </w:rPr>
              <w:t>Derivative financial instruments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8,337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12,262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20,599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00" w:type="dxa"/>
            <w:vAlign w:val="bottom"/>
            <w:tcBorders>
              <w:top w:val="single" w:sz="8" w:color="F0FFFF"/>
              <w:bottom w:val="single" w:sz="8" w:color="F0FFFF"/>
            </w:tcBorders>
            <w:gridSpan w:val="2"/>
            <w:shd w:val="clear" w:color="auto" w:fill="F0FFFF"/>
          </w:tcPr>
          <w:p>
            <w:pPr>
              <w:ind w:left="46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109,573</w:t>
            </w:r>
          </w:p>
        </w:tc>
        <w:tc>
          <w:tcPr>
            <w:tcW w:w="240" w:type="dxa"/>
            <w:vAlign w:val="bottom"/>
            <w:tcBorders>
              <w:top w:val="single" w:sz="8" w:color="F0FFFF"/>
              <w:bottom w:val="single" w:sz="8" w:color="F0FFFF"/>
            </w:tcBorders>
            <w:shd w:val="clear" w:color="auto" w:fill="F0FFFF"/>
          </w:tcPr>
          <w:p>
            <w:pPr>
              <w:spacing w:after="0"/>
              <w:rPr>
                <w:sz w:val="20"/>
                <w:szCs w:val="20"/>
                <w:color w:val="auto"/>
              </w:rPr>
            </w:pP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1,684,612</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15,563</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300" w:type="dxa"/>
            <w:vAlign w:val="bottom"/>
            <w:tcBorders>
              <w:top w:val="single" w:sz="8" w:color="auto"/>
              <w:bottom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1,809,748</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5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F0FFFF"/>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140"/>
              <w:spacing w:after="0"/>
              <w:rPr>
                <w:sz w:val="20"/>
                <w:szCs w:val="20"/>
                <w:color w:val="auto"/>
              </w:rPr>
            </w:pPr>
            <w:r>
              <w:rPr>
                <w:rFonts w:ascii="Arial" w:cs="Arial" w:eastAsia="Arial" w:hAnsi="Arial"/>
                <w:sz w:val="18"/>
                <w:szCs w:val="18"/>
                <w:color w:val="auto"/>
              </w:rPr>
              <w:t>Deferred compensation plan liability</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3,864</w:t>
            </w:r>
          </w:p>
        </w:tc>
        <w:tc>
          <w:tcPr>
            <w:tcW w:w="240" w:type="dxa"/>
            <w:vAlign w:val="bottom"/>
          </w:tcPr>
          <w:p>
            <w:pPr>
              <w:spacing w:after="0"/>
              <w:rPr>
                <w:sz w:val="21"/>
                <w:szCs w:val="21"/>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3,864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Derivative financial instruments</w:t>
            </w:r>
          </w:p>
        </w:tc>
        <w:tc>
          <w:tcPr>
            <w:tcW w:w="300" w:type="dxa"/>
            <w:vAlign w:val="bottom"/>
            <w:shd w:val="clear" w:color="auto" w:fill="F0FFFF"/>
          </w:tcPr>
          <w:p>
            <w:pPr>
              <w:spacing w:after="0"/>
              <w:rPr>
                <w:sz w:val="21"/>
                <w:szCs w:val="21"/>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13,018</w:t>
            </w:r>
          </w:p>
        </w:tc>
        <w:tc>
          <w:tcPr>
            <w:tcW w:w="12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18,979</w:t>
            </w:r>
          </w:p>
        </w:tc>
        <w:tc>
          <w:tcPr>
            <w:tcW w:w="10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31,997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Borders>
              <w:top w:val="single" w:sz="8" w:color="F0FFFF"/>
            </w:tcBorders>
            <w:gridSpan w:val="2"/>
          </w:tcPr>
          <w:p>
            <w:pPr>
              <w:ind w:left="460"/>
              <w:spacing w:after="0" w:line="203" w:lineRule="exact"/>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3,864</w:t>
            </w:r>
          </w:p>
        </w:tc>
        <w:tc>
          <w:tcPr>
            <w:tcW w:w="240" w:type="dxa"/>
            <w:vAlign w:val="bottom"/>
            <w:tcBorders>
              <w:top w:val="single" w:sz="8" w:color="F0FF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13,018</w:t>
            </w:r>
          </w:p>
        </w:tc>
        <w:tc>
          <w:tcPr>
            <w:tcW w:w="12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18,979</w:t>
            </w:r>
          </w:p>
        </w:tc>
        <w:tc>
          <w:tcPr>
            <w:tcW w:w="10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35,861</w:t>
            </w:r>
          </w:p>
        </w:tc>
        <w:tc>
          <w:tcPr>
            <w:tcW w:w="10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536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0"/>
                <w:szCs w:val="20"/>
                <w:color w:val="auto"/>
              </w:rPr>
            </w:pPr>
            <w:r>
              <w:rPr>
                <w:rFonts w:ascii="Arial" w:cs="Arial" w:eastAsia="Arial" w:hAnsi="Arial"/>
                <w:sz w:val="18"/>
                <w:szCs w:val="18"/>
                <w:color w:val="auto"/>
              </w:rPr>
              <w:t>36</w:t>
            </w:r>
          </w:p>
        </w:tc>
        <w:tc>
          <w:tcPr>
            <w:tcW w:w="96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41" w:name="page42"/>
    <w:bookmarkEnd w:id="41"/>
    <w:p>
      <w:pPr>
        <w:jc w:val="center"/>
        <w:ind w:right="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June 30, 2014</w:t>
            </w:r>
          </w:p>
        </w:tc>
        <w:tc>
          <w:tcPr>
            <w:tcW w:w="24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3"/>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538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24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160"/>
              <w:spacing w:after="0"/>
              <w:rPr>
                <w:sz w:val="20"/>
                <w:szCs w:val="20"/>
                <w:color w:val="auto"/>
              </w:rPr>
            </w:pPr>
            <w:r>
              <w:rPr>
                <w:rFonts w:ascii="Arial" w:cs="Arial" w:eastAsia="Arial" w:hAnsi="Arial"/>
                <w:sz w:val="18"/>
                <w:szCs w:val="18"/>
                <w:color w:val="auto"/>
              </w:rPr>
              <w:t>Securities available for sale:</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shd w:val="clear" w:color="auto" w:fill="F0FFFF"/>
          </w:tcPr>
          <w:p>
            <w:pPr>
              <w:ind w:left="320"/>
              <w:spacing w:after="0"/>
              <w:rPr>
                <w:sz w:val="20"/>
                <w:szCs w:val="20"/>
                <w:color w:val="auto"/>
              </w:rPr>
            </w:pPr>
            <w:r>
              <w:rPr>
                <w:rFonts w:ascii="Arial" w:cs="Arial" w:eastAsia="Arial" w:hAnsi="Arial"/>
                <w:sz w:val="18"/>
                <w:szCs w:val="18"/>
                <w:color w:val="auto"/>
              </w:rPr>
              <w:t>U.S. Treasuries</w:t>
            </w: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21"/>
                <w:szCs w:val="21"/>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15,508</w:t>
            </w:r>
          </w:p>
        </w:tc>
        <w:tc>
          <w:tcPr>
            <w:tcW w:w="1080" w:type="dxa"/>
            <w:vAlign w:val="bottom"/>
            <w:gridSpan w:val="2"/>
            <w:shd w:val="clear" w:color="auto" w:fill="F0FFFF"/>
          </w:tcPr>
          <w:p>
            <w:pPr>
              <w:jc w:val="right"/>
              <w:ind w:right="8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jc w:val="right"/>
              <w:ind w:right="125"/>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15,508</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320"/>
              <w:spacing w:after="0"/>
              <w:rPr>
                <w:sz w:val="20"/>
                <w:szCs w:val="20"/>
                <w:color w:val="auto"/>
              </w:rPr>
            </w:pPr>
            <w:r>
              <w:rPr>
                <w:rFonts w:ascii="Arial" w:cs="Arial" w:eastAsia="Arial" w:hAnsi="Arial"/>
                <w:sz w:val="18"/>
                <w:szCs w:val="18"/>
                <w:color w:val="auto"/>
              </w:rPr>
              <w:t>State and political subdivisions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21,815</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21,815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shd w:val="clear" w:color="auto" w:fill="F0FFFF"/>
          </w:tcPr>
          <w:p>
            <w:pPr>
              <w:ind w:left="320"/>
              <w:spacing w:after="0"/>
              <w:rPr>
                <w:sz w:val="20"/>
                <w:szCs w:val="20"/>
                <w:color w:val="auto"/>
              </w:rPr>
            </w:pPr>
            <w:r>
              <w:rPr>
                <w:rFonts w:ascii="Arial" w:cs="Arial" w:eastAsia="Arial" w:hAnsi="Arial"/>
                <w:sz w:val="18"/>
                <w:szCs w:val="18"/>
                <w:color w:val="auto"/>
              </w:rPr>
              <w:t>Mortgage-backed securities</w:t>
            </w:r>
          </w:p>
        </w:tc>
        <w:tc>
          <w:tcPr>
            <w:tcW w:w="240" w:type="dxa"/>
            <w:vAlign w:val="bottom"/>
            <w:shd w:val="clear" w:color="auto" w:fill="F0FFFF"/>
          </w:tcPr>
          <w:p>
            <w:pPr>
              <w:spacing w:after="0"/>
              <w:rPr>
                <w:sz w:val="21"/>
                <w:szCs w:val="21"/>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1,077,440</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960" w:type="dxa"/>
            <w:vAlign w:val="bottom"/>
            <w:shd w:val="clear" w:color="auto" w:fill="F0FFFF"/>
          </w:tcPr>
          <w:p>
            <w:pPr>
              <w:spacing w:after="0"/>
              <w:rPr>
                <w:sz w:val="21"/>
                <w:szCs w:val="21"/>
                <w:color w:val="auto"/>
              </w:rPr>
            </w:pPr>
          </w:p>
        </w:tc>
        <w:tc>
          <w:tcPr>
            <w:tcW w:w="4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9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1,077,440</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32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175,671</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300</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175,971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shd w:val="clear" w:color="auto" w:fill="F0FFFF"/>
          </w:tcPr>
          <w:p>
            <w:pPr>
              <w:ind w:left="320"/>
              <w:spacing w:after="0"/>
              <w:rPr>
                <w:sz w:val="20"/>
                <w:szCs w:val="20"/>
                <w:color w:val="auto"/>
              </w:rPr>
            </w:pPr>
            <w:r>
              <w:rPr>
                <w:rFonts w:ascii="Arial" w:cs="Arial" w:eastAsia="Arial" w:hAnsi="Arial"/>
                <w:sz w:val="18"/>
                <w:szCs w:val="18"/>
                <w:color w:val="auto"/>
              </w:rPr>
              <w:t>Asset-backed securities</w:t>
            </w:r>
          </w:p>
        </w:tc>
        <w:tc>
          <w:tcPr>
            <w:tcW w:w="240" w:type="dxa"/>
            <w:vAlign w:val="bottom"/>
            <w:shd w:val="clear" w:color="auto" w:fill="F0FFFF"/>
          </w:tcPr>
          <w:p>
            <w:pPr>
              <w:spacing w:after="0"/>
              <w:rPr>
                <w:sz w:val="21"/>
                <w:szCs w:val="21"/>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448,323</w:t>
            </w:r>
          </w:p>
        </w:tc>
        <w:tc>
          <w:tcPr>
            <w:tcW w:w="120" w:type="dxa"/>
            <w:vAlign w:val="bottom"/>
            <w:shd w:val="clear" w:color="auto" w:fill="F0FFFF"/>
          </w:tcPr>
          <w:p>
            <w:pPr>
              <w:spacing w:after="0"/>
              <w:rPr>
                <w:sz w:val="21"/>
                <w:szCs w:val="21"/>
                <w:color w:val="auto"/>
              </w:rPr>
            </w:pPr>
          </w:p>
        </w:tc>
        <w:tc>
          <w:tcPr>
            <w:tcW w:w="960" w:type="dxa"/>
            <w:vAlign w:val="bottom"/>
            <w:shd w:val="clear" w:color="auto" w:fill="F0FFFF"/>
          </w:tcPr>
          <w:p>
            <w:pPr>
              <w:spacing w:after="0"/>
              <w:rPr>
                <w:sz w:val="21"/>
                <w:szCs w:val="21"/>
                <w:color w:val="auto"/>
              </w:rPr>
            </w:pPr>
          </w:p>
        </w:tc>
        <w:tc>
          <w:tcPr>
            <w:tcW w:w="4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9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448,323</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3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2,211</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2,211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Deferred compensation plan assets</w:t>
            </w:r>
          </w:p>
        </w:tc>
        <w:tc>
          <w:tcPr>
            <w:tcW w:w="240" w:type="dxa"/>
            <w:vAlign w:val="bottom"/>
            <w:shd w:val="clear" w:color="auto" w:fill="F0FFFF"/>
          </w:tcPr>
          <w:p>
            <w:pPr>
              <w:spacing w:after="0"/>
              <w:rPr>
                <w:sz w:val="21"/>
                <w:szCs w:val="21"/>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3,715</w:t>
            </w:r>
          </w:p>
        </w:tc>
        <w:tc>
          <w:tcPr>
            <w:tcW w:w="24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1"/>
                <w:szCs w:val="21"/>
                <w:color w:val="auto"/>
              </w:rPr>
            </w:pPr>
          </w:p>
        </w:tc>
        <w:tc>
          <w:tcPr>
            <w:tcW w:w="960" w:type="dxa"/>
            <w:vAlign w:val="bottom"/>
            <w:shd w:val="clear" w:color="auto" w:fill="F0FFFF"/>
          </w:tcPr>
          <w:p>
            <w:pPr>
              <w:spacing w:after="0"/>
              <w:rPr>
                <w:sz w:val="21"/>
                <w:szCs w:val="21"/>
                <w:color w:val="auto"/>
              </w:rPr>
            </w:pPr>
          </w:p>
        </w:tc>
        <w:tc>
          <w:tcPr>
            <w:tcW w:w="4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9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3,715</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160"/>
              <w:spacing w:after="0"/>
              <w:rPr>
                <w:sz w:val="20"/>
                <w:szCs w:val="20"/>
                <w:color w:val="auto"/>
              </w:rPr>
            </w:pPr>
            <w:r>
              <w:rPr>
                <w:rFonts w:ascii="Arial" w:cs="Arial" w:eastAsia="Arial" w:hAnsi="Arial"/>
                <w:sz w:val="18"/>
                <w:szCs w:val="18"/>
                <w:color w:val="auto"/>
              </w:rPr>
              <w:t>Derivative financial instruments</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22,024</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22,024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620" w:type="dxa"/>
            <w:vAlign w:val="bottom"/>
            <w:tcBorders>
              <w:top w:val="single" w:sz="8" w:color="F0FFFF"/>
              <w:bottom w:val="single" w:sz="8" w:color="F0FFFF"/>
            </w:tcBorders>
            <w:gridSpan w:val="2"/>
            <w:shd w:val="clear" w:color="auto" w:fill="F0FFFF"/>
          </w:tcPr>
          <w:p>
            <w:pPr>
              <w:ind w:left="48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3,715</w:t>
            </w:r>
          </w:p>
        </w:tc>
        <w:tc>
          <w:tcPr>
            <w:tcW w:w="240" w:type="dxa"/>
            <w:vAlign w:val="bottom"/>
            <w:tcBorders>
              <w:top w:val="single" w:sz="8" w:color="F0FFFF"/>
              <w:bottom w:val="single" w:sz="8" w:color="F0FFFF"/>
            </w:tcBorders>
            <w:shd w:val="clear" w:color="auto" w:fill="F0FFFF"/>
          </w:tcPr>
          <w:p>
            <w:pPr>
              <w:spacing w:after="0"/>
              <w:rPr>
                <w:sz w:val="20"/>
                <w:szCs w:val="20"/>
                <w:color w:val="auto"/>
              </w:rPr>
            </w:pP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1,762,992</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960" w:type="dxa"/>
            <w:vAlign w:val="bottom"/>
            <w:tcBorders>
              <w:top w:val="single" w:sz="8" w:color="auto"/>
              <w:bottom w:val="single" w:sz="8" w:color="auto"/>
            </w:tcBorders>
            <w:shd w:val="clear" w:color="auto" w:fill="F0FFFF"/>
          </w:tcPr>
          <w:p>
            <w:pPr>
              <w:jc w:val="right"/>
              <w:ind w:right="800"/>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86"/>
              </w:rPr>
              <w:t>300</w:t>
            </w:r>
          </w:p>
        </w:tc>
        <w:tc>
          <w:tcPr>
            <w:tcW w:w="200" w:type="dxa"/>
            <w:vAlign w:val="bottom"/>
            <w:tcBorders>
              <w:top w:val="single" w:sz="8" w:color="F0FFFF"/>
              <w:bottom w:val="single" w:sz="8" w:color="F0FFFF"/>
            </w:tcBorders>
            <w:shd w:val="clear" w:color="auto" w:fill="F0FFFF"/>
          </w:tcPr>
          <w:p>
            <w:pPr>
              <w:spacing w:after="0"/>
              <w:rPr>
                <w:sz w:val="20"/>
                <w:szCs w:val="20"/>
                <w:color w:val="auto"/>
              </w:rPr>
            </w:pP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280" w:type="dxa"/>
            <w:vAlign w:val="bottom"/>
            <w:tcBorders>
              <w:top w:val="single" w:sz="8" w:color="auto"/>
              <w:bottom w:val="single" w:sz="8" w:color="auto"/>
            </w:tcBorders>
            <w:shd w:val="clear" w:color="auto" w:fill="F0FF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1,767,007</w:t>
            </w: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F0FFFF"/>
              <w:bottom w:val="single" w:sz="8" w:color="F0FFFF"/>
            </w:tcBorders>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62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Deferred compensation plan liability</w:t>
            </w: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3,715</w:t>
            </w:r>
          </w:p>
        </w:tc>
        <w:tc>
          <w:tcPr>
            <w:tcW w:w="240" w:type="dxa"/>
            <w:vAlign w:val="bottom"/>
            <w:shd w:val="clear" w:color="auto" w:fill="F0FFFF"/>
          </w:tcPr>
          <w:p>
            <w:pPr>
              <w:spacing w:after="0"/>
              <w:rPr>
                <w:sz w:val="21"/>
                <w:szCs w:val="21"/>
                <w:color w:val="auto"/>
              </w:rPr>
            </w:pP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8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jc w:val="right"/>
              <w:ind w:right="125"/>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3,715</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160"/>
              <w:spacing w:after="0"/>
              <w:rPr>
                <w:sz w:val="20"/>
                <w:szCs w:val="20"/>
                <w:color w:val="auto"/>
              </w:rPr>
            </w:pPr>
            <w:r>
              <w:rPr>
                <w:rFonts w:ascii="Arial" w:cs="Arial" w:eastAsia="Arial" w:hAnsi="Arial"/>
                <w:sz w:val="18"/>
                <w:szCs w:val="18"/>
                <w:color w:val="auto"/>
              </w:rPr>
              <w:t>Brokered certificates of deposit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179,215</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179,215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62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Derivative financial instruments</w:t>
            </w:r>
          </w:p>
        </w:tc>
        <w:tc>
          <w:tcPr>
            <w:tcW w:w="240" w:type="dxa"/>
            <w:vAlign w:val="bottom"/>
            <w:shd w:val="clear" w:color="auto" w:fill="F0FFFF"/>
          </w:tcPr>
          <w:p>
            <w:pPr>
              <w:spacing w:after="0"/>
              <w:rPr>
                <w:sz w:val="21"/>
                <w:szCs w:val="21"/>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36,545</w:t>
            </w:r>
          </w:p>
        </w:tc>
        <w:tc>
          <w:tcPr>
            <w:tcW w:w="120" w:type="dxa"/>
            <w:vAlign w:val="bottom"/>
            <w:shd w:val="clear" w:color="auto" w:fill="F0FFFF"/>
          </w:tcPr>
          <w:p>
            <w:pPr>
              <w:spacing w:after="0"/>
              <w:rPr>
                <w:sz w:val="21"/>
                <w:szCs w:val="21"/>
                <w:color w:val="auto"/>
              </w:rPr>
            </w:pPr>
          </w:p>
        </w:tc>
        <w:tc>
          <w:tcPr>
            <w:tcW w:w="960" w:type="dxa"/>
            <w:vAlign w:val="bottom"/>
            <w:shd w:val="clear" w:color="auto" w:fill="F0FFFF"/>
          </w:tcPr>
          <w:p>
            <w:pPr>
              <w:spacing w:after="0"/>
              <w:rPr>
                <w:sz w:val="21"/>
                <w:szCs w:val="21"/>
                <w:color w:val="auto"/>
              </w:rPr>
            </w:pPr>
          </w:p>
        </w:tc>
        <w:tc>
          <w:tcPr>
            <w:tcW w:w="4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9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36,545</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620" w:type="dxa"/>
            <w:vAlign w:val="bottom"/>
            <w:tcBorders>
              <w:top w:val="single" w:sz="8" w:color="F0FFFF"/>
            </w:tcBorders>
            <w:gridSpan w:val="2"/>
          </w:tcPr>
          <w:p>
            <w:pPr>
              <w:ind w:left="480"/>
              <w:spacing w:after="0" w:line="203" w:lineRule="exact"/>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3,715</w:t>
            </w:r>
          </w:p>
        </w:tc>
        <w:tc>
          <w:tcPr>
            <w:tcW w:w="240" w:type="dxa"/>
            <w:vAlign w:val="bottom"/>
            <w:tcBorders>
              <w:top w:val="single" w:sz="8" w:color="F0FF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215,760</w:t>
            </w:r>
          </w:p>
        </w:tc>
        <w:tc>
          <w:tcPr>
            <w:tcW w:w="12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800"/>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F0FFFF"/>
            </w:tcBorders>
          </w:tcPr>
          <w:p>
            <w:pPr>
              <w:spacing w:after="0"/>
              <w:rPr>
                <w:sz w:val="17"/>
                <w:szCs w:val="17"/>
                <w:color w:val="auto"/>
              </w:rPr>
            </w:pPr>
          </w:p>
        </w:tc>
        <w:tc>
          <w:tcPr>
            <w:tcW w:w="20" w:type="dxa"/>
            <w:vAlign w:val="bottom"/>
            <w:tcBorders>
              <w:top w:val="single" w:sz="8" w:color="F0FFFF"/>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219,475</w:t>
            </w:r>
          </w:p>
        </w:tc>
        <w:tc>
          <w:tcPr>
            <w:tcW w:w="20" w:type="dxa"/>
            <w:vAlign w:val="bottom"/>
            <w:tcBorders>
              <w:top w:val="single" w:sz="8" w:color="F0FFFF"/>
              <w:bottom w:val="single" w:sz="8" w:color="auto"/>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shows a reconciliation of the beginning and ending balances for assets measured at fair value on a recurring basis using significant unobservable inputs that are classified as Level 3 values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1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88"/>
              </w:rPr>
              <w:t>Servicing</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rights for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government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Derivative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Derivative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guaranteed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Available-for-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Available-for-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Asset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Liability</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loans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Sale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Sale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b w:val="1"/>
                <w:bCs w:val="1"/>
                <w:color w:val="auto"/>
              </w:rPr>
              <w:t>Three Months Ended June 30,</w:t>
            </w:r>
          </w:p>
        </w:tc>
        <w:tc>
          <w:tcPr>
            <w:tcW w:w="200" w:type="dxa"/>
            <w:vAlign w:val="bottom"/>
            <w:tcBorders>
              <w:top w:val="single" w:sz="8" w:color="auto"/>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112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8,117</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14,529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2,717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shd w:val="clear" w:color="auto" w:fill="F0FFFF"/>
          </w:tcPr>
          <w:p>
            <w:pPr>
              <w:ind w:left="140"/>
              <w:spacing w:after="0"/>
              <w:rPr>
                <w:sz w:val="20"/>
                <w:szCs w:val="20"/>
                <w:color w:val="auto"/>
              </w:rPr>
            </w:pPr>
            <w:r>
              <w:rPr>
                <w:rFonts w:ascii="Arial" w:cs="Arial" w:eastAsia="Arial" w:hAnsi="Arial"/>
                <w:sz w:val="18"/>
                <w:szCs w:val="18"/>
                <w:color w:val="auto"/>
              </w:rPr>
              <w:t>Additions</w:t>
            </w:r>
          </w:p>
        </w:tc>
        <w:tc>
          <w:tcPr>
            <w:tcW w:w="200" w:type="dxa"/>
            <w:vAlign w:val="bottom"/>
            <w:shd w:val="clear" w:color="auto" w:fill="F0FFFF"/>
          </w:tcPr>
          <w:p>
            <w:pPr>
              <w:spacing w:after="0"/>
              <w:rPr>
                <w:sz w:val="21"/>
                <w:szCs w:val="21"/>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442</w:t>
            </w:r>
          </w:p>
        </w:tc>
        <w:tc>
          <w:tcPr>
            <w:tcW w:w="8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Sales and settlements</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shd w:val="clear" w:color="auto" w:fill="F0FFFF"/>
          </w:tcPr>
          <w:p>
            <w:pPr>
              <w:ind w:left="140"/>
              <w:spacing w:after="0"/>
              <w:rPr>
                <w:sz w:val="20"/>
                <w:szCs w:val="20"/>
                <w:color w:val="auto"/>
              </w:rPr>
            </w:pPr>
            <w:r>
              <w:rPr>
                <w:rFonts w:ascii="Arial" w:cs="Arial" w:eastAsia="Arial" w:hAnsi="Arial"/>
                <w:sz w:val="18"/>
                <w:szCs w:val="18"/>
                <w:color w:val="auto"/>
              </w:rPr>
              <w:t>Amounts included in earnings - fair value</w:t>
            </w:r>
          </w:p>
        </w:tc>
        <w:tc>
          <w:tcPr>
            <w:tcW w:w="200" w:type="dxa"/>
            <w:vAlign w:val="bottom"/>
            <w:shd w:val="clear" w:color="auto" w:fill="F0FFFF"/>
          </w:tcPr>
          <w:p>
            <w:pPr>
              <w:spacing w:after="0"/>
              <w:rPr>
                <w:sz w:val="19"/>
                <w:szCs w:val="19"/>
                <w:color w:val="auto"/>
              </w:rPr>
            </w:pPr>
          </w:p>
        </w:tc>
        <w:tc>
          <w:tcPr>
            <w:tcW w:w="1080" w:type="dxa"/>
            <w:vAlign w:val="bottom"/>
            <w:vMerge w:val="restart"/>
            <w:shd w:val="clear" w:color="auto" w:fill="F0FFFF"/>
          </w:tcPr>
          <w:p>
            <w:pPr>
              <w:jc w:val="right"/>
              <w:spacing w:after="0"/>
              <w:rPr>
                <w:sz w:val="20"/>
                <w:szCs w:val="20"/>
                <w:color w:val="auto"/>
              </w:rPr>
            </w:pPr>
            <w:r>
              <w:rPr>
                <w:rFonts w:ascii="Arial" w:cs="Arial" w:eastAsia="Arial" w:hAnsi="Arial"/>
                <w:sz w:val="18"/>
                <w:szCs w:val="18"/>
                <w:color w:val="auto"/>
              </w:rPr>
              <w:t>3,414</w:t>
            </w:r>
          </w:p>
        </w:tc>
        <w:tc>
          <w:tcPr>
            <w:tcW w:w="14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40" w:type="dxa"/>
            <w:vAlign w:val="bottom"/>
            <w:vMerge w:val="restart"/>
            <w:shd w:val="clear" w:color="auto" w:fill="F0FFFF"/>
          </w:tcPr>
          <w:p>
            <w:pPr>
              <w:jc w:val="right"/>
              <w:spacing w:after="0"/>
              <w:rPr>
                <w:sz w:val="20"/>
                <w:szCs w:val="20"/>
                <w:color w:val="auto"/>
              </w:rPr>
            </w:pPr>
            <w:r>
              <w:rPr>
                <w:rFonts w:ascii="Arial" w:cs="Arial" w:eastAsia="Arial" w:hAnsi="Arial"/>
                <w:sz w:val="18"/>
                <w:szCs w:val="18"/>
                <w:color w:val="auto"/>
              </w:rPr>
              <w:t>3,732</w:t>
            </w:r>
          </w:p>
        </w:tc>
        <w:tc>
          <w:tcPr>
            <w:tcW w:w="140" w:type="dxa"/>
            <w:vAlign w:val="bottom"/>
            <w:vMerge w:val="restart"/>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1260" w:type="dxa"/>
            <w:vAlign w:val="bottom"/>
            <w:gridSpan w:val="2"/>
            <w:vMerge w:val="restart"/>
            <w:shd w:val="clear" w:color="auto" w:fill="F0FFFF"/>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240" w:type="dxa"/>
            <w:vAlign w:val="bottom"/>
            <w:gridSpan w:val="2"/>
            <w:vMerge w:val="restart"/>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240" w:type="dxa"/>
            <w:vAlign w:val="bottom"/>
            <w:gridSpan w:val="2"/>
            <w:vMerge w:val="restart"/>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shd w:val="clear" w:color="auto" w:fill="F0FFFF"/>
          </w:tcPr>
          <w:p>
            <w:pPr>
              <w:ind w:left="300"/>
              <w:spacing w:after="0"/>
              <w:rPr>
                <w:sz w:val="20"/>
                <w:szCs w:val="20"/>
                <w:color w:val="auto"/>
              </w:rPr>
            </w:pPr>
            <w:r>
              <w:rPr>
                <w:rFonts w:ascii="Arial" w:cs="Arial" w:eastAsia="Arial" w:hAnsi="Arial"/>
                <w:sz w:val="18"/>
                <w:szCs w:val="18"/>
                <w:color w:val="auto"/>
              </w:rPr>
              <w:t>adjustments</w:t>
            </w:r>
          </w:p>
        </w:tc>
        <w:tc>
          <w:tcPr>
            <w:tcW w:w="200" w:type="dxa"/>
            <w:vAlign w:val="bottom"/>
            <w:shd w:val="clear" w:color="auto" w:fill="F0FFFF"/>
          </w:tcPr>
          <w:p>
            <w:pPr>
              <w:spacing w:after="0"/>
              <w:rPr>
                <w:sz w:val="18"/>
                <w:szCs w:val="18"/>
                <w:color w:val="auto"/>
              </w:rPr>
            </w:pPr>
          </w:p>
        </w:tc>
        <w:tc>
          <w:tcPr>
            <w:tcW w:w="1080" w:type="dxa"/>
            <w:vAlign w:val="bottom"/>
            <w:vMerge w:val="continue"/>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vMerge w:val="continue"/>
            <w:shd w:val="clear" w:color="auto" w:fill="F0FFFF"/>
          </w:tcPr>
          <w:p>
            <w:pPr>
              <w:spacing w:after="0"/>
              <w:rPr>
                <w:sz w:val="18"/>
                <w:szCs w:val="18"/>
                <w:color w:val="auto"/>
              </w:rPr>
            </w:pPr>
          </w:p>
        </w:tc>
        <w:tc>
          <w:tcPr>
            <w:tcW w:w="140" w:type="dxa"/>
            <w:vAlign w:val="bottom"/>
            <w:vMerge w:val="continue"/>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60" w:type="dxa"/>
            <w:vAlign w:val="bottom"/>
            <w:gridSpan w:val="2"/>
            <w:vMerge w:val="continue"/>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gridSpan w:val="2"/>
            <w:vMerge w:val="continue"/>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gridSpan w:val="2"/>
            <w:vMerge w:val="continue"/>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vMerge w:val="restart"/>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vMerge w:val="restart"/>
          </w:tcPr>
          <w:p>
            <w:pPr>
              <w:spacing w:after="0" w:line="20" w:lineRule="exact"/>
              <w:rPr>
                <w:sz w:val="1"/>
                <w:szCs w:val="1"/>
                <w:color w:val="auto"/>
              </w:rPr>
            </w:pPr>
          </w:p>
        </w:tc>
        <w:tc>
          <w:tcPr>
            <w:tcW w:w="80" w:type="dxa"/>
            <w:vAlign w:val="bottom"/>
            <w:tcBorders>
              <w:top w:val="single" w:sz="8" w:color="F0FFFF"/>
            </w:tcBorders>
            <w:vMerge w:val="restart"/>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vMerge w:val="restart"/>
          </w:tcPr>
          <w:p>
            <w:pPr>
              <w:spacing w:after="0" w:line="20" w:lineRule="exact"/>
              <w:rPr>
                <w:sz w:val="1"/>
                <w:szCs w:val="1"/>
                <w:color w:val="auto"/>
              </w:rPr>
            </w:pPr>
          </w:p>
        </w:tc>
        <w:tc>
          <w:tcPr>
            <w:tcW w:w="80" w:type="dxa"/>
            <w:vAlign w:val="bottom"/>
            <w:tcBorders>
              <w:top w:val="single" w:sz="8" w:color="F0FF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vMerge w:val="restart"/>
          </w:tcPr>
          <w:p>
            <w:pPr>
              <w:spacing w:after="0" w:line="20" w:lineRule="exact"/>
              <w:rPr>
                <w:sz w:val="1"/>
                <w:szCs w:val="1"/>
                <w:color w:val="auto"/>
              </w:rPr>
            </w:pPr>
          </w:p>
        </w:tc>
        <w:tc>
          <w:tcPr>
            <w:tcW w:w="100" w:type="dxa"/>
            <w:vAlign w:val="bottom"/>
            <w:tcBorders>
              <w:top w:val="single" w:sz="8" w:color="F0FFFF"/>
            </w:tcBorders>
            <w:vMerge w:val="restart"/>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gridSpan w:val="2"/>
          </w:tcPr>
          <w:p>
            <w:pPr>
              <w:spacing w:after="0" w:line="203" w:lineRule="exact"/>
              <w:rPr>
                <w:sz w:val="20"/>
                <w:szCs w:val="20"/>
                <w:color w:val="auto"/>
              </w:rPr>
            </w:pPr>
            <w:r>
              <w:rPr>
                <w:rFonts w:ascii="Arial" w:cs="Arial" w:eastAsia="Arial" w:hAnsi="Arial"/>
                <w:sz w:val="18"/>
                <w:szCs w:val="18"/>
                <w:color w:val="auto"/>
              </w:rPr>
              <w:t>Balance at end of period</w:t>
            </w: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11,531</w:t>
            </w:r>
          </w:p>
        </w:tc>
        <w:tc>
          <w:tcPr>
            <w:tcW w:w="14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18,261</w:t>
            </w:r>
          </w:p>
        </w:tc>
        <w:tc>
          <w:tcPr>
            <w:tcW w:w="1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3,118</w:t>
            </w:r>
          </w:p>
        </w:tc>
        <w:tc>
          <w:tcPr>
            <w:tcW w:w="1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750</w:t>
            </w:r>
          </w:p>
        </w:tc>
        <w:tc>
          <w:tcPr>
            <w:tcW w:w="1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300</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Six Months Ended June 30,</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spacing w:after="0"/>
              <w:rPr>
                <w:sz w:val="20"/>
                <w:szCs w:val="20"/>
                <w:color w:val="auto"/>
              </w:rPr>
            </w:pPr>
            <w:r>
              <w:rPr>
                <w:rFonts w:ascii="Arial" w:cs="Arial" w:eastAsia="Arial" w:hAnsi="Arial"/>
                <w:sz w:val="18"/>
                <w:szCs w:val="18"/>
                <w:color w:val="auto"/>
              </w:rPr>
              <w:t>Balance at beginning of period</w:t>
            </w:r>
          </w:p>
        </w:tc>
        <w:tc>
          <w:tcPr>
            <w:tcW w:w="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12,262</w:t>
            </w:r>
          </w:p>
        </w:tc>
        <w:tc>
          <w:tcPr>
            <w:tcW w:w="32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18,979</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2,551</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750</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632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shd w:val="clear" w:color="auto" w:fill="F0FFFF"/>
          </w:tcPr>
          <w:p>
            <w:pPr>
              <w:ind w:left="140"/>
              <w:spacing w:after="0"/>
              <w:rPr>
                <w:sz w:val="20"/>
                <w:szCs w:val="20"/>
                <w:color w:val="auto"/>
              </w:rPr>
            </w:pPr>
            <w:r>
              <w:rPr>
                <w:rFonts w:ascii="Arial" w:cs="Arial" w:eastAsia="Arial" w:hAnsi="Arial"/>
                <w:sz w:val="18"/>
                <w:szCs w:val="18"/>
                <w:color w:val="auto"/>
              </w:rPr>
              <w:t>Sales and settlements</w:t>
            </w:r>
          </w:p>
        </w:tc>
        <w:tc>
          <w:tcPr>
            <w:tcW w:w="200" w:type="dxa"/>
            <w:vAlign w:val="bottom"/>
            <w:shd w:val="clear" w:color="auto" w:fill="F0FFFF"/>
          </w:tcPr>
          <w:p>
            <w:pPr>
              <w:spacing w:after="0"/>
              <w:rPr>
                <w:sz w:val="21"/>
                <w:szCs w:val="21"/>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2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Amounts included in earnings - fair value</w:t>
            </w:r>
          </w:p>
        </w:tc>
        <w:tc>
          <w:tcPr>
            <w:tcW w:w="200" w:type="dxa"/>
            <w:vAlign w:val="bottom"/>
          </w:tcPr>
          <w:p>
            <w:pPr>
              <w:spacing w:after="0"/>
              <w:rPr>
                <w:sz w:val="19"/>
                <w:szCs w:val="19"/>
                <w:color w:val="auto"/>
              </w:rPr>
            </w:pPr>
          </w:p>
        </w:tc>
        <w:tc>
          <w:tcPr>
            <w:tcW w:w="12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(731)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(718)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00" w:type="dxa"/>
            <w:vAlign w:val="bottom"/>
          </w:tcPr>
          <w:p>
            <w:pPr>
              <w:ind w:left="300"/>
              <w:spacing w:after="0"/>
              <w:rPr>
                <w:sz w:val="20"/>
                <w:szCs w:val="20"/>
                <w:color w:val="auto"/>
              </w:rPr>
            </w:pPr>
            <w:r>
              <w:rPr>
                <w:rFonts w:ascii="Arial" w:cs="Arial" w:eastAsia="Arial" w:hAnsi="Arial"/>
                <w:sz w:val="18"/>
                <w:szCs w:val="18"/>
                <w:color w:val="auto"/>
              </w:rPr>
              <w:t>adjustments</w:t>
            </w:r>
          </w:p>
        </w:tc>
        <w:tc>
          <w:tcPr>
            <w:tcW w:w="2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0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top w:val="single" w:sz="8" w:color="auto"/>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11,531</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24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18,261</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3,118</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112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1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1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20" w:type="dxa"/>
            <w:vAlign w:val="bottom"/>
          </w:tcPr>
          <w:p>
            <w:pPr>
              <w:spacing w:after="0"/>
              <w:rPr>
                <w:sz w:val="24"/>
                <w:szCs w:val="24"/>
                <w:color w:val="auto"/>
              </w:rPr>
            </w:pPr>
          </w:p>
        </w:tc>
        <w:tc>
          <w:tcPr>
            <w:tcW w:w="41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0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gridSpan w:val="2"/>
          </w:tcPr>
          <w:p>
            <w:pPr>
              <w:ind w:left="80"/>
              <w:spacing w:after="0"/>
              <w:rPr>
                <w:sz w:val="20"/>
                <w:szCs w:val="20"/>
                <w:color w:val="auto"/>
              </w:rPr>
            </w:pPr>
            <w:r>
              <w:rPr>
                <w:rFonts w:ascii="Arial" w:cs="Arial" w:eastAsia="Arial" w:hAnsi="Arial"/>
                <w:sz w:val="18"/>
                <w:szCs w:val="18"/>
                <w:color w:val="auto"/>
              </w:rPr>
              <w:t>37</w:t>
            </w:r>
          </w:p>
        </w:tc>
        <w:tc>
          <w:tcPr>
            <w:tcW w:w="104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42" w:name="page43"/>
    <w:bookmarkEnd w:id="42"/>
    <w:p>
      <w:pPr>
        <w:jc w:val="center"/>
        <w:ind w:right="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The following table presents quantitative information about Level 3 fair value measurements for fair value on a recurring basis at June 30, 2015, December 31, 2014 and June 30, 2014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4"/>
          </w:tcPr>
          <w:p>
            <w:pPr>
              <w:ind w:left="260"/>
              <w:spacing w:after="0"/>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auto"/>
            </w:tcBorders>
            <w:gridSpan w:val="3"/>
          </w:tcPr>
          <w:p>
            <w:pPr>
              <w:jc w:val="center"/>
              <w:ind w:right="120"/>
              <w:spacing w:after="0" w:line="198" w:lineRule="exact"/>
              <w:rPr>
                <w:sz w:val="20"/>
                <w:szCs w:val="20"/>
                <w:color w:val="auto"/>
              </w:rPr>
            </w:pPr>
            <w:r>
              <w:rPr>
                <w:rFonts w:ascii="Arial" w:cs="Arial" w:eastAsia="Arial" w:hAnsi="Arial"/>
                <w:sz w:val="18"/>
                <w:szCs w:val="18"/>
                <w:b w:val="1"/>
                <w:bCs w:val="1"/>
                <w:color w:val="auto"/>
                <w:w w:val="88"/>
              </w:rPr>
              <w:t>June 30,</w:t>
            </w:r>
          </w:p>
        </w:tc>
        <w:tc>
          <w:tcPr>
            <w:tcW w:w="114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w w:val="95"/>
              </w:rPr>
              <w:t>December 31,</w:t>
            </w:r>
          </w:p>
        </w:tc>
        <w:tc>
          <w:tcPr>
            <w:tcW w:w="68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88"/>
              </w:rPr>
              <w:t>June 30,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1"/>
              </w:rPr>
              <w:t>Valuation</w:t>
            </w:r>
          </w:p>
        </w:tc>
        <w:tc>
          <w:tcPr>
            <w:tcW w:w="35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rPr>
              <w:t>June 30,</w:t>
            </w:r>
          </w:p>
        </w:tc>
        <w:tc>
          <w:tcPr>
            <w:tcW w:w="104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w w:val="87"/>
              </w:rPr>
              <w:t>December 31,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00" w:type="dxa"/>
            <w:vAlign w:val="bottom"/>
          </w:tcPr>
          <w:p>
            <w:pPr>
              <w:ind w:left="160"/>
              <w:spacing w:after="0"/>
              <w:rPr>
                <w:sz w:val="20"/>
                <w:szCs w:val="20"/>
                <w:color w:val="auto"/>
              </w:rPr>
            </w:pPr>
            <w:r>
              <w:rPr>
                <w:rFonts w:ascii="Arial" w:cs="Arial" w:eastAsia="Arial" w:hAnsi="Arial"/>
                <w:sz w:val="18"/>
                <w:szCs w:val="18"/>
                <w:b w:val="1"/>
                <w:bCs w:val="1"/>
                <w:color w:val="auto"/>
                <w:w w:val="97"/>
              </w:rPr>
              <w:t>Level 3 Assets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2014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Technique</w:t>
            </w:r>
          </w:p>
        </w:tc>
        <w:tc>
          <w:tcPr>
            <w:tcW w:w="3600" w:type="dxa"/>
            <w:vAlign w:val="bottom"/>
            <w:gridSpan w:val="2"/>
          </w:tcPr>
          <w:p>
            <w:pPr>
              <w:ind w:left="940"/>
              <w:spacing w:after="0"/>
              <w:rPr>
                <w:sz w:val="20"/>
                <w:szCs w:val="20"/>
                <w:color w:val="auto"/>
              </w:rPr>
            </w:pPr>
            <w:r>
              <w:rPr>
                <w:rFonts w:ascii="Arial" w:cs="Arial" w:eastAsia="Arial" w:hAnsi="Arial"/>
                <w:sz w:val="18"/>
                <w:szCs w:val="18"/>
                <w:b w:val="1"/>
                <w:bCs w:val="1"/>
                <w:color w:val="auto"/>
              </w:rPr>
              <w:t>Unobservable Inputs</w:t>
            </w:r>
          </w:p>
        </w:tc>
        <w:tc>
          <w:tcPr>
            <w:tcW w:w="640" w:type="dxa"/>
            <w:vAlign w:val="bottom"/>
          </w:tcPr>
          <w:p>
            <w:pPr>
              <w:ind w:left="14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20"/>
                <w:szCs w:val="20"/>
                <w:color w:val="auto"/>
              </w:rPr>
            </w:pPr>
          </w:p>
        </w:tc>
        <w:tc>
          <w:tcPr>
            <w:tcW w:w="1040" w:type="dxa"/>
            <w:vAlign w:val="bottom"/>
          </w:tcPr>
          <w:p>
            <w:pPr>
              <w:ind w:left="34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0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Servicing Rights</w:t>
            </w:r>
          </w:p>
        </w:tc>
        <w:tc>
          <w:tcPr>
            <w:tcW w:w="220" w:type="dxa"/>
            <w:vAlign w:val="bottom"/>
            <w:gridSpan w:val="2"/>
            <w:shd w:val="clear" w:color="auto" w:fill="F0FFFF"/>
          </w:tcPr>
          <w:p>
            <w:pPr>
              <w:jc w:val="right"/>
              <w:spacing w:after="0" w:line="201"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F0FFFF"/>
          </w:tcPr>
          <w:p>
            <w:pPr>
              <w:jc w:val="right"/>
              <w:ind w:right="120"/>
              <w:spacing w:after="0" w:line="201" w:lineRule="exact"/>
              <w:rPr>
                <w:sz w:val="20"/>
                <w:szCs w:val="20"/>
                <w:color w:val="auto"/>
              </w:rPr>
            </w:pPr>
            <w:r>
              <w:rPr>
                <w:rFonts w:ascii="Arial" w:cs="Arial" w:eastAsia="Arial" w:hAnsi="Arial"/>
                <w:sz w:val="18"/>
                <w:szCs w:val="18"/>
                <w:color w:val="auto"/>
              </w:rPr>
              <w:t>3,118</w:t>
            </w:r>
          </w:p>
        </w:tc>
        <w:tc>
          <w:tcPr>
            <w:tcW w:w="20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100"/>
              <w:spacing w:after="0" w:line="201" w:lineRule="exact"/>
              <w:rPr>
                <w:sz w:val="20"/>
                <w:szCs w:val="20"/>
                <w:color w:val="auto"/>
              </w:rPr>
            </w:pPr>
            <w:r>
              <w:rPr>
                <w:rFonts w:ascii="Arial" w:cs="Arial" w:eastAsia="Arial" w:hAnsi="Arial"/>
                <w:sz w:val="18"/>
                <w:szCs w:val="18"/>
                <w:color w:val="auto"/>
              </w:rPr>
              <w:t>2,551</w:t>
            </w:r>
          </w:p>
        </w:tc>
        <w:tc>
          <w:tcPr>
            <w:tcW w:w="1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F0FFFF"/>
          </w:tcPr>
          <w:p>
            <w:pPr>
              <w:jc w:val="right"/>
              <w:ind w:right="40"/>
              <w:spacing w:after="0" w:line="201" w:lineRule="exact"/>
              <w:rPr>
                <w:sz w:val="20"/>
                <w:szCs w:val="20"/>
                <w:color w:val="auto"/>
              </w:rPr>
            </w:pPr>
            <w:r>
              <w:rPr>
                <w:rFonts w:ascii="Arial" w:cs="Arial" w:eastAsia="Arial" w:hAnsi="Arial"/>
                <w:sz w:val="18"/>
                <w:szCs w:val="18"/>
                <w:color w:val="auto"/>
              </w:rPr>
              <w:t>-</w:t>
            </w:r>
          </w:p>
        </w:tc>
        <w:tc>
          <w:tcPr>
            <w:tcW w:w="1300" w:type="dxa"/>
            <w:vAlign w:val="bottom"/>
            <w:gridSpan w:val="3"/>
            <w:shd w:val="clear" w:color="auto" w:fill="F0FFFF"/>
          </w:tcPr>
          <w:p>
            <w:pPr>
              <w:ind w:left="60"/>
              <w:spacing w:after="0" w:line="201" w:lineRule="exact"/>
              <w:rPr>
                <w:sz w:val="20"/>
                <w:szCs w:val="20"/>
                <w:color w:val="auto"/>
              </w:rPr>
            </w:pPr>
            <w:r>
              <w:rPr>
                <w:rFonts w:ascii="Arial" w:cs="Arial" w:eastAsia="Arial" w:hAnsi="Arial"/>
                <w:sz w:val="18"/>
                <w:szCs w:val="18"/>
                <w:color w:val="auto"/>
              </w:rPr>
              <w:t>Discounted</w:t>
            </w:r>
          </w:p>
        </w:tc>
        <w:tc>
          <w:tcPr>
            <w:tcW w:w="3600" w:type="dxa"/>
            <w:vAlign w:val="bottom"/>
            <w:gridSpan w:val="2"/>
            <w:shd w:val="clear" w:color="auto" w:fill="F0FFFF"/>
          </w:tcPr>
          <w:p>
            <w:pPr>
              <w:spacing w:after="0" w:line="201" w:lineRule="exact"/>
              <w:rPr>
                <w:sz w:val="20"/>
                <w:szCs w:val="20"/>
                <w:color w:val="auto"/>
              </w:rPr>
            </w:pPr>
            <w:r>
              <w:rPr>
                <w:rFonts w:ascii="Arial" w:cs="Arial" w:eastAsia="Arial" w:hAnsi="Arial"/>
                <w:sz w:val="18"/>
                <w:szCs w:val="18"/>
                <w:color w:val="auto"/>
              </w:rPr>
              <w:t>Discount rate</w:t>
            </w:r>
          </w:p>
        </w:tc>
        <w:tc>
          <w:tcPr>
            <w:tcW w:w="980" w:type="dxa"/>
            <w:vAlign w:val="bottom"/>
            <w:gridSpan w:val="2"/>
            <w:shd w:val="clear" w:color="auto" w:fill="F0FFFF"/>
          </w:tcPr>
          <w:p>
            <w:pPr>
              <w:ind w:left="340"/>
              <w:spacing w:after="0" w:line="201" w:lineRule="exact"/>
              <w:rPr>
                <w:sz w:val="20"/>
                <w:szCs w:val="20"/>
                <w:color w:val="auto"/>
              </w:rPr>
            </w:pPr>
            <w:r>
              <w:rPr>
                <w:rFonts w:ascii="Arial" w:cs="Arial" w:eastAsia="Arial" w:hAnsi="Arial"/>
                <w:sz w:val="18"/>
                <w:szCs w:val="18"/>
                <w:color w:val="auto"/>
              </w:rPr>
              <w:t>11.0%</w:t>
            </w:r>
          </w:p>
        </w:tc>
        <w:tc>
          <w:tcPr>
            <w:tcW w:w="1260" w:type="dxa"/>
            <w:vAlign w:val="bottom"/>
            <w:gridSpan w:val="2"/>
            <w:shd w:val="clear" w:color="auto" w:fill="F0FFFF"/>
          </w:tcPr>
          <w:p>
            <w:pPr>
              <w:ind w:left="720"/>
              <w:spacing w:after="0" w:line="201"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F0FFFF"/>
          </w:tcPr>
          <w:p>
            <w:pPr>
              <w:spacing w:after="0"/>
              <w:rPr>
                <w:sz w:val="20"/>
                <w:szCs w:val="20"/>
                <w:color w:val="auto"/>
              </w:rPr>
            </w:pPr>
            <w:r>
              <w:rPr>
                <w:rFonts w:ascii="Arial" w:cs="Arial" w:eastAsia="Arial" w:hAnsi="Arial"/>
                <w:sz w:val="18"/>
                <w:szCs w:val="18"/>
                <w:color w:val="auto"/>
              </w:rPr>
              <w:t>for</w:t>
            </w:r>
          </w:p>
        </w:tc>
        <w:tc>
          <w:tcPr>
            <w:tcW w:w="1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66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8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560" w:type="dxa"/>
            <w:vAlign w:val="bottom"/>
            <w:shd w:val="clear" w:color="auto" w:fill="F0FFFF"/>
          </w:tcPr>
          <w:p>
            <w:pPr>
              <w:spacing w:after="0"/>
              <w:rPr>
                <w:sz w:val="20"/>
                <w:szCs w:val="20"/>
                <w:color w:val="auto"/>
              </w:rPr>
            </w:pPr>
          </w:p>
        </w:tc>
        <w:tc>
          <w:tcPr>
            <w:tcW w:w="40" w:type="dxa"/>
            <w:vAlign w:val="bottom"/>
            <w:shd w:val="clear" w:color="auto" w:fill="F0FFFF"/>
          </w:tcPr>
          <w:p>
            <w:pPr>
              <w:spacing w:after="0"/>
              <w:rPr>
                <w:sz w:val="20"/>
                <w:szCs w:val="20"/>
                <w:color w:val="auto"/>
              </w:rPr>
            </w:pPr>
          </w:p>
        </w:tc>
        <w:tc>
          <w:tcPr>
            <w:tcW w:w="60" w:type="dxa"/>
            <w:vAlign w:val="bottom"/>
            <w:shd w:val="clear" w:color="auto" w:fill="F0FFFF"/>
          </w:tcPr>
          <w:p>
            <w:pPr>
              <w:spacing w:after="0"/>
              <w:rPr>
                <w:sz w:val="20"/>
                <w:szCs w:val="20"/>
                <w:color w:val="auto"/>
              </w:rPr>
            </w:pPr>
          </w:p>
        </w:tc>
        <w:tc>
          <w:tcPr>
            <w:tcW w:w="11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350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640" w:type="dxa"/>
            <w:vAlign w:val="bottom"/>
            <w:shd w:val="clear" w:color="auto" w:fill="F0FFFF"/>
          </w:tcPr>
          <w:p>
            <w:pPr>
              <w:spacing w:after="0"/>
              <w:rPr>
                <w:sz w:val="20"/>
                <w:szCs w:val="20"/>
                <w:color w:val="auto"/>
              </w:rPr>
            </w:pPr>
          </w:p>
        </w:tc>
        <w:tc>
          <w:tcPr>
            <w:tcW w:w="340" w:type="dxa"/>
            <w:vAlign w:val="bottom"/>
            <w:shd w:val="clear" w:color="auto" w:fill="F0FFFF"/>
          </w:tcPr>
          <w:p>
            <w:pPr>
              <w:spacing w:after="0"/>
              <w:rPr>
                <w:sz w:val="20"/>
                <w:szCs w:val="20"/>
                <w:color w:val="auto"/>
              </w:rPr>
            </w:pPr>
          </w:p>
        </w:tc>
        <w:tc>
          <w:tcPr>
            <w:tcW w:w="104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Government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3"/>
          </w:tcPr>
          <w:p>
            <w:pPr>
              <w:ind w:left="60"/>
              <w:spacing w:after="0"/>
              <w:rPr>
                <w:sz w:val="20"/>
                <w:szCs w:val="20"/>
                <w:color w:val="auto"/>
              </w:rPr>
            </w:pPr>
            <w:r>
              <w:rPr>
                <w:rFonts w:ascii="Arial" w:cs="Arial" w:eastAsia="Arial" w:hAnsi="Arial"/>
                <w:sz w:val="18"/>
                <w:szCs w:val="18"/>
                <w:color w:val="auto"/>
              </w:rPr>
              <w:t>cash flow</w:t>
            </w:r>
          </w:p>
        </w:tc>
        <w:tc>
          <w:tcPr>
            <w:tcW w:w="3600" w:type="dxa"/>
            <w:vAlign w:val="bottom"/>
            <w:gridSpan w:val="2"/>
          </w:tcPr>
          <w:p>
            <w:pPr>
              <w:spacing w:after="0"/>
              <w:rPr>
                <w:sz w:val="20"/>
                <w:szCs w:val="20"/>
                <w:color w:val="auto"/>
              </w:rPr>
            </w:pPr>
            <w:r>
              <w:rPr>
                <w:rFonts w:ascii="Arial" w:cs="Arial" w:eastAsia="Arial" w:hAnsi="Arial"/>
                <w:sz w:val="18"/>
                <w:szCs w:val="18"/>
                <w:color w:val="auto"/>
              </w:rPr>
              <w:t>Prepayment Rate</w:t>
            </w:r>
          </w:p>
        </w:tc>
        <w:tc>
          <w:tcPr>
            <w:tcW w:w="980" w:type="dxa"/>
            <w:vAlign w:val="bottom"/>
            <w:gridSpan w:val="2"/>
          </w:tcPr>
          <w:p>
            <w:pPr>
              <w:ind w:left="340"/>
              <w:spacing w:after="0"/>
              <w:rPr>
                <w:sz w:val="20"/>
                <w:szCs w:val="20"/>
                <w:color w:val="auto"/>
              </w:rPr>
            </w:pPr>
            <w:r>
              <w:rPr>
                <w:rFonts w:ascii="Arial" w:cs="Arial" w:eastAsia="Arial" w:hAnsi="Arial"/>
                <w:sz w:val="18"/>
                <w:szCs w:val="18"/>
                <w:color w:val="auto"/>
              </w:rPr>
              <w:t>6.98%</w:t>
            </w:r>
          </w:p>
        </w:tc>
        <w:tc>
          <w:tcPr>
            <w:tcW w:w="1260" w:type="dxa"/>
            <w:vAlign w:val="bottom"/>
            <w:gridSpan w:val="2"/>
          </w:tcPr>
          <w:p>
            <w:pPr>
              <w:ind w:left="72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F0FFFF"/>
          </w:tcPr>
          <w:p>
            <w:pPr>
              <w:spacing w:after="0"/>
              <w:rPr>
                <w:sz w:val="20"/>
                <w:szCs w:val="20"/>
                <w:color w:val="auto"/>
              </w:rPr>
            </w:pPr>
            <w:r>
              <w:rPr>
                <w:rFonts w:ascii="Arial" w:cs="Arial" w:eastAsia="Arial" w:hAnsi="Arial"/>
                <w:sz w:val="18"/>
                <w:szCs w:val="18"/>
                <w:color w:val="auto"/>
                <w:w w:val="92"/>
              </w:rPr>
              <w:t>Guaranteed Loans</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5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F0FFFF"/>
          </w:tcPr>
          <w:p>
            <w:pPr>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F0FFFF"/>
          </w:tcPr>
          <w:p>
            <w:pPr>
              <w:spacing w:after="0"/>
              <w:rPr>
                <w:sz w:val="18"/>
                <w:szCs w:val="18"/>
                <w:color w:val="auto"/>
              </w:rPr>
            </w:pPr>
          </w:p>
        </w:tc>
        <w:tc>
          <w:tcPr>
            <w:tcW w:w="6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300</w:t>
            </w:r>
          </w:p>
        </w:tc>
        <w:tc>
          <w:tcPr>
            <w:tcW w:w="1300" w:type="dxa"/>
            <w:vAlign w:val="bottom"/>
            <w:gridSpan w:val="3"/>
            <w:shd w:val="clear" w:color="auto" w:fill="F0FFFF"/>
          </w:tcPr>
          <w:p>
            <w:pPr>
              <w:ind w:left="60"/>
              <w:spacing w:after="0"/>
              <w:rPr>
                <w:sz w:val="20"/>
                <w:szCs w:val="20"/>
                <w:color w:val="auto"/>
              </w:rPr>
            </w:pPr>
            <w:r>
              <w:rPr>
                <w:rFonts w:ascii="Arial" w:cs="Arial" w:eastAsia="Arial" w:hAnsi="Arial"/>
                <w:sz w:val="18"/>
                <w:szCs w:val="18"/>
                <w:color w:val="auto"/>
              </w:rPr>
              <w:t>Indicative bid</w:t>
            </w:r>
          </w:p>
        </w:tc>
        <w:tc>
          <w:tcPr>
            <w:tcW w:w="36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Multiple factors, including but not</w:t>
            </w:r>
          </w:p>
        </w:tc>
        <w:tc>
          <w:tcPr>
            <w:tcW w:w="980" w:type="dxa"/>
            <w:vAlign w:val="bottom"/>
            <w:gridSpan w:val="2"/>
            <w:shd w:val="clear" w:color="auto" w:fill="F0FFFF"/>
          </w:tcPr>
          <w:p>
            <w:pPr>
              <w:ind w:left="34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F0FFFF"/>
          </w:tcPr>
          <w:p>
            <w:pPr>
              <w:ind w:left="7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4900" w:type="dxa"/>
            <w:vAlign w:val="bottom"/>
            <w:gridSpan w:val="5"/>
            <w:shd w:val="clear" w:color="auto" w:fill="F0FFFF"/>
          </w:tcPr>
          <w:p>
            <w:pPr>
              <w:ind w:left="60"/>
              <w:spacing w:after="0"/>
              <w:rPr>
                <w:sz w:val="20"/>
                <w:szCs w:val="20"/>
                <w:color w:val="auto"/>
              </w:rPr>
            </w:pPr>
            <w:r>
              <w:rPr>
                <w:rFonts w:ascii="Arial" w:cs="Arial" w:eastAsia="Arial" w:hAnsi="Arial"/>
                <w:sz w:val="18"/>
                <w:szCs w:val="18"/>
                <w:color w:val="auto"/>
              </w:rPr>
              <w:t>provided by a   limited to, current operations,</w:t>
            </w:r>
          </w:p>
        </w:tc>
        <w:tc>
          <w:tcPr>
            <w:tcW w:w="64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300" w:type="dxa"/>
            <w:vAlign w:val="bottom"/>
            <w:gridSpan w:val="3"/>
            <w:shd w:val="clear" w:color="auto" w:fill="F0FFFF"/>
          </w:tcPr>
          <w:p>
            <w:pPr>
              <w:ind w:left="60"/>
              <w:spacing w:after="0"/>
              <w:rPr>
                <w:sz w:val="20"/>
                <w:szCs w:val="20"/>
                <w:color w:val="auto"/>
              </w:rPr>
            </w:pPr>
            <w:r>
              <w:rPr>
                <w:rFonts w:ascii="Arial" w:cs="Arial" w:eastAsia="Arial" w:hAnsi="Arial"/>
                <w:sz w:val="18"/>
                <w:szCs w:val="18"/>
                <w:color w:val="auto"/>
              </w:rPr>
              <w:t>broker</w:t>
            </w:r>
          </w:p>
        </w:tc>
        <w:tc>
          <w:tcPr>
            <w:tcW w:w="36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financial condition, cash flows, and</w:t>
            </w:r>
          </w:p>
        </w:tc>
        <w:tc>
          <w:tcPr>
            <w:tcW w:w="64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6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recently executed financing</w:t>
            </w:r>
          </w:p>
        </w:tc>
        <w:tc>
          <w:tcPr>
            <w:tcW w:w="64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6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transactions related to the company</w:t>
            </w:r>
          </w:p>
        </w:tc>
        <w:tc>
          <w:tcPr>
            <w:tcW w:w="64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F0FFFF"/>
          </w:tcPr>
          <w:p>
            <w:pPr>
              <w:spacing w:after="0"/>
              <w:rPr>
                <w:sz w:val="20"/>
                <w:szCs w:val="20"/>
                <w:color w:val="auto"/>
              </w:rPr>
            </w:pPr>
            <w:r>
              <w:rPr>
                <w:rFonts w:ascii="Arial" w:cs="Arial" w:eastAsia="Arial" w:hAnsi="Arial"/>
                <w:sz w:val="18"/>
                <w:szCs w:val="18"/>
                <w:color w:val="auto"/>
              </w:rPr>
              <w:t>Derivative assets</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11,531</w:t>
            </w:r>
          </w:p>
        </w:tc>
        <w:tc>
          <w:tcPr>
            <w:tcW w:w="2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12,262</w:t>
            </w:r>
          </w:p>
        </w:tc>
        <w:tc>
          <w:tcPr>
            <w:tcW w:w="120" w:type="dxa"/>
            <w:vAlign w:val="bottom"/>
            <w:shd w:val="clear" w:color="auto" w:fill="F0FFFF"/>
          </w:tcPr>
          <w:p>
            <w:pPr>
              <w:spacing w:after="0"/>
              <w:rPr>
                <w:sz w:val="18"/>
                <w:szCs w:val="18"/>
                <w:color w:val="auto"/>
              </w:rPr>
            </w:pPr>
          </w:p>
        </w:tc>
        <w:tc>
          <w:tcPr>
            <w:tcW w:w="6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F0FFFF"/>
          </w:tcPr>
          <w:p>
            <w:pPr>
              <w:ind w:left="60"/>
              <w:spacing w:after="0"/>
              <w:rPr>
                <w:sz w:val="20"/>
                <w:szCs w:val="20"/>
                <w:color w:val="auto"/>
              </w:rPr>
            </w:pPr>
            <w:r>
              <w:rPr>
                <w:rFonts w:ascii="Arial" w:cs="Arial" w:eastAsia="Arial" w:hAnsi="Arial"/>
                <w:sz w:val="18"/>
                <w:szCs w:val="18"/>
                <w:color w:val="auto"/>
              </w:rPr>
              <w:t>Dealer Priced</w:t>
            </w:r>
          </w:p>
        </w:tc>
        <w:tc>
          <w:tcPr>
            <w:tcW w:w="36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Dealer Priced</w:t>
            </w:r>
          </w:p>
        </w:tc>
        <w:tc>
          <w:tcPr>
            <w:tcW w:w="980" w:type="dxa"/>
            <w:vAlign w:val="bottom"/>
            <w:gridSpan w:val="2"/>
            <w:shd w:val="clear" w:color="auto" w:fill="F0FFFF"/>
          </w:tcPr>
          <w:p>
            <w:pPr>
              <w:ind w:left="34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F0FFFF"/>
          </w:tcPr>
          <w:p>
            <w:pPr>
              <w:ind w:left="7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0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Derivative</w:t>
            </w: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80" w:type="dxa"/>
            <w:vAlign w:val="bottom"/>
            <w:gridSpan w:val="2"/>
            <w:shd w:val="clear" w:color="auto" w:fill="F0FFFF"/>
          </w:tcPr>
          <w:p>
            <w:pPr>
              <w:jc w:val="right"/>
              <w:ind w:right="120"/>
              <w:spacing w:after="0" w:line="201" w:lineRule="exact"/>
              <w:rPr>
                <w:sz w:val="20"/>
                <w:szCs w:val="20"/>
                <w:color w:val="auto"/>
              </w:rPr>
            </w:pPr>
            <w:r>
              <w:rPr>
                <w:rFonts w:ascii="Arial" w:cs="Arial" w:eastAsia="Arial" w:hAnsi="Arial"/>
                <w:sz w:val="18"/>
                <w:szCs w:val="18"/>
                <w:color w:val="auto"/>
              </w:rPr>
              <w:t>18,261</w:t>
            </w:r>
          </w:p>
        </w:tc>
        <w:tc>
          <w:tcPr>
            <w:tcW w:w="200" w:type="dxa"/>
            <w:vAlign w:val="bottom"/>
            <w:shd w:val="clear" w:color="auto" w:fill="F0FFFF"/>
          </w:tcPr>
          <w:p>
            <w:pPr>
              <w:spacing w:after="0"/>
              <w:rPr>
                <w:sz w:val="17"/>
                <w:szCs w:val="17"/>
                <w:color w:val="auto"/>
              </w:rPr>
            </w:pPr>
          </w:p>
        </w:tc>
        <w:tc>
          <w:tcPr>
            <w:tcW w:w="940" w:type="dxa"/>
            <w:vAlign w:val="bottom"/>
            <w:gridSpan w:val="2"/>
            <w:shd w:val="clear" w:color="auto" w:fill="F0FFFF"/>
          </w:tcPr>
          <w:p>
            <w:pPr>
              <w:jc w:val="right"/>
              <w:ind w:right="100"/>
              <w:spacing w:after="0" w:line="201" w:lineRule="exact"/>
              <w:rPr>
                <w:sz w:val="20"/>
                <w:szCs w:val="20"/>
                <w:color w:val="auto"/>
              </w:rPr>
            </w:pPr>
            <w:r>
              <w:rPr>
                <w:rFonts w:ascii="Arial" w:cs="Arial" w:eastAsia="Arial" w:hAnsi="Arial"/>
                <w:sz w:val="18"/>
                <w:szCs w:val="18"/>
                <w:color w:val="auto"/>
              </w:rPr>
              <w:t>18,979</w:t>
            </w:r>
          </w:p>
        </w:tc>
        <w:tc>
          <w:tcPr>
            <w:tcW w:w="120" w:type="dxa"/>
            <w:vAlign w:val="bottom"/>
            <w:shd w:val="clear" w:color="auto" w:fill="F0FFFF"/>
          </w:tcPr>
          <w:p>
            <w:pPr>
              <w:spacing w:after="0"/>
              <w:rPr>
                <w:sz w:val="17"/>
                <w:szCs w:val="17"/>
                <w:color w:val="auto"/>
              </w:rPr>
            </w:pPr>
          </w:p>
        </w:tc>
        <w:tc>
          <w:tcPr>
            <w:tcW w:w="600" w:type="dxa"/>
            <w:vAlign w:val="bottom"/>
            <w:gridSpan w:val="2"/>
            <w:shd w:val="clear" w:color="auto" w:fill="F0FFFF"/>
          </w:tcPr>
          <w:p>
            <w:pPr>
              <w:jc w:val="right"/>
              <w:ind w:right="40"/>
              <w:spacing w:after="0" w:line="201" w:lineRule="exact"/>
              <w:rPr>
                <w:sz w:val="20"/>
                <w:szCs w:val="20"/>
                <w:color w:val="auto"/>
              </w:rPr>
            </w:pPr>
            <w:r>
              <w:rPr>
                <w:rFonts w:ascii="Arial" w:cs="Arial" w:eastAsia="Arial" w:hAnsi="Arial"/>
                <w:sz w:val="18"/>
                <w:szCs w:val="18"/>
                <w:color w:val="auto"/>
              </w:rPr>
              <w:t>-</w:t>
            </w:r>
          </w:p>
        </w:tc>
        <w:tc>
          <w:tcPr>
            <w:tcW w:w="1300" w:type="dxa"/>
            <w:vAlign w:val="bottom"/>
            <w:gridSpan w:val="3"/>
            <w:shd w:val="clear" w:color="auto" w:fill="F0FFFF"/>
          </w:tcPr>
          <w:p>
            <w:pPr>
              <w:ind w:left="60"/>
              <w:spacing w:after="0" w:line="201" w:lineRule="exact"/>
              <w:rPr>
                <w:sz w:val="20"/>
                <w:szCs w:val="20"/>
                <w:color w:val="auto"/>
              </w:rPr>
            </w:pPr>
            <w:r>
              <w:rPr>
                <w:rFonts w:ascii="Arial" w:cs="Arial" w:eastAsia="Arial" w:hAnsi="Arial"/>
                <w:sz w:val="18"/>
                <w:szCs w:val="18"/>
                <w:color w:val="auto"/>
              </w:rPr>
              <w:t>Dealer Priced</w:t>
            </w:r>
          </w:p>
        </w:tc>
        <w:tc>
          <w:tcPr>
            <w:tcW w:w="3600" w:type="dxa"/>
            <w:vAlign w:val="bottom"/>
            <w:gridSpan w:val="2"/>
            <w:shd w:val="clear" w:color="auto" w:fill="F0FFFF"/>
          </w:tcPr>
          <w:p>
            <w:pPr>
              <w:spacing w:after="0" w:line="201" w:lineRule="exact"/>
              <w:rPr>
                <w:sz w:val="20"/>
                <w:szCs w:val="20"/>
                <w:color w:val="auto"/>
              </w:rPr>
            </w:pPr>
            <w:r>
              <w:rPr>
                <w:rFonts w:ascii="Arial" w:cs="Arial" w:eastAsia="Arial" w:hAnsi="Arial"/>
                <w:sz w:val="18"/>
                <w:szCs w:val="18"/>
                <w:color w:val="auto"/>
              </w:rPr>
              <w:t>Dealer Priced</w:t>
            </w:r>
          </w:p>
        </w:tc>
        <w:tc>
          <w:tcPr>
            <w:tcW w:w="980" w:type="dxa"/>
            <w:vAlign w:val="bottom"/>
            <w:gridSpan w:val="2"/>
            <w:shd w:val="clear" w:color="auto" w:fill="F0FFFF"/>
          </w:tcPr>
          <w:p>
            <w:pPr>
              <w:ind w:left="340"/>
              <w:spacing w:after="0" w:line="201" w:lineRule="exact"/>
              <w:rPr>
                <w:sz w:val="20"/>
                <w:szCs w:val="20"/>
                <w:color w:val="auto"/>
              </w:rPr>
            </w:pPr>
            <w:r>
              <w:rPr>
                <w:rFonts w:ascii="Arial" w:cs="Arial" w:eastAsia="Arial" w:hAnsi="Arial"/>
                <w:sz w:val="18"/>
                <w:szCs w:val="18"/>
                <w:color w:val="auto"/>
              </w:rPr>
              <w:t>N/A</w:t>
            </w:r>
          </w:p>
        </w:tc>
        <w:tc>
          <w:tcPr>
            <w:tcW w:w="1260" w:type="dxa"/>
            <w:vAlign w:val="bottom"/>
            <w:gridSpan w:val="2"/>
            <w:shd w:val="clear" w:color="auto" w:fill="F0FFFF"/>
          </w:tcPr>
          <w:p>
            <w:pPr>
              <w:ind w:left="740"/>
              <w:spacing w:after="0" w:line="201"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0" w:type="dxa"/>
            <w:vAlign w:val="bottom"/>
            <w:shd w:val="clear" w:color="auto" w:fill="F0FFFF"/>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66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8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560" w:type="dxa"/>
            <w:vAlign w:val="bottom"/>
            <w:shd w:val="clear" w:color="auto" w:fill="F0FFFF"/>
          </w:tcPr>
          <w:p>
            <w:pPr>
              <w:spacing w:after="0"/>
              <w:rPr>
                <w:sz w:val="20"/>
                <w:szCs w:val="20"/>
                <w:color w:val="auto"/>
              </w:rPr>
            </w:pPr>
          </w:p>
        </w:tc>
        <w:tc>
          <w:tcPr>
            <w:tcW w:w="40" w:type="dxa"/>
            <w:vAlign w:val="bottom"/>
            <w:shd w:val="clear" w:color="auto" w:fill="F0FFFF"/>
          </w:tcPr>
          <w:p>
            <w:pPr>
              <w:spacing w:after="0"/>
              <w:rPr>
                <w:sz w:val="20"/>
                <w:szCs w:val="20"/>
                <w:color w:val="auto"/>
              </w:rPr>
            </w:pPr>
          </w:p>
        </w:tc>
        <w:tc>
          <w:tcPr>
            <w:tcW w:w="60" w:type="dxa"/>
            <w:vAlign w:val="bottom"/>
            <w:shd w:val="clear" w:color="auto" w:fill="F0FFFF"/>
          </w:tcPr>
          <w:p>
            <w:pPr>
              <w:spacing w:after="0"/>
              <w:rPr>
                <w:sz w:val="20"/>
                <w:szCs w:val="20"/>
                <w:color w:val="auto"/>
              </w:rPr>
            </w:pPr>
          </w:p>
        </w:tc>
        <w:tc>
          <w:tcPr>
            <w:tcW w:w="11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350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640" w:type="dxa"/>
            <w:vAlign w:val="bottom"/>
            <w:shd w:val="clear" w:color="auto" w:fill="F0FFFF"/>
          </w:tcPr>
          <w:p>
            <w:pPr>
              <w:spacing w:after="0"/>
              <w:rPr>
                <w:sz w:val="20"/>
                <w:szCs w:val="20"/>
                <w:color w:val="auto"/>
              </w:rPr>
            </w:pPr>
          </w:p>
        </w:tc>
        <w:tc>
          <w:tcPr>
            <w:tcW w:w="340" w:type="dxa"/>
            <w:vAlign w:val="bottom"/>
            <w:shd w:val="clear" w:color="auto" w:fill="F0FFFF"/>
          </w:tcPr>
          <w:p>
            <w:pPr>
              <w:spacing w:after="0"/>
              <w:rPr>
                <w:sz w:val="20"/>
                <w:szCs w:val="20"/>
                <w:color w:val="auto"/>
              </w:rPr>
            </w:pPr>
          </w:p>
        </w:tc>
        <w:tc>
          <w:tcPr>
            <w:tcW w:w="104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Nonrecurring Basis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United may be required, from time to time, to measure certain assets at fair value on a nonrecurring basis. These assets are not measured at fair value on a recurring basis, but are subject to fair value adjustments in certain circumstances. These adjustments to fair value usually result from the application of lower of amortized cost or fair value accounting or write-downs of individual assets due to impairment. The following table presents the fair value hierarchy and carrying value of all assets that were still held as of June 30, 2015, December 31, 2014 and June 30, 2014, for which a nonrecurring fair value adjustment was recorded during the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June 30, 2015</w:t>
            </w:r>
          </w:p>
        </w:tc>
        <w:tc>
          <w:tcPr>
            <w:tcW w:w="12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Level 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57"/>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top w:val="single" w:sz="8" w:color="auto"/>
            </w:tcBorders>
            <w:shd w:val="clear" w:color="auto" w:fill="F0FFFF"/>
          </w:tcPr>
          <w:p>
            <w:pPr>
              <w:ind w:left="160"/>
              <w:spacing w:after="0"/>
              <w:rPr>
                <w:sz w:val="20"/>
                <w:szCs w:val="20"/>
                <w:color w:val="auto"/>
              </w:rPr>
            </w:pPr>
            <w:r>
              <w:rPr>
                <w:rFonts w:ascii="Arial" w:cs="Arial" w:eastAsia="Arial" w:hAnsi="Arial"/>
                <w:sz w:val="18"/>
                <w:szCs w:val="18"/>
                <w:color w:val="auto"/>
              </w:rPr>
              <w:t>Loans</w:t>
            </w:r>
          </w:p>
        </w:tc>
        <w:tc>
          <w:tcPr>
            <w:tcW w:w="120" w:type="dxa"/>
            <w:vAlign w:val="bottom"/>
            <w:tcBorders>
              <w:top w:val="single" w:sz="8" w:color="F0FFFF"/>
            </w:tcBorders>
            <w:shd w:val="clear" w:color="auto" w:fill="F0FFFF"/>
          </w:tcPr>
          <w:p>
            <w:pPr>
              <w:spacing w:after="0"/>
              <w:rPr>
                <w:sz w:val="18"/>
                <w:szCs w:val="18"/>
                <w:color w:val="auto"/>
              </w:rPr>
            </w:pPr>
          </w:p>
        </w:tc>
        <w:tc>
          <w:tcPr>
            <w:tcW w:w="1320" w:type="dxa"/>
            <w:vAlign w:val="bottom"/>
            <w:tcBorders>
              <w:top w:val="single" w:sz="8" w:color="auto"/>
            </w:tcBorders>
            <w:shd w:val="clear" w:color="auto" w:fill="F0FFFF"/>
          </w:tcPr>
          <w:p>
            <w:pPr>
              <w:jc w:val="right"/>
              <w:ind w:right="113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F0FFFF"/>
            </w:tcBorders>
            <w:shd w:val="clear" w:color="auto" w:fill="F0FFFF"/>
          </w:tcPr>
          <w:p>
            <w:pPr>
              <w:spacing w:after="0"/>
              <w:rPr>
                <w:sz w:val="18"/>
                <w:szCs w:val="18"/>
                <w:color w:val="auto"/>
              </w:rPr>
            </w:pPr>
          </w:p>
        </w:tc>
        <w:tc>
          <w:tcPr>
            <w:tcW w:w="1320" w:type="dxa"/>
            <w:vAlign w:val="bottom"/>
            <w:tcBorders>
              <w:top w:val="single" w:sz="8" w:color="auto"/>
            </w:tcBorders>
            <w:shd w:val="clear" w:color="auto" w:fill="F0FFFF"/>
          </w:tcPr>
          <w:p>
            <w:pPr>
              <w:jc w:val="right"/>
              <w:ind w:right="115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F0FFFF"/>
            </w:tcBorders>
            <w:shd w:val="clear" w:color="auto" w:fill="F0FFFF"/>
          </w:tcPr>
          <w:p>
            <w:pPr>
              <w:spacing w:after="0"/>
              <w:rPr>
                <w:sz w:val="18"/>
                <w:szCs w:val="18"/>
                <w:color w:val="auto"/>
              </w:rPr>
            </w:pPr>
          </w:p>
        </w:tc>
        <w:tc>
          <w:tcPr>
            <w:tcW w:w="1120" w:type="dxa"/>
            <w:vAlign w:val="bottom"/>
            <w:tcBorders>
              <w:top w:val="single" w:sz="8" w:color="auto"/>
            </w:tcBorders>
            <w:shd w:val="clear" w:color="auto" w:fill="F0FFFF"/>
          </w:tcPr>
          <w:p>
            <w:pPr>
              <w:jc w:val="right"/>
              <w:ind w:right="95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7"/>
              </w:rPr>
              <w:t>3,907</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340" w:type="dxa"/>
            <w:vAlign w:val="bottom"/>
            <w:tcBorders>
              <w:top w:val="single" w:sz="8" w:color="auto"/>
            </w:tcBorders>
            <w:shd w:val="clear" w:color="auto" w:fill="F0FF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3,907</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410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December 31, 2014</w:t>
            </w:r>
          </w:p>
        </w:tc>
        <w:tc>
          <w:tcPr>
            <w:tcW w:w="120" w:type="dxa"/>
            <w:vAlign w:val="bottom"/>
            <w:tcBorders>
              <w:bottom w:val="single" w:sz="8" w:color="F0FFFF"/>
            </w:tcBorders>
            <w:shd w:val="clear" w:color="auto" w:fill="F0FFFF"/>
          </w:tcPr>
          <w:p>
            <w:pPr>
              <w:spacing w:after="0"/>
              <w:rPr>
                <w:sz w:val="20"/>
                <w:szCs w:val="20"/>
                <w:color w:val="auto"/>
              </w:rPr>
            </w:pPr>
          </w:p>
        </w:tc>
        <w:tc>
          <w:tcPr>
            <w:tcW w:w="1320" w:type="dxa"/>
            <w:vAlign w:val="bottom"/>
            <w:tcBorders>
              <w:bottom w:val="single" w:sz="8" w:color="F0FFFF"/>
            </w:tcBorders>
            <w:shd w:val="clear" w:color="auto" w:fill="F0FFFF"/>
          </w:tcPr>
          <w:p>
            <w:pPr>
              <w:spacing w:after="0"/>
              <w:rPr>
                <w:sz w:val="20"/>
                <w:szCs w:val="20"/>
                <w:color w:val="auto"/>
              </w:rPr>
            </w:pPr>
          </w:p>
        </w:tc>
        <w:tc>
          <w:tcPr>
            <w:tcW w:w="30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F0FFFF"/>
            </w:tcBorders>
            <w:shd w:val="clear" w:color="auto" w:fill="F0FFFF"/>
          </w:tcPr>
          <w:p>
            <w:pPr>
              <w:spacing w:after="0"/>
              <w:rPr>
                <w:sz w:val="20"/>
                <w:szCs w:val="20"/>
                <w:color w:val="auto"/>
              </w:rPr>
            </w:pPr>
          </w:p>
        </w:tc>
        <w:tc>
          <w:tcPr>
            <w:tcW w:w="13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F0FFFF"/>
            </w:tcBorders>
            <w:shd w:val="clear" w:color="auto" w:fill="F0FFFF"/>
          </w:tcPr>
          <w:p>
            <w:pPr>
              <w:spacing w:after="0"/>
              <w:rPr>
                <w:sz w:val="20"/>
                <w:szCs w:val="20"/>
                <w:color w:val="auto"/>
              </w:rPr>
            </w:pPr>
          </w:p>
        </w:tc>
        <w:tc>
          <w:tcPr>
            <w:tcW w:w="240" w:type="dxa"/>
            <w:vAlign w:val="bottom"/>
            <w:tcBorders>
              <w:bottom w:val="single" w:sz="8" w:color="F0FFFF"/>
            </w:tcBorders>
            <w:shd w:val="clear" w:color="auto" w:fill="F0FFFF"/>
          </w:tcPr>
          <w:p>
            <w:pPr>
              <w:spacing w:after="0"/>
              <w:rPr>
                <w:sz w:val="20"/>
                <w:szCs w:val="20"/>
                <w:color w:val="auto"/>
              </w:rPr>
            </w:pPr>
          </w:p>
        </w:tc>
        <w:tc>
          <w:tcPr>
            <w:tcW w:w="1120" w:type="dxa"/>
            <w:vAlign w:val="bottom"/>
            <w:tcBorders>
              <w:bottom w:val="single" w:sz="8" w:color="F0FFFF"/>
            </w:tcBorders>
            <w:shd w:val="clear" w:color="auto" w:fill="F0FFFF"/>
          </w:tcPr>
          <w:p>
            <w:pPr>
              <w:spacing w:after="0"/>
              <w:rPr>
                <w:sz w:val="20"/>
                <w:szCs w:val="20"/>
                <w:color w:val="auto"/>
              </w:rPr>
            </w:pPr>
          </w:p>
        </w:tc>
        <w:tc>
          <w:tcPr>
            <w:tcW w:w="46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340" w:type="dxa"/>
            <w:vAlign w:val="bottom"/>
            <w:tcBorders>
              <w:bottom w:val="single" w:sz="8" w:color="F0FFFF"/>
            </w:tcBorders>
            <w:shd w:val="clear" w:color="auto" w:fill="F0FFFF"/>
          </w:tcPr>
          <w:p>
            <w:pPr>
              <w:spacing w:after="0"/>
              <w:rPr>
                <w:sz w:val="20"/>
                <w:szCs w:val="20"/>
                <w:color w:val="auto"/>
              </w:rPr>
            </w:pPr>
          </w:p>
        </w:tc>
        <w:tc>
          <w:tcPr>
            <w:tcW w:w="124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00" w:type="dxa"/>
            <w:vAlign w:val="bottom"/>
          </w:tcPr>
          <w:p>
            <w:pPr>
              <w:ind w:left="160"/>
              <w:spacing w:after="0" w:line="203" w:lineRule="exact"/>
              <w:rPr>
                <w:sz w:val="20"/>
                <w:szCs w:val="20"/>
                <w:color w:val="auto"/>
              </w:rPr>
            </w:pPr>
            <w:r>
              <w:rPr>
                <w:rFonts w:ascii="Arial" w:cs="Arial" w:eastAsia="Arial" w:hAnsi="Arial"/>
                <w:sz w:val="18"/>
                <w:szCs w:val="18"/>
                <w:color w:val="auto"/>
              </w:rPr>
              <w:t>Loans</w:t>
            </w:r>
          </w:p>
        </w:tc>
        <w:tc>
          <w:tcPr>
            <w:tcW w:w="1440" w:type="dxa"/>
            <w:vAlign w:val="bottom"/>
            <w:gridSpan w:val="2"/>
          </w:tcPr>
          <w:p>
            <w:pPr>
              <w:jc w:val="right"/>
              <w:ind w:right="1130"/>
              <w:spacing w:after="0" w:line="203"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157"/>
              <w:spacing w:after="0" w:line="203" w:lineRule="exact"/>
              <w:rPr>
                <w:sz w:val="20"/>
                <w:szCs w:val="20"/>
                <w:color w:val="auto"/>
              </w:rPr>
            </w:pPr>
            <w:r>
              <w:rPr>
                <w:rFonts w:ascii="Arial" w:cs="Arial" w:eastAsia="Arial" w:hAnsi="Arial"/>
                <w:sz w:val="18"/>
                <w:szCs w:val="18"/>
                <w:color w:val="auto"/>
              </w:rPr>
              <w:t>$</w:t>
            </w:r>
          </w:p>
        </w:tc>
        <w:tc>
          <w:tcPr>
            <w:tcW w:w="2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957"/>
              <w:spacing w:after="0" w:line="203"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w w:val="97"/>
              </w:rPr>
              <w:t>7,317</w:t>
            </w:r>
          </w:p>
        </w:tc>
        <w:tc>
          <w:tcPr>
            <w:tcW w:w="460" w:type="dxa"/>
            <w:vAlign w:val="bottom"/>
            <w:gridSpan w:val="2"/>
          </w:tcPr>
          <w:p>
            <w:pPr>
              <w:jc w:val="right"/>
              <w:ind w:right="185"/>
              <w:spacing w:after="0" w:line="203"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7,317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3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3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June 30, 2014</w:t>
            </w:r>
          </w:p>
        </w:tc>
        <w:tc>
          <w:tcPr>
            <w:tcW w:w="120" w:type="dxa"/>
            <w:vAlign w:val="bottom"/>
            <w:tcBorders>
              <w:bottom w:val="single" w:sz="8" w:color="F0FFFF"/>
            </w:tcBorders>
          </w:tcPr>
          <w:p>
            <w:pPr>
              <w:spacing w:after="0"/>
              <w:rPr>
                <w:sz w:val="19"/>
                <w:szCs w:val="19"/>
                <w:color w:val="auto"/>
              </w:rPr>
            </w:pPr>
          </w:p>
        </w:tc>
        <w:tc>
          <w:tcPr>
            <w:tcW w:w="1320" w:type="dxa"/>
            <w:vAlign w:val="bottom"/>
            <w:tcBorders>
              <w:bottom w:val="single" w:sz="8" w:color="F0FFFF"/>
            </w:tcBorders>
          </w:tcPr>
          <w:p>
            <w:pPr>
              <w:spacing w:after="0"/>
              <w:rPr>
                <w:sz w:val="19"/>
                <w:szCs w:val="19"/>
                <w:color w:val="auto"/>
              </w:rPr>
            </w:pPr>
          </w:p>
        </w:tc>
        <w:tc>
          <w:tcPr>
            <w:tcW w:w="300" w:type="dxa"/>
            <w:vAlign w:val="bottom"/>
            <w:tcBorders>
              <w:bottom w:val="single" w:sz="8" w:color="F0FFFF"/>
            </w:tcBorders>
          </w:tcPr>
          <w:p>
            <w:pPr>
              <w:spacing w:after="0"/>
              <w:rPr>
                <w:sz w:val="19"/>
                <w:szCs w:val="19"/>
                <w:color w:val="auto"/>
              </w:rPr>
            </w:pPr>
          </w:p>
        </w:tc>
        <w:tc>
          <w:tcPr>
            <w:tcW w:w="240" w:type="dxa"/>
            <w:vAlign w:val="bottom"/>
            <w:tcBorders>
              <w:bottom w:val="single" w:sz="8" w:color="F0FFFF"/>
            </w:tcBorders>
          </w:tcPr>
          <w:p>
            <w:pPr>
              <w:spacing w:after="0"/>
              <w:rPr>
                <w:sz w:val="19"/>
                <w:szCs w:val="19"/>
                <w:color w:val="auto"/>
              </w:rPr>
            </w:pPr>
          </w:p>
        </w:tc>
        <w:tc>
          <w:tcPr>
            <w:tcW w:w="1320" w:type="dxa"/>
            <w:vAlign w:val="bottom"/>
            <w:tcBorders>
              <w:bottom w:val="single" w:sz="8" w:color="F0FFFF"/>
            </w:tcBorders>
          </w:tcPr>
          <w:p>
            <w:pPr>
              <w:spacing w:after="0"/>
              <w:rPr>
                <w:sz w:val="19"/>
                <w:szCs w:val="19"/>
                <w:color w:val="auto"/>
              </w:rPr>
            </w:pPr>
          </w:p>
        </w:tc>
        <w:tc>
          <w:tcPr>
            <w:tcW w:w="280" w:type="dxa"/>
            <w:vAlign w:val="bottom"/>
            <w:tcBorders>
              <w:bottom w:val="single" w:sz="8" w:color="F0FFFF"/>
            </w:tcBorders>
          </w:tcPr>
          <w:p>
            <w:pPr>
              <w:spacing w:after="0"/>
              <w:rPr>
                <w:sz w:val="19"/>
                <w:szCs w:val="19"/>
                <w:color w:val="auto"/>
              </w:rPr>
            </w:pPr>
          </w:p>
        </w:tc>
        <w:tc>
          <w:tcPr>
            <w:tcW w:w="240" w:type="dxa"/>
            <w:vAlign w:val="bottom"/>
            <w:tcBorders>
              <w:bottom w:val="single" w:sz="8" w:color="F0FFFF"/>
            </w:tcBorders>
          </w:tcPr>
          <w:p>
            <w:pPr>
              <w:spacing w:after="0"/>
              <w:rPr>
                <w:sz w:val="19"/>
                <w:szCs w:val="19"/>
                <w:color w:val="auto"/>
              </w:rPr>
            </w:pPr>
          </w:p>
        </w:tc>
        <w:tc>
          <w:tcPr>
            <w:tcW w:w="1120" w:type="dxa"/>
            <w:vAlign w:val="bottom"/>
            <w:tcBorders>
              <w:bottom w:val="single" w:sz="8" w:color="F0FFFF"/>
            </w:tcBorders>
          </w:tcPr>
          <w:p>
            <w:pPr>
              <w:spacing w:after="0"/>
              <w:rPr>
                <w:sz w:val="19"/>
                <w:szCs w:val="19"/>
                <w:color w:val="auto"/>
              </w:rPr>
            </w:pPr>
          </w:p>
        </w:tc>
        <w:tc>
          <w:tcPr>
            <w:tcW w:w="460" w:type="dxa"/>
            <w:vAlign w:val="bottom"/>
            <w:tcBorders>
              <w:bottom w:val="single" w:sz="8" w:color="F0FFFF"/>
            </w:tcBorders>
          </w:tcPr>
          <w:p>
            <w:pPr>
              <w:spacing w:after="0"/>
              <w:rPr>
                <w:sz w:val="19"/>
                <w:szCs w:val="19"/>
                <w:color w:val="auto"/>
              </w:rPr>
            </w:pPr>
          </w:p>
        </w:tc>
        <w:tc>
          <w:tcPr>
            <w:tcW w:w="100" w:type="dxa"/>
            <w:vAlign w:val="bottom"/>
            <w:tcBorders>
              <w:bottom w:val="single" w:sz="8" w:color="F0FFFF"/>
            </w:tcBorders>
          </w:tcPr>
          <w:p>
            <w:pPr>
              <w:spacing w:after="0"/>
              <w:rPr>
                <w:sz w:val="19"/>
                <w:szCs w:val="19"/>
                <w:color w:val="auto"/>
              </w:rPr>
            </w:pPr>
          </w:p>
        </w:tc>
        <w:tc>
          <w:tcPr>
            <w:tcW w:w="120" w:type="dxa"/>
            <w:vAlign w:val="bottom"/>
            <w:tcBorders>
              <w:bottom w:val="single" w:sz="8" w:color="F0FFFF"/>
            </w:tcBorders>
          </w:tcPr>
          <w:p>
            <w:pPr>
              <w:spacing w:after="0"/>
              <w:rPr>
                <w:sz w:val="19"/>
                <w:szCs w:val="19"/>
                <w:color w:val="auto"/>
              </w:rPr>
            </w:pPr>
          </w:p>
        </w:tc>
        <w:tc>
          <w:tcPr>
            <w:tcW w:w="340" w:type="dxa"/>
            <w:vAlign w:val="bottom"/>
            <w:tcBorders>
              <w:bottom w:val="single" w:sz="8" w:color="F0FFFF"/>
            </w:tcBorders>
          </w:tcPr>
          <w:p>
            <w:pPr>
              <w:spacing w:after="0"/>
              <w:rPr>
                <w:sz w:val="19"/>
                <w:szCs w:val="19"/>
                <w:color w:val="auto"/>
              </w:rPr>
            </w:pPr>
          </w:p>
        </w:tc>
        <w:tc>
          <w:tcPr>
            <w:tcW w:w="1240" w:type="dxa"/>
            <w:vAlign w:val="bottom"/>
            <w:tcBorders>
              <w:bottom w:val="single" w:sz="8" w:color="F0FFFF"/>
            </w:tcBorders>
          </w:tcPr>
          <w:p>
            <w:pPr>
              <w:spacing w:after="0"/>
              <w:rPr>
                <w:sz w:val="19"/>
                <w:szCs w:val="19"/>
                <w:color w:val="auto"/>
              </w:rPr>
            </w:pPr>
          </w:p>
        </w:tc>
        <w:tc>
          <w:tcPr>
            <w:tcW w:w="100" w:type="dxa"/>
            <w:vAlign w:val="bottom"/>
            <w:tcBorders>
              <w:bottom w:val="single" w:sz="8" w:color="F0FF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Loans</w:t>
            </w:r>
          </w:p>
        </w:tc>
        <w:tc>
          <w:tcPr>
            <w:tcW w:w="1440" w:type="dxa"/>
            <w:vAlign w:val="bottom"/>
            <w:gridSpan w:val="2"/>
            <w:shd w:val="clear" w:color="auto" w:fill="F0FFFF"/>
          </w:tcPr>
          <w:p>
            <w:pPr>
              <w:jc w:val="right"/>
              <w:ind w:right="1130"/>
              <w:spacing w:after="0"/>
              <w:rPr>
                <w:sz w:val="20"/>
                <w:szCs w:val="20"/>
                <w:color w:val="auto"/>
              </w:rPr>
            </w:pPr>
            <w:r>
              <w:rPr>
                <w:rFonts w:ascii="Arial" w:cs="Arial" w:eastAsia="Arial" w:hAnsi="Arial"/>
                <w:sz w:val="18"/>
                <w:szCs w:val="18"/>
                <w:color w:val="auto"/>
              </w:rPr>
              <w:t>$</w:t>
            </w:r>
          </w:p>
        </w:tc>
        <w:tc>
          <w:tcPr>
            <w:tcW w:w="3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F0FFFF"/>
          </w:tcPr>
          <w:p>
            <w:pPr>
              <w:jc w:val="right"/>
              <w:ind w:right="1157"/>
              <w:spacing w:after="0"/>
              <w:rPr>
                <w:sz w:val="20"/>
                <w:szCs w:val="20"/>
                <w:color w:val="auto"/>
              </w:rPr>
            </w:pPr>
            <w:r>
              <w:rPr>
                <w:rFonts w:ascii="Arial" w:cs="Arial" w:eastAsia="Arial" w:hAnsi="Arial"/>
                <w:sz w:val="18"/>
                <w:szCs w:val="18"/>
                <w:color w:val="auto"/>
              </w:rPr>
              <w:t>$</w:t>
            </w:r>
          </w:p>
        </w:tc>
        <w:tc>
          <w:tcPr>
            <w:tcW w:w="2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F0FFFF"/>
          </w:tcPr>
          <w:p>
            <w:pPr>
              <w:jc w:val="right"/>
              <w:ind w:right="957"/>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97"/>
              </w:rPr>
              <w:t>8,641</w:t>
            </w:r>
          </w:p>
        </w:tc>
        <w:tc>
          <w:tcPr>
            <w:tcW w:w="460" w:type="dxa"/>
            <w:vAlign w:val="bottom"/>
            <w:gridSpan w:val="2"/>
            <w:shd w:val="clear" w:color="auto" w:fill="F0FFFF"/>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8,641</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Loans that are reported above as being measured at fair value on a nonrecurring basis are generally impaired loans that have either been partially charged off or have specific reserves assigned to them. Nonaccrual impaired loans that are collateral dependent are generally written down to 80% of appraised value which considers the estimated costs to sell. Specific reserves are established for impaired loans based on appraised value of collateral or discounted cash flows, although only those specific reserves based on the fair value of collateral are considered nonrecurring fair value adjustments. As discussed in Note 2, United retrospectively adopted ASU 2015-10 </w:t>
      </w:r>
      <w:r>
        <w:rPr>
          <w:rFonts w:ascii="Arial" w:cs="Arial" w:eastAsia="Arial" w:hAnsi="Arial"/>
          <w:sz w:val="19"/>
          <w:szCs w:val="19"/>
          <w:i w:val="1"/>
          <w:iCs w:val="1"/>
          <w:color w:val="auto"/>
        </w:rPr>
        <w:t>Technical Corrections and Improvements</w:t>
      </w:r>
      <w:r>
        <w:rPr>
          <w:rFonts w:ascii="Arial" w:cs="Arial" w:eastAsia="Arial" w:hAnsi="Arial"/>
          <w:sz w:val="19"/>
          <w:szCs w:val="19"/>
          <w:color w:val="auto"/>
        </w:rPr>
        <w:t xml:space="preserve"> during second quarter 2015, which clarified the guidance for disclosure of nonrecurring fair value measurements and has been reflected in the disclosures presented in the table above.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Not Measured at Fair Value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3" w:name="page44"/>
    <w:bookmarkEnd w:id="43"/>
    <w:p>
      <w:pPr>
        <w:jc w:val="center"/>
        <w:ind w:right="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cash and cash equivalents and repurchase agreements have short maturities and therefore the carrying value approximates fair value. The fair value of securities available-for-sale equals the balance sheet value. Due to the short-term settlement of accrued interest receivable and payable, the carrying amount closely approximates fair value.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Because no ready market exists for a significant portion of United’s financial instruments, fair value estimates are based on many judgments. These estimates are subjective in nature and involve uncertainties and matters of significant judgment and therefore cannot be determined with precision. Changes in assumptions could significantly affect the estimates.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Off-balance sheet instruments (commitments to extend credit and standby letters of credit) are generally short-term and at variable rates. Therefore, both the carrying amount and the estimated fair value associated with these instruments are immaterial.</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carrying amount and fair values for other financial instruments that are not measured at fair value on a recurring basis in United’s balance sheet at June 30, 2015, December 31, 2014, and June 30, 2014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Carrying</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7"/>
          </w:tcPr>
          <w:p>
            <w:pPr>
              <w:jc w:val="right"/>
              <w:ind w:right="1200"/>
              <w:spacing w:after="0"/>
              <w:rPr>
                <w:sz w:val="20"/>
                <w:szCs w:val="20"/>
                <w:color w:val="auto"/>
              </w:rPr>
            </w:pPr>
            <w:r>
              <w:rPr>
                <w:rFonts w:ascii="Arial" w:cs="Arial" w:eastAsia="Arial" w:hAnsi="Arial"/>
                <w:sz w:val="18"/>
                <w:szCs w:val="18"/>
                <w:b w:val="1"/>
                <w:bCs w:val="1"/>
                <w:color w:val="auto"/>
              </w:rPr>
              <w:t>Fair Value Level</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June 30, 2015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3"/>
          </w:tcPr>
          <w:p>
            <w:pPr>
              <w:ind w:left="120"/>
              <w:spacing w:after="0"/>
              <w:rPr>
                <w:sz w:val="20"/>
                <w:szCs w:val="20"/>
                <w:color w:val="auto"/>
              </w:rPr>
            </w:pPr>
            <w:r>
              <w:rPr>
                <w:rFonts w:ascii="Arial" w:cs="Arial" w:eastAsia="Arial" w:hAnsi="Arial"/>
                <w:sz w:val="18"/>
                <w:szCs w:val="18"/>
                <w:b w:val="1"/>
                <w:bCs w:val="1"/>
                <w:color w:val="auto"/>
              </w:rPr>
              <w:t>Level 1</w:t>
            </w:r>
          </w:p>
        </w:tc>
        <w:tc>
          <w:tcPr>
            <w:tcW w:w="112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right"/>
              <w:ind w:right="800"/>
              <w:spacing w:after="0"/>
              <w:rPr>
                <w:sz w:val="20"/>
                <w:szCs w:val="20"/>
                <w:color w:val="auto"/>
              </w:rPr>
            </w:pPr>
            <w:r>
              <w:rPr>
                <w:rFonts w:ascii="Arial" w:cs="Arial" w:eastAsia="Arial" w:hAnsi="Arial"/>
                <w:sz w:val="18"/>
                <w:szCs w:val="18"/>
                <w:b w:val="1"/>
                <w:bCs w:val="1"/>
                <w:color w:val="auto"/>
              </w:rPr>
              <w:t>Level 3</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Securities held to maturity</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379,757</w:t>
            </w:r>
          </w:p>
        </w:tc>
        <w:tc>
          <w:tcPr>
            <w:tcW w:w="120" w:type="dxa"/>
            <w:vAlign w:val="bottom"/>
          </w:tcPr>
          <w:p>
            <w:pPr>
              <w:spacing w:after="0"/>
              <w:rPr>
                <w:sz w:val="18"/>
                <w:szCs w:val="18"/>
                <w:color w:val="auto"/>
              </w:rPr>
            </w:pP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60" w:type="dxa"/>
            <w:vAlign w:val="bottom"/>
            <w:gridSpan w:val="3"/>
          </w:tcPr>
          <w:p>
            <w:pPr>
              <w:ind w:left="920"/>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388,066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200"/>
              <w:spacing w:after="0"/>
              <w:rPr>
                <w:sz w:val="20"/>
                <w:szCs w:val="20"/>
                <w:color w:val="auto"/>
              </w:rPr>
            </w:pPr>
            <w:r>
              <w:rPr>
                <w:rFonts w:ascii="Arial" w:cs="Arial" w:eastAsia="Arial" w:hAnsi="Arial"/>
                <w:sz w:val="18"/>
                <w:szCs w:val="18"/>
                <w:color w:val="auto"/>
              </w:rPr>
              <w:t>-   $</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388,066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Loans, net</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5,103,388</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ind w:left="920"/>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5,083,619</w:t>
            </w:r>
          </w:p>
        </w:tc>
        <w:tc>
          <w:tcPr>
            <w:tcW w:w="3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5,083,619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Mortgage loans held for sale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22,003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22,312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22,312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Deposits</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6,807,943</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ind w:left="920"/>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6,808,029</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6,808,029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Federal Home Loan Bank advances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385,125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385,121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385,121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113,901</w:t>
            </w: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ind w:left="920"/>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116,307</w:t>
            </w:r>
          </w:p>
        </w:tc>
        <w:tc>
          <w:tcPr>
            <w:tcW w:w="3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116,307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88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December 31, 2014</w:t>
            </w:r>
          </w:p>
        </w:tc>
        <w:tc>
          <w:tcPr>
            <w:tcW w:w="22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F0FFFF"/>
            </w:tcBorders>
            <w:shd w:val="clear" w:color="auto" w:fill="F0FFFF"/>
          </w:tcPr>
          <w:p>
            <w:pPr>
              <w:spacing w:after="0"/>
              <w:rPr>
                <w:sz w:val="19"/>
                <w:szCs w:val="19"/>
                <w:color w:val="auto"/>
              </w:rPr>
            </w:pPr>
          </w:p>
        </w:tc>
        <w:tc>
          <w:tcPr>
            <w:tcW w:w="106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300" w:type="dxa"/>
            <w:vAlign w:val="bottom"/>
            <w:tcBorders>
              <w:bottom w:val="single" w:sz="8" w:color="F0FFFF"/>
            </w:tcBorders>
            <w:shd w:val="clear" w:color="auto" w:fill="F0FFFF"/>
          </w:tcPr>
          <w:p>
            <w:pPr>
              <w:spacing w:after="0"/>
              <w:rPr>
                <w:sz w:val="19"/>
                <w:szCs w:val="19"/>
                <w:color w:val="auto"/>
              </w:rPr>
            </w:pPr>
          </w:p>
        </w:tc>
        <w:tc>
          <w:tcPr>
            <w:tcW w:w="98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F0FFFF"/>
            </w:tcBorders>
            <w:shd w:val="clear" w:color="auto" w:fill="F0FFFF"/>
          </w:tcPr>
          <w:p>
            <w:pPr>
              <w:spacing w:after="0"/>
              <w:rPr>
                <w:sz w:val="19"/>
                <w:szCs w:val="19"/>
                <w:color w:val="auto"/>
              </w:rPr>
            </w:pPr>
          </w:p>
        </w:tc>
        <w:tc>
          <w:tcPr>
            <w:tcW w:w="260" w:type="dxa"/>
            <w:vAlign w:val="bottom"/>
            <w:tcBorders>
              <w:bottom w:val="single" w:sz="8" w:color="F0FFFF"/>
            </w:tcBorders>
            <w:shd w:val="clear" w:color="auto" w:fill="F0FFFF"/>
          </w:tcPr>
          <w:p>
            <w:pPr>
              <w:spacing w:after="0"/>
              <w:rPr>
                <w:sz w:val="19"/>
                <w:szCs w:val="19"/>
                <w:color w:val="auto"/>
              </w:rPr>
            </w:pPr>
          </w:p>
        </w:tc>
        <w:tc>
          <w:tcPr>
            <w:tcW w:w="102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F0FFFF"/>
            </w:tcBorders>
            <w:shd w:val="clear" w:color="auto" w:fill="F0FFFF"/>
          </w:tcPr>
          <w:p>
            <w:pPr>
              <w:spacing w:after="0"/>
              <w:rPr>
                <w:sz w:val="19"/>
                <w:szCs w:val="19"/>
                <w:color w:val="auto"/>
              </w:rPr>
            </w:pPr>
          </w:p>
        </w:tc>
        <w:tc>
          <w:tcPr>
            <w:tcW w:w="100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F0FFFF"/>
            </w:tcBorders>
            <w:shd w:val="clear" w:color="auto" w:fill="F0FFFF"/>
          </w:tcPr>
          <w:p>
            <w:pPr>
              <w:spacing w:after="0"/>
              <w:rPr>
                <w:sz w:val="19"/>
                <w:szCs w:val="19"/>
                <w:color w:val="auto"/>
              </w:rPr>
            </w:pPr>
          </w:p>
        </w:tc>
        <w:tc>
          <w:tcPr>
            <w:tcW w:w="300" w:type="dxa"/>
            <w:vAlign w:val="bottom"/>
            <w:tcBorders>
              <w:bottom w:val="single" w:sz="8" w:color="F0FFFF"/>
            </w:tcBorders>
            <w:shd w:val="clear" w:color="auto" w:fill="F0FFFF"/>
          </w:tcPr>
          <w:p>
            <w:pPr>
              <w:spacing w:after="0"/>
              <w:rPr>
                <w:sz w:val="19"/>
                <w:szCs w:val="19"/>
                <w:color w:val="auto"/>
              </w:rPr>
            </w:pPr>
          </w:p>
        </w:tc>
        <w:tc>
          <w:tcPr>
            <w:tcW w:w="96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Securities held to maturity</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415,267</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ind w:left="920"/>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425,233</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425,233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Loans, net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4,600,500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4,549,027</w:t>
            </w: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4,549,027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Mortgage loans held for sale</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13,737</w:t>
            </w: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ind w:left="920"/>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14,139</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14,139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F0FFFF"/>
          </w:tcPr>
          <w:p>
            <w:pPr>
              <w:spacing w:after="0"/>
              <w:rPr>
                <w:sz w:val="20"/>
                <w:szCs w:val="20"/>
                <w:color w:val="auto"/>
              </w:rPr>
            </w:pPr>
            <w:r>
              <w:rPr>
                <w:rFonts w:ascii="Arial" w:cs="Arial" w:eastAsia="Arial" w:hAnsi="Arial"/>
                <w:sz w:val="18"/>
                <w:szCs w:val="18"/>
                <w:color w:val="auto"/>
              </w:rPr>
              <w:t>Liabilities:</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Deposits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6,326,513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6,328,264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6,328,264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Federal Home Loan Bank advances</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270,125</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ind w:left="920"/>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270,125</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270,125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129,865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132,814</w:t>
            </w: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132,814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June 30, 2014</w:t>
            </w:r>
          </w:p>
        </w:tc>
        <w:tc>
          <w:tcPr>
            <w:tcW w:w="220" w:type="dxa"/>
            <w:vAlign w:val="bottom"/>
            <w:tcBorders>
              <w:bottom w:val="single" w:sz="8" w:color="F0FFFF"/>
            </w:tcBorders>
          </w:tcPr>
          <w:p>
            <w:pPr>
              <w:spacing w:after="0"/>
              <w:rPr>
                <w:sz w:val="19"/>
                <w:szCs w:val="19"/>
                <w:color w:val="auto"/>
              </w:rPr>
            </w:pPr>
          </w:p>
        </w:tc>
        <w:tc>
          <w:tcPr>
            <w:tcW w:w="220" w:type="dxa"/>
            <w:vAlign w:val="bottom"/>
            <w:tcBorders>
              <w:bottom w:val="single" w:sz="8" w:color="F0FFFF"/>
            </w:tcBorders>
          </w:tcPr>
          <w:p>
            <w:pPr>
              <w:spacing w:after="0"/>
              <w:rPr>
                <w:sz w:val="19"/>
                <w:szCs w:val="19"/>
                <w:color w:val="auto"/>
              </w:rPr>
            </w:pPr>
          </w:p>
        </w:tc>
        <w:tc>
          <w:tcPr>
            <w:tcW w:w="1060" w:type="dxa"/>
            <w:vAlign w:val="bottom"/>
            <w:tcBorders>
              <w:bottom w:val="single" w:sz="8" w:color="F0FFFF"/>
            </w:tcBorders>
          </w:tcPr>
          <w:p>
            <w:pPr>
              <w:spacing w:after="0"/>
              <w:rPr>
                <w:sz w:val="19"/>
                <w:szCs w:val="19"/>
                <w:color w:val="auto"/>
              </w:rPr>
            </w:pPr>
          </w:p>
        </w:tc>
        <w:tc>
          <w:tcPr>
            <w:tcW w:w="120" w:type="dxa"/>
            <w:vAlign w:val="bottom"/>
            <w:tcBorders>
              <w:bottom w:val="single" w:sz="8" w:color="F0FFFF"/>
            </w:tcBorders>
          </w:tcPr>
          <w:p>
            <w:pPr>
              <w:spacing w:after="0"/>
              <w:rPr>
                <w:sz w:val="19"/>
                <w:szCs w:val="19"/>
                <w:color w:val="auto"/>
              </w:rPr>
            </w:pPr>
          </w:p>
        </w:tc>
        <w:tc>
          <w:tcPr>
            <w:tcW w:w="100" w:type="dxa"/>
            <w:vAlign w:val="bottom"/>
            <w:tcBorders>
              <w:bottom w:val="single" w:sz="8" w:color="F0FFFF"/>
            </w:tcBorders>
          </w:tcPr>
          <w:p>
            <w:pPr>
              <w:spacing w:after="0"/>
              <w:rPr>
                <w:sz w:val="19"/>
                <w:szCs w:val="19"/>
                <w:color w:val="auto"/>
              </w:rPr>
            </w:pPr>
          </w:p>
        </w:tc>
        <w:tc>
          <w:tcPr>
            <w:tcW w:w="300" w:type="dxa"/>
            <w:vAlign w:val="bottom"/>
            <w:tcBorders>
              <w:bottom w:val="single" w:sz="8" w:color="F0FFFF"/>
            </w:tcBorders>
          </w:tcPr>
          <w:p>
            <w:pPr>
              <w:spacing w:after="0"/>
              <w:rPr>
                <w:sz w:val="19"/>
                <w:szCs w:val="19"/>
                <w:color w:val="auto"/>
              </w:rPr>
            </w:pPr>
          </w:p>
        </w:tc>
        <w:tc>
          <w:tcPr>
            <w:tcW w:w="980" w:type="dxa"/>
            <w:vAlign w:val="bottom"/>
            <w:tcBorders>
              <w:bottom w:val="single" w:sz="8" w:color="F0FFFF"/>
            </w:tcBorders>
          </w:tcPr>
          <w:p>
            <w:pPr>
              <w:spacing w:after="0"/>
              <w:rPr>
                <w:sz w:val="19"/>
                <w:szCs w:val="19"/>
                <w:color w:val="auto"/>
              </w:rPr>
            </w:pPr>
          </w:p>
        </w:tc>
        <w:tc>
          <w:tcPr>
            <w:tcW w:w="220" w:type="dxa"/>
            <w:vAlign w:val="bottom"/>
            <w:tcBorders>
              <w:bottom w:val="single" w:sz="8" w:color="F0FFFF"/>
            </w:tcBorders>
          </w:tcPr>
          <w:p>
            <w:pPr>
              <w:spacing w:after="0"/>
              <w:rPr>
                <w:sz w:val="19"/>
                <w:szCs w:val="19"/>
                <w:color w:val="auto"/>
              </w:rPr>
            </w:pPr>
          </w:p>
        </w:tc>
        <w:tc>
          <w:tcPr>
            <w:tcW w:w="260" w:type="dxa"/>
            <w:vAlign w:val="bottom"/>
            <w:tcBorders>
              <w:bottom w:val="single" w:sz="8" w:color="F0FFFF"/>
            </w:tcBorders>
          </w:tcPr>
          <w:p>
            <w:pPr>
              <w:spacing w:after="0"/>
              <w:rPr>
                <w:sz w:val="19"/>
                <w:szCs w:val="19"/>
                <w:color w:val="auto"/>
              </w:rPr>
            </w:pPr>
          </w:p>
        </w:tc>
        <w:tc>
          <w:tcPr>
            <w:tcW w:w="1020" w:type="dxa"/>
            <w:vAlign w:val="bottom"/>
            <w:tcBorders>
              <w:bottom w:val="single" w:sz="8" w:color="F0FFFF"/>
            </w:tcBorders>
          </w:tcPr>
          <w:p>
            <w:pPr>
              <w:spacing w:after="0"/>
              <w:rPr>
                <w:sz w:val="19"/>
                <w:szCs w:val="19"/>
                <w:color w:val="auto"/>
              </w:rPr>
            </w:pPr>
          </w:p>
        </w:tc>
        <w:tc>
          <w:tcPr>
            <w:tcW w:w="100" w:type="dxa"/>
            <w:vAlign w:val="bottom"/>
            <w:tcBorders>
              <w:bottom w:val="single" w:sz="8" w:color="F0FFFF"/>
            </w:tcBorders>
          </w:tcPr>
          <w:p>
            <w:pPr>
              <w:spacing w:after="0"/>
              <w:rPr>
                <w:sz w:val="19"/>
                <w:szCs w:val="19"/>
                <w:color w:val="auto"/>
              </w:rPr>
            </w:pPr>
          </w:p>
        </w:tc>
        <w:tc>
          <w:tcPr>
            <w:tcW w:w="120" w:type="dxa"/>
            <w:vAlign w:val="bottom"/>
            <w:tcBorders>
              <w:bottom w:val="single" w:sz="8" w:color="F0FFFF"/>
            </w:tcBorders>
          </w:tcPr>
          <w:p>
            <w:pPr>
              <w:spacing w:after="0"/>
              <w:rPr>
                <w:sz w:val="19"/>
                <w:szCs w:val="19"/>
                <w:color w:val="auto"/>
              </w:rPr>
            </w:pPr>
          </w:p>
        </w:tc>
        <w:tc>
          <w:tcPr>
            <w:tcW w:w="240" w:type="dxa"/>
            <w:vAlign w:val="bottom"/>
            <w:tcBorders>
              <w:bottom w:val="single" w:sz="8" w:color="F0FFFF"/>
            </w:tcBorders>
          </w:tcPr>
          <w:p>
            <w:pPr>
              <w:spacing w:after="0"/>
              <w:rPr>
                <w:sz w:val="19"/>
                <w:szCs w:val="19"/>
                <w:color w:val="auto"/>
              </w:rPr>
            </w:pPr>
          </w:p>
        </w:tc>
        <w:tc>
          <w:tcPr>
            <w:tcW w:w="1000" w:type="dxa"/>
            <w:vAlign w:val="bottom"/>
            <w:tcBorders>
              <w:bottom w:val="single" w:sz="8" w:color="F0FFFF"/>
            </w:tcBorders>
          </w:tcPr>
          <w:p>
            <w:pPr>
              <w:spacing w:after="0"/>
              <w:rPr>
                <w:sz w:val="19"/>
                <w:szCs w:val="19"/>
                <w:color w:val="auto"/>
              </w:rPr>
            </w:pPr>
          </w:p>
        </w:tc>
        <w:tc>
          <w:tcPr>
            <w:tcW w:w="200" w:type="dxa"/>
            <w:vAlign w:val="bottom"/>
            <w:tcBorders>
              <w:bottom w:val="single" w:sz="8" w:color="F0FFFF"/>
            </w:tcBorders>
          </w:tcPr>
          <w:p>
            <w:pPr>
              <w:spacing w:after="0"/>
              <w:rPr>
                <w:sz w:val="19"/>
                <w:szCs w:val="19"/>
                <w:color w:val="auto"/>
              </w:rPr>
            </w:pPr>
          </w:p>
        </w:tc>
        <w:tc>
          <w:tcPr>
            <w:tcW w:w="300" w:type="dxa"/>
            <w:vAlign w:val="bottom"/>
            <w:tcBorders>
              <w:bottom w:val="single" w:sz="8" w:color="F0FFFF"/>
            </w:tcBorders>
          </w:tcPr>
          <w:p>
            <w:pPr>
              <w:spacing w:after="0"/>
              <w:rPr>
                <w:sz w:val="19"/>
                <w:szCs w:val="19"/>
                <w:color w:val="auto"/>
              </w:rPr>
            </w:pPr>
          </w:p>
        </w:tc>
        <w:tc>
          <w:tcPr>
            <w:tcW w:w="960" w:type="dxa"/>
            <w:vAlign w:val="bottom"/>
            <w:tcBorders>
              <w:bottom w:val="single" w:sz="8" w:color="F0FFFF"/>
            </w:tcBorders>
          </w:tcPr>
          <w:p>
            <w:pPr>
              <w:spacing w:after="0"/>
              <w:rPr>
                <w:sz w:val="19"/>
                <w:szCs w:val="19"/>
                <w:color w:val="auto"/>
              </w:rPr>
            </w:pPr>
          </w:p>
        </w:tc>
        <w:tc>
          <w:tcPr>
            <w:tcW w:w="100" w:type="dxa"/>
            <w:vAlign w:val="bottom"/>
            <w:tcBorders>
              <w:bottom w:val="single" w:sz="8" w:color="F0FF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F0FF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Securities held to maturity</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448,752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458,864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458,864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Loans, net</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4,337,037</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ind w:left="920"/>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4,275,708</w:t>
            </w:r>
          </w:p>
        </w:tc>
        <w:tc>
          <w:tcPr>
            <w:tcW w:w="3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4,275,708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Mortgage loans held for sale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14,918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15,157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15,157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Deposits</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6,163,545</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ind w:left="920"/>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6,152,839</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6,152,839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Arial" w:cs="Arial" w:eastAsia="Arial" w:hAnsi="Arial"/>
                <w:sz w:val="18"/>
                <w:szCs w:val="18"/>
                <w:color w:val="auto"/>
              </w:rPr>
              <w:t>Federal Home Loan Bank advances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175,125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175,125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175,125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129,865</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ind w:left="920"/>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132,145</w:t>
            </w:r>
          </w:p>
        </w:tc>
        <w:tc>
          <w:tcPr>
            <w:tcW w:w="3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132,145</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88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0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400" w:type="dxa"/>
            <w:vAlign w:val="bottom"/>
            <w:tcBorders>
              <w:bottom w:val="single" w:sz="8" w:color="DCDCDC"/>
            </w:tcBorders>
            <w:gridSpan w:val="2"/>
          </w:tcPr>
          <w:p>
            <w:pPr>
              <w:ind w:left="100"/>
              <w:spacing w:after="0"/>
              <w:rPr>
                <w:sz w:val="20"/>
                <w:szCs w:val="20"/>
                <w:color w:val="auto"/>
              </w:rPr>
            </w:pPr>
            <w:r>
              <w:rPr>
                <w:rFonts w:ascii="Arial" w:cs="Arial" w:eastAsia="Arial" w:hAnsi="Arial"/>
                <w:sz w:val="18"/>
                <w:szCs w:val="18"/>
                <w:color w:val="auto"/>
              </w:rPr>
              <w:t>39</w:t>
            </w:r>
          </w:p>
        </w:tc>
        <w:tc>
          <w:tcPr>
            <w:tcW w:w="98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8" w:right="239" w:bottom="1440" w:gutter="0" w:footer="0" w:header="0"/>
        </w:sectPr>
      </w:pPr>
    </w:p>
    <w:bookmarkStart w:id="44" w:name="page45"/>
    <w:bookmarkEnd w:id="44"/>
    <w:p>
      <w:pPr>
        <w:jc w:val="center"/>
        <w:ind w:right="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is party to financial instruments with off-balance sheet risk in the normal course of business to meet the financing needs of its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United has in particular classes of financial instruments. 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189"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 xml:space="preserve">The following table summarizes, as of June 30, 2015, December 31, 2014 and June 30, 2014, the contractual amount of off-balance sheet instruments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 w:lineRule="exact"/>
        <w:rPr>
          <w:sz w:val="20"/>
          <w:szCs w:val="20"/>
          <w:color w:val="auto"/>
        </w:rPr>
      </w:pPr>
    </w:p>
    <w:p>
      <w:pPr>
        <w:ind w:left="6620"/>
        <w:spacing w:after="0"/>
        <w:tabs>
          <w:tab w:leader="none" w:pos="8180" w:val="left"/>
          <w:tab w:leader="none" w:pos="10140" w:val="left"/>
        </w:tabs>
        <w:rPr>
          <w:sz w:val="20"/>
          <w:szCs w:val="20"/>
          <w:color w:val="auto"/>
        </w:rPr>
      </w:pPr>
      <w:r>
        <w:rPr>
          <w:rFonts w:ascii="Arial" w:cs="Arial" w:eastAsia="Arial" w:hAnsi="Arial"/>
          <w:sz w:val="18"/>
          <w:szCs w:val="18"/>
          <w:b w:val="1"/>
          <w:bCs w:val="1"/>
          <w:color w:val="auto"/>
        </w:rPr>
        <w:t>June 30, 2015</w:t>
      </w:r>
      <w:r>
        <w:rPr>
          <w:sz w:val="20"/>
          <w:szCs w:val="20"/>
          <w:color w:val="auto"/>
        </w:rPr>
        <w:tab/>
      </w:r>
      <w:r>
        <w:rPr>
          <w:rFonts w:ascii="Arial" w:cs="Arial" w:eastAsia="Arial" w:hAnsi="Arial"/>
          <w:sz w:val="18"/>
          <w:szCs w:val="18"/>
          <w:b w:val="1"/>
          <w:bCs w:val="1"/>
          <w:color w:val="auto"/>
        </w:rPr>
        <w:t>December 31, 2014</w:t>
      </w:r>
      <w:r>
        <w:rPr>
          <w:sz w:val="20"/>
          <w:szCs w:val="20"/>
          <w:color w:val="auto"/>
        </w:rPr>
        <w:tab/>
      </w:r>
      <w:r>
        <w:rPr>
          <w:rFonts w:ascii="Arial" w:cs="Arial" w:eastAsia="Arial" w:hAnsi="Arial"/>
          <w:sz w:val="16"/>
          <w:szCs w:val="16"/>
          <w:b w:val="1"/>
          <w:bCs w:val="1"/>
          <w:color w:val="auto"/>
        </w:rPr>
        <w:t>June 30, 2014</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2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Financial instruments whose contract amounts represent credit risk:</w:t>
            </w:r>
          </w:p>
        </w:tc>
        <w:tc>
          <w:tcPr>
            <w:tcW w:w="320" w:type="dxa"/>
            <w:vAlign w:val="bottom"/>
            <w:tcBorders>
              <w:top w:val="single" w:sz="8" w:color="auto"/>
            </w:tcBorders>
            <w:shd w:val="clear" w:color="auto" w:fill="F0FFFF"/>
          </w:tcPr>
          <w:p>
            <w:pPr>
              <w:spacing w:after="0"/>
              <w:rPr>
                <w:sz w:val="19"/>
                <w:szCs w:val="19"/>
                <w:color w:val="auto"/>
              </w:rPr>
            </w:pPr>
          </w:p>
        </w:tc>
        <w:tc>
          <w:tcPr>
            <w:tcW w:w="940" w:type="dxa"/>
            <w:vAlign w:val="bottom"/>
            <w:tcBorders>
              <w:top w:val="single" w:sz="8" w:color="auto"/>
            </w:tcBorders>
            <w:shd w:val="clear" w:color="auto" w:fill="F0FFFF"/>
          </w:tcPr>
          <w:p>
            <w:pPr>
              <w:spacing w:after="0"/>
              <w:rPr>
                <w:sz w:val="19"/>
                <w:szCs w:val="19"/>
                <w:color w:val="auto"/>
              </w:rPr>
            </w:pPr>
          </w:p>
        </w:tc>
        <w:tc>
          <w:tcPr>
            <w:tcW w:w="120" w:type="dxa"/>
            <w:vAlign w:val="bottom"/>
            <w:tcBorders>
              <w:top w:val="single" w:sz="8" w:color="F0FFFF"/>
            </w:tcBorders>
            <w:shd w:val="clear" w:color="auto" w:fill="F0FFFF"/>
          </w:tcPr>
          <w:p>
            <w:pPr>
              <w:spacing w:after="0"/>
              <w:rPr>
                <w:sz w:val="19"/>
                <w:szCs w:val="19"/>
                <w:color w:val="auto"/>
              </w:rPr>
            </w:pPr>
          </w:p>
        </w:tc>
        <w:tc>
          <w:tcPr>
            <w:tcW w:w="120" w:type="dxa"/>
            <w:vAlign w:val="bottom"/>
            <w:tcBorders>
              <w:top w:val="single" w:sz="8" w:color="F0FFFF"/>
            </w:tcBorders>
            <w:shd w:val="clear" w:color="auto" w:fill="F0FFFF"/>
          </w:tcPr>
          <w:p>
            <w:pPr>
              <w:spacing w:after="0"/>
              <w:rPr>
                <w:sz w:val="19"/>
                <w:szCs w:val="19"/>
                <w:color w:val="auto"/>
              </w:rPr>
            </w:pPr>
          </w:p>
        </w:tc>
        <w:tc>
          <w:tcPr>
            <w:tcW w:w="660" w:type="dxa"/>
            <w:vAlign w:val="bottom"/>
            <w:tcBorders>
              <w:top w:val="single" w:sz="8" w:color="auto"/>
            </w:tcBorders>
            <w:shd w:val="clear" w:color="auto" w:fill="F0FFFF"/>
          </w:tcPr>
          <w:p>
            <w:pPr>
              <w:spacing w:after="0"/>
              <w:rPr>
                <w:sz w:val="19"/>
                <w:szCs w:val="19"/>
                <w:color w:val="auto"/>
              </w:rPr>
            </w:pPr>
          </w:p>
        </w:tc>
        <w:tc>
          <w:tcPr>
            <w:tcW w:w="1180" w:type="dxa"/>
            <w:vAlign w:val="bottom"/>
            <w:tcBorders>
              <w:top w:val="single" w:sz="8" w:color="auto"/>
            </w:tcBorders>
            <w:shd w:val="clear" w:color="auto" w:fill="F0FFFF"/>
          </w:tcPr>
          <w:p>
            <w:pPr>
              <w:spacing w:after="0"/>
              <w:rPr>
                <w:sz w:val="19"/>
                <w:szCs w:val="19"/>
                <w:color w:val="auto"/>
              </w:rPr>
            </w:pPr>
          </w:p>
        </w:tc>
        <w:tc>
          <w:tcPr>
            <w:tcW w:w="100" w:type="dxa"/>
            <w:vAlign w:val="bottom"/>
            <w:tcBorders>
              <w:top w:val="single" w:sz="8" w:color="F0FFFF"/>
            </w:tcBorders>
            <w:shd w:val="clear" w:color="auto" w:fill="F0FFFF"/>
          </w:tcPr>
          <w:p>
            <w:pPr>
              <w:spacing w:after="0"/>
              <w:rPr>
                <w:sz w:val="19"/>
                <w:szCs w:val="19"/>
                <w:color w:val="auto"/>
              </w:rPr>
            </w:pPr>
          </w:p>
        </w:tc>
        <w:tc>
          <w:tcPr>
            <w:tcW w:w="100" w:type="dxa"/>
            <w:vAlign w:val="bottom"/>
            <w:tcBorders>
              <w:top w:val="single" w:sz="8" w:color="F0FFFF"/>
            </w:tcBorders>
            <w:shd w:val="clear" w:color="auto" w:fill="F0FFFF"/>
          </w:tcPr>
          <w:p>
            <w:pPr>
              <w:spacing w:after="0"/>
              <w:rPr>
                <w:sz w:val="19"/>
                <w:szCs w:val="19"/>
                <w:color w:val="auto"/>
              </w:rPr>
            </w:pPr>
          </w:p>
        </w:tc>
        <w:tc>
          <w:tcPr>
            <w:tcW w:w="380" w:type="dxa"/>
            <w:vAlign w:val="bottom"/>
            <w:tcBorders>
              <w:top w:val="single" w:sz="8" w:color="auto"/>
            </w:tcBorders>
            <w:shd w:val="clear" w:color="auto" w:fill="F0FFFF"/>
          </w:tcPr>
          <w:p>
            <w:pPr>
              <w:spacing w:after="0"/>
              <w:rPr>
                <w:sz w:val="19"/>
                <w:szCs w:val="19"/>
                <w:color w:val="auto"/>
              </w:rPr>
            </w:pPr>
          </w:p>
        </w:tc>
        <w:tc>
          <w:tcPr>
            <w:tcW w:w="880" w:type="dxa"/>
            <w:vAlign w:val="bottom"/>
            <w:tcBorders>
              <w:top w:val="single" w:sz="8" w:color="auto"/>
            </w:tcBorders>
            <w:shd w:val="clear" w:color="auto" w:fill="F0FFFF"/>
          </w:tcPr>
          <w:p>
            <w:pPr>
              <w:spacing w:after="0"/>
              <w:rPr>
                <w:sz w:val="19"/>
                <w:szCs w:val="19"/>
                <w:color w:val="auto"/>
              </w:rPr>
            </w:pPr>
          </w:p>
        </w:tc>
        <w:tc>
          <w:tcPr>
            <w:tcW w:w="100" w:type="dxa"/>
            <w:vAlign w:val="bottom"/>
            <w:tcBorders>
              <w:top w:val="single" w:sz="8" w:color="F0FFFF"/>
            </w:tcBorders>
            <w:shd w:val="clear" w:color="auto" w:fill="F0FFFF"/>
          </w:tcPr>
          <w:p>
            <w:pPr>
              <w:spacing w:after="0"/>
              <w:rPr>
                <w:sz w:val="19"/>
                <w:szCs w:val="19"/>
                <w:color w:val="auto"/>
              </w:rPr>
            </w:pPr>
          </w:p>
        </w:tc>
      </w:tr>
      <w:tr>
        <w:trPr>
          <w:trHeight w:val="243"/>
        </w:trPr>
        <w:tc>
          <w:tcPr>
            <w:tcW w:w="6520" w:type="dxa"/>
            <w:vAlign w:val="bottom"/>
          </w:tcPr>
          <w:p>
            <w:pPr>
              <w:ind w:left="160"/>
              <w:spacing w:after="0"/>
              <w:rPr>
                <w:sz w:val="20"/>
                <w:szCs w:val="20"/>
                <w:color w:val="auto"/>
              </w:rPr>
            </w:pPr>
            <w:r>
              <w:rPr>
                <w:rFonts w:ascii="Arial" w:cs="Arial" w:eastAsia="Arial" w:hAnsi="Arial"/>
                <w:sz w:val="18"/>
                <w:szCs w:val="18"/>
                <w:color w:val="auto"/>
              </w:rPr>
              <w:t>Commitments to extend credit</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1,047,970</w:t>
            </w:r>
          </w:p>
        </w:tc>
        <w:tc>
          <w:tcPr>
            <w:tcW w:w="120" w:type="dxa"/>
            <w:vAlign w:val="bottom"/>
          </w:tcPr>
          <w:p>
            <w:pPr>
              <w:spacing w:after="0"/>
              <w:rPr>
                <w:sz w:val="21"/>
                <w:szCs w:val="21"/>
                <w:color w:val="auto"/>
              </w:rPr>
            </w:pPr>
          </w:p>
        </w:tc>
        <w:tc>
          <w:tcPr>
            <w:tcW w:w="7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878,160</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797,068</w:t>
            </w:r>
          </w:p>
        </w:tc>
      </w:tr>
      <w:tr>
        <w:trPr>
          <w:trHeight w:val="243"/>
        </w:trPr>
        <w:tc>
          <w:tcPr>
            <w:tcW w:w="65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Letters of credit</w:t>
            </w:r>
          </w:p>
        </w:tc>
        <w:tc>
          <w:tcPr>
            <w:tcW w:w="32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21,726</w:t>
            </w:r>
          </w:p>
        </w:tc>
        <w:tc>
          <w:tcPr>
            <w:tcW w:w="120" w:type="dxa"/>
            <w:vAlign w:val="bottom"/>
            <w:shd w:val="clear" w:color="auto" w:fill="F0FFFF"/>
          </w:tcPr>
          <w:p>
            <w:pPr>
              <w:spacing w:after="0"/>
              <w:rPr>
                <w:sz w:val="21"/>
                <w:szCs w:val="21"/>
                <w:color w:val="auto"/>
              </w:rPr>
            </w:pPr>
          </w:p>
        </w:tc>
        <w:tc>
          <w:tcPr>
            <w:tcW w:w="660" w:type="dxa"/>
            <w:vAlign w:val="bottom"/>
            <w:shd w:val="clear" w:color="auto" w:fill="F0FFFF"/>
          </w:tcPr>
          <w:p>
            <w:pPr>
              <w:spacing w:after="0"/>
              <w:rPr>
                <w:sz w:val="21"/>
                <w:szCs w:val="21"/>
                <w:color w:val="auto"/>
              </w:rPr>
            </w:pPr>
          </w:p>
        </w:tc>
        <w:tc>
          <w:tcPr>
            <w:tcW w:w="12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19,861</w:t>
            </w:r>
          </w:p>
        </w:tc>
        <w:tc>
          <w:tcPr>
            <w:tcW w:w="100" w:type="dxa"/>
            <w:vAlign w:val="bottom"/>
            <w:shd w:val="clear" w:color="auto" w:fill="F0FFFF"/>
          </w:tcPr>
          <w:p>
            <w:pPr>
              <w:spacing w:after="0"/>
              <w:rPr>
                <w:sz w:val="21"/>
                <w:szCs w:val="21"/>
                <w:color w:val="auto"/>
              </w:rPr>
            </w:pPr>
          </w:p>
        </w:tc>
        <w:tc>
          <w:tcPr>
            <w:tcW w:w="380" w:type="dxa"/>
            <w:vAlign w:val="bottom"/>
            <w:shd w:val="clear" w:color="auto" w:fill="F0FFFF"/>
          </w:tcPr>
          <w:p>
            <w:pPr>
              <w:spacing w:after="0"/>
              <w:rPr>
                <w:sz w:val="21"/>
                <w:szCs w:val="21"/>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20,682</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carrying amount of goodwill and other intangible assets is summarized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June 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June 30,</w:t>
            </w:r>
          </w:p>
        </w:tc>
        <w:tc>
          <w:tcPr>
            <w:tcW w:w="0" w:type="dxa"/>
            <w:vAlign w:val="bottom"/>
          </w:tcPr>
          <w:p>
            <w:pPr>
              <w:spacing w:after="0"/>
              <w:rPr>
                <w:sz w:val="1"/>
                <w:szCs w:val="1"/>
                <w:color w:val="auto"/>
              </w:rPr>
            </w:pPr>
          </w:p>
        </w:tc>
      </w:tr>
      <w:tr>
        <w:trPr>
          <w:trHeight w:val="241"/>
        </w:trPr>
        <w:tc>
          <w:tcPr>
            <w:tcW w:w="4640" w:type="dxa"/>
            <w:vAlign w:val="bottom"/>
            <w:tcBorders>
              <w:bottom w:val="single" w:sz="8" w:color="F0FFFF"/>
            </w:tcBorders>
          </w:tcPr>
          <w:p>
            <w:pPr>
              <w:spacing w:after="0"/>
              <w:rPr>
                <w:sz w:val="20"/>
                <w:szCs w:val="20"/>
                <w:color w:val="auto"/>
              </w:rPr>
            </w:pPr>
          </w:p>
        </w:tc>
        <w:tc>
          <w:tcPr>
            <w:tcW w:w="1340" w:type="dxa"/>
            <w:vAlign w:val="bottom"/>
            <w:tcBorders>
              <w:bottom w:val="single" w:sz="8" w:color="F0FF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bottom w:val="single" w:sz="8" w:color="F0FF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F0FF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F0FFFF"/>
          </w:tcPr>
          <w:p>
            <w:pPr>
              <w:spacing w:after="0"/>
              <w:rPr>
                <w:sz w:val="20"/>
                <w:szCs w:val="20"/>
                <w:color w:val="auto"/>
              </w:rPr>
            </w:pPr>
            <w:r>
              <w:rPr>
                <w:rFonts w:ascii="Arial" w:cs="Arial" w:eastAsia="Arial" w:hAnsi="Arial"/>
                <w:sz w:val="18"/>
                <w:szCs w:val="18"/>
                <w:color w:val="auto"/>
              </w:rPr>
              <w:t>Core deposit intangible</w:t>
            </w:r>
          </w:p>
        </w:tc>
        <w:tc>
          <w:tcPr>
            <w:tcW w:w="1340" w:type="dxa"/>
            <w:vAlign w:val="bottom"/>
            <w:shd w:val="clear" w:color="auto" w:fill="F0FFFF"/>
          </w:tcPr>
          <w:p>
            <w:pPr>
              <w:spacing w:after="0"/>
              <w:rPr>
                <w:sz w:val="18"/>
                <w:szCs w:val="18"/>
                <w:color w:val="auto"/>
              </w:rPr>
            </w:pP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36,872</w:t>
            </w: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32,652</w:t>
            </w: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32,652</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640" w:type="dxa"/>
            <w:vAlign w:val="bottom"/>
            <w:vMerge w:val="restart"/>
          </w:tcPr>
          <w:p>
            <w:pPr>
              <w:spacing w:after="0"/>
              <w:rPr>
                <w:sz w:val="20"/>
                <w:szCs w:val="20"/>
                <w:color w:val="auto"/>
              </w:rPr>
            </w:pPr>
            <w:r>
              <w:rPr>
                <w:rFonts w:ascii="Arial" w:cs="Arial" w:eastAsia="Arial" w:hAnsi="Arial"/>
                <w:sz w:val="18"/>
                <w:szCs w:val="18"/>
                <w:color w:val="auto"/>
              </w:rPr>
              <w:t>Less: accumulated amortization</w:t>
            </w: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(31,209</w:t>
            </w:r>
          </w:p>
        </w:tc>
        <w:tc>
          <w:tcPr>
            <w:tcW w:w="200" w:type="dxa"/>
            <w:vAlign w:val="bottom"/>
          </w:tcPr>
          <w:p>
            <w:pPr>
              <w:jc w:val="right"/>
              <w:ind w:right="60"/>
              <w:spacing w:after="0" w:line="162" w:lineRule="exact"/>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(30,520</w:t>
            </w:r>
          </w:p>
        </w:tc>
        <w:tc>
          <w:tcPr>
            <w:tcW w:w="220" w:type="dxa"/>
            <w:vAlign w:val="bottom"/>
            <w:gridSpan w:val="2"/>
          </w:tcPr>
          <w:p>
            <w:pPr>
              <w:jc w:val="right"/>
              <w:ind w:right="160"/>
              <w:spacing w:after="0" w:line="162" w:lineRule="exact"/>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4"/>
                <w:szCs w:val="14"/>
                <w:color w:val="auto"/>
              </w:rPr>
            </w:pPr>
          </w:p>
        </w:tc>
        <w:tc>
          <w:tcPr>
            <w:tcW w:w="1060" w:type="dxa"/>
            <w:vAlign w:val="bottom"/>
            <w:gridSpan w:val="2"/>
          </w:tcPr>
          <w:p>
            <w:pPr>
              <w:jc w:val="right"/>
              <w:ind w:right="40"/>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4640" w:type="dxa"/>
            <w:vAlign w:val="bottom"/>
            <w:tcBorders>
              <w:bottom w:val="single" w:sz="8" w:color="F0FFFF"/>
            </w:tcBorders>
            <w:vMerge w:val="continue"/>
          </w:tcPr>
          <w:p>
            <w:pPr>
              <w:spacing w:after="0"/>
              <w:rPr>
                <w:sz w:val="6"/>
                <w:szCs w:val="6"/>
                <w:color w:val="auto"/>
              </w:rPr>
            </w:pPr>
          </w:p>
        </w:tc>
        <w:tc>
          <w:tcPr>
            <w:tcW w:w="1340" w:type="dxa"/>
            <w:vAlign w:val="bottom"/>
            <w:tcBorders>
              <w:bottom w:val="single" w:sz="8" w:color="F0FF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F0FF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F0FF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jc w:val="right"/>
              <w:spacing w:after="0" w:line="68" w:lineRule="exact"/>
              <w:rPr>
                <w:sz w:val="20"/>
                <w:szCs w:val="20"/>
                <w:color w:val="auto"/>
              </w:rPr>
            </w:pPr>
            <w:r>
              <w:rPr>
                <w:rFonts w:ascii="Arial" w:cs="Arial" w:eastAsia="Arial" w:hAnsi="Arial"/>
                <w:sz w:val="7"/>
                <w:szCs w:val="7"/>
                <w:color w:val="auto"/>
              </w:rPr>
              <w:t>(29,921</w:t>
            </w:r>
          </w:p>
        </w:tc>
        <w:tc>
          <w:tcPr>
            <w:tcW w:w="100" w:type="dxa"/>
            <w:vAlign w:val="bottom"/>
            <w:tcBorders>
              <w:bottom w:val="single" w:sz="8" w:color="F0FFFF"/>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F0FFFF"/>
          </w:tcPr>
          <w:p>
            <w:pPr>
              <w:spacing w:after="0"/>
              <w:rPr>
                <w:sz w:val="20"/>
                <w:szCs w:val="20"/>
                <w:color w:val="auto"/>
              </w:rPr>
            </w:pPr>
            <w:r>
              <w:rPr>
                <w:rFonts w:ascii="Arial" w:cs="Arial" w:eastAsia="Arial" w:hAnsi="Arial"/>
                <w:sz w:val="18"/>
                <w:szCs w:val="18"/>
                <w:color w:val="auto"/>
              </w:rPr>
              <w:t>Total intangibles subject to amortization, net</w:t>
            </w:r>
          </w:p>
        </w:tc>
        <w:tc>
          <w:tcPr>
            <w:tcW w:w="13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5,663</w:t>
            </w: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3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2,132</w:t>
            </w: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2,731</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Goodwill</w:t>
            </w:r>
          </w:p>
        </w:tc>
        <w:tc>
          <w:tcPr>
            <w:tcW w:w="1340" w:type="dxa"/>
            <w:vAlign w:val="bottom"/>
            <w:tcBorders>
              <w:bottom w:val="single" w:sz="8" w:color="F0FF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14,527</w:t>
            </w:r>
          </w:p>
        </w:tc>
        <w:tc>
          <w:tcPr>
            <w:tcW w:w="200" w:type="dxa"/>
            <w:vAlign w:val="bottom"/>
            <w:tcBorders>
              <w:bottom w:val="single" w:sz="8" w:color="F0FF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F0FF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6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goodwill and other intangible assets, net</w:t>
            </w:r>
          </w:p>
        </w:tc>
        <w:tc>
          <w:tcPr>
            <w:tcW w:w="134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20,190</w:t>
            </w:r>
          </w:p>
        </w:tc>
        <w:tc>
          <w:tcPr>
            <w:tcW w:w="20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3,641</w:t>
            </w:r>
          </w:p>
        </w:tc>
        <w:tc>
          <w:tcPr>
            <w:tcW w:w="20" w:type="dxa"/>
            <w:vAlign w:val="bottom"/>
            <w:tcBorders>
              <w:bottom w:val="single" w:sz="8" w:color="auto"/>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auto"/>
            </w:tcBorders>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2,731</w:t>
            </w:r>
          </w:p>
        </w:tc>
        <w:tc>
          <w:tcPr>
            <w:tcW w:w="1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F0FFFF"/>
            </w:tcBorders>
          </w:tcPr>
          <w:p>
            <w:pPr>
              <w:spacing w:after="0" w:line="20" w:lineRule="exact"/>
              <w:rPr>
                <w:sz w:val="1"/>
                <w:szCs w:val="1"/>
                <w:color w:val="auto"/>
              </w:rPr>
            </w:pPr>
          </w:p>
        </w:tc>
        <w:tc>
          <w:tcPr>
            <w:tcW w:w="134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136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is a summary of changes in the carrying amounts of goodwill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0" w:type="dxa"/>
            <w:vAlign w:val="bottom"/>
            <w:gridSpan w:val="9"/>
          </w:tcPr>
          <w:p>
            <w:pPr>
              <w:jc w:val="center"/>
              <w:ind w:right="300"/>
              <w:spacing w:after="0"/>
              <w:rPr>
                <w:sz w:val="20"/>
                <w:szCs w:val="20"/>
                <w:color w:val="auto"/>
              </w:rPr>
            </w:pPr>
            <w:r>
              <w:rPr>
                <w:rFonts w:ascii="Arial" w:cs="Arial" w:eastAsia="Arial" w:hAnsi="Arial"/>
                <w:sz w:val="18"/>
                <w:szCs w:val="18"/>
                <w:b w:val="1"/>
                <w:bCs w:val="1"/>
                <w:color w:val="auto"/>
                <w:w w:val="89"/>
              </w:rPr>
              <w:t>For the three months ended June 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0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88"/>
              </w:rPr>
              <w:t>For the six months ended June 30,</w:t>
            </w:r>
          </w:p>
        </w:tc>
      </w:tr>
      <w:tr>
        <w:trPr>
          <w:trHeight w:val="198"/>
        </w:trPr>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Goodwill, net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Goodwill, net of</w:t>
            </w:r>
          </w:p>
        </w:tc>
        <w:tc>
          <w:tcPr>
            <w:tcW w:w="100" w:type="dxa"/>
            <w:vAlign w:val="bottom"/>
          </w:tcPr>
          <w:p>
            <w:pPr>
              <w:spacing w:after="0"/>
              <w:rPr>
                <w:sz w:val="17"/>
                <w:szCs w:val="17"/>
                <w:color w:val="auto"/>
              </w:rPr>
            </w:pPr>
          </w:p>
        </w:tc>
      </w:tr>
      <w:tr>
        <w:trPr>
          <w:trHeight w:val="216"/>
        </w:trPr>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r>
      <w:tr>
        <w:trPr>
          <w:trHeight w:val="216"/>
        </w:trPr>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Impairment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Impairment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Impairment</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Impairment</w:t>
            </w:r>
          </w:p>
        </w:tc>
      </w:tr>
      <w:tr>
        <w:trPr>
          <w:trHeight w:val="241"/>
        </w:trPr>
        <w:tc>
          <w:tcPr>
            <w:tcW w:w="2420" w:type="dxa"/>
            <w:vAlign w:val="bottom"/>
          </w:tcPr>
          <w:p>
            <w:pPr>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Goodwill</w:t>
            </w:r>
          </w:p>
        </w:tc>
        <w:tc>
          <w:tcPr>
            <w:tcW w:w="100" w:type="dxa"/>
            <w:vAlign w:val="bottom"/>
          </w:tcPr>
          <w:p>
            <w:pPr>
              <w:spacing w:after="0"/>
              <w:rPr>
                <w:sz w:val="20"/>
                <w:szCs w:val="20"/>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Goodwill</w:t>
            </w:r>
          </w:p>
        </w:tc>
        <w:tc>
          <w:tcPr>
            <w:tcW w:w="10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Losses</w:t>
            </w:r>
          </w:p>
        </w:tc>
      </w:tr>
      <w:tr>
        <w:trPr>
          <w:trHeight w:val="216"/>
        </w:trPr>
        <w:tc>
          <w:tcPr>
            <w:tcW w:w="242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Balance, beginning of period</w:t>
            </w:r>
          </w:p>
        </w:tc>
        <w:tc>
          <w:tcPr>
            <w:tcW w:w="2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307,099</w:t>
            </w:r>
          </w:p>
        </w:tc>
        <w:tc>
          <w:tcPr>
            <w:tcW w:w="2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(305,590)</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1,509</w:t>
            </w: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307,099</w:t>
            </w:r>
          </w:p>
        </w:tc>
        <w:tc>
          <w:tcPr>
            <w:tcW w:w="2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(305,590)</w:t>
            </w:r>
          </w:p>
        </w:tc>
        <w:tc>
          <w:tcPr>
            <w:tcW w:w="2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Borders>
              <w:top w:val="single" w:sz="8" w:color="F0FFFF"/>
            </w:tcBorders>
            <w:shd w:val="clear" w:color="auto" w:fill="F0FFFF"/>
          </w:tcPr>
          <w:p>
            <w:pPr>
              <w:spacing w:after="0"/>
              <w:rPr>
                <w:sz w:val="18"/>
                <w:szCs w:val="18"/>
                <w:color w:val="auto"/>
              </w:rPr>
            </w:pPr>
          </w:p>
        </w:tc>
      </w:tr>
      <w:tr>
        <w:trPr>
          <w:trHeight w:val="223"/>
        </w:trPr>
        <w:tc>
          <w:tcPr>
            <w:tcW w:w="2640" w:type="dxa"/>
            <w:vAlign w:val="bottom"/>
            <w:gridSpan w:val="2"/>
          </w:tcPr>
          <w:p>
            <w:pPr>
              <w:spacing w:after="0"/>
              <w:rPr>
                <w:sz w:val="20"/>
                <w:szCs w:val="20"/>
                <w:color w:val="auto"/>
              </w:rPr>
            </w:pPr>
            <w:r>
              <w:rPr>
                <w:rFonts w:ascii="Arial" w:cs="Arial" w:eastAsia="Arial" w:hAnsi="Arial"/>
                <w:sz w:val="18"/>
                <w:szCs w:val="18"/>
                <w:color w:val="auto"/>
              </w:rPr>
              <w:t>Acquisition of MoneyTree</w:t>
            </w:r>
          </w:p>
        </w:tc>
        <w:tc>
          <w:tcPr>
            <w:tcW w:w="18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13,018</w:t>
            </w:r>
          </w:p>
        </w:tc>
        <w:tc>
          <w:tcPr>
            <w:tcW w:w="10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13,018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13,018</w:t>
            </w:r>
          </w:p>
        </w:tc>
        <w:tc>
          <w:tcPr>
            <w:tcW w:w="10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13,018</w:t>
            </w:r>
          </w:p>
        </w:tc>
      </w:tr>
      <w:tr>
        <w:trPr>
          <w:trHeight w:val="255"/>
        </w:trPr>
        <w:tc>
          <w:tcPr>
            <w:tcW w:w="2640" w:type="dxa"/>
            <w:vAlign w:val="bottom"/>
            <w:tcBorders>
              <w:top w:val="single" w:sz="8" w:color="F0FFFF"/>
              <w:bottom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Balance, end of period</w:t>
            </w:r>
          </w:p>
        </w:tc>
        <w:tc>
          <w:tcPr>
            <w:tcW w:w="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320,117</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(305,590</w:t>
            </w:r>
          </w:p>
        </w:tc>
        <w:tc>
          <w:tcPr>
            <w:tcW w:w="12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14,527</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320,117</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(305,590</w:t>
            </w:r>
          </w:p>
        </w:tc>
        <w:tc>
          <w:tcPr>
            <w:tcW w:w="200" w:type="dxa"/>
            <w:vAlign w:val="bottom"/>
            <w:tcBorders>
              <w:top w:val="single" w:sz="8" w:color="F0FFFF"/>
              <w:bottom w:val="single" w:sz="8" w:color="F0FFFF"/>
            </w:tcBorders>
            <w:shd w:val="clear" w:color="auto" w:fill="F0FF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14,527</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r>
      <w:tr>
        <w:trPr>
          <w:trHeight w:val="20"/>
        </w:trPr>
        <w:tc>
          <w:tcPr>
            <w:tcW w:w="24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11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1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11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114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11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r>
      <w:tr>
        <w:trPr>
          <w:trHeight w:val="622"/>
        </w:trPr>
        <w:tc>
          <w:tcPr>
            <w:tcW w:w="24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11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1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gridSpan w:val="2"/>
          </w:tcPr>
          <w:p>
            <w:pPr>
              <w:ind w:left="80"/>
              <w:spacing w:after="0"/>
              <w:rPr>
                <w:sz w:val="20"/>
                <w:szCs w:val="20"/>
                <w:color w:val="auto"/>
              </w:rPr>
            </w:pPr>
            <w:r>
              <w:rPr>
                <w:rFonts w:ascii="Arial" w:cs="Arial" w:eastAsia="Arial" w:hAnsi="Arial"/>
                <w:sz w:val="18"/>
                <w:szCs w:val="18"/>
                <w:color w:val="auto"/>
                <w:w w:val="79"/>
              </w:rPr>
              <w:t>40</w:t>
            </w:r>
          </w:p>
        </w:tc>
        <w:tc>
          <w:tcPr>
            <w:tcW w:w="1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108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45" w:name="page46"/>
    <w:bookmarkEnd w:id="45"/>
    <w:p>
      <w:pPr>
        <w:jc w:val="center"/>
        <w:ind w:right="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The amortization expense for intangibles subject to amortization for the three and six months ended June 30, 2015 was $447,000 and $689,000, respectively, which was recognized in operating expenses. The amortization expense for intangibles subject to amortization for the three and six months ended June 30, 2014 was $362,000 and $749,000, respectively. The estimated aggregate amortization expense for future periods is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60" w:type="dxa"/>
            <w:vAlign w:val="bottom"/>
            <w:gridSpan w:val="2"/>
          </w:tcPr>
          <w:p>
            <w:pPr>
              <w:ind w:left="1720"/>
              <w:spacing w:after="0"/>
              <w:rPr>
                <w:sz w:val="20"/>
                <w:szCs w:val="20"/>
                <w:color w:val="auto"/>
              </w:rPr>
            </w:pPr>
            <w:r>
              <w:rPr>
                <w:rFonts w:ascii="Arial" w:cs="Arial" w:eastAsia="Arial" w:hAnsi="Arial"/>
                <w:sz w:val="18"/>
                <w:szCs w:val="18"/>
                <w:b w:val="1"/>
                <w:bCs w:val="1"/>
                <w:color w:val="auto"/>
              </w:rPr>
              <w:t>Year</w:t>
            </w:r>
          </w:p>
        </w:tc>
        <w:tc>
          <w:tcPr>
            <w:tcW w:w="3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4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Remainder of 2015</w:t>
            </w:r>
          </w:p>
        </w:tc>
        <w:tc>
          <w:tcPr>
            <w:tcW w:w="3740" w:type="dxa"/>
            <w:vAlign w:val="bottom"/>
            <w:tcBorders>
              <w:top w:val="single" w:sz="8" w:color="auto"/>
            </w:tcBorders>
            <w:shd w:val="clear" w:color="auto" w:fill="F0FFFF"/>
          </w:tcPr>
          <w:p>
            <w:pPr>
              <w:spacing w:after="0"/>
              <w:rPr>
                <w:sz w:val="18"/>
                <w:szCs w:val="18"/>
                <w:color w:val="auto"/>
              </w:rPr>
            </w:pPr>
          </w:p>
        </w:tc>
        <w:tc>
          <w:tcPr>
            <w:tcW w:w="700" w:type="dxa"/>
            <w:vAlign w:val="bottom"/>
            <w:tcBorders>
              <w:top w:val="single" w:sz="8" w:color="F0FFFF"/>
            </w:tcBorders>
            <w:gridSpan w:val="2"/>
            <w:shd w:val="clear" w:color="auto" w:fill="F0FFFF"/>
          </w:tcPr>
          <w:p>
            <w:pPr>
              <w:jc w:val="right"/>
              <w:ind w:right="325"/>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1,063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2016</w:t>
            </w:r>
          </w:p>
        </w:tc>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1,919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40" w:type="dxa"/>
            <w:vAlign w:val="bottom"/>
            <w:shd w:val="clear" w:color="auto" w:fill="F0FFFF"/>
          </w:tcPr>
          <w:p>
            <w:pPr>
              <w:spacing w:after="0"/>
              <w:rPr>
                <w:sz w:val="20"/>
                <w:szCs w:val="20"/>
                <w:color w:val="auto"/>
              </w:rPr>
            </w:pPr>
            <w:r>
              <w:rPr>
                <w:rFonts w:ascii="Arial" w:cs="Arial" w:eastAsia="Arial" w:hAnsi="Arial"/>
                <w:sz w:val="18"/>
                <w:szCs w:val="18"/>
                <w:color w:val="auto"/>
              </w:rPr>
              <w:t>2017</w:t>
            </w:r>
          </w:p>
        </w:tc>
        <w:tc>
          <w:tcPr>
            <w:tcW w:w="37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1,115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2018</w:t>
            </w:r>
          </w:p>
        </w:tc>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40" w:type="dxa"/>
            <w:vAlign w:val="bottom"/>
            <w:shd w:val="clear" w:color="auto" w:fill="F0FFFF"/>
          </w:tcPr>
          <w:p>
            <w:pPr>
              <w:spacing w:after="0"/>
              <w:rPr>
                <w:sz w:val="20"/>
                <w:szCs w:val="20"/>
                <w:color w:val="auto"/>
              </w:rPr>
            </w:pPr>
            <w:r>
              <w:rPr>
                <w:rFonts w:ascii="Arial" w:cs="Arial" w:eastAsia="Arial" w:hAnsi="Arial"/>
                <w:sz w:val="18"/>
                <w:szCs w:val="18"/>
                <w:color w:val="auto"/>
              </w:rPr>
              <w:t>2019</w:t>
            </w:r>
          </w:p>
        </w:tc>
        <w:tc>
          <w:tcPr>
            <w:tcW w:w="37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479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Thereafter</w:t>
            </w:r>
          </w:p>
        </w:tc>
        <w:tc>
          <w:tcPr>
            <w:tcW w:w="3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392</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720" w:type="dxa"/>
            <w:vAlign w:val="bottom"/>
          </w:tcPr>
          <w:p>
            <w:pPr>
              <w:spacing w:after="0"/>
              <w:rPr>
                <w:sz w:val="20"/>
                <w:szCs w:val="20"/>
                <w:color w:val="auto"/>
              </w:rPr>
            </w:pPr>
          </w:p>
        </w:tc>
        <w:tc>
          <w:tcPr>
            <w:tcW w:w="264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w:t>
            </w:r>
          </w:p>
        </w:tc>
        <w:tc>
          <w:tcPr>
            <w:tcW w:w="3740" w:type="dxa"/>
            <w:vAlign w:val="bottom"/>
            <w:tcBorders>
              <w:top w:val="single" w:sz="8" w:color="F0FFFF"/>
              <w:bottom w:val="single" w:sz="8" w:color="F0FFFF"/>
            </w:tcBorders>
            <w:shd w:val="clear" w:color="auto" w:fill="F0FFFF"/>
          </w:tcPr>
          <w:p>
            <w:pPr>
              <w:spacing w:after="0"/>
              <w:rPr>
                <w:sz w:val="20"/>
                <w:szCs w:val="20"/>
                <w:color w:val="auto"/>
              </w:rPr>
            </w:pP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480" w:type="dxa"/>
            <w:vAlign w:val="bottom"/>
            <w:tcBorders>
              <w:top w:val="single" w:sz="8" w:color="auto"/>
              <w:bottom w:val="single" w:sz="8" w:color="auto"/>
            </w:tcBorders>
            <w:shd w:val="clear" w:color="auto" w:fill="F0FFFF"/>
          </w:tcPr>
          <w:p>
            <w:pPr>
              <w:jc w:val="right"/>
              <w:ind w:right="3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5,663</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640" w:type="dxa"/>
            <w:vAlign w:val="bottom"/>
            <w:tcBorders>
              <w:top w:val="single" w:sz="8" w:color="F0FFFF"/>
            </w:tcBorders>
          </w:tcPr>
          <w:p>
            <w:pPr>
              <w:spacing w:after="0" w:line="20" w:lineRule="exact"/>
              <w:rPr>
                <w:sz w:val="1"/>
                <w:szCs w:val="1"/>
                <w:color w:val="auto"/>
              </w:rPr>
            </w:pPr>
          </w:p>
        </w:tc>
        <w:tc>
          <w:tcPr>
            <w:tcW w:w="3740" w:type="dxa"/>
            <w:vAlign w:val="bottom"/>
            <w:tcBorders>
              <w:top w:val="single" w:sz="8" w:color="F0FFFF"/>
              <w:bottom w:val="single" w:sz="8" w:color="F0FFFF"/>
            </w:tcBorders>
            <w:vMerge w:val="restart"/>
          </w:tcPr>
          <w:p>
            <w:pPr>
              <w:jc w:val="right"/>
              <w:ind w:right="2210"/>
              <w:spacing w:after="0"/>
              <w:rPr>
                <w:sz w:val="20"/>
                <w:szCs w:val="20"/>
                <w:color w:val="auto"/>
              </w:rPr>
            </w:pPr>
            <w:r>
              <w:rPr>
                <w:rFonts w:ascii="Arial" w:cs="Arial" w:eastAsia="Arial" w:hAnsi="Arial"/>
                <w:sz w:val="18"/>
                <w:szCs w:val="18"/>
                <w:color w:val="auto"/>
              </w:rPr>
              <w:t>41</w:t>
            </w:r>
          </w:p>
        </w:tc>
        <w:tc>
          <w:tcPr>
            <w:tcW w:w="220" w:type="dxa"/>
            <w:vAlign w:val="bottom"/>
            <w:tcBorders>
              <w:top w:val="single" w:sz="8" w:color="F0FFFF"/>
            </w:tcBorders>
          </w:tcPr>
          <w:p>
            <w:pPr>
              <w:spacing w:after="0" w:line="20" w:lineRule="exact"/>
              <w:rPr>
                <w:sz w:val="1"/>
                <w:szCs w:val="1"/>
                <w:color w:val="auto"/>
              </w:rPr>
            </w:pPr>
          </w:p>
        </w:tc>
        <w:tc>
          <w:tcPr>
            <w:tcW w:w="48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1720" w:type="dxa"/>
            <w:vAlign w:val="bottom"/>
            <w:tcBorders>
              <w:bottom w:val="single" w:sz="8" w:color="DCDCDC"/>
            </w:tcBorders>
          </w:tcPr>
          <w:p>
            <w:pPr>
              <w:spacing w:after="0"/>
              <w:rPr>
                <w:sz w:val="24"/>
                <w:szCs w:val="24"/>
                <w:color w:val="auto"/>
              </w:rPr>
            </w:pPr>
          </w:p>
        </w:tc>
        <w:tc>
          <w:tcPr>
            <w:tcW w:w="2640" w:type="dxa"/>
            <w:vAlign w:val="bottom"/>
            <w:tcBorders>
              <w:bottom w:val="single" w:sz="8" w:color="DCDCDC"/>
            </w:tcBorders>
          </w:tcPr>
          <w:p>
            <w:pPr>
              <w:spacing w:after="0"/>
              <w:rPr>
                <w:sz w:val="24"/>
                <w:szCs w:val="24"/>
                <w:color w:val="auto"/>
              </w:rPr>
            </w:pPr>
          </w:p>
        </w:tc>
        <w:tc>
          <w:tcPr>
            <w:tcW w:w="3740" w:type="dxa"/>
            <w:vAlign w:val="bottom"/>
            <w:tcBorders>
              <w:bottom w:val="single" w:sz="8" w:color="DCDCDC"/>
            </w:tcBorders>
            <w:vMerge w:val="continue"/>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480" w:type="dxa"/>
            <w:vAlign w:val="bottom"/>
            <w:tcBorders>
              <w:bottom w:val="single" w:sz="8" w:color="DCDCDC"/>
            </w:tcBorders>
          </w:tcPr>
          <w:p>
            <w:pPr>
              <w:spacing w:after="0"/>
              <w:rPr>
                <w:sz w:val="24"/>
                <w:szCs w:val="24"/>
                <w:color w:val="auto"/>
              </w:rPr>
            </w:pPr>
          </w:p>
        </w:tc>
        <w:tc>
          <w:tcPr>
            <w:tcW w:w="8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72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46" w:name="page47"/>
    <w:bookmarkEnd w:id="46"/>
    <w:p>
      <w:pPr>
        <w:spacing w:after="0"/>
        <w:tabs>
          <w:tab w:leader="none" w:pos="96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Management’s Discussion and Analysis of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Form 10-Q contains forward-looking statements within the meaning of Section 27A of the Securities Act of 1933, as amended, and Section 21E of the Securities Exchange Act of 1934, as amended, (the “Exchange Act”), about United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or events, and statements about the future performance, operations, products and services of United and its subsidiaries. We caution our shareholders and other readers not to place undue reliance on such statements.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and operations are and will be subject to a variety of risks, uncertainties and other factors. Consequently, actual results and experiences may differ materially from those contained in any forward-looking statements. Such risks, uncertainties and other factors that could cause actual results and experiences to differ from those projected include, but are not limited to, the risk factors set forth in our Annual Report on Form 10-K for the year ended December 31, 2014 as well as the following factors:</w:t>
      </w:r>
    </w:p>
    <w:p>
      <w:pPr>
        <w:spacing w:after="0" w:line="18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condition of the general business and economic environment;</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results of our internal credit stress tests may not accurately predict the impact on our financial condition if the economy were to deteriorate;</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profitability;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fully realize the balance of our net deferred tax asset, including net operating loss carryforwards;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 that we may be required to increase the valuation allowance on our net deferred tax asset in future periods;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condition of the banking system and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raise capital;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liquidity or access other sources of funding;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cost and availability of funding;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 of the local economies in which we operate;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lack of geographic diversification;</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concentrations of residential and commercial construction and development loans and commercial real estate loans are subject to unique risks that could adversely affect our earnings;</w:t>
      </w: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prevailing interest rates may negatively affect our net income and the value of our assets and other interest rate risks;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accounting and reporting policies;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our allowance for loan losses is not sufficient to cover actual loan losses;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losses due to fraudulent and negligent conduct of our loan customers, third party service providers or employees;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related to our communications and information systems, including risks with respect to cybersecurity breaches;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reliance on third parties to provide key components of our business infrastructure and services required to operate our business;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from financial institutions and other financial service providers;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risks with respect to our ability to successfully expand and complete acquisitions and integrate businesses and operations that are acquired;</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 conditions in the stock market, the public debt market and other capital markets deteriorate;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the Dodd-Frank Wall Street Reform and Consumer Protection Act of 2010 and related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laws and regulations or failures to comply with such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regulatory capital and other requirements;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and effects of litigation, examinations, investigations, or similar matters, or adverse facts and developments related thereto, including possible dilution;</w:t>
      </w:r>
    </w:p>
    <w:p>
      <w:pPr>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or judicial proceedings, board resolutions, informal memorandums of understanding or formal enforcement actions imposed by regulators that may occur;</w:t>
      </w: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tax laws, regulations and interpretations or challenges to our income tax provision;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controls over financial reporting and disclosure controls and procedures.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 information with respect to factors that may cause actual results to differ materially from those contemplated by such forward-looking statements may also be included in other reports that United files with the Securities and Exchange Commission (the “SEC”). United cautions that the foregoing list of factors is not exclusive and not to place undue reliance on forward-looking statements. United does not intend to update any forward-looking statement, whether written or oral, relating to the matters discussed in this Form 10-Q.</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is intended to provide insight into the results of operations and financial condition of United Community Banks, Inc. (“United”) and its subsidiaries and should be read in conjunction with United’s consolidated financial statements and accompanying notes.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is a bank holding company registered with the Board of Governors of the Federal Reserve under the Bank Holding Company Act of 1956 that was incorporated under the laws of the state of Georgia in 1987 and commenced operations in 1988. At June 30, 2015, United had total consolidated assets of $8.25 billion, total loans of $5.17 billion, total deposits of $6.81 billion, and shareholders’ equity of $827 million.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conducts substantially all of its operations through its wholly-owned Georgia bank subsidiary, United Community Bank (the “Bank”), which as of June 30, 2015, operated at 114 locations throughout the Atlanta-Sandy Springs-Roswell, Georgia, Gainesville, Georgia and Greenville-Anderson-Mauldin, South Carolina metropolitan statistical areas, north and coastal Georgia, western North Carolina, and east Tennessee. Also, United has commercial loan offices in Nashville, Tennessee and Charlotte, North Carolina.</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 2015, United completed the acquisition of MoneyTree Corporation (“MoneyTree”) and its wholly-owned bank subsidiary First National Bank (“FNB”). MoneyTree’s results are included in United’s consolidated results beginning on the acquisition date. Also included in management’s discussion and analysis are certain non-GAAP (accounting principles generally accepted in the United States of America (“GAAP”)) performance measures. United’s management believes that non-GAAP performance measures are useful in analyzing United’s financial performance trends and therefore this section will refer to non-GAAP performance measures. A reconciliation of these non-GAAP performance measures to GAAP performance measures is included in the table on page 47.</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reported net income of $17.8 million for the second quarter of 2015. This compared to net income of $16.4 million for the second quarter of 2014. Diluted earnings per common share were $.28 for the second quarter of 2015, compared to diluted earnings per common share of $.27 for the second quarter of 2014.</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six months ended June 30, 2015, United reported net income of $35.5 million. This compared to net income of $31.8 million for the first six months of 2014. Diluted earnings per common share were $.57 for the six months ended June 30, 2015, compared to diluted earnings per common share of $.52 for the six months ended June 30, 2014.</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Taxable equivalent net interest revenue increased to $61.3 million for the second quarter of 2015, compared to $55.0 million for the same period of 2014, primarily due to loan growth combined with an increase in the net interest margin. Net interest margin increased to 3.30% for the three months ended June 30, 2015 from 3.21% for the same period in 2015. For the six months ended June 30, 2015, taxable equivalent net interest revenue was $119 million compared to $109 million for the same period of 2014, primarily due to the same reasons mentioned above. Net interest margin increased to 3.30% for the six months ended June 30, 2015 from 3.21% for the same period in 2015. In the second quarter of 2014, United executed a number of balance sheet management activities, including restructuring interest rate swaps, selling investment securities and repaying high cost wholesale borrowings with the intent of improving the net interest margin and increasing net interest revenue. These balance sheet management activities, along with strong loan growth over the last four quarters, had the desired effect of increasing net interest revenue and net interest margin which has held steady in the low 3.30% range since the second quarter 2014 restructuring activities.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provision for credit losses was $900,000 for the second quarter of 2015, compared to $2.20 million for the same period in 2014. Net charge-offs for the second quarter of 2015 were $978,000, compared to $4.18 million for the second quarter of 2014. Strong recoveries of previously charged-off loans drove net charge-offs down in the second quarter of 2015. For the six months ended June 30, 2015, United’s provision for loan losses was $2.70 million, compared to $4.70 million for the same period of 2014. United’s credit quality indicators have shown improvement over the last four quarters leading to lower net charge offs and provisions for credit losses.</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June 30, 2015, United’s allowance for loan losses was $70.1 million, or 1.36% of loans, compared to $71.6 million, or 1.53% of loans, at December 31, 2014 and $73.2 million, or 1.66% of loans, at June 30, 2014. In accordance with the accounting guidance for business combinations, there was no allowance for loan losses brought forward on loans acquired from MoneyTree, as credit deterioration was included in the determination of fair value at acquisition date. At June 30, 2015, United recorded no allowance for loan losses on loans acquired from FNB as there was no evidence of credit deterioration beyond that which was incorporated into the determination of fair value at acquisition date. Nonperforming assets of $21.2 million were .26% of total assets at June 30, 2015, the same level as December 31, 2014 and down from .32% as of June 30, 2014, due to ongoing improving credit conditions. During the second quarter of 2015, $6.55 million in loans were placed on nonaccrual compared with $9.53 million in the second quarter of 2014.</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Fee revenue of $17.3 million for the second quarter of 2015 was up $3.12 million, or 22%, from the second quarter of 2014. The increase was partly due to $1.49 million in gains from the sales of government guaranteed loans in the second quarter of 2015, compared to $744,000 in the second quarter of 2014. United began selling the guaranteed portion of Small Business Administration (“SBA”) / United States Department of Agriculture (“USDA”) loans in the second quarter of 2014 as part of its emphasis on growing the government guaranteed lending business. Mortgage fees of $3.71 million for the second quarter of 2015 increased from $1.88 million in the second quarter of 2014. The increase was due to United’s emphasis on growing its mortgage business by recruiting lenders in metropolitan markets and a wave of refinancing activity in the second quarter of 2015. For the first six months of 2015, fee revenue of $32.9 million increased $6.63 million, or 25%, from the same period in 2014, primarily due to the same factors resulting in the quarterly increase.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8" w:name="page49"/>
    <w:bookmarkEnd w:id="48"/>
    <w:p>
      <w:pPr>
        <w:jc w:val="both"/>
        <w:spacing w:after="0" w:line="271" w:lineRule="auto"/>
        <w:rPr>
          <w:sz w:val="20"/>
          <w:szCs w:val="20"/>
          <w:color w:val="auto"/>
        </w:rPr>
      </w:pPr>
      <w:r>
        <w:rPr>
          <w:rFonts w:ascii="Arial" w:cs="Arial" w:eastAsia="Arial" w:hAnsi="Arial"/>
          <w:sz w:val="17"/>
          <w:szCs w:val="17"/>
          <w:color w:val="auto"/>
        </w:rPr>
        <w:t>For the second quarter of 2015, operating expenses of $48.4 million were up $7.89 million from the second quarter of 2014, partially due to the addition of FNB’s operating expenses since acquisition. Salaries and benefits expense increased $3.67 million from a year ago mostly due to the investment in additional staff and new teams to expand the specialized lending area as well as higher incentive compensation in connection with increased lending activities and improvement in earnings performance. In addition, merger-related charges of $3.17 million were expensed in second quarter 2015. For the six months ended June 30, 2015, operating expenses of $91.5 million were up $11.9 million from the same period, mainly due to the same factors that caused the quarterly increase. The increase also reflects first quarter 2015 charges of $690,000 to terminate and settle the loss sharing agreements with the Federal Deposit Insurance Corporation (the “FDIC”) related to United’s 2009 acquisition of Southern Community Bank and a $420,000 loss on a fraudulent home equity line of credit transaction that are reflected in other operating expense.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Acquisition of Palmetto Bancshares, Inc.</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April 22, 2015, United announced that it had reached a definitive agreement to acquire Palmetto Bancshares, Inc. (“Palmetto”) and its wholly-owned bank subsidiary The Palmetto Bank (the “Merger”). The Palmetto Bank is the third largest banking institution headquartered in South Carolina, with total assets of $1.2 billion, loans of $832 million and deposits of $967 million. It is a 108-year old community bank that serves Upstate South Carolina through 25 branch locations in nine counties along the Interstate 85 corridor. The Palmetto Bank will merge into, and operate under the brand of, United Community Bank.</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Under the terms of the agreement, which has been unanimously approved by the Boards of Directors of both companies, Palmetto shareholders will have the right to receive $19.25 in cash or 0.97 shares of United common stock, or any combination thereof, for each share of Palmetto common stock. The cash and stock elections are subject to proration to ensure that 30% of the outstanding shares of Palmetto common stock will be exchanged for cash and 70% of the outstanding shares of Palmetto common stock will be exchanged for shares of United common stock in the Merger. Based on United’s ten-day average closing price of $21.21 per share as of July 31, 2015, the aggregate deal value of the Merger is approximately $262 million.</w:t>
      </w:r>
    </w:p>
    <w:p>
      <w:pPr>
        <w:spacing w:after="0" w:line="1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Merger, which has received all regulatory approvals, is subject to the approval of the shareholders of Palmetto and other customary conditions. A special meeting of the shareholders of Palmetto will be held on August 12, 2015. The Merger is expected to close on September 1, 2015.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 Offering</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July 30, 2015, United announced a public offering of senior fixed to floating rate notes. Pursuant to such offering, United expects to issue $50 million aggregate principal amount of 5.00% Senior Fixed to Floating Rate Notes due February 14, 2022 (the “2022 Notes”) and $35 million aggregate principal amount of 5.50% Senior Fixed to Floating Rate Notes due February 14, 2027 (the “2027 Notes” and, together with the 2022 Notes, the “Notes”). We will pay interest on the 2022 Notes semi-annually on February 14 and August 14 of each year, with interest accruing from and including August 14, 2015 to but excluding August 14, 2020, at a fixed rate of 5.00% per year. From and including August 14, 2020 through the maturity date, we will pay interest on the 2022 Notes quarterly on February 14, May 14, August 14 and November 14 of each year at a floating rate equal to three-month LIBOR plus 381.4 basis points. We will pay interest on the 2027 Notes semi-annually on February 14 and August 14 of each year, with interest accruing from and including August 14, 2015 to but excluding August 14, 2025, at a fixed rate of 5.50% per year. From and including August 14, 2025 through the maturity date, we will pay interest on the 2027 Notes quarterly on February 14, May 14, August 14 and November 14 of each year at a floating rate equal to three-month LIBOR plus 371 basis points. We may elect to redeem the 2022 Notes, in whole or in part, on any interest payment date on or after August 14, 2020 at a redemption price equal to 100% of the principal amount plus any accrued and unpaid interest. We may elect to redeem the 2027 Notes, in whole or in part, on any interest payment date on or after August 14, 2025 at a redemption price equal to 100% of the principal amount plus any accrued and unpaid interest. We intend to use the net proceeds from the issuance of the Notes for the financing of the cash consideration payable by United in connection with the Merger and for general corporate purposes, which may include the potential repayment or redemption of trust preferred securities and other indebtedness and other acquisitions.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accounting and reporting policies of United are in accordance with GAAP and conform to general practices within the banking industry. The more critical accounting and reporting policies include United’s accounting for the allowance for loan losses, fair value measurements, and income taxes which involve the use of estimates and require significant judgments to be made by management. Different assumptions in the application of these policies could result in material changes in United’s consolidated financial position or consolidated results of operations. See “Asset Quality and Risk Elements” herein for additional discussion of United’s accounting methodologies related to the allowance for loan losses.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GAAP Reconciliation and Explanation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Form 10-Q contains non-GAAP financial measures, which are performance measures determined by methods other than in accordance with GAAP. Such non-GAAP financial measures include, among others the following: taxable equivalent interest revenue, taxable equivalent net interest revenue, tangible book value per share, tangible equity to assets, tangible common equity to assets and tangible common equity to risk-weighted assets. Management uses these non-GAAP financial measures because it believes they are useful for evaluating our operations and performance over periods of time, as well as in managing and evaluating our business and in discussions about our operations and performance. Management believes these non-GAAP financial measures provide users of our financial information with a meaningful measure for assessing our financial results and credit trends, as well as comparison to financial results for prior periods. These non-GAAP financial measures should not be considered as a substitute for operating results determined in accordance with GAAP and may not be comparable to other similarly titled financial measures used by other companies. A reconciliation of these operating performance measures to GAAP performance measures is included in on the table on page 47.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 reported net income of $17.8 million for the second quarter of 2015. This compared to net income of $16.4 million for the same period in 2014. For the second quarter of 2015, diluted earnings per common share were $.28 compared to $.27 for the second quarter of 2014. For the six months ended June 30, 2015, United reported net income of $35.5 million compared to net income of $31.8 million for the same period in 2014.</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reported net operating income of $20.0 million and $37.7 million, respectively, for the second quarter of 2015 and the first half of 2015, compared to $16.4 million and $31.3 million, respectively, for the same periods in 2014. Operating earnings exclude the effects of merger-related charges, which totaled $2.18 million net of tax.</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0" w:name="page51"/>
    <w:bookmarkEnd w:id="50"/>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 Financial Highlights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2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left="308"/>
              <w:spacing w:after="0" w:line="133" w:lineRule="exact"/>
              <w:rPr>
                <w:sz w:val="20"/>
                <w:szCs w:val="20"/>
                <w:color w:val="auto"/>
              </w:rPr>
            </w:pPr>
            <w:r>
              <w:rPr>
                <w:rFonts w:ascii="Arial" w:cs="Arial" w:eastAsia="Arial" w:hAnsi="Arial"/>
                <w:sz w:val="14"/>
                <w:szCs w:val="14"/>
                <w:b w:val="1"/>
                <w:bCs w:val="1"/>
                <w:color w:val="auto"/>
                <w:w w:val="93"/>
              </w:rPr>
              <w:t>For the Six</w:t>
            </w:r>
          </w:p>
        </w:tc>
        <w:tc>
          <w:tcPr>
            <w:tcW w:w="5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vMerge w:val="restart"/>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89"/>
              </w:rPr>
              <w:t>2014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Second</w:t>
            </w:r>
          </w:p>
        </w:tc>
        <w:tc>
          <w:tcPr>
            <w:tcW w:w="160" w:type="dxa"/>
            <w:vAlign w:val="bottom"/>
          </w:tcPr>
          <w:p>
            <w:pPr>
              <w:spacing w:after="0"/>
              <w:rPr>
                <w:sz w:val="14"/>
                <w:szCs w:val="14"/>
                <w:color w:val="auto"/>
              </w:rPr>
            </w:pPr>
          </w:p>
        </w:tc>
        <w:tc>
          <w:tcPr>
            <w:tcW w:w="18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Months Ended</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YTD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vMerge w:val="continue"/>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8"/>
              </w:rPr>
              <w:t>Quarter</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center"/>
              <w:ind w:left="328"/>
              <w:spacing w:after="0" w:line="129" w:lineRule="exact"/>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180" w:type="dxa"/>
            <w:vAlign w:val="bottom"/>
            <w:gridSpan w:val="2"/>
          </w:tcPr>
          <w:p>
            <w:pPr>
              <w:spacing w:after="0" w:line="153" w:lineRule="exact"/>
              <w:rPr>
                <w:sz w:val="20"/>
                <w:szCs w:val="20"/>
                <w:color w:val="auto"/>
              </w:rPr>
            </w:pPr>
            <w:r>
              <w:rPr>
                <w:rFonts w:ascii="Arial" w:cs="Arial" w:eastAsia="Arial" w:hAnsi="Arial"/>
                <w:sz w:val="14"/>
                <w:szCs w:val="14"/>
                <w:i w:val="1"/>
                <w:iCs w:val="1"/>
                <w:color w:val="auto"/>
              </w:rPr>
              <w:t>(in thousands, except per share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w w:val="94"/>
              </w:rPr>
              <w:t>Second</w:t>
            </w:r>
          </w:p>
        </w:tc>
        <w:tc>
          <w:tcPr>
            <w:tcW w:w="120" w:type="dxa"/>
            <w:vAlign w:val="bottom"/>
          </w:tcPr>
          <w:p>
            <w:pPr>
              <w:spacing w:after="0"/>
              <w:rPr>
                <w:sz w:val="13"/>
                <w:szCs w:val="13"/>
                <w:color w:val="auto"/>
              </w:rPr>
            </w:pPr>
          </w:p>
        </w:tc>
        <w:tc>
          <w:tcPr>
            <w:tcW w:w="700" w:type="dxa"/>
            <w:vAlign w:val="bottom"/>
          </w:tcPr>
          <w:p>
            <w:pPr>
              <w:jc w:val="right"/>
              <w:ind w:right="188"/>
              <w:spacing w:after="0" w:line="153" w:lineRule="exact"/>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line="153" w:lineRule="exact"/>
              <w:rPr>
                <w:sz w:val="20"/>
                <w:szCs w:val="20"/>
                <w:color w:val="auto"/>
              </w:rPr>
            </w:pPr>
            <w:r>
              <w:rPr>
                <w:rFonts w:ascii="Arial" w:cs="Arial" w:eastAsia="Arial" w:hAnsi="Arial"/>
                <w:sz w:val="14"/>
                <w:szCs w:val="14"/>
                <w:b w:val="1"/>
                <w:bCs w:val="1"/>
                <w:color w:val="auto"/>
              </w:rPr>
              <w:t>Fourth</w:t>
            </w:r>
          </w:p>
        </w:tc>
        <w:tc>
          <w:tcPr>
            <w:tcW w:w="120" w:type="dxa"/>
            <w:vAlign w:val="bottom"/>
          </w:tcPr>
          <w:p>
            <w:pPr>
              <w:spacing w:after="0"/>
              <w:rPr>
                <w:sz w:val="13"/>
                <w:szCs w:val="13"/>
                <w:color w:val="auto"/>
              </w:rPr>
            </w:pPr>
          </w:p>
        </w:tc>
        <w:tc>
          <w:tcPr>
            <w:tcW w:w="9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13"/>
                <w:szCs w:val="13"/>
                <w:color w:val="auto"/>
              </w:rPr>
            </w:pPr>
          </w:p>
        </w:tc>
        <w:tc>
          <w:tcPr>
            <w:tcW w:w="68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w w:val="94"/>
              </w:rPr>
              <w:t>Second</w:t>
            </w:r>
          </w:p>
        </w:tc>
        <w:tc>
          <w:tcPr>
            <w:tcW w:w="100" w:type="dxa"/>
            <w:vAlign w:val="bottom"/>
          </w:tcPr>
          <w:p>
            <w:pPr>
              <w:spacing w:after="0"/>
              <w:rPr>
                <w:sz w:val="13"/>
                <w:szCs w:val="13"/>
                <w:color w:val="auto"/>
              </w:rPr>
            </w:pPr>
          </w:p>
        </w:tc>
        <w:tc>
          <w:tcPr>
            <w:tcW w:w="900" w:type="dxa"/>
            <w:vAlign w:val="bottom"/>
            <w:gridSpan w:val="2"/>
          </w:tcPr>
          <w:p>
            <w:pPr>
              <w:jc w:val="center"/>
              <w:ind w:left="48"/>
              <w:spacing w:after="0" w:line="153" w:lineRule="exact"/>
              <w:rPr>
                <w:sz w:val="20"/>
                <w:szCs w:val="20"/>
                <w:color w:val="auto"/>
              </w:rPr>
            </w:pPr>
            <w:r>
              <w:rPr>
                <w:rFonts w:ascii="Arial" w:cs="Arial" w:eastAsia="Arial" w:hAnsi="Arial"/>
                <w:sz w:val="14"/>
                <w:szCs w:val="14"/>
                <w:b w:val="1"/>
                <w:bCs w:val="1"/>
                <w:color w:val="auto"/>
                <w:w w:val="92"/>
              </w:rPr>
              <w:t>2015-2014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2015-2014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180" w:type="dxa"/>
            <w:vAlign w:val="bottom"/>
            <w:gridSpan w:val="2"/>
          </w:tcPr>
          <w:p>
            <w:pPr>
              <w:spacing w:after="0"/>
              <w:rPr>
                <w:sz w:val="20"/>
                <w:szCs w:val="20"/>
                <w:color w:val="auto"/>
              </w:rPr>
            </w:pPr>
            <w:r>
              <w:rPr>
                <w:rFonts w:ascii="Arial" w:cs="Arial" w:eastAsia="Arial" w:hAnsi="Arial"/>
                <w:sz w:val="14"/>
                <w:szCs w:val="14"/>
                <w:i w:val="1"/>
                <w:iCs w:val="1"/>
                <w:color w:val="auto"/>
              </w:rPr>
              <w:t>data; taxable equivalent)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5"/>
                <w:szCs w:val="15"/>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5"/>
                <w:szCs w:val="15"/>
                <w:color w:val="auto"/>
              </w:rPr>
            </w:pPr>
          </w:p>
        </w:tc>
        <w:tc>
          <w:tcPr>
            <w:tcW w:w="640" w:type="dxa"/>
            <w:vAlign w:val="bottom"/>
          </w:tcPr>
          <w:p>
            <w:pPr>
              <w:jc w:val="right"/>
              <w:ind w:right="188"/>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ind w:right="168"/>
              <w:spacing w:after="0"/>
              <w:rPr>
                <w:sz w:val="20"/>
                <w:szCs w:val="20"/>
                <w:color w:val="auto"/>
              </w:rPr>
            </w:pPr>
            <w:r>
              <w:rPr>
                <w:rFonts w:ascii="Arial" w:cs="Arial" w:eastAsia="Arial" w:hAnsi="Arial"/>
                <w:sz w:val="14"/>
                <w:szCs w:val="14"/>
                <w:b w:val="1"/>
                <w:bCs w:val="1"/>
                <w:color w:val="auto"/>
                <w:w w:val="89"/>
              </w:rPr>
              <w:t>2014</w:t>
            </w:r>
          </w:p>
        </w:tc>
        <w:tc>
          <w:tcPr>
            <w:tcW w:w="24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Borders>
              <w:top w:val="single" w:sz="8" w:color="auto"/>
            </w:tcBorders>
            <w:shd w:val="clear" w:color="auto" w:fill="F0FFFF"/>
          </w:tcPr>
          <w:p>
            <w:pPr>
              <w:spacing w:after="0" w:line="149" w:lineRule="exact"/>
              <w:rPr>
                <w:sz w:val="20"/>
                <w:szCs w:val="20"/>
                <w:color w:val="auto"/>
              </w:rPr>
            </w:pPr>
            <w:r>
              <w:rPr>
                <w:rFonts w:ascii="Arial" w:cs="Arial" w:eastAsia="Arial" w:hAnsi="Arial"/>
                <w:sz w:val="14"/>
                <w:szCs w:val="14"/>
                <w:b w:val="1"/>
                <w:bCs w:val="1"/>
                <w:color w:val="auto"/>
              </w:rPr>
              <w:t>INCOME SUMMARY</w:t>
            </w:r>
          </w:p>
        </w:tc>
        <w:tc>
          <w:tcPr>
            <w:tcW w:w="140" w:type="dxa"/>
            <w:vAlign w:val="bottom"/>
            <w:tcBorders>
              <w:top w:val="single" w:sz="8" w:color="auto"/>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660" w:type="dxa"/>
            <w:vAlign w:val="bottom"/>
            <w:tcBorders>
              <w:top w:val="single" w:sz="8" w:color="auto"/>
            </w:tcBorders>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tcBorders>
              <w:top w:val="single" w:sz="8" w:color="auto"/>
            </w:tcBorders>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tcBorders>
              <w:top w:val="single" w:sz="8" w:color="auto"/>
            </w:tcBorders>
            <w:shd w:val="clear" w:color="auto" w:fill="F0FFFF"/>
          </w:tcPr>
          <w:p>
            <w:pPr>
              <w:spacing w:after="0"/>
              <w:rPr>
                <w:sz w:val="12"/>
                <w:szCs w:val="12"/>
                <w:color w:val="auto"/>
              </w:rPr>
            </w:pPr>
          </w:p>
        </w:tc>
        <w:tc>
          <w:tcPr>
            <w:tcW w:w="640" w:type="dxa"/>
            <w:vAlign w:val="bottom"/>
            <w:tcBorders>
              <w:top w:val="single" w:sz="8" w:color="auto"/>
            </w:tcBorders>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240" w:type="dxa"/>
            <w:vAlign w:val="bottom"/>
            <w:tcBorders>
              <w:top w:val="single" w:sz="8" w:color="auto"/>
            </w:tcBorders>
            <w:shd w:val="clear" w:color="auto" w:fill="F0FFFF"/>
          </w:tcPr>
          <w:p>
            <w:pPr>
              <w:spacing w:after="0"/>
              <w:rPr>
                <w:sz w:val="12"/>
                <w:szCs w:val="12"/>
                <w:color w:val="auto"/>
              </w:rPr>
            </w:pPr>
          </w:p>
        </w:tc>
        <w:tc>
          <w:tcPr>
            <w:tcW w:w="540" w:type="dxa"/>
            <w:vAlign w:val="bottom"/>
            <w:tcBorders>
              <w:top w:val="single" w:sz="8" w:color="auto"/>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780" w:type="dxa"/>
            <w:vAlign w:val="bottom"/>
            <w:tcBorders>
              <w:top w:val="single" w:sz="8" w:color="auto"/>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Interest revenue</w:t>
            </w:r>
          </w:p>
        </w:tc>
        <w:tc>
          <w:tcPr>
            <w:tcW w:w="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66,134</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62,909</w:t>
            </w:r>
          </w:p>
        </w:tc>
        <w:tc>
          <w:tcPr>
            <w:tcW w:w="1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64,353</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63,338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61,783</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129,043</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122,278</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Interest expense</w:t>
            </w:r>
          </w:p>
        </w:tc>
        <w:tc>
          <w:tcPr>
            <w:tcW w:w="1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940" w:type="dxa"/>
            <w:vAlign w:val="bottom"/>
            <w:gridSpan w:val="2"/>
            <w:shd w:val="clear" w:color="auto" w:fill="F0FFFF"/>
          </w:tcPr>
          <w:p>
            <w:pPr>
              <w:jc w:val="right"/>
              <w:ind w:right="260"/>
              <w:spacing w:after="0" w:line="149" w:lineRule="exact"/>
              <w:rPr>
                <w:sz w:val="20"/>
                <w:szCs w:val="20"/>
                <w:color w:val="auto"/>
              </w:rPr>
            </w:pPr>
            <w:r>
              <w:rPr>
                <w:rFonts w:ascii="Arial" w:cs="Arial" w:eastAsia="Arial" w:hAnsi="Arial"/>
                <w:sz w:val="14"/>
                <w:szCs w:val="14"/>
                <w:color w:val="auto"/>
              </w:rPr>
              <w:t>4,817</w:t>
            </w:r>
          </w:p>
        </w:tc>
        <w:tc>
          <w:tcPr>
            <w:tcW w:w="12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5,292</w:t>
            </w: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6,021</w:t>
            </w:r>
          </w:p>
        </w:tc>
        <w:tc>
          <w:tcPr>
            <w:tcW w:w="12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6,371</w:t>
            </w:r>
          </w:p>
        </w:tc>
        <w:tc>
          <w:tcPr>
            <w:tcW w:w="10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6,833</w:t>
            </w:r>
          </w:p>
        </w:tc>
        <w:tc>
          <w:tcPr>
            <w:tcW w:w="12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10,109</w:t>
            </w:r>
          </w:p>
        </w:tc>
        <w:tc>
          <w:tcPr>
            <w:tcW w:w="24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13,159</w:t>
            </w:r>
          </w:p>
        </w:tc>
        <w:tc>
          <w:tcPr>
            <w:tcW w:w="7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60" w:type="dxa"/>
            <w:vAlign w:val="bottom"/>
            <w:shd w:val="clear" w:color="auto" w:fill="F0FFFF"/>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780" w:type="dxa"/>
            <w:vAlign w:val="bottom"/>
            <w:shd w:val="clear" w:color="auto" w:fill="F0FFFF"/>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78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tcPr>
          <w:p>
            <w:pPr>
              <w:ind w:left="140"/>
              <w:spacing w:after="0"/>
              <w:rPr>
                <w:sz w:val="20"/>
                <w:szCs w:val="20"/>
                <w:color w:val="auto"/>
              </w:rPr>
            </w:pPr>
            <w:r>
              <w:rPr>
                <w:rFonts w:ascii="Arial" w:cs="Arial" w:eastAsia="Arial" w:hAnsi="Arial"/>
                <w:sz w:val="14"/>
                <w:szCs w:val="14"/>
                <w:color w:val="auto"/>
              </w:rPr>
              <w:t>Net interest revenue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61,317</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57,617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58,332</w:t>
            </w:r>
          </w:p>
        </w:tc>
        <w:tc>
          <w:tcPr>
            <w:tcW w:w="12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56,967</w:t>
            </w:r>
          </w:p>
        </w:tc>
        <w:tc>
          <w:tcPr>
            <w:tcW w:w="10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54,950</w:t>
            </w:r>
          </w:p>
        </w:tc>
        <w:tc>
          <w:tcPr>
            <w:tcW w:w="1120" w:type="dxa"/>
            <w:vAlign w:val="bottom"/>
            <w:gridSpan w:val="3"/>
          </w:tcPr>
          <w:p>
            <w:pPr>
              <w:jc w:val="right"/>
              <w:ind w:right="100"/>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118,934</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109,119</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Provision for credit losses</w:t>
            </w:r>
          </w:p>
        </w:tc>
        <w:tc>
          <w:tcPr>
            <w:tcW w:w="1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940" w:type="dxa"/>
            <w:vAlign w:val="bottom"/>
            <w:gridSpan w:val="2"/>
            <w:shd w:val="clear" w:color="auto" w:fill="F0FFFF"/>
          </w:tcPr>
          <w:p>
            <w:pPr>
              <w:jc w:val="right"/>
              <w:ind w:right="260"/>
              <w:spacing w:after="0" w:line="149" w:lineRule="exact"/>
              <w:rPr>
                <w:sz w:val="20"/>
                <w:szCs w:val="20"/>
                <w:color w:val="auto"/>
              </w:rPr>
            </w:pPr>
            <w:r>
              <w:rPr>
                <w:rFonts w:ascii="Arial" w:cs="Arial" w:eastAsia="Arial" w:hAnsi="Arial"/>
                <w:sz w:val="14"/>
                <w:szCs w:val="14"/>
                <w:color w:val="auto"/>
              </w:rPr>
              <w:t>900</w:t>
            </w:r>
          </w:p>
        </w:tc>
        <w:tc>
          <w:tcPr>
            <w:tcW w:w="12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1,800</w:t>
            </w: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1,800</w:t>
            </w:r>
          </w:p>
        </w:tc>
        <w:tc>
          <w:tcPr>
            <w:tcW w:w="120" w:type="dxa"/>
            <w:vAlign w:val="bottom"/>
            <w:shd w:val="clear" w:color="auto" w:fill="F0FFFF"/>
          </w:tcPr>
          <w:p>
            <w:pPr>
              <w:spacing w:after="0"/>
              <w:rPr>
                <w:sz w:val="12"/>
                <w:szCs w:val="12"/>
                <w:color w:val="auto"/>
              </w:rPr>
            </w:pPr>
          </w:p>
        </w:tc>
        <w:tc>
          <w:tcPr>
            <w:tcW w:w="90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2,000</w:t>
            </w:r>
          </w:p>
        </w:tc>
        <w:tc>
          <w:tcPr>
            <w:tcW w:w="10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2,200</w:t>
            </w:r>
          </w:p>
        </w:tc>
        <w:tc>
          <w:tcPr>
            <w:tcW w:w="12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2,700</w:t>
            </w:r>
          </w:p>
        </w:tc>
        <w:tc>
          <w:tcPr>
            <w:tcW w:w="24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4,700</w:t>
            </w:r>
          </w:p>
        </w:tc>
        <w:tc>
          <w:tcPr>
            <w:tcW w:w="7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line="129" w:lineRule="exact"/>
              <w:rPr>
                <w:sz w:val="20"/>
                <w:szCs w:val="20"/>
                <w:color w:val="auto"/>
              </w:rPr>
            </w:pPr>
            <w:r>
              <w:rPr>
                <w:rFonts w:ascii="Arial" w:cs="Arial" w:eastAsia="Arial" w:hAnsi="Arial"/>
                <w:sz w:val="14"/>
                <w:szCs w:val="14"/>
                <w:color w:val="auto"/>
              </w:rPr>
              <w:t>Fee revenue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60"/>
              <w:spacing w:after="0" w:line="129" w:lineRule="exact"/>
              <w:rPr>
                <w:sz w:val="20"/>
                <w:szCs w:val="20"/>
                <w:color w:val="auto"/>
              </w:rPr>
            </w:pPr>
            <w:r>
              <w:rPr>
                <w:rFonts w:ascii="Arial" w:cs="Arial" w:eastAsia="Arial" w:hAnsi="Arial"/>
                <w:sz w:val="14"/>
                <w:szCs w:val="14"/>
                <w:color w:val="auto"/>
              </w:rPr>
              <w:t>17,266</w:t>
            </w:r>
          </w:p>
        </w:tc>
        <w:tc>
          <w:tcPr>
            <w:tcW w:w="120" w:type="dxa"/>
            <w:vAlign w:val="bottom"/>
          </w:tcPr>
          <w:p>
            <w:pPr>
              <w:spacing w:after="0"/>
              <w:rPr>
                <w:sz w:val="12"/>
                <w:szCs w:val="12"/>
                <w:color w:val="auto"/>
              </w:rPr>
            </w:pPr>
          </w:p>
        </w:tc>
        <w:tc>
          <w:tcPr>
            <w:tcW w:w="880" w:type="dxa"/>
            <w:vAlign w:val="bottom"/>
            <w:gridSpan w:val="2"/>
          </w:tcPr>
          <w:p>
            <w:pPr>
              <w:jc w:val="right"/>
              <w:ind w:right="180"/>
              <w:spacing w:after="0" w:line="129" w:lineRule="exact"/>
              <w:rPr>
                <w:sz w:val="20"/>
                <w:szCs w:val="20"/>
                <w:color w:val="auto"/>
              </w:rPr>
            </w:pPr>
            <w:r>
              <w:rPr>
                <w:rFonts w:ascii="Arial" w:cs="Arial" w:eastAsia="Arial" w:hAnsi="Arial"/>
                <w:sz w:val="14"/>
                <w:szCs w:val="14"/>
                <w:color w:val="auto"/>
              </w:rPr>
              <w:t>15,682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29" w:lineRule="exact"/>
              <w:rPr>
                <w:sz w:val="20"/>
                <w:szCs w:val="20"/>
                <w:color w:val="auto"/>
              </w:rPr>
            </w:pPr>
            <w:r>
              <w:rPr>
                <w:rFonts w:ascii="Arial" w:cs="Arial" w:eastAsia="Arial" w:hAnsi="Arial"/>
                <w:sz w:val="14"/>
                <w:szCs w:val="14"/>
                <w:color w:val="auto"/>
              </w:rPr>
              <w:t>14,823</w:t>
            </w:r>
          </w:p>
        </w:tc>
        <w:tc>
          <w:tcPr>
            <w:tcW w:w="120" w:type="dxa"/>
            <w:vAlign w:val="bottom"/>
          </w:tcPr>
          <w:p>
            <w:pPr>
              <w:spacing w:after="0"/>
              <w:rPr>
                <w:sz w:val="12"/>
                <w:szCs w:val="12"/>
                <w:color w:val="auto"/>
              </w:rPr>
            </w:pPr>
          </w:p>
        </w:tc>
        <w:tc>
          <w:tcPr>
            <w:tcW w:w="900" w:type="dxa"/>
            <w:vAlign w:val="bottom"/>
            <w:gridSpan w:val="2"/>
          </w:tcPr>
          <w:p>
            <w:pPr>
              <w:jc w:val="right"/>
              <w:ind w:right="240"/>
              <w:spacing w:after="0" w:line="129" w:lineRule="exact"/>
              <w:rPr>
                <w:sz w:val="20"/>
                <w:szCs w:val="20"/>
                <w:color w:val="auto"/>
              </w:rPr>
            </w:pPr>
            <w:r>
              <w:rPr>
                <w:rFonts w:ascii="Arial" w:cs="Arial" w:eastAsia="Arial" w:hAnsi="Arial"/>
                <w:sz w:val="14"/>
                <w:szCs w:val="14"/>
                <w:color w:val="auto"/>
              </w:rPr>
              <w:t>14,412</w:t>
            </w: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29" w:lineRule="exact"/>
              <w:rPr>
                <w:sz w:val="20"/>
                <w:szCs w:val="20"/>
                <w:color w:val="auto"/>
              </w:rPr>
            </w:pPr>
            <w:r>
              <w:rPr>
                <w:rFonts w:ascii="Arial" w:cs="Arial" w:eastAsia="Arial" w:hAnsi="Arial"/>
                <w:sz w:val="14"/>
                <w:szCs w:val="14"/>
                <w:color w:val="auto"/>
              </w:rPr>
              <w:t>14,143</w:t>
            </w:r>
          </w:p>
        </w:tc>
        <w:tc>
          <w:tcPr>
            <w:tcW w:w="1120" w:type="dxa"/>
            <w:vAlign w:val="bottom"/>
            <w:gridSpan w:val="3"/>
          </w:tcPr>
          <w:p>
            <w:pPr>
              <w:jc w:val="right"/>
              <w:ind w:right="220"/>
              <w:spacing w:after="0" w:line="129" w:lineRule="exact"/>
              <w:rPr>
                <w:sz w:val="20"/>
                <w:szCs w:val="20"/>
                <w:color w:val="auto"/>
              </w:rPr>
            </w:pPr>
            <w:r>
              <w:rPr>
                <w:rFonts w:ascii="Arial" w:cs="Arial" w:eastAsia="Arial" w:hAnsi="Arial"/>
                <w:sz w:val="14"/>
                <w:szCs w:val="14"/>
                <w:color w:val="auto"/>
              </w:rPr>
              <w:t>22</w:t>
            </w: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29" w:lineRule="exact"/>
              <w:rPr>
                <w:sz w:val="20"/>
                <w:szCs w:val="20"/>
                <w:color w:val="auto"/>
              </w:rPr>
            </w:pPr>
            <w:r>
              <w:rPr>
                <w:rFonts w:ascii="Arial" w:cs="Arial" w:eastAsia="Arial" w:hAnsi="Arial"/>
                <w:sz w:val="14"/>
                <w:szCs w:val="14"/>
                <w:color w:val="auto"/>
              </w:rPr>
              <w:t>32,948</w:t>
            </w:r>
          </w:p>
        </w:tc>
        <w:tc>
          <w:tcPr>
            <w:tcW w:w="240" w:type="dxa"/>
            <w:vAlign w:val="bottom"/>
          </w:tcPr>
          <w:p>
            <w:pPr>
              <w:spacing w:after="0"/>
              <w:rPr>
                <w:sz w:val="12"/>
                <w:szCs w:val="12"/>
                <w:color w:val="auto"/>
              </w:rPr>
            </w:pPr>
          </w:p>
        </w:tc>
        <w:tc>
          <w:tcPr>
            <w:tcW w:w="780" w:type="dxa"/>
            <w:vAlign w:val="bottom"/>
            <w:gridSpan w:val="2"/>
          </w:tcPr>
          <w:p>
            <w:pPr>
              <w:jc w:val="right"/>
              <w:ind w:right="240"/>
              <w:spacing w:after="0" w:line="129" w:lineRule="exact"/>
              <w:rPr>
                <w:sz w:val="20"/>
                <w:szCs w:val="20"/>
                <w:color w:val="auto"/>
              </w:rPr>
            </w:pPr>
            <w:r>
              <w:rPr>
                <w:rFonts w:ascii="Arial" w:cs="Arial" w:eastAsia="Arial" w:hAnsi="Arial"/>
                <w:sz w:val="14"/>
                <w:szCs w:val="14"/>
                <w:color w:val="auto"/>
              </w:rPr>
              <w:t>26,319</w:t>
            </w:r>
          </w:p>
        </w:tc>
        <w:tc>
          <w:tcPr>
            <w:tcW w:w="780" w:type="dxa"/>
            <w:vAlign w:val="bottom"/>
          </w:tcPr>
          <w:p>
            <w:pPr>
              <w:jc w:val="right"/>
              <w:spacing w:after="0" w:line="129" w:lineRule="exact"/>
              <w:rPr>
                <w:sz w:val="20"/>
                <w:szCs w:val="20"/>
                <w:color w:val="auto"/>
              </w:rPr>
            </w:pPr>
            <w:r>
              <w:rPr>
                <w:rFonts w:ascii="Arial" w:cs="Arial" w:eastAsia="Arial" w:hAnsi="Arial"/>
                <w:sz w:val="14"/>
                <w:szCs w:val="14"/>
                <w:color w:val="auto"/>
              </w:rPr>
              <w:t>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shd w:val="clear" w:color="auto" w:fill="F0FFFF"/>
          </w:tcPr>
          <w:p>
            <w:pPr>
              <w:ind w:left="140"/>
              <w:spacing w:after="0"/>
              <w:rPr>
                <w:sz w:val="20"/>
                <w:szCs w:val="20"/>
                <w:color w:val="auto"/>
              </w:rPr>
            </w:pPr>
            <w:r>
              <w:rPr>
                <w:rFonts w:ascii="Arial" w:cs="Arial" w:eastAsia="Arial" w:hAnsi="Arial"/>
                <w:sz w:val="14"/>
                <w:szCs w:val="14"/>
                <w:b w:val="1"/>
                <w:bCs w:val="1"/>
                <w:color w:val="auto"/>
              </w:rPr>
              <w:t>Total revenue</w:t>
            </w:r>
          </w:p>
        </w:tc>
        <w:tc>
          <w:tcPr>
            <w:tcW w:w="1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77,683</w:t>
            </w:r>
          </w:p>
        </w:tc>
        <w:tc>
          <w:tcPr>
            <w:tcW w:w="120" w:type="dxa"/>
            <w:vAlign w:val="bottom"/>
            <w:shd w:val="clear" w:color="auto" w:fill="F0FFFF"/>
          </w:tcPr>
          <w:p>
            <w:pPr>
              <w:spacing w:after="0"/>
              <w:rPr>
                <w:sz w:val="15"/>
                <w:szCs w:val="15"/>
                <w:color w:val="auto"/>
              </w:rPr>
            </w:pP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71,499</w:t>
            </w:r>
          </w:p>
        </w:tc>
        <w:tc>
          <w:tcPr>
            <w:tcW w:w="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71,355</w:t>
            </w:r>
          </w:p>
        </w:tc>
        <w:tc>
          <w:tcPr>
            <w:tcW w:w="120" w:type="dxa"/>
            <w:vAlign w:val="bottom"/>
            <w:shd w:val="clear" w:color="auto" w:fill="F0FFFF"/>
          </w:tcPr>
          <w:p>
            <w:pPr>
              <w:spacing w:after="0"/>
              <w:rPr>
                <w:sz w:val="15"/>
                <w:szCs w:val="15"/>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69,379</w:t>
            </w:r>
          </w:p>
        </w:tc>
        <w:tc>
          <w:tcPr>
            <w:tcW w:w="100" w:type="dxa"/>
            <w:vAlign w:val="bottom"/>
            <w:shd w:val="clear" w:color="auto" w:fill="F0FFFF"/>
          </w:tcPr>
          <w:p>
            <w:pPr>
              <w:spacing w:after="0"/>
              <w:rPr>
                <w:sz w:val="15"/>
                <w:szCs w:val="15"/>
                <w:color w:val="auto"/>
              </w:rPr>
            </w:pP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66,893</w:t>
            </w:r>
          </w:p>
        </w:tc>
        <w:tc>
          <w:tcPr>
            <w:tcW w:w="1120" w:type="dxa"/>
            <w:vAlign w:val="bottom"/>
            <w:gridSpan w:val="3"/>
            <w:shd w:val="clear" w:color="auto" w:fill="F0FFFF"/>
          </w:tcPr>
          <w:p>
            <w:pPr>
              <w:jc w:val="right"/>
              <w:ind w:right="220"/>
              <w:spacing w:after="0"/>
              <w:rPr>
                <w:sz w:val="20"/>
                <w:szCs w:val="20"/>
                <w:color w:val="auto"/>
              </w:rPr>
            </w:pPr>
            <w:r>
              <w:rPr>
                <w:rFonts w:ascii="Arial" w:cs="Arial" w:eastAsia="Arial" w:hAnsi="Arial"/>
                <w:sz w:val="14"/>
                <w:szCs w:val="14"/>
                <w:color w:val="auto"/>
              </w:rPr>
              <w:t>16</w:t>
            </w:r>
          </w:p>
        </w:tc>
        <w:tc>
          <w:tcPr>
            <w:tcW w:w="160" w:type="dxa"/>
            <w:vAlign w:val="bottom"/>
            <w:shd w:val="clear" w:color="auto" w:fill="F0FFFF"/>
          </w:tcPr>
          <w:p>
            <w:pPr>
              <w:spacing w:after="0"/>
              <w:rPr>
                <w:sz w:val="15"/>
                <w:szCs w:val="15"/>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149,182</w:t>
            </w:r>
          </w:p>
        </w:tc>
        <w:tc>
          <w:tcPr>
            <w:tcW w:w="240" w:type="dxa"/>
            <w:vAlign w:val="bottom"/>
            <w:shd w:val="clear" w:color="auto" w:fill="F0FFFF"/>
          </w:tcPr>
          <w:p>
            <w:pPr>
              <w:spacing w:after="0"/>
              <w:rPr>
                <w:sz w:val="15"/>
                <w:szCs w:val="15"/>
                <w:color w:val="auto"/>
              </w:rPr>
            </w:pPr>
          </w:p>
        </w:tc>
        <w:tc>
          <w:tcPr>
            <w:tcW w:w="7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130,738</w:t>
            </w:r>
          </w:p>
        </w:tc>
        <w:tc>
          <w:tcPr>
            <w:tcW w:w="7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60" w:type="dxa"/>
            <w:vAlign w:val="bottom"/>
          </w:tcPr>
          <w:p>
            <w:pPr>
              <w:spacing w:after="0" w:line="169" w:lineRule="exact"/>
              <w:rPr>
                <w:sz w:val="20"/>
                <w:szCs w:val="20"/>
                <w:color w:val="auto"/>
              </w:rPr>
            </w:pPr>
            <w:r>
              <w:rPr>
                <w:rFonts w:ascii="Arial" w:cs="Arial" w:eastAsia="Arial" w:hAnsi="Arial"/>
                <w:sz w:val="12"/>
                <w:szCs w:val="12"/>
                <w:color w:val="auto"/>
              </w:rPr>
              <w:t xml:space="preserve">Expenses - operating </w:t>
            </w:r>
            <w:r>
              <w:rPr>
                <w:rFonts w:ascii="Arial" w:cs="Arial" w:eastAsia="Arial" w:hAnsi="Arial"/>
                <w:sz w:val="19"/>
                <w:szCs w:val="19"/>
                <w:color w:val="auto"/>
                <w:vertAlign w:val="superscript"/>
              </w:rPr>
              <w:t>(1)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45,247</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43,061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41,919</w:t>
            </w:r>
          </w:p>
        </w:tc>
        <w:tc>
          <w:tcPr>
            <w:tcW w:w="12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41,364</w:t>
            </w: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40,532</w:t>
            </w:r>
          </w:p>
        </w:tc>
        <w:tc>
          <w:tcPr>
            <w:tcW w:w="1120" w:type="dxa"/>
            <w:vAlign w:val="bottom"/>
            <w:gridSpan w:val="3"/>
          </w:tcPr>
          <w:p>
            <w:pPr>
              <w:jc w:val="right"/>
              <w:ind w:right="220"/>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88,308</w:t>
            </w:r>
          </w:p>
        </w:tc>
        <w:tc>
          <w:tcPr>
            <w:tcW w:w="2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79,582</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shd w:val="clear" w:color="auto" w:fill="F0FFFF"/>
          </w:tcPr>
          <w:p>
            <w:pPr>
              <w:ind w:left="140"/>
              <w:spacing w:after="0"/>
              <w:rPr>
                <w:sz w:val="20"/>
                <w:szCs w:val="20"/>
                <w:color w:val="auto"/>
              </w:rPr>
            </w:pPr>
            <w:r>
              <w:rPr>
                <w:rFonts w:ascii="Arial" w:cs="Arial" w:eastAsia="Arial" w:hAnsi="Arial"/>
                <w:sz w:val="14"/>
                <w:szCs w:val="14"/>
                <w:color w:val="auto"/>
              </w:rPr>
              <w:t>Income before income tax</w:t>
            </w:r>
          </w:p>
        </w:tc>
        <w:tc>
          <w:tcPr>
            <w:tcW w:w="140" w:type="dxa"/>
            <w:vAlign w:val="bottom"/>
            <w:shd w:val="clear" w:color="auto" w:fill="F0FFFF"/>
          </w:tcPr>
          <w:p>
            <w:pPr>
              <w:spacing w:after="0"/>
              <w:rPr>
                <w:sz w:val="14"/>
                <w:szCs w:val="14"/>
                <w:color w:val="auto"/>
              </w:rPr>
            </w:pPr>
          </w:p>
        </w:tc>
        <w:tc>
          <w:tcPr>
            <w:tcW w:w="120" w:type="dxa"/>
            <w:vAlign w:val="bottom"/>
            <w:tcBorders>
              <w:top w:val="single" w:sz="8" w:color="auto"/>
            </w:tcBorders>
            <w:shd w:val="clear" w:color="auto" w:fill="F0FFFF"/>
          </w:tcPr>
          <w:p>
            <w:pPr>
              <w:spacing w:after="0"/>
              <w:rPr>
                <w:sz w:val="14"/>
                <w:szCs w:val="14"/>
                <w:color w:val="auto"/>
              </w:rPr>
            </w:pPr>
          </w:p>
        </w:tc>
        <w:tc>
          <w:tcPr>
            <w:tcW w:w="680" w:type="dxa"/>
            <w:vAlign w:val="bottom"/>
            <w:tcBorders>
              <w:top w:val="single" w:sz="8" w:color="auto"/>
            </w:tcBorders>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120" w:type="dxa"/>
            <w:vAlign w:val="bottom"/>
            <w:tcBorders>
              <w:top w:val="single" w:sz="8" w:color="auto"/>
            </w:tcBorders>
            <w:shd w:val="clear" w:color="auto" w:fill="F0FFFF"/>
          </w:tcPr>
          <w:p>
            <w:pPr>
              <w:spacing w:after="0"/>
              <w:rPr>
                <w:sz w:val="14"/>
                <w:szCs w:val="14"/>
                <w:color w:val="auto"/>
              </w:rPr>
            </w:pPr>
          </w:p>
        </w:tc>
        <w:tc>
          <w:tcPr>
            <w:tcW w:w="700" w:type="dxa"/>
            <w:vAlign w:val="bottom"/>
            <w:tcBorders>
              <w:top w:val="single" w:sz="8" w:color="auto"/>
            </w:tcBorders>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0" w:type="dxa"/>
            <w:vAlign w:val="bottom"/>
            <w:tcBorders>
              <w:top w:val="single" w:sz="8" w:color="auto"/>
            </w:tcBorders>
            <w:shd w:val="clear" w:color="auto" w:fill="F0FFFF"/>
          </w:tcPr>
          <w:p>
            <w:pPr>
              <w:spacing w:after="0"/>
              <w:rPr>
                <w:sz w:val="14"/>
                <w:szCs w:val="14"/>
                <w:color w:val="auto"/>
              </w:rPr>
            </w:pPr>
          </w:p>
        </w:tc>
        <w:tc>
          <w:tcPr>
            <w:tcW w:w="680" w:type="dxa"/>
            <w:vAlign w:val="bottom"/>
            <w:tcBorders>
              <w:top w:val="single" w:sz="8" w:color="auto"/>
            </w:tcBorders>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20" w:type="dxa"/>
            <w:vAlign w:val="bottom"/>
            <w:tcBorders>
              <w:top w:val="single" w:sz="8" w:color="auto"/>
            </w:tcBorders>
            <w:shd w:val="clear" w:color="auto" w:fill="F0FFFF"/>
          </w:tcPr>
          <w:p>
            <w:pPr>
              <w:spacing w:after="0"/>
              <w:rPr>
                <w:sz w:val="14"/>
                <w:szCs w:val="14"/>
                <w:color w:val="auto"/>
              </w:rPr>
            </w:pPr>
          </w:p>
        </w:tc>
        <w:tc>
          <w:tcPr>
            <w:tcW w:w="660" w:type="dxa"/>
            <w:vAlign w:val="bottom"/>
            <w:tcBorders>
              <w:top w:val="single" w:sz="8" w:color="auto"/>
            </w:tcBorders>
            <w:shd w:val="clear" w:color="auto" w:fill="F0FFFF"/>
          </w:tcPr>
          <w:p>
            <w:pPr>
              <w:spacing w:after="0"/>
              <w:rPr>
                <w:sz w:val="14"/>
                <w:szCs w:val="14"/>
                <w:color w:val="auto"/>
              </w:rPr>
            </w:pPr>
          </w:p>
        </w:tc>
        <w:tc>
          <w:tcPr>
            <w:tcW w:w="240" w:type="dxa"/>
            <w:vAlign w:val="bottom"/>
            <w:tcBorders>
              <w:right w:val="single" w:sz="8" w:color="F0FFFF"/>
            </w:tcBorders>
            <w:shd w:val="clear" w:color="auto" w:fill="F0FFFF"/>
          </w:tcPr>
          <w:p>
            <w:pPr>
              <w:spacing w:after="0"/>
              <w:rPr>
                <w:sz w:val="14"/>
                <w:szCs w:val="14"/>
                <w:color w:val="auto"/>
              </w:rPr>
            </w:pPr>
          </w:p>
        </w:tc>
        <w:tc>
          <w:tcPr>
            <w:tcW w:w="100" w:type="dxa"/>
            <w:vAlign w:val="bottom"/>
            <w:tcBorders>
              <w:top w:val="single" w:sz="8" w:color="auto"/>
            </w:tcBorders>
            <w:shd w:val="clear" w:color="auto" w:fill="F0FFFF"/>
          </w:tcPr>
          <w:p>
            <w:pPr>
              <w:spacing w:after="0"/>
              <w:rPr>
                <w:sz w:val="14"/>
                <w:szCs w:val="14"/>
                <w:color w:val="auto"/>
              </w:rPr>
            </w:pPr>
          </w:p>
        </w:tc>
        <w:tc>
          <w:tcPr>
            <w:tcW w:w="680" w:type="dxa"/>
            <w:vAlign w:val="bottom"/>
            <w:tcBorders>
              <w:top w:val="single" w:sz="8" w:color="auto"/>
            </w:tcBorders>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60" w:type="dxa"/>
            <w:vAlign w:val="bottom"/>
            <w:tcBorders>
              <w:top w:val="single" w:sz="8" w:color="auto"/>
            </w:tcBorders>
            <w:shd w:val="clear" w:color="auto" w:fill="F0FFFF"/>
          </w:tcPr>
          <w:p>
            <w:pPr>
              <w:spacing w:after="0"/>
              <w:rPr>
                <w:sz w:val="14"/>
                <w:szCs w:val="14"/>
                <w:color w:val="auto"/>
              </w:rPr>
            </w:pPr>
          </w:p>
        </w:tc>
        <w:tc>
          <w:tcPr>
            <w:tcW w:w="640" w:type="dxa"/>
            <w:vAlign w:val="bottom"/>
            <w:tcBorders>
              <w:top w:val="single" w:sz="8" w:color="auto"/>
            </w:tcBorders>
            <w:shd w:val="clear" w:color="auto" w:fill="F0FFFF"/>
          </w:tcPr>
          <w:p>
            <w:pPr>
              <w:spacing w:after="0"/>
              <w:rPr>
                <w:sz w:val="14"/>
                <w:szCs w:val="14"/>
                <w:color w:val="auto"/>
              </w:rPr>
            </w:pPr>
          </w:p>
        </w:tc>
        <w:tc>
          <w:tcPr>
            <w:tcW w:w="220" w:type="dxa"/>
            <w:vAlign w:val="bottom"/>
            <w:tcBorders>
              <w:right w:val="single" w:sz="8" w:color="F0FFFF"/>
            </w:tcBorders>
            <w:shd w:val="clear" w:color="auto" w:fill="F0FFFF"/>
          </w:tcPr>
          <w:p>
            <w:pPr>
              <w:spacing w:after="0"/>
              <w:rPr>
                <w:sz w:val="14"/>
                <w:szCs w:val="14"/>
                <w:color w:val="auto"/>
              </w:rPr>
            </w:pPr>
          </w:p>
        </w:tc>
        <w:tc>
          <w:tcPr>
            <w:tcW w:w="240" w:type="dxa"/>
            <w:vAlign w:val="bottom"/>
            <w:tcBorders>
              <w:top w:val="single" w:sz="8" w:color="auto"/>
            </w:tcBorders>
            <w:shd w:val="clear" w:color="auto" w:fill="F0FFFF"/>
          </w:tcPr>
          <w:p>
            <w:pPr>
              <w:spacing w:after="0"/>
              <w:rPr>
                <w:sz w:val="14"/>
                <w:szCs w:val="14"/>
                <w:color w:val="auto"/>
              </w:rPr>
            </w:pPr>
          </w:p>
        </w:tc>
        <w:tc>
          <w:tcPr>
            <w:tcW w:w="540" w:type="dxa"/>
            <w:vAlign w:val="bottom"/>
            <w:tcBorders>
              <w:top w:val="single" w:sz="8" w:color="auto"/>
            </w:tcBorders>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7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60" w:type="dxa"/>
            <w:vAlign w:val="bottom"/>
            <w:shd w:val="clear" w:color="auto" w:fill="F0FFFF"/>
          </w:tcPr>
          <w:p>
            <w:pPr>
              <w:ind w:left="300"/>
              <w:spacing w:after="0" w:line="198" w:lineRule="exact"/>
              <w:rPr>
                <w:sz w:val="20"/>
                <w:szCs w:val="20"/>
                <w:color w:val="auto"/>
              </w:rPr>
            </w:pPr>
            <w:r>
              <w:rPr>
                <w:rFonts w:ascii="Arial" w:cs="Arial" w:eastAsia="Arial" w:hAnsi="Arial"/>
                <w:sz w:val="14"/>
                <w:szCs w:val="14"/>
                <w:color w:val="auto"/>
              </w:rPr>
              <w:t xml:space="preserve">expense - operating </w:t>
            </w:r>
            <w:r>
              <w:rPr>
                <w:rFonts w:ascii="Arial" w:cs="Arial" w:eastAsia="Arial" w:hAnsi="Arial"/>
                <w:sz w:val="22"/>
                <w:szCs w:val="22"/>
                <w:color w:val="auto"/>
                <w:vertAlign w:val="superscript"/>
              </w:rPr>
              <w:t>(1)</w:t>
            </w:r>
          </w:p>
        </w:tc>
        <w:tc>
          <w:tcPr>
            <w:tcW w:w="1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32,436</w:t>
            </w:r>
          </w:p>
        </w:tc>
        <w:tc>
          <w:tcPr>
            <w:tcW w:w="120" w:type="dxa"/>
            <w:vAlign w:val="bottom"/>
            <w:shd w:val="clear" w:color="auto" w:fill="F0FFFF"/>
          </w:tcPr>
          <w:p>
            <w:pPr>
              <w:spacing w:after="0"/>
              <w:rPr>
                <w:sz w:val="17"/>
                <w:szCs w:val="17"/>
                <w:color w:val="auto"/>
              </w:rPr>
            </w:pP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28,438</w:t>
            </w: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29,436</w:t>
            </w:r>
          </w:p>
        </w:tc>
        <w:tc>
          <w:tcPr>
            <w:tcW w:w="120" w:type="dxa"/>
            <w:vAlign w:val="bottom"/>
            <w:shd w:val="clear" w:color="auto" w:fill="F0FFFF"/>
          </w:tcPr>
          <w:p>
            <w:pPr>
              <w:spacing w:after="0"/>
              <w:rPr>
                <w:sz w:val="17"/>
                <w:szCs w:val="17"/>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28,015</w:t>
            </w:r>
          </w:p>
        </w:tc>
        <w:tc>
          <w:tcPr>
            <w:tcW w:w="100" w:type="dxa"/>
            <w:vAlign w:val="bottom"/>
            <w:shd w:val="clear" w:color="auto" w:fill="F0FFFF"/>
          </w:tcPr>
          <w:p>
            <w:pPr>
              <w:spacing w:after="0"/>
              <w:rPr>
                <w:sz w:val="17"/>
                <w:szCs w:val="17"/>
                <w:color w:val="auto"/>
              </w:rPr>
            </w:pP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26,361</w:t>
            </w:r>
          </w:p>
        </w:tc>
        <w:tc>
          <w:tcPr>
            <w:tcW w:w="1120" w:type="dxa"/>
            <w:vAlign w:val="bottom"/>
            <w:gridSpan w:val="3"/>
            <w:shd w:val="clear" w:color="auto" w:fill="F0FFFF"/>
          </w:tcPr>
          <w:p>
            <w:pPr>
              <w:jc w:val="right"/>
              <w:ind w:right="220"/>
              <w:spacing w:after="0"/>
              <w:rPr>
                <w:sz w:val="20"/>
                <w:szCs w:val="20"/>
                <w:color w:val="auto"/>
              </w:rPr>
            </w:pPr>
            <w:r>
              <w:rPr>
                <w:rFonts w:ascii="Arial" w:cs="Arial" w:eastAsia="Arial" w:hAnsi="Arial"/>
                <w:sz w:val="14"/>
                <w:szCs w:val="14"/>
                <w:color w:val="auto"/>
              </w:rPr>
              <w:t>23</w:t>
            </w:r>
          </w:p>
        </w:tc>
        <w:tc>
          <w:tcPr>
            <w:tcW w:w="160" w:type="dxa"/>
            <w:vAlign w:val="bottom"/>
            <w:shd w:val="clear" w:color="auto" w:fill="F0FFFF"/>
          </w:tcPr>
          <w:p>
            <w:pPr>
              <w:spacing w:after="0"/>
              <w:rPr>
                <w:sz w:val="17"/>
                <w:szCs w:val="17"/>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60,874</w:t>
            </w:r>
          </w:p>
        </w:tc>
        <w:tc>
          <w:tcPr>
            <w:tcW w:w="240" w:type="dxa"/>
            <w:vAlign w:val="bottom"/>
            <w:shd w:val="clear" w:color="auto" w:fill="F0FFFF"/>
          </w:tcPr>
          <w:p>
            <w:pPr>
              <w:spacing w:after="0"/>
              <w:rPr>
                <w:sz w:val="17"/>
                <w:szCs w:val="17"/>
                <w:color w:val="auto"/>
              </w:rPr>
            </w:pPr>
          </w:p>
        </w:tc>
        <w:tc>
          <w:tcPr>
            <w:tcW w:w="7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51,156</w:t>
            </w:r>
          </w:p>
        </w:tc>
        <w:tc>
          <w:tcPr>
            <w:tcW w:w="7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60" w:type="dxa"/>
            <w:vAlign w:val="bottom"/>
          </w:tcPr>
          <w:p>
            <w:pPr>
              <w:spacing w:after="0" w:line="169" w:lineRule="exact"/>
              <w:rPr>
                <w:sz w:val="20"/>
                <w:szCs w:val="20"/>
                <w:color w:val="auto"/>
              </w:rPr>
            </w:pPr>
            <w:r>
              <w:rPr>
                <w:rFonts w:ascii="Arial" w:cs="Arial" w:eastAsia="Arial" w:hAnsi="Arial"/>
                <w:sz w:val="12"/>
                <w:szCs w:val="12"/>
                <w:color w:val="auto"/>
              </w:rPr>
              <w:t xml:space="preserve">Income tax expense - operating </w:t>
            </w:r>
            <w:r>
              <w:rPr>
                <w:rFonts w:ascii="Arial" w:cs="Arial" w:eastAsia="Arial" w:hAnsi="Arial"/>
                <w:sz w:val="19"/>
                <w:szCs w:val="19"/>
                <w:color w:val="auto"/>
                <w:vertAlign w:val="superscript"/>
              </w:rPr>
              <w:t>(1)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12,447</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10,768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11,189</w:t>
            </w:r>
          </w:p>
        </w:tc>
        <w:tc>
          <w:tcPr>
            <w:tcW w:w="12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10,399</w:t>
            </w:r>
          </w:p>
        </w:tc>
        <w:tc>
          <w:tcPr>
            <w:tcW w:w="10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10,004</w:t>
            </w:r>
          </w:p>
        </w:tc>
        <w:tc>
          <w:tcPr>
            <w:tcW w:w="1120" w:type="dxa"/>
            <w:vAlign w:val="bottom"/>
            <w:gridSpan w:val="3"/>
          </w:tcPr>
          <w:p>
            <w:pPr>
              <w:jc w:val="right"/>
              <w:ind w:right="220"/>
              <w:spacing w:after="0"/>
              <w:rPr>
                <w:sz w:val="20"/>
                <w:szCs w:val="20"/>
                <w:color w:val="auto"/>
              </w:rPr>
            </w:pPr>
            <w:r>
              <w:rPr>
                <w:rFonts w:ascii="Arial" w:cs="Arial" w:eastAsia="Arial" w:hAnsi="Arial"/>
                <w:sz w:val="14"/>
                <w:szCs w:val="14"/>
                <w:color w:val="auto"/>
              </w:rPr>
              <w:t>24</w:t>
            </w:r>
          </w:p>
        </w:tc>
        <w:tc>
          <w:tcPr>
            <w:tcW w:w="16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23,215</w:t>
            </w:r>
          </w:p>
        </w:tc>
        <w:tc>
          <w:tcPr>
            <w:tcW w:w="240" w:type="dxa"/>
            <w:vAlign w:val="bottom"/>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19,399</w:t>
            </w:r>
          </w:p>
        </w:tc>
        <w:tc>
          <w:tcPr>
            <w:tcW w:w="78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shd w:val="clear" w:color="auto" w:fill="F0FFFF"/>
          </w:tcPr>
          <w:p>
            <w:pPr>
              <w:ind w:left="140"/>
              <w:spacing w:after="0"/>
              <w:rPr>
                <w:sz w:val="20"/>
                <w:szCs w:val="20"/>
                <w:color w:val="auto"/>
              </w:rPr>
            </w:pPr>
            <w:r>
              <w:rPr>
                <w:rFonts w:ascii="Arial" w:cs="Arial" w:eastAsia="Arial" w:hAnsi="Arial"/>
                <w:sz w:val="14"/>
                <w:szCs w:val="14"/>
                <w:b w:val="1"/>
                <w:bCs w:val="1"/>
                <w:color w:val="auto"/>
              </w:rPr>
              <w:t xml:space="preserve">Net income - operating </w:t>
            </w:r>
            <w:r>
              <w:rPr>
                <w:rFonts w:ascii="Arial" w:cs="Arial" w:eastAsia="Arial" w:hAnsi="Arial"/>
                <w:sz w:val="9"/>
                <w:szCs w:val="9"/>
                <w:color w:val="auto"/>
              </w:rPr>
              <w:t>(1)</w:t>
            </w:r>
          </w:p>
        </w:tc>
        <w:tc>
          <w:tcPr>
            <w:tcW w:w="1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19,989</w:t>
            </w:r>
          </w:p>
        </w:tc>
        <w:tc>
          <w:tcPr>
            <w:tcW w:w="120" w:type="dxa"/>
            <w:vAlign w:val="bottom"/>
            <w:shd w:val="clear" w:color="auto" w:fill="F0FFFF"/>
          </w:tcPr>
          <w:p>
            <w:pPr>
              <w:spacing w:after="0"/>
              <w:rPr>
                <w:sz w:val="15"/>
                <w:szCs w:val="15"/>
                <w:color w:val="auto"/>
              </w:rPr>
            </w:pP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17,670</w:t>
            </w:r>
          </w:p>
        </w:tc>
        <w:tc>
          <w:tcPr>
            <w:tcW w:w="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18,247</w:t>
            </w:r>
          </w:p>
        </w:tc>
        <w:tc>
          <w:tcPr>
            <w:tcW w:w="120" w:type="dxa"/>
            <w:vAlign w:val="bottom"/>
            <w:shd w:val="clear" w:color="auto" w:fill="F0FFFF"/>
          </w:tcPr>
          <w:p>
            <w:pPr>
              <w:spacing w:after="0"/>
              <w:rPr>
                <w:sz w:val="15"/>
                <w:szCs w:val="15"/>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17,616</w:t>
            </w:r>
          </w:p>
        </w:tc>
        <w:tc>
          <w:tcPr>
            <w:tcW w:w="100" w:type="dxa"/>
            <w:vAlign w:val="bottom"/>
            <w:shd w:val="clear" w:color="auto" w:fill="F0FFFF"/>
          </w:tcPr>
          <w:p>
            <w:pPr>
              <w:spacing w:after="0"/>
              <w:rPr>
                <w:sz w:val="15"/>
                <w:szCs w:val="15"/>
                <w:color w:val="auto"/>
              </w:rPr>
            </w:pP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16,357</w:t>
            </w:r>
          </w:p>
        </w:tc>
        <w:tc>
          <w:tcPr>
            <w:tcW w:w="1120" w:type="dxa"/>
            <w:vAlign w:val="bottom"/>
            <w:gridSpan w:val="3"/>
            <w:shd w:val="clear" w:color="auto" w:fill="F0FFFF"/>
          </w:tcPr>
          <w:p>
            <w:pPr>
              <w:jc w:val="right"/>
              <w:ind w:right="220"/>
              <w:spacing w:after="0"/>
              <w:rPr>
                <w:sz w:val="20"/>
                <w:szCs w:val="20"/>
                <w:color w:val="auto"/>
              </w:rPr>
            </w:pPr>
            <w:r>
              <w:rPr>
                <w:rFonts w:ascii="Arial" w:cs="Arial" w:eastAsia="Arial" w:hAnsi="Arial"/>
                <w:sz w:val="14"/>
                <w:szCs w:val="14"/>
                <w:color w:val="auto"/>
              </w:rPr>
              <w:t>22</w:t>
            </w:r>
          </w:p>
        </w:tc>
        <w:tc>
          <w:tcPr>
            <w:tcW w:w="160" w:type="dxa"/>
            <w:vAlign w:val="bottom"/>
            <w:shd w:val="clear" w:color="auto" w:fill="F0FFFF"/>
          </w:tcPr>
          <w:p>
            <w:pPr>
              <w:spacing w:after="0"/>
              <w:rPr>
                <w:sz w:val="15"/>
                <w:szCs w:val="15"/>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37,659</w:t>
            </w:r>
          </w:p>
        </w:tc>
        <w:tc>
          <w:tcPr>
            <w:tcW w:w="240" w:type="dxa"/>
            <w:vAlign w:val="bottom"/>
            <w:shd w:val="clear" w:color="auto" w:fill="F0FFFF"/>
          </w:tcPr>
          <w:p>
            <w:pPr>
              <w:spacing w:after="0"/>
              <w:rPr>
                <w:sz w:val="15"/>
                <w:szCs w:val="15"/>
                <w:color w:val="auto"/>
              </w:rPr>
            </w:pPr>
          </w:p>
        </w:tc>
        <w:tc>
          <w:tcPr>
            <w:tcW w:w="7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31,757</w:t>
            </w:r>
          </w:p>
        </w:tc>
        <w:tc>
          <w:tcPr>
            <w:tcW w:w="7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tcPr>
          <w:p>
            <w:pPr>
              <w:spacing w:after="0" w:line="130" w:lineRule="exact"/>
              <w:rPr>
                <w:sz w:val="20"/>
                <w:szCs w:val="20"/>
                <w:color w:val="auto"/>
              </w:rPr>
            </w:pPr>
            <w:r>
              <w:rPr>
                <w:rFonts w:ascii="Arial" w:cs="Arial" w:eastAsia="Arial" w:hAnsi="Arial"/>
                <w:sz w:val="14"/>
                <w:szCs w:val="14"/>
                <w:color w:val="auto"/>
              </w:rPr>
              <w:t>Preferred dividends and discount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60" w:type="dxa"/>
            <w:vAlign w:val="bottom"/>
          </w:tcPr>
          <w:p>
            <w:pPr>
              <w:ind w:left="140"/>
              <w:spacing w:after="0"/>
              <w:rPr>
                <w:sz w:val="20"/>
                <w:szCs w:val="20"/>
                <w:color w:val="auto"/>
              </w:rPr>
            </w:pPr>
            <w:r>
              <w:rPr>
                <w:rFonts w:ascii="Arial" w:cs="Arial" w:eastAsia="Arial" w:hAnsi="Arial"/>
                <w:sz w:val="14"/>
                <w:szCs w:val="14"/>
                <w:color w:val="auto"/>
              </w:rPr>
              <w:t>accretion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439</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160" w:type="dxa"/>
            <w:vAlign w:val="bottom"/>
            <w:shd w:val="clear" w:color="auto" w:fill="F0FFFF"/>
          </w:tcPr>
          <w:p>
            <w:pPr>
              <w:spacing w:after="0" w:line="140" w:lineRule="exact"/>
              <w:rPr>
                <w:sz w:val="20"/>
                <w:szCs w:val="20"/>
                <w:color w:val="auto"/>
              </w:rPr>
            </w:pPr>
            <w:r>
              <w:rPr>
                <w:rFonts w:ascii="Arial" w:cs="Arial" w:eastAsia="Arial" w:hAnsi="Arial"/>
                <w:sz w:val="14"/>
                <w:szCs w:val="14"/>
                <w:b w:val="1"/>
                <w:bCs w:val="1"/>
                <w:color w:val="auto"/>
                <w:w w:val="98"/>
              </w:rPr>
              <w:t>Net income available to common</w:t>
            </w:r>
          </w:p>
        </w:tc>
        <w:tc>
          <w:tcPr>
            <w:tcW w:w="140" w:type="dxa"/>
            <w:vAlign w:val="bottom"/>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660" w:type="dxa"/>
            <w:vAlign w:val="bottom"/>
            <w:tcBorders>
              <w:top w:val="single" w:sz="8" w:color="auto"/>
            </w:tcBorders>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tcBorders>
              <w:top w:val="single" w:sz="8" w:color="auto"/>
            </w:tcBorders>
            <w:shd w:val="clear" w:color="auto" w:fill="F0FFFF"/>
          </w:tcPr>
          <w:p>
            <w:pPr>
              <w:spacing w:after="0"/>
              <w:rPr>
                <w:sz w:val="12"/>
                <w:szCs w:val="12"/>
                <w:color w:val="auto"/>
              </w:rPr>
            </w:pPr>
          </w:p>
        </w:tc>
        <w:tc>
          <w:tcPr>
            <w:tcW w:w="640" w:type="dxa"/>
            <w:vAlign w:val="bottom"/>
            <w:tcBorders>
              <w:top w:val="single" w:sz="8" w:color="auto"/>
            </w:tcBorders>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240" w:type="dxa"/>
            <w:vAlign w:val="bottom"/>
            <w:tcBorders>
              <w:top w:val="single" w:sz="8" w:color="auto"/>
            </w:tcBorders>
            <w:shd w:val="clear" w:color="auto" w:fill="F0FFFF"/>
          </w:tcPr>
          <w:p>
            <w:pPr>
              <w:spacing w:after="0"/>
              <w:rPr>
                <w:sz w:val="12"/>
                <w:szCs w:val="12"/>
                <w:color w:val="auto"/>
              </w:rPr>
            </w:pPr>
          </w:p>
        </w:tc>
        <w:tc>
          <w:tcPr>
            <w:tcW w:w="540" w:type="dxa"/>
            <w:vAlign w:val="bottom"/>
            <w:tcBorders>
              <w:top w:val="single" w:sz="8" w:color="auto"/>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60" w:type="dxa"/>
            <w:vAlign w:val="bottom"/>
            <w:shd w:val="clear" w:color="auto" w:fill="F0FFFF"/>
          </w:tcPr>
          <w:p>
            <w:pPr>
              <w:ind w:left="140"/>
              <w:spacing w:after="0" w:line="198" w:lineRule="exact"/>
              <w:rPr>
                <w:sz w:val="20"/>
                <w:szCs w:val="20"/>
                <w:color w:val="auto"/>
              </w:rPr>
            </w:pPr>
            <w:r>
              <w:rPr>
                <w:rFonts w:ascii="Arial" w:cs="Arial" w:eastAsia="Arial" w:hAnsi="Arial"/>
                <w:sz w:val="14"/>
                <w:szCs w:val="14"/>
                <w:b w:val="1"/>
                <w:bCs w:val="1"/>
                <w:color w:val="auto"/>
              </w:rPr>
              <w:t xml:space="preserve">shareholders - operating </w:t>
            </w:r>
            <w:r>
              <w:rPr>
                <w:rFonts w:ascii="Arial" w:cs="Arial" w:eastAsia="Arial" w:hAnsi="Arial"/>
                <w:sz w:val="22"/>
                <w:szCs w:val="22"/>
                <w:color w:val="auto"/>
                <w:vertAlign w:val="superscript"/>
              </w:rPr>
              <w:t>(1)</w:t>
            </w:r>
          </w:p>
        </w:tc>
        <w:tc>
          <w:tcPr>
            <w:tcW w:w="1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19,972</w:t>
            </w:r>
          </w:p>
        </w:tc>
        <w:tc>
          <w:tcPr>
            <w:tcW w:w="120" w:type="dxa"/>
            <w:vAlign w:val="bottom"/>
            <w:shd w:val="clear" w:color="auto" w:fill="F0FFFF"/>
          </w:tcPr>
          <w:p>
            <w:pPr>
              <w:spacing w:after="0"/>
              <w:rPr>
                <w:sz w:val="17"/>
                <w:szCs w:val="17"/>
                <w:color w:val="auto"/>
              </w:rPr>
            </w:pP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17,670</w:t>
            </w: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18,247</w:t>
            </w:r>
          </w:p>
        </w:tc>
        <w:tc>
          <w:tcPr>
            <w:tcW w:w="120" w:type="dxa"/>
            <w:vAlign w:val="bottom"/>
            <w:shd w:val="clear" w:color="auto" w:fill="F0FFFF"/>
          </w:tcPr>
          <w:p>
            <w:pPr>
              <w:spacing w:after="0"/>
              <w:rPr>
                <w:sz w:val="17"/>
                <w:szCs w:val="17"/>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17,616</w:t>
            </w:r>
          </w:p>
        </w:tc>
        <w:tc>
          <w:tcPr>
            <w:tcW w:w="100" w:type="dxa"/>
            <w:vAlign w:val="bottom"/>
            <w:shd w:val="clear" w:color="auto" w:fill="F0FFFF"/>
          </w:tcPr>
          <w:p>
            <w:pPr>
              <w:spacing w:after="0"/>
              <w:rPr>
                <w:sz w:val="17"/>
                <w:szCs w:val="17"/>
                <w:color w:val="auto"/>
              </w:rPr>
            </w:pP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16,357</w:t>
            </w:r>
          </w:p>
        </w:tc>
        <w:tc>
          <w:tcPr>
            <w:tcW w:w="1120" w:type="dxa"/>
            <w:vAlign w:val="bottom"/>
            <w:gridSpan w:val="3"/>
            <w:shd w:val="clear" w:color="auto" w:fill="F0FFFF"/>
          </w:tcPr>
          <w:p>
            <w:pPr>
              <w:jc w:val="right"/>
              <w:ind w:right="220"/>
              <w:spacing w:after="0"/>
              <w:rPr>
                <w:sz w:val="20"/>
                <w:szCs w:val="20"/>
                <w:color w:val="auto"/>
              </w:rPr>
            </w:pPr>
            <w:r>
              <w:rPr>
                <w:rFonts w:ascii="Arial" w:cs="Arial" w:eastAsia="Arial" w:hAnsi="Arial"/>
                <w:sz w:val="14"/>
                <w:szCs w:val="14"/>
                <w:color w:val="auto"/>
              </w:rPr>
              <w:t>22</w:t>
            </w:r>
          </w:p>
        </w:tc>
        <w:tc>
          <w:tcPr>
            <w:tcW w:w="160" w:type="dxa"/>
            <w:vAlign w:val="bottom"/>
            <w:shd w:val="clear" w:color="auto" w:fill="F0FFFF"/>
          </w:tcPr>
          <w:p>
            <w:pPr>
              <w:spacing w:after="0"/>
              <w:rPr>
                <w:sz w:val="17"/>
                <w:szCs w:val="17"/>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37,642</w:t>
            </w:r>
          </w:p>
        </w:tc>
        <w:tc>
          <w:tcPr>
            <w:tcW w:w="240" w:type="dxa"/>
            <w:vAlign w:val="bottom"/>
            <w:shd w:val="clear" w:color="auto" w:fill="F0FFFF"/>
          </w:tcPr>
          <w:p>
            <w:pPr>
              <w:spacing w:after="0"/>
              <w:rPr>
                <w:sz w:val="17"/>
                <w:szCs w:val="17"/>
                <w:color w:val="auto"/>
              </w:rPr>
            </w:pPr>
          </w:p>
        </w:tc>
        <w:tc>
          <w:tcPr>
            <w:tcW w:w="7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31,318</w:t>
            </w:r>
          </w:p>
        </w:tc>
        <w:tc>
          <w:tcPr>
            <w:tcW w:w="7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tcPr>
          <w:p>
            <w:pPr>
              <w:spacing w:after="0" w:line="130" w:lineRule="exact"/>
              <w:rPr>
                <w:sz w:val="20"/>
                <w:szCs w:val="20"/>
                <w:color w:val="auto"/>
              </w:rPr>
            </w:pPr>
            <w:r>
              <w:rPr>
                <w:rFonts w:ascii="Arial" w:cs="Arial" w:eastAsia="Arial" w:hAnsi="Arial"/>
                <w:sz w:val="14"/>
                <w:szCs w:val="14"/>
                <w:color w:val="auto"/>
              </w:rPr>
              <w:t>Merger-related charges, net of</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60" w:type="dxa"/>
            <w:vAlign w:val="bottom"/>
          </w:tcPr>
          <w:p>
            <w:pPr>
              <w:ind w:left="140"/>
              <w:spacing w:after="0"/>
              <w:rPr>
                <w:sz w:val="20"/>
                <w:szCs w:val="20"/>
                <w:color w:val="auto"/>
              </w:rPr>
            </w:pPr>
            <w:r>
              <w:rPr>
                <w:rFonts w:ascii="Arial" w:cs="Arial" w:eastAsia="Arial" w:hAnsi="Arial"/>
                <w:sz w:val="14"/>
                <w:szCs w:val="14"/>
                <w:color w:val="auto"/>
              </w:rPr>
              <w:t>income tax benefit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2,176</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2,176</w:t>
            </w:r>
          </w:p>
        </w:tc>
        <w:tc>
          <w:tcPr>
            <w:tcW w:w="24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160" w:type="dxa"/>
            <w:vAlign w:val="bottom"/>
            <w:shd w:val="clear" w:color="auto" w:fill="F0FFFF"/>
          </w:tcPr>
          <w:p>
            <w:pPr>
              <w:spacing w:after="0" w:line="126" w:lineRule="exact"/>
              <w:rPr>
                <w:sz w:val="20"/>
                <w:szCs w:val="20"/>
                <w:color w:val="auto"/>
              </w:rPr>
            </w:pPr>
            <w:r>
              <w:rPr>
                <w:rFonts w:ascii="Arial" w:cs="Arial" w:eastAsia="Arial" w:hAnsi="Arial"/>
                <w:sz w:val="14"/>
                <w:szCs w:val="14"/>
                <w:b w:val="1"/>
                <w:bCs w:val="1"/>
                <w:color w:val="auto"/>
                <w:w w:val="98"/>
              </w:rPr>
              <w:t>Net income available to common</w:t>
            </w:r>
          </w:p>
        </w:tc>
        <w:tc>
          <w:tcPr>
            <w:tcW w:w="140" w:type="dxa"/>
            <w:vAlign w:val="bottom"/>
            <w:shd w:val="clear" w:color="auto" w:fill="F0FFFF"/>
          </w:tcPr>
          <w:p>
            <w:pPr>
              <w:spacing w:after="0"/>
              <w:rPr>
                <w:sz w:val="10"/>
                <w:szCs w:val="10"/>
                <w:color w:val="auto"/>
              </w:rPr>
            </w:pPr>
          </w:p>
        </w:tc>
        <w:tc>
          <w:tcPr>
            <w:tcW w:w="120" w:type="dxa"/>
            <w:vAlign w:val="bottom"/>
            <w:tcBorders>
              <w:top w:val="single" w:sz="8" w:color="auto"/>
            </w:tcBorders>
            <w:shd w:val="clear" w:color="auto" w:fill="F0FFFF"/>
          </w:tcPr>
          <w:p>
            <w:pPr>
              <w:spacing w:after="0"/>
              <w:rPr>
                <w:sz w:val="10"/>
                <w:szCs w:val="10"/>
                <w:color w:val="auto"/>
              </w:rPr>
            </w:pPr>
          </w:p>
        </w:tc>
        <w:tc>
          <w:tcPr>
            <w:tcW w:w="680" w:type="dxa"/>
            <w:vAlign w:val="bottom"/>
            <w:tcBorders>
              <w:top w:val="single" w:sz="8" w:color="auto"/>
            </w:tcBorders>
            <w:shd w:val="clear" w:color="auto" w:fill="F0FFFF"/>
          </w:tcPr>
          <w:p>
            <w:pPr>
              <w:spacing w:after="0"/>
              <w:rPr>
                <w:sz w:val="10"/>
                <w:szCs w:val="10"/>
                <w:color w:val="auto"/>
              </w:rPr>
            </w:pPr>
          </w:p>
        </w:tc>
        <w:tc>
          <w:tcPr>
            <w:tcW w:w="260" w:type="dxa"/>
            <w:vAlign w:val="bottom"/>
            <w:shd w:val="clear" w:color="auto" w:fill="F0FFFF"/>
          </w:tcPr>
          <w:p>
            <w:pPr>
              <w:spacing w:after="0"/>
              <w:rPr>
                <w:sz w:val="10"/>
                <w:szCs w:val="10"/>
                <w:color w:val="auto"/>
              </w:rPr>
            </w:pPr>
          </w:p>
        </w:tc>
        <w:tc>
          <w:tcPr>
            <w:tcW w:w="120" w:type="dxa"/>
            <w:vAlign w:val="bottom"/>
            <w:tcBorders>
              <w:top w:val="single" w:sz="8" w:color="auto"/>
            </w:tcBorders>
            <w:shd w:val="clear" w:color="auto" w:fill="F0FFFF"/>
          </w:tcPr>
          <w:p>
            <w:pPr>
              <w:spacing w:after="0"/>
              <w:rPr>
                <w:sz w:val="10"/>
                <w:szCs w:val="10"/>
                <w:color w:val="auto"/>
              </w:rPr>
            </w:pPr>
          </w:p>
        </w:tc>
        <w:tc>
          <w:tcPr>
            <w:tcW w:w="700" w:type="dxa"/>
            <w:vAlign w:val="bottom"/>
            <w:tcBorders>
              <w:top w:val="single" w:sz="8" w:color="auto"/>
            </w:tcBorders>
            <w:shd w:val="clear" w:color="auto" w:fill="F0FFFF"/>
          </w:tcPr>
          <w:p>
            <w:pPr>
              <w:spacing w:after="0"/>
              <w:rPr>
                <w:sz w:val="10"/>
                <w:szCs w:val="10"/>
                <w:color w:val="auto"/>
              </w:rPr>
            </w:pPr>
          </w:p>
        </w:tc>
        <w:tc>
          <w:tcPr>
            <w:tcW w:w="18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100" w:type="dxa"/>
            <w:vAlign w:val="bottom"/>
            <w:tcBorders>
              <w:top w:val="single" w:sz="8" w:color="auto"/>
            </w:tcBorders>
            <w:shd w:val="clear" w:color="auto" w:fill="F0FFFF"/>
          </w:tcPr>
          <w:p>
            <w:pPr>
              <w:spacing w:after="0"/>
              <w:rPr>
                <w:sz w:val="10"/>
                <w:szCs w:val="10"/>
                <w:color w:val="auto"/>
              </w:rPr>
            </w:pPr>
          </w:p>
        </w:tc>
        <w:tc>
          <w:tcPr>
            <w:tcW w:w="680" w:type="dxa"/>
            <w:vAlign w:val="bottom"/>
            <w:tcBorders>
              <w:top w:val="single" w:sz="8" w:color="auto"/>
            </w:tcBorders>
            <w:shd w:val="clear" w:color="auto" w:fill="F0FFFF"/>
          </w:tcPr>
          <w:p>
            <w:pPr>
              <w:spacing w:after="0"/>
              <w:rPr>
                <w:sz w:val="10"/>
                <w:szCs w:val="10"/>
                <w:color w:val="auto"/>
              </w:rPr>
            </w:pPr>
          </w:p>
        </w:tc>
        <w:tc>
          <w:tcPr>
            <w:tcW w:w="220" w:type="dxa"/>
            <w:vAlign w:val="bottom"/>
            <w:shd w:val="clear" w:color="auto" w:fill="F0FFFF"/>
          </w:tcPr>
          <w:p>
            <w:pPr>
              <w:spacing w:after="0"/>
              <w:rPr>
                <w:sz w:val="10"/>
                <w:szCs w:val="10"/>
                <w:color w:val="auto"/>
              </w:rPr>
            </w:pPr>
          </w:p>
        </w:tc>
        <w:tc>
          <w:tcPr>
            <w:tcW w:w="120" w:type="dxa"/>
            <w:vAlign w:val="bottom"/>
            <w:tcBorders>
              <w:top w:val="single" w:sz="8" w:color="auto"/>
            </w:tcBorders>
            <w:shd w:val="clear" w:color="auto" w:fill="F0FFFF"/>
          </w:tcPr>
          <w:p>
            <w:pPr>
              <w:spacing w:after="0"/>
              <w:rPr>
                <w:sz w:val="10"/>
                <w:szCs w:val="10"/>
                <w:color w:val="auto"/>
              </w:rPr>
            </w:pPr>
          </w:p>
        </w:tc>
        <w:tc>
          <w:tcPr>
            <w:tcW w:w="660" w:type="dxa"/>
            <w:vAlign w:val="bottom"/>
            <w:tcBorders>
              <w:top w:val="single" w:sz="8" w:color="auto"/>
            </w:tcBorders>
            <w:shd w:val="clear" w:color="auto" w:fill="F0FFFF"/>
          </w:tcPr>
          <w:p>
            <w:pPr>
              <w:spacing w:after="0"/>
              <w:rPr>
                <w:sz w:val="10"/>
                <w:szCs w:val="10"/>
                <w:color w:val="auto"/>
              </w:rPr>
            </w:pPr>
          </w:p>
        </w:tc>
        <w:tc>
          <w:tcPr>
            <w:tcW w:w="240" w:type="dxa"/>
            <w:vAlign w:val="bottom"/>
            <w:tcBorders>
              <w:right w:val="single" w:sz="8" w:color="F0FFFF"/>
            </w:tcBorders>
            <w:shd w:val="clear" w:color="auto" w:fill="F0FFFF"/>
          </w:tcPr>
          <w:p>
            <w:pPr>
              <w:spacing w:after="0"/>
              <w:rPr>
                <w:sz w:val="10"/>
                <w:szCs w:val="10"/>
                <w:color w:val="auto"/>
              </w:rPr>
            </w:pPr>
          </w:p>
        </w:tc>
        <w:tc>
          <w:tcPr>
            <w:tcW w:w="100" w:type="dxa"/>
            <w:vAlign w:val="bottom"/>
            <w:tcBorders>
              <w:top w:val="single" w:sz="8" w:color="auto"/>
            </w:tcBorders>
            <w:shd w:val="clear" w:color="auto" w:fill="F0FFFF"/>
          </w:tcPr>
          <w:p>
            <w:pPr>
              <w:spacing w:after="0"/>
              <w:rPr>
                <w:sz w:val="10"/>
                <w:szCs w:val="10"/>
                <w:color w:val="auto"/>
              </w:rPr>
            </w:pPr>
          </w:p>
        </w:tc>
        <w:tc>
          <w:tcPr>
            <w:tcW w:w="680" w:type="dxa"/>
            <w:vAlign w:val="bottom"/>
            <w:tcBorders>
              <w:top w:val="single" w:sz="8" w:color="auto"/>
            </w:tcBorders>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780" w:type="dxa"/>
            <w:vAlign w:val="bottom"/>
            <w:shd w:val="clear" w:color="auto" w:fill="F0FFFF"/>
          </w:tcPr>
          <w:p>
            <w:pPr>
              <w:spacing w:after="0"/>
              <w:rPr>
                <w:sz w:val="10"/>
                <w:szCs w:val="10"/>
                <w:color w:val="auto"/>
              </w:rPr>
            </w:pPr>
          </w:p>
        </w:tc>
        <w:tc>
          <w:tcPr>
            <w:tcW w:w="220" w:type="dxa"/>
            <w:vAlign w:val="bottom"/>
            <w:shd w:val="clear" w:color="auto" w:fill="F0FFFF"/>
          </w:tcPr>
          <w:p>
            <w:pPr>
              <w:spacing w:after="0"/>
              <w:rPr>
                <w:sz w:val="10"/>
                <w:szCs w:val="10"/>
                <w:color w:val="auto"/>
              </w:rPr>
            </w:pPr>
          </w:p>
        </w:tc>
        <w:tc>
          <w:tcPr>
            <w:tcW w:w="160" w:type="dxa"/>
            <w:vAlign w:val="bottom"/>
            <w:tcBorders>
              <w:top w:val="single" w:sz="8" w:color="auto"/>
            </w:tcBorders>
            <w:shd w:val="clear" w:color="auto" w:fill="F0FFFF"/>
          </w:tcPr>
          <w:p>
            <w:pPr>
              <w:spacing w:after="0"/>
              <w:rPr>
                <w:sz w:val="10"/>
                <w:szCs w:val="10"/>
                <w:color w:val="auto"/>
              </w:rPr>
            </w:pPr>
          </w:p>
        </w:tc>
        <w:tc>
          <w:tcPr>
            <w:tcW w:w="640" w:type="dxa"/>
            <w:vAlign w:val="bottom"/>
            <w:tcBorders>
              <w:top w:val="single" w:sz="8" w:color="auto"/>
            </w:tcBorders>
            <w:shd w:val="clear" w:color="auto" w:fill="F0FFFF"/>
          </w:tcPr>
          <w:p>
            <w:pPr>
              <w:spacing w:after="0"/>
              <w:rPr>
                <w:sz w:val="10"/>
                <w:szCs w:val="10"/>
                <w:color w:val="auto"/>
              </w:rPr>
            </w:pPr>
          </w:p>
        </w:tc>
        <w:tc>
          <w:tcPr>
            <w:tcW w:w="220" w:type="dxa"/>
            <w:vAlign w:val="bottom"/>
            <w:tcBorders>
              <w:right w:val="single" w:sz="8" w:color="F0FFFF"/>
            </w:tcBorders>
            <w:shd w:val="clear" w:color="auto" w:fill="F0FFFF"/>
          </w:tcPr>
          <w:p>
            <w:pPr>
              <w:spacing w:after="0"/>
              <w:rPr>
                <w:sz w:val="10"/>
                <w:szCs w:val="10"/>
                <w:color w:val="auto"/>
              </w:rPr>
            </w:pPr>
          </w:p>
        </w:tc>
        <w:tc>
          <w:tcPr>
            <w:tcW w:w="240" w:type="dxa"/>
            <w:vAlign w:val="bottom"/>
            <w:tcBorders>
              <w:top w:val="single" w:sz="8" w:color="auto"/>
            </w:tcBorders>
            <w:shd w:val="clear" w:color="auto" w:fill="F0FFFF"/>
          </w:tcPr>
          <w:p>
            <w:pPr>
              <w:spacing w:after="0"/>
              <w:rPr>
                <w:sz w:val="10"/>
                <w:szCs w:val="10"/>
                <w:color w:val="auto"/>
              </w:rPr>
            </w:pPr>
          </w:p>
        </w:tc>
        <w:tc>
          <w:tcPr>
            <w:tcW w:w="540" w:type="dxa"/>
            <w:vAlign w:val="bottom"/>
            <w:tcBorders>
              <w:top w:val="single" w:sz="8" w:color="auto"/>
            </w:tcBorders>
            <w:shd w:val="clear" w:color="auto" w:fill="F0FFFF"/>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78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60" w:type="dxa"/>
            <w:vAlign w:val="bottom"/>
            <w:shd w:val="clear" w:color="auto" w:fill="F0FFFF"/>
          </w:tcPr>
          <w:p>
            <w:pPr>
              <w:ind w:left="140"/>
              <w:spacing w:after="0"/>
              <w:rPr>
                <w:sz w:val="20"/>
                <w:szCs w:val="20"/>
                <w:color w:val="auto"/>
              </w:rPr>
            </w:pPr>
            <w:r>
              <w:rPr>
                <w:rFonts w:ascii="Arial" w:cs="Arial" w:eastAsia="Arial" w:hAnsi="Arial"/>
                <w:sz w:val="14"/>
                <w:szCs w:val="14"/>
                <w:b w:val="1"/>
                <w:bCs w:val="1"/>
                <w:color w:val="auto"/>
              </w:rPr>
              <w:t>shareholders - GAAP</w:t>
            </w:r>
          </w:p>
        </w:tc>
        <w:tc>
          <w:tcPr>
            <w:tcW w:w="26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17,796</w:t>
            </w:r>
          </w:p>
        </w:tc>
        <w:tc>
          <w:tcPr>
            <w:tcW w:w="12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17,670</w:t>
            </w:r>
          </w:p>
        </w:tc>
        <w:tc>
          <w:tcPr>
            <w:tcW w:w="18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18,247</w:t>
            </w:r>
          </w:p>
        </w:tc>
        <w:tc>
          <w:tcPr>
            <w:tcW w:w="12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17,616</w:t>
            </w:r>
          </w:p>
        </w:tc>
        <w:tc>
          <w:tcPr>
            <w:tcW w:w="10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16,357</w:t>
            </w:r>
          </w:p>
        </w:tc>
        <w:tc>
          <w:tcPr>
            <w:tcW w:w="1120" w:type="dxa"/>
            <w:vAlign w:val="bottom"/>
            <w:gridSpan w:val="3"/>
            <w:shd w:val="clear" w:color="auto" w:fill="F0FFFF"/>
          </w:tcPr>
          <w:p>
            <w:pPr>
              <w:jc w:val="right"/>
              <w:ind w:right="220"/>
              <w:spacing w:after="0"/>
              <w:rPr>
                <w:sz w:val="20"/>
                <w:szCs w:val="20"/>
                <w:color w:val="auto"/>
              </w:rPr>
            </w:pPr>
            <w:r>
              <w:rPr>
                <w:rFonts w:ascii="Arial" w:cs="Arial" w:eastAsia="Arial" w:hAnsi="Arial"/>
                <w:sz w:val="14"/>
                <w:szCs w:val="14"/>
                <w:color w:val="auto"/>
              </w:rPr>
              <w:t>9</w:t>
            </w:r>
          </w:p>
        </w:tc>
        <w:tc>
          <w:tcPr>
            <w:tcW w:w="1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35,466</w:t>
            </w:r>
          </w:p>
        </w:tc>
        <w:tc>
          <w:tcPr>
            <w:tcW w:w="240" w:type="dxa"/>
            <w:vAlign w:val="bottom"/>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31,318</w:t>
            </w:r>
          </w:p>
        </w:tc>
        <w:tc>
          <w:tcPr>
            <w:tcW w:w="7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60" w:type="dxa"/>
            <w:vAlign w:val="bottom"/>
            <w:tcBorders>
              <w:top w:val="single" w:sz="8" w:color="F0FFFF"/>
            </w:tcBorders>
          </w:tcPr>
          <w:p>
            <w:pPr>
              <w:spacing w:after="0"/>
              <w:rPr>
                <w:sz w:val="12"/>
                <w:szCs w:val="12"/>
                <w:color w:val="auto"/>
              </w:rPr>
            </w:pPr>
          </w:p>
        </w:tc>
        <w:tc>
          <w:tcPr>
            <w:tcW w:w="140" w:type="dxa"/>
            <w:vAlign w:val="bottom"/>
            <w:tcBorders>
              <w:top w:val="single" w:sz="8" w:color="F0FF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Borders>
              <w:top w:val="single" w:sz="8" w:color="F0FF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F0FFFF"/>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F0FF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Borders>
              <w:top w:val="single" w:sz="8" w:color="F0FF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120" w:type="dxa"/>
            <w:vAlign w:val="bottom"/>
            <w:tcBorders>
              <w:top w:val="single" w:sz="8" w:color="F0FFFF"/>
            </w:tcBorders>
          </w:tcPr>
          <w:p>
            <w:pPr>
              <w:spacing w:after="0"/>
              <w:rPr>
                <w:sz w:val="12"/>
                <w:szCs w:val="12"/>
                <w:color w:val="auto"/>
              </w:rPr>
            </w:pPr>
          </w:p>
        </w:tc>
        <w:tc>
          <w:tcPr>
            <w:tcW w:w="780" w:type="dxa"/>
            <w:vAlign w:val="bottom"/>
            <w:tcBorders>
              <w:top w:val="single" w:sz="8" w:color="F0FFFF"/>
            </w:tcBorders>
          </w:tcPr>
          <w:p>
            <w:pPr>
              <w:spacing w:after="0"/>
              <w:rPr>
                <w:sz w:val="12"/>
                <w:szCs w:val="12"/>
                <w:color w:val="auto"/>
              </w:rPr>
            </w:pPr>
          </w:p>
        </w:tc>
        <w:tc>
          <w:tcPr>
            <w:tcW w:w="220" w:type="dxa"/>
            <w:vAlign w:val="bottom"/>
            <w:tcBorders>
              <w:top w:val="single" w:sz="8" w:color="F0FF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F0FF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40" w:type="dxa"/>
            <w:vAlign w:val="bottom"/>
            <w:tcBorders>
              <w:top w:val="single" w:sz="8" w:color="F0FFFF"/>
            </w:tcBorders>
          </w:tcPr>
          <w:p>
            <w:pPr>
              <w:spacing w:after="0"/>
              <w:rPr>
                <w:sz w:val="12"/>
                <w:szCs w:val="12"/>
                <w:color w:val="auto"/>
              </w:rPr>
            </w:pPr>
          </w:p>
        </w:tc>
        <w:tc>
          <w:tcPr>
            <w:tcW w:w="780" w:type="dxa"/>
            <w:vAlign w:val="bottom"/>
            <w:tcBorders>
              <w:top w:val="single" w:sz="8" w:color="F0FFFF"/>
            </w:tcBorders>
          </w:tcPr>
          <w:p>
            <w:pPr>
              <w:spacing w:after="0"/>
              <w:rPr>
                <w:sz w:val="12"/>
                <w:szCs w:val="12"/>
                <w:color w:val="auto"/>
              </w:rPr>
            </w:pPr>
          </w:p>
        </w:tc>
        <w:tc>
          <w:tcPr>
            <w:tcW w:w="120" w:type="dxa"/>
            <w:vAlign w:val="bottom"/>
            <w:tcBorders>
              <w:top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60" w:type="dxa"/>
            <w:vAlign w:val="bottom"/>
            <w:shd w:val="clear" w:color="auto" w:fill="F0FFFF"/>
          </w:tcPr>
          <w:p>
            <w:pPr>
              <w:spacing w:after="0" w:line="149" w:lineRule="exact"/>
              <w:rPr>
                <w:sz w:val="20"/>
                <w:szCs w:val="20"/>
                <w:color w:val="auto"/>
              </w:rPr>
            </w:pPr>
            <w:r>
              <w:rPr>
                <w:rFonts w:ascii="Arial" w:cs="Arial" w:eastAsia="Arial" w:hAnsi="Arial"/>
                <w:sz w:val="14"/>
                <w:szCs w:val="14"/>
                <w:b w:val="1"/>
                <w:bCs w:val="1"/>
                <w:color w:val="auto"/>
              </w:rPr>
              <w:t>PERFORMANCE MEASURES</w:t>
            </w:r>
          </w:p>
        </w:tc>
        <w:tc>
          <w:tcPr>
            <w:tcW w:w="1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tcPr>
          <w:p>
            <w:pPr>
              <w:ind w:left="140"/>
              <w:spacing w:after="0"/>
              <w:rPr>
                <w:sz w:val="20"/>
                <w:szCs w:val="20"/>
                <w:color w:val="auto"/>
              </w:rPr>
            </w:pPr>
            <w:r>
              <w:rPr>
                <w:rFonts w:ascii="Arial" w:cs="Arial" w:eastAsia="Arial" w:hAnsi="Arial"/>
                <w:sz w:val="14"/>
                <w:szCs w:val="14"/>
                <w:color w:val="auto"/>
              </w:rPr>
              <w:t>Per common share: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shd w:val="clear" w:color="auto" w:fill="F0FFFF"/>
          </w:tcPr>
          <w:p>
            <w:pPr>
              <w:ind w:left="300"/>
              <w:spacing w:after="0"/>
              <w:rPr>
                <w:sz w:val="20"/>
                <w:szCs w:val="20"/>
                <w:color w:val="auto"/>
              </w:rPr>
            </w:pPr>
            <w:r>
              <w:rPr>
                <w:rFonts w:ascii="Arial" w:cs="Arial" w:eastAsia="Arial" w:hAnsi="Arial"/>
                <w:sz w:val="14"/>
                <w:szCs w:val="14"/>
                <w:color w:val="auto"/>
              </w:rPr>
              <w:t>Diluted income - operating</w:t>
            </w:r>
            <w:r>
              <w:rPr>
                <w:rFonts w:ascii="Arial" w:cs="Arial" w:eastAsia="Arial" w:hAnsi="Arial"/>
                <w:sz w:val="13"/>
                <w:szCs w:val="13"/>
                <w:color w:val="auto"/>
              </w:rPr>
              <w:t>(1)</w:t>
            </w:r>
          </w:p>
        </w:tc>
        <w:tc>
          <w:tcPr>
            <w:tcW w:w="26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.32</w:t>
            </w:r>
          </w:p>
        </w:tc>
        <w:tc>
          <w:tcPr>
            <w:tcW w:w="12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.29</w:t>
            </w:r>
          </w:p>
        </w:tc>
        <w:tc>
          <w:tcPr>
            <w:tcW w:w="18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.29</w:t>
            </w:r>
          </w:p>
        </w:tc>
        <w:tc>
          <w:tcPr>
            <w:tcW w:w="10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.27</w:t>
            </w:r>
          </w:p>
        </w:tc>
        <w:tc>
          <w:tcPr>
            <w:tcW w:w="1120" w:type="dxa"/>
            <w:vAlign w:val="bottom"/>
            <w:gridSpan w:val="3"/>
            <w:shd w:val="clear" w:color="auto" w:fill="F0FFFF"/>
          </w:tcPr>
          <w:p>
            <w:pPr>
              <w:jc w:val="right"/>
              <w:ind w:right="220"/>
              <w:spacing w:after="0"/>
              <w:rPr>
                <w:sz w:val="20"/>
                <w:szCs w:val="20"/>
                <w:color w:val="auto"/>
              </w:rPr>
            </w:pPr>
            <w:r>
              <w:rPr>
                <w:rFonts w:ascii="Arial" w:cs="Arial" w:eastAsia="Arial" w:hAnsi="Arial"/>
                <w:sz w:val="14"/>
                <w:szCs w:val="14"/>
                <w:color w:val="auto"/>
              </w:rPr>
              <w:t>19</w:t>
            </w:r>
          </w:p>
        </w:tc>
        <w:tc>
          <w:tcPr>
            <w:tcW w:w="1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.61</w:t>
            </w:r>
          </w:p>
        </w:tc>
        <w:tc>
          <w:tcPr>
            <w:tcW w:w="240" w:type="dxa"/>
            <w:vAlign w:val="bottom"/>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.52</w:t>
            </w:r>
          </w:p>
        </w:tc>
        <w:tc>
          <w:tcPr>
            <w:tcW w:w="7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tcPr>
          <w:p>
            <w:pPr>
              <w:ind w:left="300"/>
              <w:spacing w:after="0"/>
              <w:rPr>
                <w:sz w:val="20"/>
                <w:szCs w:val="20"/>
                <w:color w:val="auto"/>
              </w:rPr>
            </w:pPr>
            <w:r>
              <w:rPr>
                <w:rFonts w:ascii="Arial" w:cs="Arial" w:eastAsia="Arial" w:hAnsi="Arial"/>
                <w:sz w:val="14"/>
                <w:szCs w:val="14"/>
                <w:color w:val="auto"/>
              </w:rPr>
              <w:t>Diluted income - GAAP</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.27</w:t>
            </w:r>
          </w:p>
        </w:tc>
        <w:tc>
          <w:tcPr>
            <w:tcW w:w="1120" w:type="dxa"/>
            <w:vAlign w:val="bottom"/>
            <w:gridSpan w:val="3"/>
          </w:tcPr>
          <w:p>
            <w:pPr>
              <w:jc w:val="right"/>
              <w:ind w:right="220"/>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.57</w:t>
            </w:r>
          </w:p>
        </w:tc>
        <w:tc>
          <w:tcPr>
            <w:tcW w:w="24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.52</w:t>
            </w:r>
          </w:p>
        </w:tc>
        <w:tc>
          <w:tcPr>
            <w:tcW w:w="78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shd w:val="clear" w:color="auto" w:fill="F0FFFF"/>
          </w:tcPr>
          <w:p>
            <w:pPr>
              <w:ind w:left="300"/>
              <w:spacing w:after="0"/>
              <w:rPr>
                <w:sz w:val="20"/>
                <w:szCs w:val="20"/>
                <w:color w:val="auto"/>
              </w:rPr>
            </w:pPr>
            <w:r>
              <w:rPr>
                <w:rFonts w:ascii="Arial" w:cs="Arial" w:eastAsia="Arial" w:hAnsi="Arial"/>
                <w:sz w:val="14"/>
                <w:szCs w:val="14"/>
                <w:color w:val="auto"/>
              </w:rPr>
              <w:t>Cash dividends declared</w:t>
            </w:r>
          </w:p>
        </w:tc>
        <w:tc>
          <w:tcPr>
            <w:tcW w:w="1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.05</w:t>
            </w:r>
          </w:p>
        </w:tc>
        <w:tc>
          <w:tcPr>
            <w:tcW w:w="120" w:type="dxa"/>
            <w:vAlign w:val="bottom"/>
            <w:shd w:val="clear" w:color="auto" w:fill="F0FFFF"/>
          </w:tcPr>
          <w:p>
            <w:pPr>
              <w:spacing w:after="0"/>
              <w:rPr>
                <w:sz w:val="15"/>
                <w:szCs w:val="15"/>
                <w:color w:val="auto"/>
              </w:rPr>
            </w:pP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.05</w:t>
            </w:r>
          </w:p>
        </w:tc>
        <w:tc>
          <w:tcPr>
            <w:tcW w:w="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.05</w:t>
            </w:r>
          </w:p>
        </w:tc>
        <w:tc>
          <w:tcPr>
            <w:tcW w:w="120" w:type="dxa"/>
            <w:vAlign w:val="bottom"/>
            <w:shd w:val="clear" w:color="auto" w:fill="F0FFFF"/>
          </w:tcPr>
          <w:p>
            <w:pPr>
              <w:spacing w:after="0"/>
              <w:rPr>
                <w:sz w:val="15"/>
                <w:szCs w:val="15"/>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.03</w:t>
            </w:r>
          </w:p>
        </w:tc>
        <w:tc>
          <w:tcPr>
            <w:tcW w:w="100" w:type="dxa"/>
            <w:vAlign w:val="bottom"/>
            <w:shd w:val="clear" w:color="auto" w:fill="F0FFFF"/>
          </w:tcPr>
          <w:p>
            <w:pPr>
              <w:spacing w:after="0"/>
              <w:rPr>
                <w:sz w:val="15"/>
                <w:szCs w:val="15"/>
                <w:color w:val="auto"/>
              </w:rPr>
            </w:pP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.03</w:t>
            </w:r>
          </w:p>
        </w:tc>
        <w:tc>
          <w:tcPr>
            <w:tcW w:w="120" w:type="dxa"/>
            <w:vAlign w:val="bottom"/>
            <w:shd w:val="clear" w:color="auto" w:fill="F0FFFF"/>
          </w:tcPr>
          <w:p>
            <w:pPr>
              <w:spacing w:after="0"/>
              <w:rPr>
                <w:sz w:val="15"/>
                <w:szCs w:val="15"/>
                <w:color w:val="auto"/>
              </w:rPr>
            </w:pPr>
          </w:p>
        </w:tc>
        <w:tc>
          <w:tcPr>
            <w:tcW w:w="78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.10</w:t>
            </w:r>
          </w:p>
        </w:tc>
        <w:tc>
          <w:tcPr>
            <w:tcW w:w="240" w:type="dxa"/>
            <w:vAlign w:val="bottom"/>
            <w:shd w:val="clear" w:color="auto" w:fill="F0FFFF"/>
          </w:tcPr>
          <w:p>
            <w:pPr>
              <w:spacing w:after="0"/>
              <w:rPr>
                <w:sz w:val="15"/>
                <w:szCs w:val="15"/>
                <w:color w:val="auto"/>
              </w:rPr>
            </w:pPr>
          </w:p>
        </w:tc>
        <w:tc>
          <w:tcPr>
            <w:tcW w:w="7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.03</w:t>
            </w:r>
          </w:p>
        </w:tc>
        <w:tc>
          <w:tcPr>
            <w:tcW w:w="7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tcPr>
          <w:p>
            <w:pPr>
              <w:ind w:left="300"/>
              <w:spacing w:after="0"/>
              <w:rPr>
                <w:sz w:val="20"/>
                <w:szCs w:val="20"/>
                <w:color w:val="auto"/>
              </w:rPr>
            </w:pPr>
            <w:r>
              <w:rPr>
                <w:rFonts w:ascii="Arial" w:cs="Arial" w:eastAsia="Arial" w:hAnsi="Arial"/>
                <w:sz w:val="14"/>
                <w:szCs w:val="14"/>
                <w:color w:val="auto"/>
              </w:rPr>
              <w:t>Book value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12.95</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12.58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12.20</w:t>
            </w:r>
          </w:p>
        </w:tc>
        <w:tc>
          <w:tcPr>
            <w:tcW w:w="12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12.15</w:t>
            </w:r>
          </w:p>
        </w:tc>
        <w:tc>
          <w:tcPr>
            <w:tcW w:w="10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11.94</w:t>
            </w:r>
          </w:p>
        </w:tc>
        <w:tc>
          <w:tcPr>
            <w:tcW w:w="1120" w:type="dxa"/>
            <w:vAlign w:val="bottom"/>
            <w:gridSpan w:val="3"/>
          </w:tcPr>
          <w:p>
            <w:pPr>
              <w:jc w:val="right"/>
              <w:ind w:right="220"/>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12.95</w:t>
            </w:r>
          </w:p>
        </w:tc>
        <w:tc>
          <w:tcPr>
            <w:tcW w:w="24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11.94</w:t>
            </w:r>
          </w:p>
        </w:tc>
        <w:tc>
          <w:tcPr>
            <w:tcW w:w="78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F0FFFF"/>
          </w:tcPr>
          <w:p>
            <w:pPr>
              <w:ind w:left="300"/>
              <w:spacing w:after="0" w:line="216" w:lineRule="exact"/>
              <w:rPr>
                <w:sz w:val="20"/>
                <w:szCs w:val="20"/>
                <w:color w:val="auto"/>
              </w:rPr>
            </w:pPr>
            <w:r>
              <w:rPr>
                <w:rFonts w:ascii="Arial" w:cs="Arial" w:eastAsia="Arial" w:hAnsi="Arial"/>
                <w:sz w:val="14"/>
                <w:szCs w:val="14"/>
                <w:color w:val="auto"/>
              </w:rPr>
              <w:t xml:space="preserve">Tangible book value </w:t>
            </w:r>
            <w:r>
              <w:rPr>
                <w:rFonts w:ascii="Arial" w:cs="Arial" w:eastAsia="Arial" w:hAnsi="Arial"/>
                <w:sz w:val="23"/>
                <w:szCs w:val="23"/>
                <w:color w:val="auto"/>
                <w:vertAlign w:val="superscript"/>
              </w:rPr>
              <w:t>(3)</w:t>
            </w:r>
          </w:p>
        </w:tc>
        <w:tc>
          <w:tcPr>
            <w:tcW w:w="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12.66</w:t>
            </w:r>
          </w:p>
        </w:tc>
        <w:tc>
          <w:tcPr>
            <w:tcW w:w="12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12.53</w:t>
            </w: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12.15</w:t>
            </w:r>
          </w:p>
        </w:tc>
        <w:tc>
          <w:tcPr>
            <w:tcW w:w="12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12.10</w:t>
            </w:r>
          </w:p>
        </w:tc>
        <w:tc>
          <w:tcPr>
            <w:tcW w:w="10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11.91</w:t>
            </w:r>
          </w:p>
        </w:tc>
        <w:tc>
          <w:tcPr>
            <w:tcW w:w="1120" w:type="dxa"/>
            <w:vAlign w:val="bottom"/>
            <w:gridSpan w:val="3"/>
            <w:shd w:val="clear" w:color="auto" w:fill="F0FFFF"/>
          </w:tcPr>
          <w:p>
            <w:pPr>
              <w:jc w:val="right"/>
              <w:ind w:right="220"/>
              <w:spacing w:after="0"/>
              <w:rPr>
                <w:sz w:val="20"/>
                <w:szCs w:val="20"/>
                <w:color w:val="auto"/>
              </w:rPr>
            </w:pPr>
            <w:r>
              <w:rPr>
                <w:rFonts w:ascii="Arial" w:cs="Arial" w:eastAsia="Arial" w:hAnsi="Arial"/>
                <w:sz w:val="14"/>
                <w:szCs w:val="14"/>
                <w:color w:val="auto"/>
              </w:rPr>
              <w:t>6</w:t>
            </w:r>
          </w:p>
        </w:tc>
        <w:tc>
          <w:tcPr>
            <w:tcW w:w="160" w:type="dxa"/>
            <w:vAlign w:val="bottom"/>
            <w:shd w:val="clear" w:color="auto" w:fill="F0FFFF"/>
          </w:tcPr>
          <w:p>
            <w:pPr>
              <w:spacing w:after="0"/>
              <w:rPr>
                <w:sz w:val="18"/>
                <w:szCs w:val="18"/>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12.66</w:t>
            </w:r>
          </w:p>
        </w:tc>
        <w:tc>
          <w:tcPr>
            <w:tcW w:w="24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11.91</w:t>
            </w:r>
          </w:p>
        </w:tc>
        <w:tc>
          <w:tcPr>
            <w:tcW w:w="7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tcPr>
          <w:p>
            <w:pPr>
              <w:ind w:left="140"/>
              <w:spacing w:after="0"/>
              <w:rPr>
                <w:sz w:val="20"/>
                <w:szCs w:val="20"/>
                <w:color w:val="auto"/>
              </w:rPr>
            </w:pPr>
            <w:r>
              <w:rPr>
                <w:rFonts w:ascii="Arial" w:cs="Arial" w:eastAsia="Arial" w:hAnsi="Arial"/>
                <w:sz w:val="14"/>
                <w:szCs w:val="14"/>
                <w:color w:val="auto"/>
              </w:rPr>
              <w:t>Key performance ratios: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shd w:val="clear" w:color="auto" w:fill="F0FFFF"/>
          </w:tcPr>
          <w:p>
            <w:pPr>
              <w:ind w:left="300"/>
              <w:spacing w:after="0"/>
              <w:rPr>
                <w:sz w:val="20"/>
                <w:szCs w:val="20"/>
                <w:color w:val="auto"/>
              </w:rPr>
            </w:pPr>
            <w:r>
              <w:rPr>
                <w:rFonts w:ascii="Arial" w:cs="Arial" w:eastAsia="Arial" w:hAnsi="Arial"/>
                <w:sz w:val="14"/>
                <w:szCs w:val="14"/>
                <w:color w:val="auto"/>
              </w:rPr>
              <w:t>Return on common equity -</w:t>
            </w:r>
          </w:p>
        </w:tc>
        <w:tc>
          <w:tcPr>
            <w:tcW w:w="1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60" w:type="dxa"/>
            <w:vAlign w:val="bottom"/>
            <w:shd w:val="clear" w:color="auto" w:fill="F0FFFF"/>
          </w:tcPr>
          <w:p>
            <w:pPr>
              <w:spacing w:after="0"/>
              <w:rPr>
                <w:sz w:val="14"/>
                <w:szCs w:val="14"/>
                <w:color w:val="auto"/>
              </w:rPr>
            </w:pPr>
          </w:p>
        </w:tc>
        <w:tc>
          <w:tcPr>
            <w:tcW w:w="240" w:type="dxa"/>
            <w:vAlign w:val="bottom"/>
            <w:tcBorders>
              <w:right w:val="single" w:sz="8" w:color="F0FFFF"/>
            </w:tcBorders>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640" w:type="dxa"/>
            <w:vAlign w:val="bottom"/>
            <w:shd w:val="clear" w:color="auto" w:fill="F0FFFF"/>
          </w:tcPr>
          <w:p>
            <w:pPr>
              <w:spacing w:after="0"/>
              <w:rPr>
                <w:sz w:val="14"/>
                <w:szCs w:val="14"/>
                <w:color w:val="auto"/>
              </w:rPr>
            </w:pPr>
          </w:p>
        </w:tc>
        <w:tc>
          <w:tcPr>
            <w:tcW w:w="220" w:type="dxa"/>
            <w:vAlign w:val="bottom"/>
            <w:tcBorders>
              <w:right w:val="single" w:sz="8" w:color="F0FFFF"/>
            </w:tcBorders>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7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60" w:type="dxa"/>
            <w:vAlign w:val="bottom"/>
            <w:shd w:val="clear" w:color="auto" w:fill="F0FFFF"/>
          </w:tcPr>
          <w:p>
            <w:pPr>
              <w:ind w:left="460"/>
              <w:spacing w:after="0" w:line="198" w:lineRule="exact"/>
              <w:rPr>
                <w:sz w:val="20"/>
                <w:szCs w:val="20"/>
                <w:color w:val="auto"/>
              </w:rPr>
            </w:pPr>
            <w:r>
              <w:rPr>
                <w:rFonts w:ascii="Arial" w:cs="Arial" w:eastAsia="Arial" w:hAnsi="Arial"/>
                <w:sz w:val="14"/>
                <w:szCs w:val="14"/>
                <w:color w:val="auto"/>
              </w:rPr>
              <w:t xml:space="preserve">operating </w:t>
            </w:r>
            <w:r>
              <w:rPr>
                <w:rFonts w:ascii="Arial" w:cs="Arial" w:eastAsia="Arial" w:hAnsi="Arial"/>
                <w:sz w:val="22"/>
                <w:szCs w:val="22"/>
                <w:color w:val="auto"/>
                <w:vertAlign w:val="superscript"/>
              </w:rPr>
              <w:t>(1)(2)(4)</w:t>
            </w:r>
          </w:p>
        </w:tc>
        <w:tc>
          <w:tcPr>
            <w:tcW w:w="1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4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9.90%</w:t>
            </w:r>
          </w:p>
        </w:tc>
        <w:tc>
          <w:tcPr>
            <w:tcW w:w="120" w:type="dxa"/>
            <w:vAlign w:val="bottom"/>
            <w:shd w:val="clear" w:color="auto" w:fill="F0FFFF"/>
          </w:tcPr>
          <w:p>
            <w:pPr>
              <w:spacing w:after="0"/>
              <w:rPr>
                <w:sz w:val="17"/>
                <w:szCs w:val="17"/>
                <w:color w:val="auto"/>
              </w:rPr>
            </w:pPr>
          </w:p>
        </w:tc>
        <w:tc>
          <w:tcPr>
            <w:tcW w:w="88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9.34%</w:t>
            </w: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9.60%</w:t>
            </w:r>
          </w:p>
        </w:tc>
        <w:tc>
          <w:tcPr>
            <w:tcW w:w="120" w:type="dxa"/>
            <w:vAlign w:val="bottom"/>
            <w:shd w:val="clear" w:color="auto" w:fill="F0FFFF"/>
          </w:tcPr>
          <w:p>
            <w:pPr>
              <w:spacing w:after="0"/>
              <w:rPr>
                <w:sz w:val="17"/>
                <w:szCs w:val="17"/>
                <w:color w:val="auto"/>
              </w:rPr>
            </w:pPr>
          </w:p>
        </w:tc>
        <w:tc>
          <w:tcPr>
            <w:tcW w:w="90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9.41%</w:t>
            </w:r>
          </w:p>
        </w:tc>
        <w:tc>
          <w:tcPr>
            <w:tcW w:w="100" w:type="dxa"/>
            <w:vAlign w:val="bottom"/>
            <w:shd w:val="clear" w:color="auto" w:fill="F0FFFF"/>
          </w:tcPr>
          <w:p>
            <w:pPr>
              <w:spacing w:after="0"/>
              <w:rPr>
                <w:sz w:val="17"/>
                <w:szCs w:val="17"/>
                <w:color w:val="auto"/>
              </w:rPr>
            </w:pP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8.99</w:t>
            </w:r>
          </w:p>
        </w:tc>
        <w:tc>
          <w:tcPr>
            <w:tcW w:w="900" w:type="dxa"/>
            <w:vAlign w:val="bottom"/>
            <w:gridSpan w:val="2"/>
            <w:shd w:val="clear" w:color="auto" w:fill="F0FFFF"/>
          </w:tcPr>
          <w:p>
            <w:pPr>
              <w:jc w:val="right"/>
              <w:ind w:right="588"/>
              <w:spacing w:after="0"/>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60" w:type="dxa"/>
            <w:vAlign w:val="bottom"/>
            <w:tcBorders>
              <w:right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9.63%</w:t>
            </w:r>
          </w:p>
        </w:tc>
        <w:tc>
          <w:tcPr>
            <w:tcW w:w="240" w:type="dxa"/>
            <w:vAlign w:val="bottom"/>
            <w:shd w:val="clear" w:color="auto" w:fill="F0FFFF"/>
          </w:tcPr>
          <w:p>
            <w:pPr>
              <w:spacing w:after="0"/>
              <w:rPr>
                <w:sz w:val="17"/>
                <w:szCs w:val="17"/>
                <w:color w:val="auto"/>
              </w:rPr>
            </w:pPr>
          </w:p>
        </w:tc>
        <w:tc>
          <w:tcPr>
            <w:tcW w:w="78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8.82%</w:t>
            </w:r>
          </w:p>
        </w:tc>
        <w:tc>
          <w:tcPr>
            <w:tcW w:w="7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ind w:left="300"/>
              <w:spacing w:after="0"/>
              <w:rPr>
                <w:sz w:val="20"/>
                <w:szCs w:val="20"/>
                <w:color w:val="auto"/>
              </w:rPr>
            </w:pPr>
            <w:r>
              <w:rPr>
                <w:rFonts w:ascii="Arial" w:cs="Arial" w:eastAsia="Arial" w:hAnsi="Arial"/>
                <w:sz w:val="14"/>
                <w:szCs w:val="14"/>
                <w:color w:val="auto"/>
              </w:rPr>
              <w:t>Return on common equity -</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60" w:type="dxa"/>
            <w:vAlign w:val="bottom"/>
          </w:tcPr>
          <w:p>
            <w:pPr>
              <w:ind w:left="460"/>
              <w:spacing w:after="0" w:line="198" w:lineRule="exact"/>
              <w:rPr>
                <w:sz w:val="20"/>
                <w:szCs w:val="20"/>
                <w:color w:val="auto"/>
              </w:rPr>
            </w:pPr>
            <w:r>
              <w:rPr>
                <w:rFonts w:ascii="Arial" w:cs="Arial" w:eastAsia="Arial" w:hAnsi="Arial"/>
                <w:sz w:val="22"/>
                <w:szCs w:val="22"/>
                <w:color w:val="auto"/>
                <w:vertAlign w:val="subscript"/>
              </w:rPr>
              <w:t>GAAP</w:t>
            </w:r>
            <w:r>
              <w:rPr>
                <w:rFonts w:ascii="Arial" w:cs="Arial" w:eastAsia="Arial" w:hAnsi="Arial"/>
                <w:sz w:val="10"/>
                <w:szCs w:val="10"/>
                <w:color w:val="auto"/>
              </w:rPr>
              <w:t xml:space="preserve"> (2)(4)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8.83</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9.34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9.60</w:t>
            </w:r>
          </w:p>
        </w:tc>
        <w:tc>
          <w:tcPr>
            <w:tcW w:w="12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9.41</w:t>
            </w: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8.99</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9.08</w:t>
            </w:r>
          </w:p>
        </w:tc>
        <w:tc>
          <w:tcPr>
            <w:tcW w:w="2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8.82</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shd w:val="clear" w:color="auto" w:fill="F0FFFF"/>
          </w:tcPr>
          <w:p>
            <w:pPr>
              <w:ind w:left="300"/>
              <w:spacing w:after="0"/>
              <w:rPr>
                <w:sz w:val="20"/>
                <w:szCs w:val="20"/>
                <w:color w:val="auto"/>
              </w:rPr>
            </w:pPr>
            <w:r>
              <w:rPr>
                <w:rFonts w:ascii="Arial" w:cs="Arial" w:eastAsia="Arial" w:hAnsi="Arial"/>
                <w:sz w:val="14"/>
                <w:szCs w:val="14"/>
                <w:color w:val="auto"/>
              </w:rPr>
              <w:t>Return on assets - operating</w:t>
            </w:r>
          </w:p>
        </w:tc>
        <w:tc>
          <w:tcPr>
            <w:tcW w:w="1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60" w:type="dxa"/>
            <w:vAlign w:val="bottom"/>
            <w:shd w:val="clear" w:color="auto" w:fill="F0FFFF"/>
          </w:tcPr>
          <w:p>
            <w:pPr>
              <w:spacing w:after="0"/>
              <w:rPr>
                <w:sz w:val="14"/>
                <w:szCs w:val="14"/>
                <w:color w:val="auto"/>
              </w:rPr>
            </w:pPr>
          </w:p>
        </w:tc>
        <w:tc>
          <w:tcPr>
            <w:tcW w:w="240" w:type="dxa"/>
            <w:vAlign w:val="bottom"/>
            <w:tcBorders>
              <w:right w:val="single" w:sz="8" w:color="F0FFFF"/>
            </w:tcBorders>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640" w:type="dxa"/>
            <w:vAlign w:val="bottom"/>
            <w:shd w:val="clear" w:color="auto" w:fill="F0FFFF"/>
          </w:tcPr>
          <w:p>
            <w:pPr>
              <w:spacing w:after="0"/>
              <w:rPr>
                <w:sz w:val="14"/>
                <w:szCs w:val="14"/>
                <w:color w:val="auto"/>
              </w:rPr>
            </w:pPr>
          </w:p>
        </w:tc>
        <w:tc>
          <w:tcPr>
            <w:tcW w:w="220" w:type="dxa"/>
            <w:vAlign w:val="bottom"/>
            <w:tcBorders>
              <w:right w:val="single" w:sz="8" w:color="F0FFFF"/>
            </w:tcBorders>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7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60" w:type="dxa"/>
            <w:vAlign w:val="bottom"/>
            <w:shd w:val="clear" w:color="auto" w:fill="F0FFFF"/>
          </w:tcPr>
          <w:p>
            <w:pPr>
              <w:ind w:left="460"/>
              <w:spacing w:after="0"/>
              <w:rPr>
                <w:sz w:val="20"/>
                <w:szCs w:val="20"/>
                <w:color w:val="auto"/>
              </w:rPr>
            </w:pPr>
            <w:r>
              <w:rPr>
                <w:rFonts w:ascii="Arial" w:cs="Arial" w:eastAsia="Arial" w:hAnsi="Arial"/>
                <w:sz w:val="12"/>
                <w:szCs w:val="12"/>
                <w:color w:val="auto"/>
              </w:rPr>
              <w:t>(1)(4)</w:t>
            </w:r>
          </w:p>
        </w:tc>
        <w:tc>
          <w:tcPr>
            <w:tcW w:w="1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F0FFFF"/>
          </w:tcPr>
          <w:p>
            <w:pPr>
              <w:spacing w:after="0"/>
              <w:rPr>
                <w:sz w:val="14"/>
                <w:szCs w:val="14"/>
                <w:color w:val="auto"/>
              </w:rPr>
            </w:pP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.94</w:t>
            </w: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.96</w:t>
            </w:r>
          </w:p>
        </w:tc>
        <w:tc>
          <w:tcPr>
            <w:tcW w:w="120" w:type="dxa"/>
            <w:vAlign w:val="bottom"/>
            <w:shd w:val="clear" w:color="auto" w:fill="F0FFFF"/>
          </w:tcPr>
          <w:p>
            <w:pPr>
              <w:spacing w:after="0"/>
              <w:rPr>
                <w:sz w:val="14"/>
                <w:szCs w:val="14"/>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.95</w:t>
            </w:r>
          </w:p>
        </w:tc>
        <w:tc>
          <w:tcPr>
            <w:tcW w:w="100" w:type="dxa"/>
            <w:vAlign w:val="bottom"/>
            <w:shd w:val="clear" w:color="auto" w:fill="F0FFFF"/>
          </w:tcPr>
          <w:p>
            <w:pPr>
              <w:spacing w:after="0"/>
              <w:rPr>
                <w:sz w:val="14"/>
                <w:szCs w:val="14"/>
                <w:color w:val="auto"/>
              </w:rPr>
            </w:pP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.88</w:t>
            </w:r>
          </w:p>
        </w:tc>
        <w:tc>
          <w:tcPr>
            <w:tcW w:w="120" w:type="dxa"/>
            <w:vAlign w:val="bottom"/>
            <w:shd w:val="clear" w:color="auto" w:fill="F0FFFF"/>
          </w:tcPr>
          <w:p>
            <w:pPr>
              <w:spacing w:after="0"/>
              <w:rPr>
                <w:sz w:val="14"/>
                <w:szCs w:val="14"/>
                <w:color w:val="auto"/>
              </w:rPr>
            </w:pPr>
          </w:p>
        </w:tc>
        <w:tc>
          <w:tcPr>
            <w:tcW w:w="7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.97</w:t>
            </w:r>
          </w:p>
        </w:tc>
        <w:tc>
          <w:tcPr>
            <w:tcW w:w="240" w:type="dxa"/>
            <w:vAlign w:val="bottom"/>
            <w:shd w:val="clear" w:color="auto" w:fill="F0FFFF"/>
          </w:tcPr>
          <w:p>
            <w:pPr>
              <w:spacing w:after="0"/>
              <w:rPr>
                <w:sz w:val="14"/>
                <w:szCs w:val="14"/>
                <w:color w:val="auto"/>
              </w:rPr>
            </w:pPr>
          </w:p>
        </w:tc>
        <w:tc>
          <w:tcPr>
            <w:tcW w:w="7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.87</w:t>
            </w:r>
          </w:p>
        </w:tc>
        <w:tc>
          <w:tcPr>
            <w:tcW w:w="7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300"/>
              <w:spacing w:after="0" w:line="216" w:lineRule="exact"/>
              <w:rPr>
                <w:sz w:val="20"/>
                <w:szCs w:val="20"/>
                <w:color w:val="auto"/>
              </w:rPr>
            </w:pPr>
            <w:r>
              <w:rPr>
                <w:rFonts w:ascii="Arial" w:cs="Arial" w:eastAsia="Arial" w:hAnsi="Arial"/>
                <w:sz w:val="14"/>
                <w:szCs w:val="14"/>
                <w:color w:val="auto"/>
              </w:rPr>
              <w:t xml:space="preserve">Return on assets - GAAP </w:t>
            </w:r>
            <w:r>
              <w:rPr>
                <w:rFonts w:ascii="Arial" w:cs="Arial" w:eastAsia="Arial" w:hAnsi="Arial"/>
                <w:sz w:val="23"/>
                <w:szCs w:val="23"/>
                <w:color w:val="auto"/>
                <w:vertAlign w:val="superscript"/>
              </w:rPr>
              <w:t>(4)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.92</w:t>
            </w:r>
          </w:p>
        </w:tc>
        <w:tc>
          <w:tcPr>
            <w:tcW w:w="2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.87</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shd w:val="clear" w:color="auto" w:fill="F0FFFF"/>
          </w:tcPr>
          <w:p>
            <w:pPr>
              <w:ind w:left="300"/>
              <w:spacing w:after="0"/>
              <w:rPr>
                <w:sz w:val="20"/>
                <w:szCs w:val="20"/>
                <w:color w:val="auto"/>
              </w:rPr>
            </w:pPr>
            <w:r>
              <w:rPr>
                <w:rFonts w:ascii="Arial" w:cs="Arial" w:eastAsia="Arial" w:hAnsi="Arial"/>
                <w:sz w:val="14"/>
                <w:szCs w:val="14"/>
                <w:color w:val="auto"/>
              </w:rPr>
              <w:t>Dividend payout ratio -</w:t>
            </w:r>
          </w:p>
        </w:tc>
        <w:tc>
          <w:tcPr>
            <w:tcW w:w="1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60" w:type="dxa"/>
            <w:vAlign w:val="bottom"/>
            <w:shd w:val="clear" w:color="auto" w:fill="F0FFFF"/>
          </w:tcPr>
          <w:p>
            <w:pPr>
              <w:spacing w:after="0"/>
              <w:rPr>
                <w:sz w:val="14"/>
                <w:szCs w:val="14"/>
                <w:color w:val="auto"/>
              </w:rPr>
            </w:pPr>
          </w:p>
        </w:tc>
        <w:tc>
          <w:tcPr>
            <w:tcW w:w="240" w:type="dxa"/>
            <w:vAlign w:val="bottom"/>
            <w:tcBorders>
              <w:right w:val="single" w:sz="8" w:color="F0FFFF"/>
            </w:tcBorders>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640" w:type="dxa"/>
            <w:vAlign w:val="bottom"/>
            <w:shd w:val="clear" w:color="auto" w:fill="F0FFFF"/>
          </w:tcPr>
          <w:p>
            <w:pPr>
              <w:spacing w:after="0"/>
              <w:rPr>
                <w:sz w:val="14"/>
                <w:szCs w:val="14"/>
                <w:color w:val="auto"/>
              </w:rPr>
            </w:pPr>
          </w:p>
        </w:tc>
        <w:tc>
          <w:tcPr>
            <w:tcW w:w="220" w:type="dxa"/>
            <w:vAlign w:val="bottom"/>
            <w:tcBorders>
              <w:right w:val="single" w:sz="8" w:color="F0FFFF"/>
            </w:tcBorders>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7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60" w:type="dxa"/>
            <w:vAlign w:val="bottom"/>
            <w:shd w:val="clear" w:color="auto" w:fill="F0FFFF"/>
          </w:tcPr>
          <w:p>
            <w:pPr>
              <w:ind w:left="460"/>
              <w:spacing w:after="0" w:line="198" w:lineRule="exact"/>
              <w:rPr>
                <w:sz w:val="20"/>
                <w:szCs w:val="20"/>
                <w:color w:val="auto"/>
              </w:rPr>
            </w:pPr>
            <w:r>
              <w:rPr>
                <w:rFonts w:ascii="Arial" w:cs="Arial" w:eastAsia="Arial" w:hAnsi="Arial"/>
                <w:sz w:val="14"/>
                <w:szCs w:val="14"/>
                <w:color w:val="auto"/>
              </w:rPr>
              <w:t xml:space="preserve">operating </w:t>
            </w:r>
            <w:r>
              <w:rPr>
                <w:rFonts w:ascii="Arial" w:cs="Arial" w:eastAsia="Arial" w:hAnsi="Arial"/>
                <w:sz w:val="22"/>
                <w:szCs w:val="22"/>
                <w:color w:val="auto"/>
                <w:vertAlign w:val="superscript"/>
              </w:rPr>
              <w:t>(1)</w:t>
            </w:r>
          </w:p>
        </w:tc>
        <w:tc>
          <w:tcPr>
            <w:tcW w:w="1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15.63</w:t>
            </w:r>
          </w:p>
        </w:tc>
        <w:tc>
          <w:tcPr>
            <w:tcW w:w="120" w:type="dxa"/>
            <w:vAlign w:val="bottom"/>
            <w:shd w:val="clear" w:color="auto" w:fill="F0FFFF"/>
          </w:tcPr>
          <w:p>
            <w:pPr>
              <w:spacing w:after="0"/>
              <w:rPr>
                <w:sz w:val="17"/>
                <w:szCs w:val="17"/>
                <w:color w:val="auto"/>
              </w:rPr>
            </w:pP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17.24</w:t>
            </w: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16.67</w:t>
            </w:r>
          </w:p>
        </w:tc>
        <w:tc>
          <w:tcPr>
            <w:tcW w:w="120" w:type="dxa"/>
            <w:vAlign w:val="bottom"/>
            <w:shd w:val="clear" w:color="auto" w:fill="F0FFFF"/>
          </w:tcPr>
          <w:p>
            <w:pPr>
              <w:spacing w:after="0"/>
              <w:rPr>
                <w:sz w:val="17"/>
                <w:szCs w:val="17"/>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10.34</w:t>
            </w:r>
          </w:p>
        </w:tc>
        <w:tc>
          <w:tcPr>
            <w:tcW w:w="100" w:type="dxa"/>
            <w:vAlign w:val="bottom"/>
            <w:shd w:val="clear" w:color="auto" w:fill="F0FFFF"/>
          </w:tcPr>
          <w:p>
            <w:pPr>
              <w:spacing w:after="0"/>
              <w:rPr>
                <w:sz w:val="17"/>
                <w:szCs w:val="17"/>
                <w:color w:val="auto"/>
              </w:rPr>
            </w:pP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11.11</w:t>
            </w:r>
          </w:p>
        </w:tc>
        <w:tc>
          <w:tcPr>
            <w:tcW w:w="1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16.39</w:t>
            </w:r>
          </w:p>
        </w:tc>
        <w:tc>
          <w:tcPr>
            <w:tcW w:w="240" w:type="dxa"/>
            <w:vAlign w:val="bottom"/>
            <w:shd w:val="clear" w:color="auto" w:fill="F0FFFF"/>
          </w:tcPr>
          <w:p>
            <w:pPr>
              <w:spacing w:after="0"/>
              <w:rPr>
                <w:sz w:val="17"/>
                <w:szCs w:val="17"/>
                <w:color w:val="auto"/>
              </w:rPr>
            </w:pPr>
          </w:p>
        </w:tc>
        <w:tc>
          <w:tcPr>
            <w:tcW w:w="7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5.77</w:t>
            </w:r>
          </w:p>
        </w:tc>
        <w:tc>
          <w:tcPr>
            <w:tcW w:w="7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160" w:type="dxa"/>
            <w:vAlign w:val="bottom"/>
          </w:tcPr>
          <w:p>
            <w:pPr>
              <w:ind w:left="300"/>
              <w:spacing w:after="0" w:line="157" w:lineRule="exact"/>
              <w:rPr>
                <w:sz w:val="20"/>
                <w:szCs w:val="20"/>
                <w:color w:val="auto"/>
              </w:rPr>
            </w:pPr>
            <w:r>
              <w:rPr>
                <w:rFonts w:ascii="Arial" w:cs="Arial" w:eastAsia="Arial" w:hAnsi="Arial"/>
                <w:sz w:val="14"/>
                <w:szCs w:val="14"/>
                <w:color w:val="auto"/>
              </w:rPr>
              <w:t>Dividend payout ratio -</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ind w:left="460"/>
              <w:spacing w:after="0"/>
              <w:rPr>
                <w:sz w:val="20"/>
                <w:szCs w:val="20"/>
                <w:color w:val="auto"/>
              </w:rPr>
            </w:pPr>
            <w:r>
              <w:rPr>
                <w:rFonts w:ascii="Arial" w:cs="Arial" w:eastAsia="Arial" w:hAnsi="Arial"/>
                <w:sz w:val="14"/>
                <w:szCs w:val="14"/>
                <w:color w:val="auto"/>
              </w:rPr>
              <w:t>GAAP</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17.86</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17.24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16.67</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10.34</w:t>
            </w:r>
          </w:p>
        </w:tc>
        <w:tc>
          <w:tcPr>
            <w:tcW w:w="1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11.11</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17.54</w:t>
            </w:r>
          </w:p>
        </w:tc>
        <w:tc>
          <w:tcPr>
            <w:tcW w:w="24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5.77</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F0FFFF"/>
          </w:tcPr>
          <w:p>
            <w:pPr>
              <w:ind w:left="300"/>
              <w:spacing w:after="0" w:line="216" w:lineRule="exact"/>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23"/>
                <w:szCs w:val="23"/>
                <w:color w:val="auto"/>
                <w:vertAlign w:val="superscript"/>
              </w:rPr>
              <w:t>(4)</w:t>
            </w:r>
          </w:p>
        </w:tc>
        <w:tc>
          <w:tcPr>
            <w:tcW w:w="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3.30</w:t>
            </w:r>
          </w:p>
        </w:tc>
        <w:tc>
          <w:tcPr>
            <w:tcW w:w="12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3.31</w:t>
            </w: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3.31</w:t>
            </w:r>
          </w:p>
        </w:tc>
        <w:tc>
          <w:tcPr>
            <w:tcW w:w="120" w:type="dxa"/>
            <w:vAlign w:val="bottom"/>
            <w:shd w:val="clear" w:color="auto" w:fill="F0FFFF"/>
          </w:tcPr>
          <w:p>
            <w:pPr>
              <w:spacing w:after="0"/>
              <w:rPr>
                <w:sz w:val="18"/>
                <w:szCs w:val="18"/>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3.21</w:t>
            </w:r>
          </w:p>
        </w:tc>
        <w:tc>
          <w:tcPr>
            <w:tcW w:w="1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3.30</w:t>
            </w:r>
          </w:p>
        </w:tc>
        <w:tc>
          <w:tcPr>
            <w:tcW w:w="24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3.21</w:t>
            </w:r>
          </w:p>
        </w:tc>
        <w:tc>
          <w:tcPr>
            <w:tcW w:w="7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tcPr>
          <w:p>
            <w:pPr>
              <w:ind w:left="300"/>
              <w:spacing w:after="0" w:line="203" w:lineRule="exact"/>
              <w:rPr>
                <w:sz w:val="20"/>
                <w:szCs w:val="20"/>
                <w:color w:val="auto"/>
              </w:rPr>
            </w:pPr>
            <w:r>
              <w:rPr>
                <w:rFonts w:ascii="Arial" w:cs="Arial" w:eastAsia="Arial" w:hAnsi="Arial"/>
                <w:sz w:val="14"/>
                <w:szCs w:val="14"/>
                <w:color w:val="auto"/>
              </w:rPr>
              <w:t>Efficiency ratio - operating</w:t>
            </w:r>
            <w:r>
              <w:rPr>
                <w:rFonts w:ascii="Arial" w:cs="Arial" w:eastAsia="Arial" w:hAnsi="Arial"/>
                <w:sz w:val="22"/>
                <w:szCs w:val="22"/>
                <w:color w:val="auto"/>
                <w:vertAlign w:val="superscript"/>
              </w:rPr>
              <w:t>(1)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57.59</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59.15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57.47</w:t>
            </w:r>
          </w:p>
        </w:tc>
        <w:tc>
          <w:tcPr>
            <w:tcW w:w="12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57.96</w:t>
            </w: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58.65</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58.34</w:t>
            </w:r>
          </w:p>
        </w:tc>
        <w:tc>
          <w:tcPr>
            <w:tcW w:w="2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58.85</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shd w:val="clear" w:color="auto" w:fill="F0FFFF"/>
          </w:tcPr>
          <w:p>
            <w:pPr>
              <w:ind w:left="300"/>
              <w:spacing w:after="0"/>
              <w:rPr>
                <w:sz w:val="20"/>
                <w:szCs w:val="20"/>
                <w:color w:val="auto"/>
              </w:rPr>
            </w:pPr>
            <w:r>
              <w:rPr>
                <w:rFonts w:ascii="Arial" w:cs="Arial" w:eastAsia="Arial" w:hAnsi="Arial"/>
                <w:sz w:val="14"/>
                <w:szCs w:val="14"/>
                <w:color w:val="auto"/>
              </w:rPr>
              <w:t>Efficiency ratio - GAAP</w:t>
            </w:r>
          </w:p>
        </w:tc>
        <w:tc>
          <w:tcPr>
            <w:tcW w:w="1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61.63</w:t>
            </w:r>
          </w:p>
        </w:tc>
        <w:tc>
          <w:tcPr>
            <w:tcW w:w="120" w:type="dxa"/>
            <w:vAlign w:val="bottom"/>
            <w:shd w:val="clear" w:color="auto" w:fill="F0FFFF"/>
          </w:tcPr>
          <w:p>
            <w:pPr>
              <w:spacing w:after="0"/>
              <w:rPr>
                <w:sz w:val="15"/>
                <w:szCs w:val="15"/>
                <w:color w:val="auto"/>
              </w:rPr>
            </w:pP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59.15</w:t>
            </w:r>
          </w:p>
        </w:tc>
        <w:tc>
          <w:tcPr>
            <w:tcW w:w="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57.47</w:t>
            </w:r>
          </w:p>
        </w:tc>
        <w:tc>
          <w:tcPr>
            <w:tcW w:w="120" w:type="dxa"/>
            <w:vAlign w:val="bottom"/>
            <w:shd w:val="clear" w:color="auto" w:fill="F0FFFF"/>
          </w:tcPr>
          <w:p>
            <w:pPr>
              <w:spacing w:after="0"/>
              <w:rPr>
                <w:sz w:val="15"/>
                <w:szCs w:val="15"/>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57.96</w:t>
            </w:r>
          </w:p>
        </w:tc>
        <w:tc>
          <w:tcPr>
            <w:tcW w:w="100" w:type="dxa"/>
            <w:vAlign w:val="bottom"/>
            <w:shd w:val="clear" w:color="auto" w:fill="F0FFFF"/>
          </w:tcPr>
          <w:p>
            <w:pPr>
              <w:spacing w:after="0"/>
              <w:rPr>
                <w:sz w:val="15"/>
                <w:szCs w:val="15"/>
                <w:color w:val="auto"/>
              </w:rPr>
            </w:pP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58.65</w:t>
            </w:r>
          </w:p>
        </w:tc>
        <w:tc>
          <w:tcPr>
            <w:tcW w:w="120" w:type="dxa"/>
            <w:vAlign w:val="bottom"/>
            <w:shd w:val="clear" w:color="auto" w:fill="F0FFFF"/>
          </w:tcPr>
          <w:p>
            <w:pPr>
              <w:spacing w:after="0"/>
              <w:rPr>
                <w:sz w:val="15"/>
                <w:szCs w:val="15"/>
                <w:color w:val="auto"/>
              </w:rPr>
            </w:pPr>
          </w:p>
        </w:tc>
        <w:tc>
          <w:tcPr>
            <w:tcW w:w="78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60.44</w:t>
            </w:r>
          </w:p>
        </w:tc>
        <w:tc>
          <w:tcPr>
            <w:tcW w:w="240" w:type="dxa"/>
            <w:vAlign w:val="bottom"/>
            <w:shd w:val="clear" w:color="auto" w:fill="F0FFFF"/>
          </w:tcPr>
          <w:p>
            <w:pPr>
              <w:spacing w:after="0"/>
              <w:rPr>
                <w:sz w:val="15"/>
                <w:szCs w:val="15"/>
                <w:color w:val="auto"/>
              </w:rPr>
            </w:pPr>
          </w:p>
        </w:tc>
        <w:tc>
          <w:tcPr>
            <w:tcW w:w="7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58.85</w:t>
            </w:r>
          </w:p>
        </w:tc>
        <w:tc>
          <w:tcPr>
            <w:tcW w:w="7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160" w:type="dxa"/>
            <w:vAlign w:val="bottom"/>
          </w:tcPr>
          <w:p>
            <w:pPr>
              <w:ind w:left="300"/>
              <w:spacing w:after="0" w:line="157" w:lineRule="exact"/>
              <w:rPr>
                <w:sz w:val="20"/>
                <w:szCs w:val="20"/>
                <w:color w:val="auto"/>
              </w:rPr>
            </w:pPr>
            <w:r>
              <w:rPr>
                <w:rFonts w:ascii="Arial" w:cs="Arial" w:eastAsia="Arial" w:hAnsi="Arial"/>
                <w:sz w:val="14"/>
                <w:szCs w:val="14"/>
                <w:color w:val="auto"/>
              </w:rPr>
              <w:t>Average equity to average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ind w:left="460"/>
              <w:spacing w:after="0"/>
              <w:rPr>
                <w:sz w:val="20"/>
                <w:szCs w:val="20"/>
                <w:color w:val="auto"/>
              </w:rPr>
            </w:pPr>
            <w:r>
              <w:rPr>
                <w:rFonts w:ascii="Arial" w:cs="Arial" w:eastAsia="Arial" w:hAnsi="Arial"/>
                <w:sz w:val="14"/>
                <w:szCs w:val="14"/>
                <w:color w:val="auto"/>
              </w:rPr>
              <w:t>assets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10.05</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9.86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9.76</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9.85</w:t>
            </w:r>
          </w:p>
        </w:tc>
        <w:tc>
          <w:tcPr>
            <w:tcW w:w="1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9.61</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9.96</w:t>
            </w:r>
          </w:p>
        </w:tc>
        <w:tc>
          <w:tcPr>
            <w:tcW w:w="24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9.56</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shd w:val="clear" w:color="auto" w:fill="F0FFFF"/>
          </w:tcPr>
          <w:p>
            <w:pPr>
              <w:ind w:left="300"/>
              <w:spacing w:after="0"/>
              <w:rPr>
                <w:sz w:val="20"/>
                <w:szCs w:val="20"/>
                <w:color w:val="auto"/>
              </w:rPr>
            </w:pPr>
            <w:r>
              <w:rPr>
                <w:rFonts w:ascii="Arial" w:cs="Arial" w:eastAsia="Arial" w:hAnsi="Arial"/>
                <w:sz w:val="14"/>
                <w:szCs w:val="14"/>
                <w:color w:val="auto"/>
              </w:rPr>
              <w:t>Average tangible equity to</w:t>
            </w:r>
          </w:p>
        </w:tc>
        <w:tc>
          <w:tcPr>
            <w:tcW w:w="1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60" w:type="dxa"/>
            <w:vAlign w:val="bottom"/>
            <w:shd w:val="clear" w:color="auto" w:fill="F0FFFF"/>
          </w:tcPr>
          <w:p>
            <w:pPr>
              <w:spacing w:after="0"/>
              <w:rPr>
                <w:sz w:val="14"/>
                <w:szCs w:val="14"/>
                <w:color w:val="auto"/>
              </w:rPr>
            </w:pPr>
          </w:p>
        </w:tc>
        <w:tc>
          <w:tcPr>
            <w:tcW w:w="240" w:type="dxa"/>
            <w:vAlign w:val="bottom"/>
            <w:tcBorders>
              <w:right w:val="single" w:sz="8" w:color="F0FFFF"/>
            </w:tcBorders>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640" w:type="dxa"/>
            <w:vAlign w:val="bottom"/>
            <w:shd w:val="clear" w:color="auto" w:fill="F0FFFF"/>
          </w:tcPr>
          <w:p>
            <w:pPr>
              <w:spacing w:after="0"/>
              <w:rPr>
                <w:sz w:val="14"/>
                <w:szCs w:val="14"/>
                <w:color w:val="auto"/>
              </w:rPr>
            </w:pPr>
          </w:p>
        </w:tc>
        <w:tc>
          <w:tcPr>
            <w:tcW w:w="220" w:type="dxa"/>
            <w:vAlign w:val="bottom"/>
            <w:tcBorders>
              <w:right w:val="single" w:sz="8" w:color="F0FFFF"/>
            </w:tcBorders>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7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60" w:type="dxa"/>
            <w:vAlign w:val="bottom"/>
            <w:shd w:val="clear" w:color="auto" w:fill="F0FFFF"/>
          </w:tcPr>
          <w:p>
            <w:pPr>
              <w:ind w:left="460"/>
              <w:spacing w:after="0" w:line="198" w:lineRule="exact"/>
              <w:rPr>
                <w:sz w:val="20"/>
                <w:szCs w:val="20"/>
                <w:color w:val="auto"/>
              </w:rPr>
            </w:pPr>
            <w:r>
              <w:rPr>
                <w:rFonts w:ascii="Arial" w:cs="Arial" w:eastAsia="Arial" w:hAnsi="Arial"/>
                <w:sz w:val="14"/>
                <w:szCs w:val="14"/>
                <w:color w:val="auto"/>
              </w:rPr>
              <w:t xml:space="preserve">average assets </w:t>
            </w:r>
            <w:r>
              <w:rPr>
                <w:rFonts w:ascii="Arial" w:cs="Arial" w:eastAsia="Arial" w:hAnsi="Arial"/>
                <w:sz w:val="22"/>
                <w:szCs w:val="22"/>
                <w:color w:val="auto"/>
                <w:vertAlign w:val="superscript"/>
              </w:rPr>
              <w:t>(3)</w:t>
            </w:r>
          </w:p>
        </w:tc>
        <w:tc>
          <w:tcPr>
            <w:tcW w:w="1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9.91</w:t>
            </w:r>
          </w:p>
        </w:tc>
        <w:tc>
          <w:tcPr>
            <w:tcW w:w="120" w:type="dxa"/>
            <w:vAlign w:val="bottom"/>
            <w:shd w:val="clear" w:color="auto" w:fill="F0FFFF"/>
          </w:tcPr>
          <w:p>
            <w:pPr>
              <w:spacing w:after="0"/>
              <w:rPr>
                <w:sz w:val="17"/>
                <w:szCs w:val="17"/>
                <w:color w:val="auto"/>
              </w:rPr>
            </w:pP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9.82</w:t>
            </w: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9.72</w:t>
            </w:r>
          </w:p>
        </w:tc>
        <w:tc>
          <w:tcPr>
            <w:tcW w:w="120" w:type="dxa"/>
            <w:vAlign w:val="bottom"/>
            <w:shd w:val="clear" w:color="auto" w:fill="F0FFFF"/>
          </w:tcPr>
          <w:p>
            <w:pPr>
              <w:spacing w:after="0"/>
              <w:rPr>
                <w:sz w:val="17"/>
                <w:szCs w:val="17"/>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9.83</w:t>
            </w:r>
          </w:p>
        </w:tc>
        <w:tc>
          <w:tcPr>
            <w:tcW w:w="100" w:type="dxa"/>
            <w:vAlign w:val="bottom"/>
            <w:shd w:val="clear" w:color="auto" w:fill="F0FFFF"/>
          </w:tcPr>
          <w:p>
            <w:pPr>
              <w:spacing w:after="0"/>
              <w:rPr>
                <w:sz w:val="17"/>
                <w:szCs w:val="17"/>
                <w:color w:val="auto"/>
              </w:rPr>
            </w:pP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9.58</w:t>
            </w:r>
          </w:p>
        </w:tc>
        <w:tc>
          <w:tcPr>
            <w:tcW w:w="1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9.87</w:t>
            </w:r>
          </w:p>
        </w:tc>
        <w:tc>
          <w:tcPr>
            <w:tcW w:w="240" w:type="dxa"/>
            <w:vAlign w:val="bottom"/>
            <w:shd w:val="clear" w:color="auto" w:fill="F0FFFF"/>
          </w:tcPr>
          <w:p>
            <w:pPr>
              <w:spacing w:after="0"/>
              <w:rPr>
                <w:sz w:val="17"/>
                <w:szCs w:val="17"/>
                <w:color w:val="auto"/>
              </w:rPr>
            </w:pPr>
          </w:p>
        </w:tc>
        <w:tc>
          <w:tcPr>
            <w:tcW w:w="7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9.54</w:t>
            </w:r>
          </w:p>
        </w:tc>
        <w:tc>
          <w:tcPr>
            <w:tcW w:w="7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ind w:left="300"/>
              <w:spacing w:after="0"/>
              <w:rPr>
                <w:sz w:val="20"/>
                <w:szCs w:val="20"/>
                <w:color w:val="auto"/>
              </w:rPr>
            </w:pPr>
            <w:r>
              <w:rPr>
                <w:rFonts w:ascii="Arial" w:cs="Arial" w:eastAsia="Arial" w:hAnsi="Arial"/>
                <w:sz w:val="14"/>
                <w:szCs w:val="14"/>
                <w:color w:val="auto"/>
              </w:rPr>
              <w:t>Average tangible common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60" w:type="dxa"/>
            <w:vAlign w:val="bottom"/>
          </w:tcPr>
          <w:p>
            <w:pPr>
              <w:ind w:left="460"/>
              <w:spacing w:after="0" w:line="198" w:lineRule="exact"/>
              <w:rPr>
                <w:sz w:val="20"/>
                <w:szCs w:val="20"/>
                <w:color w:val="auto"/>
              </w:rPr>
            </w:pPr>
            <w:r>
              <w:rPr>
                <w:rFonts w:ascii="Arial" w:cs="Arial" w:eastAsia="Arial" w:hAnsi="Arial"/>
                <w:sz w:val="14"/>
                <w:szCs w:val="14"/>
                <w:color w:val="auto"/>
                <w:w w:val="96"/>
              </w:rPr>
              <w:t xml:space="preserve">equity to average assets </w:t>
            </w:r>
            <w:r>
              <w:rPr>
                <w:rFonts w:ascii="Arial" w:cs="Arial" w:eastAsia="Arial" w:hAnsi="Arial"/>
                <w:sz w:val="22"/>
                <w:szCs w:val="22"/>
                <w:color w:val="auto"/>
                <w:w w:val="96"/>
                <w:vertAlign w:val="superscript"/>
              </w:rPr>
              <w:t>(3)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9.83</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9.82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9.72</w:t>
            </w:r>
          </w:p>
        </w:tc>
        <w:tc>
          <w:tcPr>
            <w:tcW w:w="12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9.83</w:t>
            </w: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9.58</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9.83</w:t>
            </w:r>
          </w:p>
        </w:tc>
        <w:tc>
          <w:tcPr>
            <w:tcW w:w="2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9.40</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shd w:val="clear" w:color="auto" w:fill="F0FFFF"/>
          </w:tcPr>
          <w:p>
            <w:pPr>
              <w:ind w:left="300"/>
              <w:spacing w:after="0"/>
              <w:rPr>
                <w:sz w:val="20"/>
                <w:szCs w:val="20"/>
                <w:color w:val="auto"/>
              </w:rPr>
            </w:pPr>
            <w:r>
              <w:rPr>
                <w:rFonts w:ascii="Arial" w:cs="Arial" w:eastAsia="Arial" w:hAnsi="Arial"/>
                <w:sz w:val="14"/>
                <w:szCs w:val="14"/>
                <w:color w:val="auto"/>
              </w:rPr>
              <w:t>Tangible common equity to</w:t>
            </w:r>
          </w:p>
        </w:tc>
        <w:tc>
          <w:tcPr>
            <w:tcW w:w="1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60" w:type="dxa"/>
            <w:vAlign w:val="bottom"/>
            <w:shd w:val="clear" w:color="auto" w:fill="F0FFFF"/>
          </w:tcPr>
          <w:p>
            <w:pPr>
              <w:spacing w:after="0"/>
              <w:rPr>
                <w:sz w:val="14"/>
                <w:szCs w:val="14"/>
                <w:color w:val="auto"/>
              </w:rPr>
            </w:pPr>
          </w:p>
        </w:tc>
        <w:tc>
          <w:tcPr>
            <w:tcW w:w="240" w:type="dxa"/>
            <w:vAlign w:val="bottom"/>
            <w:tcBorders>
              <w:right w:val="single" w:sz="8" w:color="F0FFFF"/>
            </w:tcBorders>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640" w:type="dxa"/>
            <w:vAlign w:val="bottom"/>
            <w:shd w:val="clear" w:color="auto" w:fill="F0FFFF"/>
          </w:tcPr>
          <w:p>
            <w:pPr>
              <w:spacing w:after="0"/>
              <w:rPr>
                <w:sz w:val="14"/>
                <w:szCs w:val="14"/>
                <w:color w:val="auto"/>
              </w:rPr>
            </w:pPr>
          </w:p>
        </w:tc>
        <w:tc>
          <w:tcPr>
            <w:tcW w:w="220" w:type="dxa"/>
            <w:vAlign w:val="bottom"/>
            <w:tcBorders>
              <w:right w:val="single" w:sz="8" w:color="F0FFFF"/>
            </w:tcBorders>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7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60" w:type="dxa"/>
            <w:vAlign w:val="bottom"/>
            <w:shd w:val="clear" w:color="auto" w:fill="F0FFFF"/>
          </w:tcPr>
          <w:p>
            <w:pPr>
              <w:ind w:left="460"/>
              <w:spacing w:after="0" w:line="198" w:lineRule="exact"/>
              <w:rPr>
                <w:sz w:val="20"/>
                <w:szCs w:val="20"/>
                <w:color w:val="auto"/>
              </w:rPr>
            </w:pPr>
            <w:r>
              <w:rPr>
                <w:rFonts w:ascii="Arial" w:cs="Arial" w:eastAsia="Arial" w:hAnsi="Arial"/>
                <w:sz w:val="14"/>
                <w:szCs w:val="14"/>
                <w:color w:val="auto"/>
              </w:rPr>
              <w:t xml:space="preserve">risk-weighted assets </w:t>
            </w:r>
            <w:r>
              <w:rPr>
                <w:rFonts w:ascii="Arial" w:cs="Arial" w:eastAsia="Arial" w:hAnsi="Arial"/>
                <w:sz w:val="22"/>
                <w:szCs w:val="22"/>
                <w:color w:val="auto"/>
                <w:vertAlign w:val="superscript"/>
              </w:rPr>
              <w:t>(3)(5)</w:t>
            </w:r>
          </w:p>
        </w:tc>
        <w:tc>
          <w:tcPr>
            <w:tcW w:w="1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13.24</w:t>
            </w:r>
          </w:p>
        </w:tc>
        <w:tc>
          <w:tcPr>
            <w:tcW w:w="120" w:type="dxa"/>
            <w:vAlign w:val="bottom"/>
            <w:shd w:val="clear" w:color="auto" w:fill="F0FFFF"/>
          </w:tcPr>
          <w:p>
            <w:pPr>
              <w:spacing w:after="0"/>
              <w:rPr>
                <w:sz w:val="17"/>
                <w:szCs w:val="17"/>
                <w:color w:val="auto"/>
              </w:rPr>
            </w:pP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13.53</w:t>
            </w:r>
          </w:p>
        </w:tc>
        <w:tc>
          <w:tcPr>
            <w:tcW w:w="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13.82</w:t>
            </w:r>
          </w:p>
        </w:tc>
        <w:tc>
          <w:tcPr>
            <w:tcW w:w="120" w:type="dxa"/>
            <w:vAlign w:val="bottom"/>
            <w:shd w:val="clear" w:color="auto" w:fill="F0FFFF"/>
          </w:tcPr>
          <w:p>
            <w:pPr>
              <w:spacing w:after="0"/>
              <w:rPr>
                <w:sz w:val="17"/>
                <w:szCs w:val="17"/>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14.10</w:t>
            </w:r>
          </w:p>
        </w:tc>
        <w:tc>
          <w:tcPr>
            <w:tcW w:w="100" w:type="dxa"/>
            <w:vAlign w:val="bottom"/>
            <w:shd w:val="clear" w:color="auto" w:fill="F0FFFF"/>
          </w:tcPr>
          <w:p>
            <w:pPr>
              <w:spacing w:after="0"/>
              <w:rPr>
                <w:sz w:val="17"/>
                <w:szCs w:val="17"/>
                <w:color w:val="auto"/>
              </w:rPr>
            </w:pP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13.92</w:t>
            </w:r>
          </w:p>
        </w:tc>
        <w:tc>
          <w:tcPr>
            <w:tcW w:w="1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13.24</w:t>
            </w:r>
          </w:p>
        </w:tc>
        <w:tc>
          <w:tcPr>
            <w:tcW w:w="240" w:type="dxa"/>
            <w:vAlign w:val="bottom"/>
            <w:shd w:val="clear" w:color="auto" w:fill="F0FFFF"/>
          </w:tcPr>
          <w:p>
            <w:pPr>
              <w:spacing w:after="0"/>
              <w:rPr>
                <w:sz w:val="17"/>
                <w:szCs w:val="17"/>
                <w:color w:val="auto"/>
              </w:rPr>
            </w:pPr>
          </w:p>
        </w:tc>
        <w:tc>
          <w:tcPr>
            <w:tcW w:w="7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13.92</w:t>
            </w:r>
          </w:p>
        </w:tc>
        <w:tc>
          <w:tcPr>
            <w:tcW w:w="7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b w:val="1"/>
                <w:bCs w:val="1"/>
                <w:color w:val="auto"/>
              </w:rPr>
              <w:t>ASSET QUALITY</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shd w:val="clear" w:color="auto" w:fill="F0FFFF"/>
          </w:tcPr>
          <w:p>
            <w:pPr>
              <w:ind w:left="140"/>
              <w:spacing w:after="0"/>
              <w:rPr>
                <w:sz w:val="20"/>
                <w:szCs w:val="20"/>
                <w:color w:val="auto"/>
              </w:rPr>
            </w:pPr>
            <w:r>
              <w:rPr>
                <w:rFonts w:ascii="Arial" w:cs="Arial" w:eastAsia="Arial" w:hAnsi="Arial"/>
                <w:sz w:val="14"/>
                <w:szCs w:val="14"/>
                <w:color w:val="auto"/>
              </w:rPr>
              <w:t>Nonperforming loans</w:t>
            </w:r>
          </w:p>
        </w:tc>
        <w:tc>
          <w:tcPr>
            <w:tcW w:w="26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18,805</w:t>
            </w:r>
          </w:p>
        </w:tc>
        <w:tc>
          <w:tcPr>
            <w:tcW w:w="12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19,015</w:t>
            </w:r>
          </w:p>
        </w:tc>
        <w:tc>
          <w:tcPr>
            <w:tcW w:w="18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17,881</w:t>
            </w:r>
          </w:p>
        </w:tc>
        <w:tc>
          <w:tcPr>
            <w:tcW w:w="12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18,745</w:t>
            </w:r>
          </w:p>
        </w:tc>
        <w:tc>
          <w:tcPr>
            <w:tcW w:w="10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20,724</w:t>
            </w:r>
          </w:p>
        </w:tc>
        <w:tc>
          <w:tcPr>
            <w:tcW w:w="1120" w:type="dxa"/>
            <w:vAlign w:val="bottom"/>
            <w:gridSpan w:val="3"/>
            <w:shd w:val="clear" w:color="auto" w:fill="F0FFFF"/>
          </w:tcPr>
          <w:p>
            <w:pPr>
              <w:jc w:val="right"/>
              <w:ind w:right="180"/>
              <w:spacing w:after="0"/>
              <w:rPr>
                <w:sz w:val="20"/>
                <w:szCs w:val="20"/>
                <w:color w:val="auto"/>
              </w:rPr>
            </w:pPr>
            <w:r>
              <w:rPr>
                <w:rFonts w:ascii="Arial" w:cs="Arial" w:eastAsia="Arial" w:hAnsi="Arial"/>
                <w:sz w:val="14"/>
                <w:szCs w:val="14"/>
                <w:color w:val="auto"/>
              </w:rPr>
              <w:t>(9)</w:t>
            </w:r>
          </w:p>
        </w:tc>
        <w:tc>
          <w:tcPr>
            <w:tcW w:w="1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18,805</w:t>
            </w:r>
          </w:p>
        </w:tc>
        <w:tc>
          <w:tcPr>
            <w:tcW w:w="240" w:type="dxa"/>
            <w:vAlign w:val="bottom"/>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20,724</w:t>
            </w:r>
          </w:p>
        </w:tc>
        <w:tc>
          <w:tcPr>
            <w:tcW w:w="7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60" w:type="dxa"/>
            <w:vAlign w:val="bottom"/>
          </w:tcPr>
          <w:p>
            <w:pPr>
              <w:ind w:left="140"/>
              <w:spacing w:after="0" w:line="129" w:lineRule="exact"/>
              <w:rPr>
                <w:sz w:val="20"/>
                <w:szCs w:val="20"/>
                <w:color w:val="auto"/>
              </w:rPr>
            </w:pPr>
            <w:r>
              <w:rPr>
                <w:rFonts w:ascii="Arial" w:cs="Arial" w:eastAsia="Arial" w:hAnsi="Arial"/>
                <w:sz w:val="14"/>
                <w:szCs w:val="14"/>
                <w:color w:val="auto"/>
              </w:rPr>
              <w:t>Foreclosed properties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260"/>
              <w:spacing w:after="0" w:line="129" w:lineRule="exact"/>
              <w:rPr>
                <w:sz w:val="20"/>
                <w:szCs w:val="20"/>
                <w:color w:val="auto"/>
              </w:rPr>
            </w:pPr>
            <w:r>
              <w:rPr>
                <w:rFonts w:ascii="Arial" w:cs="Arial" w:eastAsia="Arial" w:hAnsi="Arial"/>
                <w:sz w:val="14"/>
                <w:szCs w:val="14"/>
                <w:color w:val="auto"/>
              </w:rPr>
              <w:t>2,356</w:t>
            </w:r>
          </w:p>
        </w:tc>
        <w:tc>
          <w:tcPr>
            <w:tcW w:w="120" w:type="dxa"/>
            <w:vAlign w:val="bottom"/>
          </w:tcPr>
          <w:p>
            <w:pPr>
              <w:spacing w:after="0"/>
              <w:rPr>
                <w:sz w:val="13"/>
                <w:szCs w:val="13"/>
                <w:color w:val="auto"/>
              </w:rPr>
            </w:pPr>
          </w:p>
        </w:tc>
        <w:tc>
          <w:tcPr>
            <w:tcW w:w="880" w:type="dxa"/>
            <w:vAlign w:val="bottom"/>
            <w:gridSpan w:val="2"/>
          </w:tcPr>
          <w:p>
            <w:pPr>
              <w:jc w:val="right"/>
              <w:ind w:right="180"/>
              <w:spacing w:after="0" w:line="129" w:lineRule="exact"/>
              <w:rPr>
                <w:sz w:val="20"/>
                <w:szCs w:val="20"/>
                <w:color w:val="auto"/>
              </w:rPr>
            </w:pPr>
            <w:r>
              <w:rPr>
                <w:rFonts w:ascii="Arial" w:cs="Arial" w:eastAsia="Arial" w:hAnsi="Arial"/>
                <w:sz w:val="14"/>
                <w:szCs w:val="14"/>
                <w:color w:val="auto"/>
              </w:rPr>
              <w:t>1,158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220"/>
              <w:spacing w:after="0" w:line="129" w:lineRule="exact"/>
              <w:rPr>
                <w:sz w:val="20"/>
                <w:szCs w:val="20"/>
                <w:color w:val="auto"/>
              </w:rPr>
            </w:pPr>
            <w:r>
              <w:rPr>
                <w:rFonts w:ascii="Arial" w:cs="Arial" w:eastAsia="Arial" w:hAnsi="Arial"/>
                <w:sz w:val="14"/>
                <w:szCs w:val="14"/>
                <w:color w:val="auto"/>
              </w:rPr>
              <w:t>1,726</w:t>
            </w:r>
          </w:p>
        </w:tc>
        <w:tc>
          <w:tcPr>
            <w:tcW w:w="120" w:type="dxa"/>
            <w:vAlign w:val="bottom"/>
          </w:tcPr>
          <w:p>
            <w:pPr>
              <w:spacing w:after="0"/>
              <w:rPr>
                <w:sz w:val="13"/>
                <w:szCs w:val="13"/>
                <w:color w:val="auto"/>
              </w:rPr>
            </w:pPr>
          </w:p>
        </w:tc>
        <w:tc>
          <w:tcPr>
            <w:tcW w:w="900" w:type="dxa"/>
            <w:vAlign w:val="bottom"/>
            <w:gridSpan w:val="2"/>
          </w:tcPr>
          <w:p>
            <w:pPr>
              <w:jc w:val="right"/>
              <w:ind w:right="240"/>
              <w:spacing w:after="0" w:line="129" w:lineRule="exact"/>
              <w:rPr>
                <w:sz w:val="20"/>
                <w:szCs w:val="20"/>
                <w:color w:val="auto"/>
              </w:rPr>
            </w:pPr>
            <w:r>
              <w:rPr>
                <w:rFonts w:ascii="Arial" w:cs="Arial" w:eastAsia="Arial" w:hAnsi="Arial"/>
                <w:sz w:val="14"/>
                <w:szCs w:val="14"/>
                <w:color w:val="auto"/>
              </w:rPr>
              <w:t>3,146</w:t>
            </w:r>
          </w:p>
        </w:tc>
        <w:tc>
          <w:tcPr>
            <w:tcW w:w="100" w:type="dxa"/>
            <w:vAlign w:val="bottom"/>
          </w:tcPr>
          <w:p>
            <w:pPr>
              <w:spacing w:after="0"/>
              <w:rPr>
                <w:sz w:val="13"/>
                <w:szCs w:val="13"/>
                <w:color w:val="auto"/>
              </w:rPr>
            </w:pPr>
          </w:p>
        </w:tc>
        <w:tc>
          <w:tcPr>
            <w:tcW w:w="780" w:type="dxa"/>
            <w:vAlign w:val="bottom"/>
            <w:gridSpan w:val="2"/>
          </w:tcPr>
          <w:p>
            <w:pPr>
              <w:jc w:val="right"/>
              <w:ind w:right="100"/>
              <w:spacing w:after="0" w:line="129" w:lineRule="exact"/>
              <w:rPr>
                <w:sz w:val="20"/>
                <w:szCs w:val="20"/>
                <w:color w:val="auto"/>
              </w:rPr>
            </w:pPr>
            <w:r>
              <w:rPr>
                <w:rFonts w:ascii="Arial" w:cs="Arial" w:eastAsia="Arial" w:hAnsi="Arial"/>
                <w:sz w:val="14"/>
                <w:szCs w:val="14"/>
                <w:color w:val="auto"/>
              </w:rPr>
              <w:t>2,969</w:t>
            </w:r>
          </w:p>
        </w:tc>
        <w:tc>
          <w:tcPr>
            <w:tcW w:w="1120" w:type="dxa"/>
            <w:vAlign w:val="bottom"/>
            <w:gridSpan w:val="3"/>
          </w:tcPr>
          <w:p>
            <w:pPr>
              <w:jc w:val="right"/>
              <w:ind w:right="180"/>
              <w:spacing w:after="0" w:line="129" w:lineRule="exact"/>
              <w:rPr>
                <w:sz w:val="20"/>
                <w:szCs w:val="20"/>
                <w:color w:val="auto"/>
              </w:rPr>
            </w:pPr>
            <w:r>
              <w:rPr>
                <w:rFonts w:ascii="Arial" w:cs="Arial" w:eastAsia="Arial" w:hAnsi="Arial"/>
                <w:sz w:val="14"/>
                <w:szCs w:val="14"/>
                <w:color w:val="auto"/>
              </w:rPr>
              <w:t>(21)</w:t>
            </w:r>
          </w:p>
        </w:tc>
        <w:tc>
          <w:tcPr>
            <w:tcW w:w="160" w:type="dxa"/>
            <w:vAlign w:val="bottom"/>
          </w:tcPr>
          <w:p>
            <w:pPr>
              <w:spacing w:after="0"/>
              <w:rPr>
                <w:sz w:val="13"/>
                <w:szCs w:val="13"/>
                <w:color w:val="auto"/>
              </w:rPr>
            </w:pPr>
          </w:p>
        </w:tc>
        <w:tc>
          <w:tcPr>
            <w:tcW w:w="860" w:type="dxa"/>
            <w:vAlign w:val="bottom"/>
            <w:gridSpan w:val="2"/>
          </w:tcPr>
          <w:p>
            <w:pPr>
              <w:jc w:val="right"/>
              <w:ind w:right="220"/>
              <w:spacing w:after="0" w:line="129" w:lineRule="exact"/>
              <w:rPr>
                <w:sz w:val="20"/>
                <w:szCs w:val="20"/>
                <w:color w:val="auto"/>
              </w:rPr>
            </w:pPr>
            <w:r>
              <w:rPr>
                <w:rFonts w:ascii="Arial" w:cs="Arial" w:eastAsia="Arial" w:hAnsi="Arial"/>
                <w:sz w:val="14"/>
                <w:szCs w:val="14"/>
                <w:color w:val="auto"/>
              </w:rPr>
              <w:t>2,356</w:t>
            </w:r>
          </w:p>
        </w:tc>
        <w:tc>
          <w:tcPr>
            <w:tcW w:w="240" w:type="dxa"/>
            <w:vAlign w:val="bottom"/>
          </w:tcPr>
          <w:p>
            <w:pPr>
              <w:spacing w:after="0"/>
              <w:rPr>
                <w:sz w:val="13"/>
                <w:szCs w:val="13"/>
                <w:color w:val="auto"/>
              </w:rPr>
            </w:pPr>
          </w:p>
        </w:tc>
        <w:tc>
          <w:tcPr>
            <w:tcW w:w="780" w:type="dxa"/>
            <w:vAlign w:val="bottom"/>
            <w:gridSpan w:val="2"/>
          </w:tcPr>
          <w:p>
            <w:pPr>
              <w:jc w:val="right"/>
              <w:ind w:right="240"/>
              <w:spacing w:after="0" w:line="129" w:lineRule="exact"/>
              <w:rPr>
                <w:sz w:val="20"/>
                <w:szCs w:val="20"/>
                <w:color w:val="auto"/>
              </w:rPr>
            </w:pPr>
            <w:r>
              <w:rPr>
                <w:rFonts w:ascii="Arial" w:cs="Arial" w:eastAsia="Arial" w:hAnsi="Arial"/>
                <w:sz w:val="14"/>
                <w:szCs w:val="14"/>
                <w:color w:val="auto"/>
              </w:rPr>
              <w:t>2,969</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160" w:type="dxa"/>
            <w:vAlign w:val="bottom"/>
            <w:shd w:val="clear" w:color="auto" w:fill="F0FFFF"/>
          </w:tcPr>
          <w:p>
            <w:pPr>
              <w:ind w:left="300"/>
              <w:spacing w:after="0" w:line="157" w:lineRule="exact"/>
              <w:rPr>
                <w:sz w:val="20"/>
                <w:szCs w:val="20"/>
                <w:color w:val="auto"/>
              </w:rPr>
            </w:pPr>
            <w:r>
              <w:rPr>
                <w:rFonts w:ascii="Arial" w:cs="Arial" w:eastAsia="Arial" w:hAnsi="Arial"/>
                <w:sz w:val="14"/>
                <w:szCs w:val="14"/>
                <w:color w:val="auto"/>
              </w:rPr>
              <w:t>Total nonperforming assets</w:t>
            </w:r>
          </w:p>
        </w:tc>
        <w:tc>
          <w:tcPr>
            <w:tcW w:w="140" w:type="dxa"/>
            <w:vAlign w:val="bottom"/>
            <w:shd w:val="clear" w:color="auto" w:fill="F0FFFF"/>
          </w:tcPr>
          <w:p>
            <w:pPr>
              <w:spacing w:after="0"/>
              <w:rPr>
                <w:sz w:val="13"/>
                <w:szCs w:val="13"/>
                <w:color w:val="auto"/>
              </w:rPr>
            </w:pPr>
          </w:p>
        </w:tc>
        <w:tc>
          <w:tcPr>
            <w:tcW w:w="120" w:type="dxa"/>
            <w:vAlign w:val="bottom"/>
            <w:tcBorders>
              <w:top w:val="single" w:sz="8" w:color="auto"/>
            </w:tcBorders>
            <w:shd w:val="clear" w:color="auto" w:fill="F0FFFF"/>
          </w:tcPr>
          <w:p>
            <w:pPr>
              <w:spacing w:after="0"/>
              <w:rPr>
                <w:sz w:val="13"/>
                <w:szCs w:val="13"/>
                <w:color w:val="auto"/>
              </w:rPr>
            </w:pPr>
          </w:p>
        </w:tc>
        <w:tc>
          <w:tcPr>
            <w:tcW w:w="680" w:type="dxa"/>
            <w:vAlign w:val="bottom"/>
            <w:tcBorders>
              <w:top w:val="single" w:sz="8" w:color="auto"/>
            </w:tcBorders>
            <w:shd w:val="clear" w:color="auto" w:fill="F0FFFF"/>
          </w:tcPr>
          <w:p>
            <w:pPr>
              <w:spacing w:after="0"/>
              <w:rPr>
                <w:sz w:val="13"/>
                <w:szCs w:val="13"/>
                <w:color w:val="auto"/>
              </w:rPr>
            </w:pPr>
          </w:p>
        </w:tc>
        <w:tc>
          <w:tcPr>
            <w:tcW w:w="260" w:type="dxa"/>
            <w:vAlign w:val="bottom"/>
            <w:shd w:val="clear" w:color="auto" w:fill="F0FFFF"/>
          </w:tcPr>
          <w:p>
            <w:pPr>
              <w:spacing w:after="0"/>
              <w:rPr>
                <w:sz w:val="13"/>
                <w:szCs w:val="13"/>
                <w:color w:val="auto"/>
              </w:rPr>
            </w:pPr>
          </w:p>
        </w:tc>
        <w:tc>
          <w:tcPr>
            <w:tcW w:w="120" w:type="dxa"/>
            <w:vAlign w:val="bottom"/>
            <w:tcBorders>
              <w:top w:val="single" w:sz="8" w:color="auto"/>
            </w:tcBorders>
            <w:shd w:val="clear" w:color="auto" w:fill="F0FFFF"/>
          </w:tcPr>
          <w:p>
            <w:pPr>
              <w:spacing w:after="0"/>
              <w:rPr>
                <w:sz w:val="13"/>
                <w:szCs w:val="13"/>
                <w:color w:val="auto"/>
              </w:rPr>
            </w:pPr>
          </w:p>
        </w:tc>
        <w:tc>
          <w:tcPr>
            <w:tcW w:w="700" w:type="dxa"/>
            <w:vAlign w:val="bottom"/>
            <w:tcBorders>
              <w:top w:val="single" w:sz="8" w:color="auto"/>
            </w:tcBorders>
            <w:shd w:val="clear" w:color="auto" w:fill="F0FFFF"/>
          </w:tcPr>
          <w:p>
            <w:pPr>
              <w:spacing w:after="0"/>
              <w:rPr>
                <w:sz w:val="13"/>
                <w:szCs w:val="13"/>
                <w:color w:val="auto"/>
              </w:rPr>
            </w:pPr>
          </w:p>
        </w:tc>
        <w:tc>
          <w:tcPr>
            <w:tcW w:w="1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100" w:type="dxa"/>
            <w:vAlign w:val="bottom"/>
            <w:tcBorders>
              <w:top w:val="single" w:sz="8" w:color="auto"/>
            </w:tcBorders>
            <w:shd w:val="clear" w:color="auto" w:fill="F0FFFF"/>
          </w:tcPr>
          <w:p>
            <w:pPr>
              <w:spacing w:after="0"/>
              <w:rPr>
                <w:sz w:val="13"/>
                <w:szCs w:val="13"/>
                <w:color w:val="auto"/>
              </w:rPr>
            </w:pPr>
          </w:p>
        </w:tc>
        <w:tc>
          <w:tcPr>
            <w:tcW w:w="680" w:type="dxa"/>
            <w:vAlign w:val="bottom"/>
            <w:tcBorders>
              <w:top w:val="single" w:sz="8" w:color="auto"/>
            </w:tcBorders>
            <w:shd w:val="clear" w:color="auto" w:fill="F0FFFF"/>
          </w:tcPr>
          <w:p>
            <w:pPr>
              <w:spacing w:after="0"/>
              <w:rPr>
                <w:sz w:val="13"/>
                <w:szCs w:val="13"/>
                <w:color w:val="auto"/>
              </w:rPr>
            </w:pPr>
          </w:p>
        </w:tc>
        <w:tc>
          <w:tcPr>
            <w:tcW w:w="220" w:type="dxa"/>
            <w:vAlign w:val="bottom"/>
            <w:shd w:val="clear" w:color="auto" w:fill="F0FFFF"/>
          </w:tcPr>
          <w:p>
            <w:pPr>
              <w:spacing w:after="0"/>
              <w:rPr>
                <w:sz w:val="13"/>
                <w:szCs w:val="13"/>
                <w:color w:val="auto"/>
              </w:rPr>
            </w:pPr>
          </w:p>
        </w:tc>
        <w:tc>
          <w:tcPr>
            <w:tcW w:w="120" w:type="dxa"/>
            <w:vAlign w:val="bottom"/>
            <w:tcBorders>
              <w:top w:val="single" w:sz="8" w:color="auto"/>
            </w:tcBorders>
            <w:shd w:val="clear" w:color="auto" w:fill="F0FFFF"/>
          </w:tcPr>
          <w:p>
            <w:pPr>
              <w:spacing w:after="0"/>
              <w:rPr>
                <w:sz w:val="13"/>
                <w:szCs w:val="13"/>
                <w:color w:val="auto"/>
              </w:rPr>
            </w:pPr>
          </w:p>
        </w:tc>
        <w:tc>
          <w:tcPr>
            <w:tcW w:w="660" w:type="dxa"/>
            <w:vAlign w:val="bottom"/>
            <w:tcBorders>
              <w:top w:val="single" w:sz="8" w:color="auto"/>
            </w:tcBorders>
            <w:shd w:val="clear" w:color="auto" w:fill="F0FFFF"/>
          </w:tcPr>
          <w:p>
            <w:pPr>
              <w:spacing w:after="0"/>
              <w:rPr>
                <w:sz w:val="13"/>
                <w:szCs w:val="13"/>
                <w:color w:val="auto"/>
              </w:rPr>
            </w:pPr>
          </w:p>
        </w:tc>
        <w:tc>
          <w:tcPr>
            <w:tcW w:w="240" w:type="dxa"/>
            <w:vAlign w:val="bottom"/>
            <w:tcBorders>
              <w:right w:val="single" w:sz="8" w:color="F0FFFF"/>
            </w:tcBorders>
            <w:shd w:val="clear" w:color="auto" w:fill="F0FFFF"/>
          </w:tcPr>
          <w:p>
            <w:pPr>
              <w:spacing w:after="0"/>
              <w:rPr>
                <w:sz w:val="13"/>
                <w:szCs w:val="13"/>
                <w:color w:val="auto"/>
              </w:rPr>
            </w:pPr>
          </w:p>
        </w:tc>
        <w:tc>
          <w:tcPr>
            <w:tcW w:w="100" w:type="dxa"/>
            <w:vAlign w:val="bottom"/>
            <w:tcBorders>
              <w:top w:val="single" w:sz="8" w:color="auto"/>
            </w:tcBorders>
            <w:shd w:val="clear" w:color="auto" w:fill="F0FFFF"/>
          </w:tcPr>
          <w:p>
            <w:pPr>
              <w:spacing w:after="0"/>
              <w:rPr>
                <w:sz w:val="13"/>
                <w:szCs w:val="13"/>
                <w:color w:val="auto"/>
              </w:rPr>
            </w:pPr>
          </w:p>
        </w:tc>
        <w:tc>
          <w:tcPr>
            <w:tcW w:w="680" w:type="dxa"/>
            <w:vAlign w:val="bottom"/>
            <w:tcBorders>
              <w:top w:val="single" w:sz="8" w:color="auto"/>
            </w:tcBorders>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780" w:type="dxa"/>
            <w:vAlign w:val="bottom"/>
            <w:tcBorders>
              <w:top w:val="single" w:sz="8" w:color="auto"/>
            </w:tcBorders>
            <w:shd w:val="clear" w:color="auto" w:fill="F0FFFF"/>
          </w:tcPr>
          <w:p>
            <w:pPr>
              <w:spacing w:after="0"/>
              <w:rPr>
                <w:sz w:val="13"/>
                <w:szCs w:val="13"/>
                <w:color w:val="auto"/>
              </w:rPr>
            </w:pPr>
          </w:p>
        </w:tc>
        <w:tc>
          <w:tcPr>
            <w:tcW w:w="220" w:type="dxa"/>
            <w:vAlign w:val="bottom"/>
            <w:shd w:val="clear" w:color="auto" w:fill="F0FFFF"/>
          </w:tcPr>
          <w:p>
            <w:pPr>
              <w:spacing w:after="0"/>
              <w:rPr>
                <w:sz w:val="13"/>
                <w:szCs w:val="13"/>
                <w:color w:val="auto"/>
              </w:rPr>
            </w:pPr>
          </w:p>
        </w:tc>
        <w:tc>
          <w:tcPr>
            <w:tcW w:w="160" w:type="dxa"/>
            <w:vAlign w:val="bottom"/>
            <w:tcBorders>
              <w:top w:val="single" w:sz="8" w:color="auto"/>
            </w:tcBorders>
            <w:shd w:val="clear" w:color="auto" w:fill="F0FFFF"/>
          </w:tcPr>
          <w:p>
            <w:pPr>
              <w:spacing w:after="0"/>
              <w:rPr>
                <w:sz w:val="13"/>
                <w:szCs w:val="13"/>
                <w:color w:val="auto"/>
              </w:rPr>
            </w:pPr>
          </w:p>
        </w:tc>
        <w:tc>
          <w:tcPr>
            <w:tcW w:w="640" w:type="dxa"/>
            <w:vAlign w:val="bottom"/>
            <w:tcBorders>
              <w:top w:val="single" w:sz="8" w:color="auto"/>
            </w:tcBorders>
            <w:shd w:val="clear" w:color="auto" w:fill="F0FFFF"/>
          </w:tcPr>
          <w:p>
            <w:pPr>
              <w:spacing w:after="0"/>
              <w:rPr>
                <w:sz w:val="13"/>
                <w:szCs w:val="13"/>
                <w:color w:val="auto"/>
              </w:rPr>
            </w:pPr>
          </w:p>
        </w:tc>
        <w:tc>
          <w:tcPr>
            <w:tcW w:w="220" w:type="dxa"/>
            <w:vAlign w:val="bottom"/>
            <w:tcBorders>
              <w:right w:val="single" w:sz="8" w:color="F0FFFF"/>
            </w:tcBorders>
            <w:shd w:val="clear" w:color="auto" w:fill="F0FFFF"/>
          </w:tcPr>
          <w:p>
            <w:pPr>
              <w:spacing w:after="0"/>
              <w:rPr>
                <w:sz w:val="13"/>
                <w:szCs w:val="13"/>
                <w:color w:val="auto"/>
              </w:rPr>
            </w:pPr>
          </w:p>
        </w:tc>
        <w:tc>
          <w:tcPr>
            <w:tcW w:w="240" w:type="dxa"/>
            <w:vAlign w:val="bottom"/>
            <w:tcBorders>
              <w:top w:val="single" w:sz="8" w:color="auto"/>
            </w:tcBorders>
            <w:shd w:val="clear" w:color="auto" w:fill="F0FFFF"/>
          </w:tcPr>
          <w:p>
            <w:pPr>
              <w:spacing w:after="0"/>
              <w:rPr>
                <w:sz w:val="13"/>
                <w:szCs w:val="13"/>
                <w:color w:val="auto"/>
              </w:rPr>
            </w:pPr>
          </w:p>
        </w:tc>
        <w:tc>
          <w:tcPr>
            <w:tcW w:w="540" w:type="dxa"/>
            <w:vAlign w:val="bottom"/>
            <w:tcBorders>
              <w:top w:val="single" w:sz="8" w:color="auto"/>
            </w:tcBorders>
            <w:shd w:val="clear" w:color="auto" w:fill="F0FFFF"/>
          </w:tcPr>
          <w:p>
            <w:pPr>
              <w:spacing w:after="0"/>
              <w:rPr>
                <w:sz w:val="13"/>
                <w:szCs w:val="13"/>
                <w:color w:val="auto"/>
              </w:rPr>
            </w:pPr>
          </w:p>
        </w:tc>
        <w:tc>
          <w:tcPr>
            <w:tcW w:w="240" w:type="dxa"/>
            <w:vAlign w:val="bottom"/>
            <w:shd w:val="clear" w:color="auto" w:fill="F0FFFF"/>
          </w:tcPr>
          <w:p>
            <w:pPr>
              <w:spacing w:after="0"/>
              <w:rPr>
                <w:sz w:val="13"/>
                <w:szCs w:val="13"/>
                <w:color w:val="auto"/>
              </w:rPr>
            </w:pPr>
          </w:p>
        </w:tc>
        <w:tc>
          <w:tcPr>
            <w:tcW w:w="7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shd w:val="clear" w:color="auto" w:fill="F0FFFF"/>
          </w:tcPr>
          <w:p>
            <w:pPr>
              <w:ind w:left="460"/>
              <w:spacing w:after="0"/>
              <w:rPr>
                <w:sz w:val="20"/>
                <w:szCs w:val="20"/>
                <w:color w:val="auto"/>
              </w:rPr>
            </w:pPr>
            <w:r>
              <w:rPr>
                <w:rFonts w:ascii="Arial" w:cs="Arial" w:eastAsia="Arial" w:hAnsi="Arial"/>
                <w:sz w:val="14"/>
                <w:szCs w:val="14"/>
                <w:color w:val="auto"/>
              </w:rPr>
              <w:t>(NPAs)</w:t>
            </w:r>
          </w:p>
        </w:tc>
        <w:tc>
          <w:tcPr>
            <w:tcW w:w="1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21,161</w:t>
            </w:r>
          </w:p>
        </w:tc>
        <w:tc>
          <w:tcPr>
            <w:tcW w:w="120" w:type="dxa"/>
            <w:vAlign w:val="bottom"/>
            <w:shd w:val="clear" w:color="auto" w:fill="F0FFFF"/>
          </w:tcPr>
          <w:p>
            <w:pPr>
              <w:spacing w:after="0"/>
              <w:rPr>
                <w:sz w:val="14"/>
                <w:szCs w:val="14"/>
                <w:color w:val="auto"/>
              </w:rPr>
            </w:pP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20,173</w:t>
            </w: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19,607</w:t>
            </w:r>
          </w:p>
        </w:tc>
        <w:tc>
          <w:tcPr>
            <w:tcW w:w="120" w:type="dxa"/>
            <w:vAlign w:val="bottom"/>
            <w:shd w:val="clear" w:color="auto" w:fill="F0FFFF"/>
          </w:tcPr>
          <w:p>
            <w:pPr>
              <w:spacing w:after="0"/>
              <w:rPr>
                <w:sz w:val="14"/>
                <w:szCs w:val="14"/>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21,891</w:t>
            </w:r>
          </w:p>
        </w:tc>
        <w:tc>
          <w:tcPr>
            <w:tcW w:w="100" w:type="dxa"/>
            <w:vAlign w:val="bottom"/>
            <w:shd w:val="clear" w:color="auto" w:fill="F0FFFF"/>
          </w:tcPr>
          <w:p>
            <w:pPr>
              <w:spacing w:after="0"/>
              <w:rPr>
                <w:sz w:val="14"/>
                <w:szCs w:val="14"/>
                <w:color w:val="auto"/>
              </w:rPr>
            </w:pP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23,693</w:t>
            </w:r>
          </w:p>
        </w:tc>
        <w:tc>
          <w:tcPr>
            <w:tcW w:w="1120" w:type="dxa"/>
            <w:vAlign w:val="bottom"/>
            <w:gridSpan w:val="3"/>
            <w:shd w:val="clear" w:color="auto" w:fill="F0FFFF"/>
          </w:tcPr>
          <w:p>
            <w:pPr>
              <w:jc w:val="right"/>
              <w:ind w:right="180"/>
              <w:spacing w:after="0"/>
              <w:rPr>
                <w:sz w:val="20"/>
                <w:szCs w:val="20"/>
                <w:color w:val="auto"/>
              </w:rPr>
            </w:pPr>
            <w:r>
              <w:rPr>
                <w:rFonts w:ascii="Arial" w:cs="Arial" w:eastAsia="Arial" w:hAnsi="Arial"/>
                <w:sz w:val="14"/>
                <w:szCs w:val="14"/>
                <w:color w:val="auto"/>
              </w:rPr>
              <w:t>(11)</w:t>
            </w:r>
          </w:p>
        </w:tc>
        <w:tc>
          <w:tcPr>
            <w:tcW w:w="160" w:type="dxa"/>
            <w:vAlign w:val="bottom"/>
            <w:shd w:val="clear" w:color="auto" w:fill="F0FFFF"/>
          </w:tcPr>
          <w:p>
            <w:pPr>
              <w:spacing w:after="0"/>
              <w:rPr>
                <w:sz w:val="14"/>
                <w:szCs w:val="14"/>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21,161</w:t>
            </w:r>
          </w:p>
        </w:tc>
        <w:tc>
          <w:tcPr>
            <w:tcW w:w="240" w:type="dxa"/>
            <w:vAlign w:val="bottom"/>
            <w:shd w:val="clear" w:color="auto" w:fill="F0FFFF"/>
          </w:tcPr>
          <w:p>
            <w:pPr>
              <w:spacing w:after="0"/>
              <w:rPr>
                <w:sz w:val="14"/>
                <w:szCs w:val="14"/>
                <w:color w:val="auto"/>
              </w:rPr>
            </w:pPr>
          </w:p>
        </w:tc>
        <w:tc>
          <w:tcPr>
            <w:tcW w:w="7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23,693</w:t>
            </w:r>
          </w:p>
        </w:tc>
        <w:tc>
          <w:tcPr>
            <w:tcW w:w="7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tcPr>
          <w:p>
            <w:pPr>
              <w:ind w:left="140"/>
              <w:spacing w:after="0"/>
              <w:rPr>
                <w:sz w:val="20"/>
                <w:szCs w:val="20"/>
                <w:color w:val="auto"/>
              </w:rPr>
            </w:pPr>
            <w:r>
              <w:rPr>
                <w:rFonts w:ascii="Arial" w:cs="Arial" w:eastAsia="Arial" w:hAnsi="Arial"/>
                <w:sz w:val="14"/>
                <w:szCs w:val="14"/>
                <w:color w:val="auto"/>
              </w:rPr>
              <w:t>Allowance for loan losses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70,129</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70,007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71,619</w:t>
            </w:r>
          </w:p>
        </w:tc>
        <w:tc>
          <w:tcPr>
            <w:tcW w:w="12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71,928</w:t>
            </w:r>
          </w:p>
        </w:tc>
        <w:tc>
          <w:tcPr>
            <w:tcW w:w="10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73,248</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70,129</w:t>
            </w:r>
          </w:p>
        </w:tc>
        <w:tc>
          <w:tcPr>
            <w:tcW w:w="24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73,248</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shd w:val="clear" w:color="auto" w:fill="F0FFFF"/>
          </w:tcPr>
          <w:p>
            <w:pPr>
              <w:ind w:left="140"/>
              <w:spacing w:after="0"/>
              <w:rPr>
                <w:sz w:val="20"/>
                <w:szCs w:val="20"/>
                <w:color w:val="auto"/>
              </w:rPr>
            </w:pPr>
            <w:r>
              <w:rPr>
                <w:rFonts w:ascii="Arial" w:cs="Arial" w:eastAsia="Arial" w:hAnsi="Arial"/>
                <w:sz w:val="14"/>
                <w:szCs w:val="14"/>
                <w:color w:val="auto"/>
              </w:rPr>
              <w:t>Net charge-offs</w:t>
            </w:r>
          </w:p>
        </w:tc>
        <w:tc>
          <w:tcPr>
            <w:tcW w:w="1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978</w:t>
            </w:r>
          </w:p>
        </w:tc>
        <w:tc>
          <w:tcPr>
            <w:tcW w:w="120" w:type="dxa"/>
            <w:vAlign w:val="bottom"/>
            <w:shd w:val="clear" w:color="auto" w:fill="F0FFFF"/>
          </w:tcPr>
          <w:p>
            <w:pPr>
              <w:spacing w:after="0"/>
              <w:rPr>
                <w:sz w:val="15"/>
                <w:szCs w:val="15"/>
                <w:color w:val="auto"/>
              </w:rPr>
            </w:pP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2,562</w:t>
            </w:r>
          </w:p>
        </w:tc>
        <w:tc>
          <w:tcPr>
            <w:tcW w:w="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2,509</w:t>
            </w:r>
          </w:p>
        </w:tc>
        <w:tc>
          <w:tcPr>
            <w:tcW w:w="120" w:type="dxa"/>
            <w:vAlign w:val="bottom"/>
            <w:shd w:val="clear" w:color="auto" w:fill="F0FFFF"/>
          </w:tcPr>
          <w:p>
            <w:pPr>
              <w:spacing w:after="0"/>
              <w:rPr>
                <w:sz w:val="15"/>
                <w:szCs w:val="15"/>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3,155</w:t>
            </w:r>
          </w:p>
        </w:tc>
        <w:tc>
          <w:tcPr>
            <w:tcW w:w="100" w:type="dxa"/>
            <w:vAlign w:val="bottom"/>
            <w:shd w:val="clear" w:color="auto" w:fill="F0FFFF"/>
          </w:tcPr>
          <w:p>
            <w:pPr>
              <w:spacing w:after="0"/>
              <w:rPr>
                <w:sz w:val="15"/>
                <w:szCs w:val="15"/>
                <w:color w:val="auto"/>
              </w:rPr>
            </w:pP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4,175</w:t>
            </w:r>
          </w:p>
        </w:tc>
        <w:tc>
          <w:tcPr>
            <w:tcW w:w="1120" w:type="dxa"/>
            <w:vAlign w:val="bottom"/>
            <w:gridSpan w:val="3"/>
            <w:shd w:val="clear" w:color="auto" w:fill="F0FFFF"/>
          </w:tcPr>
          <w:p>
            <w:pPr>
              <w:jc w:val="right"/>
              <w:ind w:right="180"/>
              <w:spacing w:after="0"/>
              <w:rPr>
                <w:sz w:val="20"/>
                <w:szCs w:val="20"/>
                <w:color w:val="auto"/>
              </w:rPr>
            </w:pPr>
            <w:r>
              <w:rPr>
                <w:rFonts w:ascii="Arial" w:cs="Arial" w:eastAsia="Arial" w:hAnsi="Arial"/>
                <w:sz w:val="14"/>
                <w:szCs w:val="14"/>
                <w:color w:val="auto"/>
              </w:rPr>
              <w:t>(77)</w:t>
            </w:r>
          </w:p>
        </w:tc>
        <w:tc>
          <w:tcPr>
            <w:tcW w:w="160" w:type="dxa"/>
            <w:vAlign w:val="bottom"/>
            <w:shd w:val="clear" w:color="auto" w:fill="F0FFFF"/>
          </w:tcPr>
          <w:p>
            <w:pPr>
              <w:spacing w:after="0"/>
              <w:rPr>
                <w:sz w:val="15"/>
                <w:szCs w:val="15"/>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3,540</w:t>
            </w:r>
          </w:p>
        </w:tc>
        <w:tc>
          <w:tcPr>
            <w:tcW w:w="240" w:type="dxa"/>
            <w:vAlign w:val="bottom"/>
            <w:shd w:val="clear" w:color="auto" w:fill="F0FFFF"/>
          </w:tcPr>
          <w:p>
            <w:pPr>
              <w:spacing w:after="0"/>
              <w:rPr>
                <w:sz w:val="15"/>
                <w:szCs w:val="15"/>
                <w:color w:val="auto"/>
              </w:rPr>
            </w:pPr>
          </w:p>
        </w:tc>
        <w:tc>
          <w:tcPr>
            <w:tcW w:w="7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8,214</w:t>
            </w:r>
          </w:p>
        </w:tc>
        <w:tc>
          <w:tcPr>
            <w:tcW w:w="7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160" w:type="dxa"/>
            <w:vAlign w:val="bottom"/>
          </w:tcPr>
          <w:p>
            <w:pPr>
              <w:ind w:left="140"/>
              <w:spacing w:after="0" w:line="157" w:lineRule="exact"/>
              <w:rPr>
                <w:sz w:val="20"/>
                <w:szCs w:val="20"/>
                <w:color w:val="auto"/>
              </w:rPr>
            </w:pPr>
            <w:r>
              <w:rPr>
                <w:rFonts w:ascii="Arial" w:cs="Arial" w:eastAsia="Arial" w:hAnsi="Arial"/>
                <w:sz w:val="14"/>
                <w:szCs w:val="14"/>
                <w:color w:val="auto"/>
              </w:rPr>
              <w:t>Allowance for loan losses to</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ind w:left="300"/>
              <w:spacing w:after="0"/>
              <w:rPr>
                <w:sz w:val="20"/>
                <w:szCs w:val="20"/>
                <w:color w:val="auto"/>
              </w:rPr>
            </w:pPr>
            <w:r>
              <w:rPr>
                <w:rFonts w:ascii="Arial" w:cs="Arial" w:eastAsia="Arial" w:hAnsi="Arial"/>
                <w:sz w:val="14"/>
                <w:szCs w:val="14"/>
                <w:color w:val="auto"/>
              </w:rPr>
              <w:t>loans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1.46%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1.66</w:t>
            </w:r>
          </w:p>
        </w:tc>
        <w:tc>
          <w:tcPr>
            <w:tcW w:w="900" w:type="dxa"/>
            <w:vAlign w:val="bottom"/>
            <w:gridSpan w:val="2"/>
          </w:tcPr>
          <w:p>
            <w:pPr>
              <w:jc w:val="right"/>
              <w:ind w:right="5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1.36%</w:t>
            </w:r>
          </w:p>
        </w:tc>
        <w:tc>
          <w:tcPr>
            <w:tcW w:w="2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1.66%</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shd w:val="clear" w:color="auto" w:fill="F0FFFF"/>
          </w:tcPr>
          <w:p>
            <w:pPr>
              <w:ind w:left="140"/>
              <w:spacing w:after="0"/>
              <w:rPr>
                <w:sz w:val="20"/>
                <w:szCs w:val="20"/>
                <w:color w:val="auto"/>
              </w:rPr>
            </w:pPr>
            <w:r>
              <w:rPr>
                <w:rFonts w:ascii="Arial" w:cs="Arial" w:eastAsia="Arial" w:hAnsi="Arial"/>
                <w:sz w:val="14"/>
                <w:szCs w:val="14"/>
                <w:color w:val="auto"/>
                <w:w w:val="98"/>
              </w:rPr>
              <w:t>Net charge-offs to average loans</w:t>
            </w:r>
          </w:p>
        </w:tc>
        <w:tc>
          <w:tcPr>
            <w:tcW w:w="1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60" w:type="dxa"/>
            <w:vAlign w:val="bottom"/>
            <w:shd w:val="clear" w:color="auto" w:fill="F0FFFF"/>
          </w:tcPr>
          <w:p>
            <w:pPr>
              <w:spacing w:after="0"/>
              <w:rPr>
                <w:sz w:val="14"/>
                <w:szCs w:val="14"/>
                <w:color w:val="auto"/>
              </w:rPr>
            </w:pPr>
          </w:p>
        </w:tc>
        <w:tc>
          <w:tcPr>
            <w:tcW w:w="240" w:type="dxa"/>
            <w:vAlign w:val="bottom"/>
            <w:tcBorders>
              <w:right w:val="single" w:sz="8" w:color="F0FFFF"/>
            </w:tcBorders>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640" w:type="dxa"/>
            <w:vAlign w:val="bottom"/>
            <w:shd w:val="clear" w:color="auto" w:fill="F0FFFF"/>
          </w:tcPr>
          <w:p>
            <w:pPr>
              <w:spacing w:after="0"/>
              <w:rPr>
                <w:sz w:val="14"/>
                <w:szCs w:val="14"/>
                <w:color w:val="auto"/>
              </w:rPr>
            </w:pPr>
          </w:p>
        </w:tc>
        <w:tc>
          <w:tcPr>
            <w:tcW w:w="220" w:type="dxa"/>
            <w:vAlign w:val="bottom"/>
            <w:tcBorders>
              <w:right w:val="single" w:sz="8" w:color="F0FFFF"/>
            </w:tcBorders>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7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60" w:type="dxa"/>
            <w:vAlign w:val="bottom"/>
            <w:shd w:val="clear" w:color="auto" w:fill="F0FFFF"/>
          </w:tcPr>
          <w:p>
            <w:pPr>
              <w:ind w:left="300"/>
              <w:spacing w:after="0"/>
              <w:rPr>
                <w:sz w:val="20"/>
                <w:szCs w:val="20"/>
                <w:color w:val="auto"/>
              </w:rPr>
            </w:pPr>
            <w:r>
              <w:rPr>
                <w:rFonts w:ascii="Arial" w:cs="Arial" w:eastAsia="Arial" w:hAnsi="Arial"/>
                <w:sz w:val="12"/>
                <w:szCs w:val="12"/>
                <w:color w:val="auto"/>
              </w:rPr>
              <w:t>(4)</w:t>
            </w:r>
          </w:p>
        </w:tc>
        <w:tc>
          <w:tcPr>
            <w:tcW w:w="1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.08</w:t>
            </w:r>
          </w:p>
        </w:tc>
        <w:tc>
          <w:tcPr>
            <w:tcW w:w="120" w:type="dxa"/>
            <w:vAlign w:val="bottom"/>
            <w:shd w:val="clear" w:color="auto" w:fill="F0FFFF"/>
          </w:tcPr>
          <w:p>
            <w:pPr>
              <w:spacing w:after="0"/>
              <w:rPr>
                <w:sz w:val="14"/>
                <w:szCs w:val="14"/>
                <w:color w:val="auto"/>
              </w:rPr>
            </w:pP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.22</w:t>
            </w: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.22</w:t>
            </w:r>
          </w:p>
        </w:tc>
        <w:tc>
          <w:tcPr>
            <w:tcW w:w="120" w:type="dxa"/>
            <w:vAlign w:val="bottom"/>
            <w:shd w:val="clear" w:color="auto" w:fill="F0FFFF"/>
          </w:tcPr>
          <w:p>
            <w:pPr>
              <w:spacing w:after="0"/>
              <w:rPr>
                <w:sz w:val="14"/>
                <w:szCs w:val="14"/>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.28</w:t>
            </w:r>
          </w:p>
        </w:tc>
        <w:tc>
          <w:tcPr>
            <w:tcW w:w="100" w:type="dxa"/>
            <w:vAlign w:val="bottom"/>
            <w:shd w:val="clear" w:color="auto" w:fill="F0FFFF"/>
          </w:tcPr>
          <w:p>
            <w:pPr>
              <w:spacing w:after="0"/>
              <w:rPr>
                <w:sz w:val="14"/>
                <w:szCs w:val="14"/>
                <w:color w:val="auto"/>
              </w:rPr>
            </w:pP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.38</w:t>
            </w:r>
          </w:p>
        </w:tc>
        <w:tc>
          <w:tcPr>
            <w:tcW w:w="120" w:type="dxa"/>
            <w:vAlign w:val="bottom"/>
            <w:shd w:val="clear" w:color="auto" w:fill="F0FFFF"/>
          </w:tcPr>
          <w:p>
            <w:pPr>
              <w:spacing w:after="0"/>
              <w:rPr>
                <w:sz w:val="14"/>
                <w:szCs w:val="14"/>
                <w:color w:val="auto"/>
              </w:rPr>
            </w:pPr>
          </w:p>
        </w:tc>
        <w:tc>
          <w:tcPr>
            <w:tcW w:w="7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.15</w:t>
            </w:r>
          </w:p>
        </w:tc>
        <w:tc>
          <w:tcPr>
            <w:tcW w:w="240" w:type="dxa"/>
            <w:vAlign w:val="bottom"/>
            <w:shd w:val="clear" w:color="auto" w:fill="F0FFFF"/>
          </w:tcPr>
          <w:p>
            <w:pPr>
              <w:spacing w:after="0"/>
              <w:rPr>
                <w:sz w:val="14"/>
                <w:szCs w:val="14"/>
                <w:color w:val="auto"/>
              </w:rPr>
            </w:pPr>
          </w:p>
        </w:tc>
        <w:tc>
          <w:tcPr>
            <w:tcW w:w="7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.38</w:t>
            </w:r>
          </w:p>
        </w:tc>
        <w:tc>
          <w:tcPr>
            <w:tcW w:w="7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160" w:type="dxa"/>
            <w:vAlign w:val="bottom"/>
          </w:tcPr>
          <w:p>
            <w:pPr>
              <w:ind w:left="140"/>
              <w:spacing w:after="0" w:line="157" w:lineRule="exact"/>
              <w:rPr>
                <w:sz w:val="20"/>
                <w:szCs w:val="20"/>
                <w:color w:val="auto"/>
              </w:rPr>
            </w:pPr>
            <w:r>
              <w:rPr>
                <w:rFonts w:ascii="Arial" w:cs="Arial" w:eastAsia="Arial" w:hAnsi="Arial"/>
                <w:sz w:val="14"/>
                <w:szCs w:val="14"/>
                <w:color w:val="auto"/>
              </w:rPr>
              <w:t>NPAs to loans and foreclosed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ind w:left="300"/>
              <w:spacing w:after="0"/>
              <w:rPr>
                <w:sz w:val="20"/>
                <w:szCs w:val="20"/>
                <w:color w:val="auto"/>
              </w:rPr>
            </w:pPr>
            <w:r>
              <w:rPr>
                <w:rFonts w:ascii="Arial" w:cs="Arial" w:eastAsia="Arial" w:hAnsi="Arial"/>
                <w:sz w:val="14"/>
                <w:szCs w:val="14"/>
                <w:color w:val="auto"/>
              </w:rPr>
              <w:t>properties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.41</w:t>
            </w:r>
          </w:p>
        </w:tc>
        <w:tc>
          <w:tcPr>
            <w:tcW w:w="24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.54</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shd w:val="clear" w:color="auto" w:fill="F0FFFF"/>
          </w:tcPr>
          <w:p>
            <w:pPr>
              <w:ind w:left="140"/>
              <w:spacing w:after="0"/>
              <w:rPr>
                <w:sz w:val="20"/>
                <w:szCs w:val="20"/>
                <w:color w:val="auto"/>
              </w:rPr>
            </w:pPr>
            <w:r>
              <w:rPr>
                <w:rFonts w:ascii="Arial" w:cs="Arial" w:eastAsia="Arial" w:hAnsi="Arial"/>
                <w:sz w:val="14"/>
                <w:szCs w:val="14"/>
                <w:color w:val="auto"/>
              </w:rPr>
              <w:t>NPAs to total assets</w:t>
            </w:r>
          </w:p>
        </w:tc>
        <w:tc>
          <w:tcPr>
            <w:tcW w:w="1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.26</w:t>
            </w:r>
          </w:p>
        </w:tc>
        <w:tc>
          <w:tcPr>
            <w:tcW w:w="120" w:type="dxa"/>
            <w:vAlign w:val="bottom"/>
            <w:shd w:val="clear" w:color="auto" w:fill="F0FFFF"/>
          </w:tcPr>
          <w:p>
            <w:pPr>
              <w:spacing w:after="0"/>
              <w:rPr>
                <w:sz w:val="15"/>
                <w:szCs w:val="15"/>
                <w:color w:val="auto"/>
              </w:rPr>
            </w:pP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.26</w:t>
            </w:r>
          </w:p>
        </w:tc>
        <w:tc>
          <w:tcPr>
            <w:tcW w:w="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.26</w:t>
            </w:r>
          </w:p>
        </w:tc>
        <w:tc>
          <w:tcPr>
            <w:tcW w:w="120" w:type="dxa"/>
            <w:vAlign w:val="bottom"/>
            <w:shd w:val="clear" w:color="auto" w:fill="F0FFFF"/>
          </w:tcPr>
          <w:p>
            <w:pPr>
              <w:spacing w:after="0"/>
              <w:rPr>
                <w:sz w:val="15"/>
                <w:szCs w:val="15"/>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.29</w:t>
            </w:r>
          </w:p>
        </w:tc>
        <w:tc>
          <w:tcPr>
            <w:tcW w:w="100" w:type="dxa"/>
            <w:vAlign w:val="bottom"/>
            <w:shd w:val="clear" w:color="auto" w:fill="F0FFFF"/>
          </w:tcPr>
          <w:p>
            <w:pPr>
              <w:spacing w:after="0"/>
              <w:rPr>
                <w:sz w:val="15"/>
                <w:szCs w:val="15"/>
                <w:color w:val="auto"/>
              </w:rPr>
            </w:pP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.32</w:t>
            </w:r>
          </w:p>
        </w:tc>
        <w:tc>
          <w:tcPr>
            <w:tcW w:w="120" w:type="dxa"/>
            <w:vAlign w:val="bottom"/>
            <w:shd w:val="clear" w:color="auto" w:fill="F0FFFF"/>
          </w:tcPr>
          <w:p>
            <w:pPr>
              <w:spacing w:after="0"/>
              <w:rPr>
                <w:sz w:val="15"/>
                <w:szCs w:val="15"/>
                <w:color w:val="auto"/>
              </w:rPr>
            </w:pPr>
          </w:p>
        </w:tc>
        <w:tc>
          <w:tcPr>
            <w:tcW w:w="78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.26</w:t>
            </w:r>
          </w:p>
        </w:tc>
        <w:tc>
          <w:tcPr>
            <w:tcW w:w="240" w:type="dxa"/>
            <w:vAlign w:val="bottom"/>
            <w:shd w:val="clear" w:color="auto" w:fill="F0FFFF"/>
          </w:tcPr>
          <w:p>
            <w:pPr>
              <w:spacing w:after="0"/>
              <w:rPr>
                <w:sz w:val="15"/>
                <w:szCs w:val="15"/>
                <w:color w:val="auto"/>
              </w:rPr>
            </w:pPr>
          </w:p>
        </w:tc>
        <w:tc>
          <w:tcPr>
            <w:tcW w:w="7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.32</w:t>
            </w:r>
          </w:p>
        </w:tc>
        <w:tc>
          <w:tcPr>
            <w:tcW w:w="7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tcPr>
          <w:p>
            <w:pPr>
              <w:spacing w:after="0" w:line="130" w:lineRule="exact"/>
              <w:rPr>
                <w:sz w:val="20"/>
                <w:szCs w:val="20"/>
                <w:color w:val="auto"/>
              </w:rPr>
            </w:pPr>
            <w:r>
              <w:rPr>
                <w:rFonts w:ascii="Arial" w:cs="Arial" w:eastAsia="Arial" w:hAnsi="Arial"/>
                <w:sz w:val="14"/>
                <w:szCs w:val="14"/>
                <w:b w:val="1"/>
                <w:bCs w:val="1"/>
                <w:color w:val="auto"/>
              </w:rPr>
              <w:t xml:space="preserve">AVERAGE BALANCES </w:t>
            </w:r>
            <w:r>
              <w:rPr>
                <w:rFonts w:ascii="Arial" w:cs="Arial" w:eastAsia="Arial" w:hAnsi="Arial"/>
                <w:sz w:val="14"/>
                <w:szCs w:val="14"/>
                <w:i w:val="1"/>
                <w:iCs w:val="1"/>
                <w:color w:val="auto"/>
              </w:rPr>
              <w:t>($ in</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ind w:left="140"/>
              <w:spacing w:after="0"/>
              <w:rPr>
                <w:sz w:val="20"/>
                <w:szCs w:val="20"/>
                <w:color w:val="auto"/>
              </w:rPr>
            </w:pPr>
            <w:r>
              <w:rPr>
                <w:rFonts w:ascii="Arial" w:cs="Arial" w:eastAsia="Arial" w:hAnsi="Arial"/>
                <w:sz w:val="14"/>
                <w:szCs w:val="14"/>
                <w:i w:val="1"/>
                <w:iCs w:val="1"/>
                <w:color w:val="auto"/>
              </w:rPr>
              <w:t>millions)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shd w:val="clear" w:color="auto" w:fill="F0FFFF"/>
          </w:tcPr>
          <w:p>
            <w:pPr>
              <w:ind w:left="140"/>
              <w:spacing w:after="0"/>
              <w:rPr>
                <w:sz w:val="20"/>
                <w:szCs w:val="20"/>
                <w:color w:val="auto"/>
              </w:rPr>
            </w:pPr>
            <w:r>
              <w:rPr>
                <w:rFonts w:ascii="Arial" w:cs="Arial" w:eastAsia="Arial" w:hAnsi="Arial"/>
                <w:sz w:val="14"/>
                <w:szCs w:val="14"/>
                <w:color w:val="auto"/>
              </w:rPr>
              <w:t>Loans</w:t>
            </w:r>
          </w:p>
        </w:tc>
        <w:tc>
          <w:tcPr>
            <w:tcW w:w="26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5,017</w:t>
            </w:r>
          </w:p>
        </w:tc>
        <w:tc>
          <w:tcPr>
            <w:tcW w:w="12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4,725</w:t>
            </w:r>
          </w:p>
        </w:tc>
        <w:tc>
          <w:tcPr>
            <w:tcW w:w="18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4,621</w:t>
            </w:r>
          </w:p>
        </w:tc>
        <w:tc>
          <w:tcPr>
            <w:tcW w:w="12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4,446</w:t>
            </w:r>
          </w:p>
        </w:tc>
        <w:tc>
          <w:tcPr>
            <w:tcW w:w="10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4,376</w:t>
            </w:r>
          </w:p>
        </w:tc>
        <w:tc>
          <w:tcPr>
            <w:tcW w:w="1120" w:type="dxa"/>
            <w:vAlign w:val="bottom"/>
            <w:gridSpan w:val="3"/>
            <w:shd w:val="clear" w:color="auto" w:fill="F0FFFF"/>
          </w:tcPr>
          <w:p>
            <w:pPr>
              <w:jc w:val="right"/>
              <w:ind w:right="220"/>
              <w:spacing w:after="0"/>
              <w:rPr>
                <w:sz w:val="20"/>
                <w:szCs w:val="20"/>
                <w:color w:val="auto"/>
              </w:rPr>
            </w:pPr>
            <w:r>
              <w:rPr>
                <w:rFonts w:ascii="Arial" w:cs="Arial" w:eastAsia="Arial" w:hAnsi="Arial"/>
                <w:sz w:val="14"/>
                <w:szCs w:val="14"/>
                <w:color w:val="auto"/>
              </w:rPr>
              <w:t>15</w:t>
            </w:r>
          </w:p>
        </w:tc>
        <w:tc>
          <w:tcPr>
            <w:tcW w:w="1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4,872</w:t>
            </w:r>
          </w:p>
        </w:tc>
        <w:tc>
          <w:tcPr>
            <w:tcW w:w="240" w:type="dxa"/>
            <w:vAlign w:val="bottom"/>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4,366</w:t>
            </w:r>
          </w:p>
        </w:tc>
        <w:tc>
          <w:tcPr>
            <w:tcW w:w="7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tcPr>
          <w:p>
            <w:pPr>
              <w:ind w:left="140"/>
              <w:spacing w:after="0"/>
              <w:rPr>
                <w:sz w:val="20"/>
                <w:szCs w:val="20"/>
                <w:color w:val="auto"/>
              </w:rPr>
            </w:pPr>
            <w:r>
              <w:rPr>
                <w:rFonts w:ascii="Arial" w:cs="Arial" w:eastAsia="Arial" w:hAnsi="Arial"/>
                <w:sz w:val="14"/>
                <w:szCs w:val="14"/>
                <w:color w:val="auto"/>
              </w:rPr>
              <w:t>Investment securities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2,261</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2,203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2,222</w:t>
            </w:r>
          </w:p>
        </w:tc>
        <w:tc>
          <w:tcPr>
            <w:tcW w:w="12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2,231</w:t>
            </w:r>
          </w:p>
        </w:tc>
        <w:tc>
          <w:tcPr>
            <w:tcW w:w="10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2,326</w:t>
            </w:r>
          </w:p>
        </w:tc>
        <w:tc>
          <w:tcPr>
            <w:tcW w:w="1120" w:type="dxa"/>
            <w:vAlign w:val="bottom"/>
            <w:gridSpan w:val="3"/>
          </w:tcPr>
          <w:p>
            <w:pPr>
              <w:jc w:val="right"/>
              <w:ind w:right="180"/>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2,232</w:t>
            </w:r>
          </w:p>
        </w:tc>
        <w:tc>
          <w:tcPr>
            <w:tcW w:w="24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2,323</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shd w:val="clear" w:color="auto" w:fill="F0FFFF"/>
          </w:tcPr>
          <w:p>
            <w:pPr>
              <w:ind w:left="140"/>
              <w:spacing w:after="0"/>
              <w:rPr>
                <w:sz w:val="20"/>
                <w:szCs w:val="20"/>
                <w:color w:val="auto"/>
              </w:rPr>
            </w:pPr>
            <w:r>
              <w:rPr>
                <w:rFonts w:ascii="Arial" w:cs="Arial" w:eastAsia="Arial" w:hAnsi="Arial"/>
                <w:sz w:val="14"/>
                <w:szCs w:val="14"/>
                <w:color w:val="auto"/>
              </w:rPr>
              <w:t>Earning assets</w:t>
            </w:r>
          </w:p>
        </w:tc>
        <w:tc>
          <w:tcPr>
            <w:tcW w:w="1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7,444</w:t>
            </w:r>
          </w:p>
        </w:tc>
        <w:tc>
          <w:tcPr>
            <w:tcW w:w="120" w:type="dxa"/>
            <w:vAlign w:val="bottom"/>
            <w:shd w:val="clear" w:color="auto" w:fill="F0FFFF"/>
          </w:tcPr>
          <w:p>
            <w:pPr>
              <w:spacing w:after="0"/>
              <w:rPr>
                <w:sz w:val="15"/>
                <w:szCs w:val="15"/>
                <w:color w:val="auto"/>
              </w:rPr>
            </w:pP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7,070</w:t>
            </w:r>
          </w:p>
        </w:tc>
        <w:tc>
          <w:tcPr>
            <w:tcW w:w="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7,013</w:t>
            </w:r>
          </w:p>
        </w:tc>
        <w:tc>
          <w:tcPr>
            <w:tcW w:w="120" w:type="dxa"/>
            <w:vAlign w:val="bottom"/>
            <w:shd w:val="clear" w:color="auto" w:fill="F0FFFF"/>
          </w:tcPr>
          <w:p>
            <w:pPr>
              <w:spacing w:after="0"/>
              <w:rPr>
                <w:sz w:val="15"/>
                <w:szCs w:val="15"/>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6,820</w:t>
            </w:r>
          </w:p>
        </w:tc>
        <w:tc>
          <w:tcPr>
            <w:tcW w:w="100" w:type="dxa"/>
            <w:vAlign w:val="bottom"/>
            <w:shd w:val="clear" w:color="auto" w:fill="F0FFFF"/>
          </w:tcPr>
          <w:p>
            <w:pPr>
              <w:spacing w:after="0"/>
              <w:rPr>
                <w:sz w:val="15"/>
                <w:szCs w:val="15"/>
                <w:color w:val="auto"/>
              </w:rPr>
            </w:pP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6,861</w:t>
            </w:r>
          </w:p>
        </w:tc>
        <w:tc>
          <w:tcPr>
            <w:tcW w:w="1120" w:type="dxa"/>
            <w:vAlign w:val="bottom"/>
            <w:gridSpan w:val="3"/>
            <w:shd w:val="clear" w:color="auto" w:fill="F0FFFF"/>
          </w:tcPr>
          <w:p>
            <w:pPr>
              <w:jc w:val="right"/>
              <w:ind w:right="220"/>
              <w:spacing w:after="0"/>
              <w:rPr>
                <w:sz w:val="20"/>
                <w:szCs w:val="20"/>
                <w:color w:val="auto"/>
              </w:rPr>
            </w:pPr>
            <w:r>
              <w:rPr>
                <w:rFonts w:ascii="Arial" w:cs="Arial" w:eastAsia="Arial" w:hAnsi="Arial"/>
                <w:sz w:val="14"/>
                <w:szCs w:val="14"/>
                <w:color w:val="auto"/>
              </w:rPr>
              <w:t>8</w:t>
            </w:r>
          </w:p>
        </w:tc>
        <w:tc>
          <w:tcPr>
            <w:tcW w:w="160" w:type="dxa"/>
            <w:vAlign w:val="bottom"/>
            <w:shd w:val="clear" w:color="auto" w:fill="F0FFFF"/>
          </w:tcPr>
          <w:p>
            <w:pPr>
              <w:spacing w:after="0"/>
              <w:rPr>
                <w:sz w:val="15"/>
                <w:szCs w:val="15"/>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7,258</w:t>
            </w:r>
          </w:p>
        </w:tc>
        <w:tc>
          <w:tcPr>
            <w:tcW w:w="240" w:type="dxa"/>
            <w:vAlign w:val="bottom"/>
            <w:shd w:val="clear" w:color="auto" w:fill="F0FFFF"/>
          </w:tcPr>
          <w:p>
            <w:pPr>
              <w:spacing w:after="0"/>
              <w:rPr>
                <w:sz w:val="15"/>
                <w:szCs w:val="15"/>
                <w:color w:val="auto"/>
              </w:rPr>
            </w:pPr>
          </w:p>
        </w:tc>
        <w:tc>
          <w:tcPr>
            <w:tcW w:w="7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6,844</w:t>
            </w:r>
          </w:p>
        </w:tc>
        <w:tc>
          <w:tcPr>
            <w:tcW w:w="7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tcPr>
          <w:p>
            <w:pPr>
              <w:ind w:left="140"/>
              <w:spacing w:after="0"/>
              <w:rPr>
                <w:sz w:val="20"/>
                <w:szCs w:val="20"/>
                <w:color w:val="auto"/>
              </w:rPr>
            </w:pPr>
            <w:r>
              <w:rPr>
                <w:rFonts w:ascii="Arial" w:cs="Arial" w:eastAsia="Arial" w:hAnsi="Arial"/>
                <w:sz w:val="14"/>
                <w:szCs w:val="14"/>
                <w:color w:val="auto"/>
              </w:rPr>
              <w:t>Total assets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8,017</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7,617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7,565</w:t>
            </w:r>
          </w:p>
        </w:tc>
        <w:tc>
          <w:tcPr>
            <w:tcW w:w="12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7,374</w:t>
            </w:r>
          </w:p>
        </w:tc>
        <w:tc>
          <w:tcPr>
            <w:tcW w:w="10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7,418</w:t>
            </w:r>
          </w:p>
        </w:tc>
        <w:tc>
          <w:tcPr>
            <w:tcW w:w="1120" w:type="dxa"/>
            <w:vAlign w:val="bottom"/>
            <w:gridSpan w:val="3"/>
          </w:tcPr>
          <w:p>
            <w:pPr>
              <w:jc w:val="right"/>
              <w:ind w:right="220"/>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7,818</w:t>
            </w:r>
          </w:p>
        </w:tc>
        <w:tc>
          <w:tcPr>
            <w:tcW w:w="24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7,401</w:t>
            </w:r>
          </w:p>
        </w:tc>
        <w:tc>
          <w:tcPr>
            <w:tcW w:w="78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shd w:val="clear" w:color="auto" w:fill="F0FFFF"/>
          </w:tcPr>
          <w:p>
            <w:pPr>
              <w:ind w:left="140"/>
              <w:spacing w:after="0"/>
              <w:rPr>
                <w:sz w:val="20"/>
                <w:szCs w:val="20"/>
                <w:color w:val="auto"/>
              </w:rPr>
            </w:pPr>
            <w:r>
              <w:rPr>
                <w:rFonts w:ascii="Arial" w:cs="Arial" w:eastAsia="Arial" w:hAnsi="Arial"/>
                <w:sz w:val="14"/>
                <w:szCs w:val="14"/>
                <w:color w:val="auto"/>
              </w:rPr>
              <w:t>Deposits</w:t>
            </w:r>
          </w:p>
        </w:tc>
        <w:tc>
          <w:tcPr>
            <w:tcW w:w="1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6,669</w:t>
            </w:r>
          </w:p>
        </w:tc>
        <w:tc>
          <w:tcPr>
            <w:tcW w:w="120" w:type="dxa"/>
            <w:vAlign w:val="bottom"/>
            <w:shd w:val="clear" w:color="auto" w:fill="F0FFFF"/>
          </w:tcPr>
          <w:p>
            <w:pPr>
              <w:spacing w:after="0"/>
              <w:rPr>
                <w:sz w:val="15"/>
                <w:szCs w:val="15"/>
                <w:color w:val="auto"/>
              </w:rPr>
            </w:pP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6,369</w:t>
            </w:r>
          </w:p>
        </w:tc>
        <w:tc>
          <w:tcPr>
            <w:tcW w:w="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6,383</w:t>
            </w:r>
          </w:p>
        </w:tc>
        <w:tc>
          <w:tcPr>
            <w:tcW w:w="120" w:type="dxa"/>
            <w:vAlign w:val="bottom"/>
            <w:shd w:val="clear" w:color="auto" w:fill="F0FFFF"/>
          </w:tcPr>
          <w:p>
            <w:pPr>
              <w:spacing w:after="0"/>
              <w:rPr>
                <w:sz w:val="15"/>
                <w:szCs w:val="15"/>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6,143</w:t>
            </w:r>
          </w:p>
        </w:tc>
        <w:tc>
          <w:tcPr>
            <w:tcW w:w="100" w:type="dxa"/>
            <w:vAlign w:val="bottom"/>
            <w:shd w:val="clear" w:color="auto" w:fill="F0FFFF"/>
          </w:tcPr>
          <w:p>
            <w:pPr>
              <w:spacing w:after="0"/>
              <w:rPr>
                <w:sz w:val="15"/>
                <w:szCs w:val="15"/>
                <w:color w:val="auto"/>
              </w:rPr>
            </w:pP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6,187</w:t>
            </w:r>
          </w:p>
        </w:tc>
        <w:tc>
          <w:tcPr>
            <w:tcW w:w="1120" w:type="dxa"/>
            <w:vAlign w:val="bottom"/>
            <w:gridSpan w:val="3"/>
            <w:shd w:val="clear" w:color="auto" w:fill="F0FFFF"/>
          </w:tcPr>
          <w:p>
            <w:pPr>
              <w:jc w:val="right"/>
              <w:ind w:right="220"/>
              <w:spacing w:after="0"/>
              <w:rPr>
                <w:sz w:val="20"/>
                <w:szCs w:val="20"/>
                <w:color w:val="auto"/>
              </w:rPr>
            </w:pPr>
            <w:r>
              <w:rPr>
                <w:rFonts w:ascii="Arial" w:cs="Arial" w:eastAsia="Arial" w:hAnsi="Arial"/>
                <w:sz w:val="14"/>
                <w:szCs w:val="14"/>
                <w:color w:val="auto"/>
              </w:rPr>
              <w:t>8</w:t>
            </w:r>
          </w:p>
        </w:tc>
        <w:tc>
          <w:tcPr>
            <w:tcW w:w="160" w:type="dxa"/>
            <w:vAlign w:val="bottom"/>
            <w:shd w:val="clear" w:color="auto" w:fill="F0FFFF"/>
          </w:tcPr>
          <w:p>
            <w:pPr>
              <w:spacing w:after="0"/>
              <w:rPr>
                <w:sz w:val="15"/>
                <w:szCs w:val="15"/>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6,520</w:t>
            </w:r>
          </w:p>
        </w:tc>
        <w:tc>
          <w:tcPr>
            <w:tcW w:w="240" w:type="dxa"/>
            <w:vAlign w:val="bottom"/>
            <w:shd w:val="clear" w:color="auto" w:fill="F0FFFF"/>
          </w:tcPr>
          <w:p>
            <w:pPr>
              <w:spacing w:after="0"/>
              <w:rPr>
                <w:sz w:val="15"/>
                <w:szCs w:val="15"/>
                <w:color w:val="auto"/>
              </w:rPr>
            </w:pPr>
          </w:p>
        </w:tc>
        <w:tc>
          <w:tcPr>
            <w:tcW w:w="7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6,192</w:t>
            </w:r>
          </w:p>
        </w:tc>
        <w:tc>
          <w:tcPr>
            <w:tcW w:w="7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tcPr>
          <w:p>
            <w:pPr>
              <w:ind w:left="140"/>
              <w:spacing w:after="0"/>
              <w:rPr>
                <w:sz w:val="20"/>
                <w:szCs w:val="20"/>
                <w:color w:val="auto"/>
              </w:rPr>
            </w:pPr>
            <w:r>
              <w:rPr>
                <w:rFonts w:ascii="Arial" w:cs="Arial" w:eastAsia="Arial" w:hAnsi="Arial"/>
                <w:sz w:val="14"/>
                <w:szCs w:val="14"/>
                <w:color w:val="auto"/>
              </w:rPr>
              <w:t>Shareholders’ equity</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806</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751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738</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726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713</w:t>
            </w:r>
          </w:p>
        </w:tc>
        <w:tc>
          <w:tcPr>
            <w:tcW w:w="1120" w:type="dxa"/>
            <w:vAlign w:val="bottom"/>
            <w:gridSpan w:val="3"/>
          </w:tcPr>
          <w:p>
            <w:pPr>
              <w:jc w:val="right"/>
              <w:ind w:right="220"/>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778</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708</w:t>
            </w:r>
          </w:p>
        </w:tc>
        <w:tc>
          <w:tcPr>
            <w:tcW w:w="78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160" w:type="dxa"/>
            <w:vAlign w:val="bottom"/>
            <w:shd w:val="clear" w:color="auto" w:fill="F0FFFF"/>
          </w:tcPr>
          <w:p>
            <w:pPr>
              <w:ind w:left="140"/>
              <w:spacing w:after="0" w:line="157" w:lineRule="exact"/>
              <w:rPr>
                <w:sz w:val="20"/>
                <w:szCs w:val="20"/>
                <w:color w:val="auto"/>
              </w:rPr>
            </w:pPr>
            <w:r>
              <w:rPr>
                <w:rFonts w:ascii="Arial" w:cs="Arial" w:eastAsia="Arial" w:hAnsi="Arial"/>
                <w:sz w:val="14"/>
                <w:szCs w:val="14"/>
                <w:color w:val="auto"/>
              </w:rPr>
              <w:t>Common shares - basic</w:t>
            </w:r>
          </w:p>
        </w:tc>
        <w:tc>
          <w:tcPr>
            <w:tcW w:w="14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680" w:type="dxa"/>
            <w:vAlign w:val="bottom"/>
            <w:shd w:val="clear" w:color="auto" w:fill="F0FFFF"/>
          </w:tcPr>
          <w:p>
            <w:pPr>
              <w:spacing w:after="0"/>
              <w:rPr>
                <w:sz w:val="13"/>
                <w:szCs w:val="13"/>
                <w:color w:val="auto"/>
              </w:rPr>
            </w:pPr>
          </w:p>
        </w:tc>
        <w:tc>
          <w:tcPr>
            <w:tcW w:w="26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700" w:type="dxa"/>
            <w:vAlign w:val="bottom"/>
            <w:shd w:val="clear" w:color="auto" w:fill="F0FFFF"/>
          </w:tcPr>
          <w:p>
            <w:pPr>
              <w:spacing w:after="0"/>
              <w:rPr>
                <w:sz w:val="13"/>
                <w:szCs w:val="13"/>
                <w:color w:val="auto"/>
              </w:rPr>
            </w:pPr>
          </w:p>
        </w:tc>
        <w:tc>
          <w:tcPr>
            <w:tcW w:w="18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680" w:type="dxa"/>
            <w:vAlign w:val="bottom"/>
            <w:shd w:val="clear" w:color="auto" w:fill="F0FFFF"/>
          </w:tcPr>
          <w:p>
            <w:pPr>
              <w:spacing w:after="0"/>
              <w:rPr>
                <w:sz w:val="13"/>
                <w:szCs w:val="13"/>
                <w:color w:val="auto"/>
              </w:rPr>
            </w:pPr>
          </w:p>
        </w:tc>
        <w:tc>
          <w:tcPr>
            <w:tcW w:w="22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660" w:type="dxa"/>
            <w:vAlign w:val="bottom"/>
            <w:shd w:val="clear" w:color="auto" w:fill="F0FFFF"/>
          </w:tcPr>
          <w:p>
            <w:pPr>
              <w:spacing w:after="0"/>
              <w:rPr>
                <w:sz w:val="13"/>
                <w:szCs w:val="13"/>
                <w:color w:val="auto"/>
              </w:rPr>
            </w:pPr>
          </w:p>
        </w:tc>
        <w:tc>
          <w:tcPr>
            <w:tcW w:w="240" w:type="dxa"/>
            <w:vAlign w:val="bottom"/>
            <w:tcBorders>
              <w:right w:val="single" w:sz="8" w:color="F0FFFF"/>
            </w:tcBorders>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68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780" w:type="dxa"/>
            <w:vAlign w:val="bottom"/>
            <w:shd w:val="clear" w:color="auto" w:fill="F0FFFF"/>
          </w:tcPr>
          <w:p>
            <w:pPr>
              <w:spacing w:after="0"/>
              <w:rPr>
                <w:sz w:val="13"/>
                <w:szCs w:val="13"/>
                <w:color w:val="auto"/>
              </w:rPr>
            </w:pPr>
          </w:p>
        </w:tc>
        <w:tc>
          <w:tcPr>
            <w:tcW w:w="220" w:type="dxa"/>
            <w:vAlign w:val="bottom"/>
            <w:shd w:val="clear" w:color="auto" w:fill="F0FFFF"/>
          </w:tcPr>
          <w:p>
            <w:pPr>
              <w:spacing w:after="0"/>
              <w:rPr>
                <w:sz w:val="13"/>
                <w:szCs w:val="13"/>
                <w:color w:val="auto"/>
              </w:rPr>
            </w:pPr>
          </w:p>
        </w:tc>
        <w:tc>
          <w:tcPr>
            <w:tcW w:w="160" w:type="dxa"/>
            <w:vAlign w:val="bottom"/>
            <w:shd w:val="clear" w:color="auto" w:fill="F0FFFF"/>
          </w:tcPr>
          <w:p>
            <w:pPr>
              <w:spacing w:after="0"/>
              <w:rPr>
                <w:sz w:val="13"/>
                <w:szCs w:val="13"/>
                <w:color w:val="auto"/>
              </w:rPr>
            </w:pPr>
          </w:p>
        </w:tc>
        <w:tc>
          <w:tcPr>
            <w:tcW w:w="640" w:type="dxa"/>
            <w:vAlign w:val="bottom"/>
            <w:shd w:val="clear" w:color="auto" w:fill="F0FFFF"/>
          </w:tcPr>
          <w:p>
            <w:pPr>
              <w:spacing w:after="0"/>
              <w:rPr>
                <w:sz w:val="13"/>
                <w:szCs w:val="13"/>
                <w:color w:val="auto"/>
              </w:rPr>
            </w:pPr>
          </w:p>
        </w:tc>
        <w:tc>
          <w:tcPr>
            <w:tcW w:w="220" w:type="dxa"/>
            <w:vAlign w:val="bottom"/>
            <w:tcBorders>
              <w:right w:val="single" w:sz="8" w:color="F0FFFF"/>
            </w:tcBorders>
            <w:shd w:val="clear" w:color="auto" w:fill="F0FFFF"/>
          </w:tcPr>
          <w:p>
            <w:pPr>
              <w:spacing w:after="0"/>
              <w:rPr>
                <w:sz w:val="13"/>
                <w:szCs w:val="13"/>
                <w:color w:val="auto"/>
              </w:rPr>
            </w:pPr>
          </w:p>
        </w:tc>
        <w:tc>
          <w:tcPr>
            <w:tcW w:w="240" w:type="dxa"/>
            <w:vAlign w:val="bottom"/>
            <w:shd w:val="clear" w:color="auto" w:fill="F0FFFF"/>
          </w:tcPr>
          <w:p>
            <w:pPr>
              <w:spacing w:after="0"/>
              <w:rPr>
                <w:sz w:val="13"/>
                <w:szCs w:val="13"/>
                <w:color w:val="auto"/>
              </w:rPr>
            </w:pPr>
          </w:p>
        </w:tc>
        <w:tc>
          <w:tcPr>
            <w:tcW w:w="540" w:type="dxa"/>
            <w:vAlign w:val="bottom"/>
            <w:shd w:val="clear" w:color="auto" w:fill="F0FFFF"/>
          </w:tcPr>
          <w:p>
            <w:pPr>
              <w:spacing w:after="0"/>
              <w:rPr>
                <w:sz w:val="13"/>
                <w:szCs w:val="13"/>
                <w:color w:val="auto"/>
              </w:rPr>
            </w:pPr>
          </w:p>
        </w:tc>
        <w:tc>
          <w:tcPr>
            <w:tcW w:w="240" w:type="dxa"/>
            <w:vAlign w:val="bottom"/>
            <w:shd w:val="clear" w:color="auto" w:fill="F0FFFF"/>
          </w:tcPr>
          <w:p>
            <w:pPr>
              <w:spacing w:after="0"/>
              <w:rPr>
                <w:sz w:val="13"/>
                <w:szCs w:val="13"/>
                <w:color w:val="auto"/>
              </w:rPr>
            </w:pPr>
          </w:p>
        </w:tc>
        <w:tc>
          <w:tcPr>
            <w:tcW w:w="7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shd w:val="clear" w:color="auto" w:fill="F0FFFF"/>
          </w:tcPr>
          <w:p>
            <w:pPr>
              <w:ind w:left="300"/>
              <w:spacing w:after="0"/>
              <w:rPr>
                <w:sz w:val="20"/>
                <w:szCs w:val="20"/>
                <w:color w:val="auto"/>
              </w:rPr>
            </w:pPr>
            <w:r>
              <w:rPr>
                <w:rFonts w:ascii="Arial" w:cs="Arial" w:eastAsia="Arial" w:hAnsi="Arial"/>
                <w:sz w:val="14"/>
                <w:szCs w:val="14"/>
                <w:i w:val="1"/>
                <w:iCs w:val="1"/>
                <w:color w:val="auto"/>
              </w:rPr>
              <w:t>(thousands)</w:t>
            </w:r>
          </w:p>
        </w:tc>
        <w:tc>
          <w:tcPr>
            <w:tcW w:w="1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62,549</w:t>
            </w:r>
          </w:p>
        </w:tc>
        <w:tc>
          <w:tcPr>
            <w:tcW w:w="120" w:type="dxa"/>
            <w:vAlign w:val="bottom"/>
            <w:shd w:val="clear" w:color="auto" w:fill="F0FFFF"/>
          </w:tcPr>
          <w:p>
            <w:pPr>
              <w:spacing w:after="0"/>
              <w:rPr>
                <w:sz w:val="14"/>
                <w:szCs w:val="14"/>
                <w:color w:val="auto"/>
              </w:rPr>
            </w:pP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60,905</w:t>
            </w:r>
          </w:p>
        </w:tc>
        <w:tc>
          <w:tcPr>
            <w:tcW w:w="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60,830</w:t>
            </w:r>
          </w:p>
        </w:tc>
        <w:tc>
          <w:tcPr>
            <w:tcW w:w="120" w:type="dxa"/>
            <w:vAlign w:val="bottom"/>
            <w:shd w:val="clear" w:color="auto" w:fill="F0FFFF"/>
          </w:tcPr>
          <w:p>
            <w:pPr>
              <w:spacing w:after="0"/>
              <w:rPr>
                <w:sz w:val="14"/>
                <w:szCs w:val="14"/>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60,776</w:t>
            </w:r>
          </w:p>
        </w:tc>
        <w:tc>
          <w:tcPr>
            <w:tcW w:w="100" w:type="dxa"/>
            <w:vAlign w:val="bottom"/>
            <w:shd w:val="clear" w:color="auto" w:fill="F0FFFF"/>
          </w:tcPr>
          <w:p>
            <w:pPr>
              <w:spacing w:after="0"/>
              <w:rPr>
                <w:sz w:val="14"/>
                <w:szCs w:val="14"/>
                <w:color w:val="auto"/>
              </w:rPr>
            </w:pP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60,712</w:t>
            </w:r>
          </w:p>
        </w:tc>
        <w:tc>
          <w:tcPr>
            <w:tcW w:w="120" w:type="dxa"/>
            <w:vAlign w:val="bottom"/>
            <w:shd w:val="clear" w:color="auto" w:fill="F0FFFF"/>
          </w:tcPr>
          <w:p>
            <w:pPr>
              <w:spacing w:after="0"/>
              <w:rPr>
                <w:sz w:val="14"/>
                <w:szCs w:val="14"/>
                <w:color w:val="auto"/>
              </w:rPr>
            </w:pPr>
          </w:p>
        </w:tc>
        <w:tc>
          <w:tcPr>
            <w:tcW w:w="7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61,730</w:t>
            </w:r>
          </w:p>
        </w:tc>
        <w:tc>
          <w:tcPr>
            <w:tcW w:w="240" w:type="dxa"/>
            <w:vAlign w:val="bottom"/>
            <w:shd w:val="clear" w:color="auto" w:fill="F0FFFF"/>
          </w:tcPr>
          <w:p>
            <w:pPr>
              <w:spacing w:after="0"/>
              <w:rPr>
                <w:sz w:val="14"/>
                <w:szCs w:val="14"/>
                <w:color w:val="auto"/>
              </w:rPr>
            </w:pPr>
          </w:p>
        </w:tc>
        <w:tc>
          <w:tcPr>
            <w:tcW w:w="7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60,386</w:t>
            </w:r>
          </w:p>
        </w:tc>
        <w:tc>
          <w:tcPr>
            <w:tcW w:w="7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160" w:type="dxa"/>
            <w:vAlign w:val="bottom"/>
          </w:tcPr>
          <w:p>
            <w:pPr>
              <w:ind w:left="140"/>
              <w:spacing w:after="0" w:line="157" w:lineRule="exact"/>
              <w:rPr>
                <w:sz w:val="20"/>
                <w:szCs w:val="20"/>
                <w:color w:val="auto"/>
              </w:rPr>
            </w:pPr>
            <w:r>
              <w:rPr>
                <w:rFonts w:ascii="Arial" w:cs="Arial" w:eastAsia="Arial" w:hAnsi="Arial"/>
                <w:sz w:val="14"/>
                <w:szCs w:val="14"/>
                <w:color w:val="auto"/>
              </w:rPr>
              <w:t>Common shares - diluted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60" w:type="dxa"/>
            <w:vAlign w:val="bottom"/>
          </w:tcPr>
          <w:p>
            <w:pPr>
              <w:ind w:left="300"/>
              <w:spacing w:after="0"/>
              <w:rPr>
                <w:sz w:val="20"/>
                <w:szCs w:val="20"/>
                <w:color w:val="auto"/>
              </w:rPr>
            </w:pPr>
            <w:r>
              <w:rPr>
                <w:rFonts w:ascii="Arial" w:cs="Arial" w:eastAsia="Arial" w:hAnsi="Arial"/>
                <w:sz w:val="14"/>
                <w:szCs w:val="14"/>
                <w:i w:val="1"/>
                <w:iCs w:val="1"/>
                <w:color w:val="auto"/>
              </w:rPr>
              <w:t>(thousands)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62,553</w:t>
            </w: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60,909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60,833</w:t>
            </w: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60,779</w:t>
            </w:r>
          </w:p>
        </w:tc>
        <w:tc>
          <w:tcPr>
            <w:tcW w:w="1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60,714</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61,734</w:t>
            </w:r>
          </w:p>
        </w:tc>
        <w:tc>
          <w:tcPr>
            <w:tcW w:w="24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60,388</w:t>
            </w: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shd w:val="clear" w:color="auto" w:fill="F0FFFF"/>
          </w:tcPr>
          <w:p>
            <w:pPr>
              <w:spacing w:after="0" w:line="149" w:lineRule="exact"/>
              <w:rPr>
                <w:sz w:val="20"/>
                <w:szCs w:val="20"/>
                <w:color w:val="auto"/>
              </w:rPr>
            </w:pPr>
            <w:r>
              <w:rPr>
                <w:rFonts w:ascii="Arial" w:cs="Arial" w:eastAsia="Arial" w:hAnsi="Arial"/>
                <w:sz w:val="14"/>
                <w:szCs w:val="14"/>
                <w:b w:val="1"/>
                <w:bCs w:val="1"/>
                <w:color w:val="auto"/>
              </w:rPr>
              <w:t xml:space="preserve">AT PERIOD END </w:t>
            </w:r>
            <w:r>
              <w:rPr>
                <w:rFonts w:ascii="Arial" w:cs="Arial" w:eastAsia="Arial" w:hAnsi="Arial"/>
                <w:sz w:val="14"/>
                <w:szCs w:val="14"/>
                <w:i w:val="1"/>
                <w:iCs w:val="1"/>
                <w:color w:val="auto"/>
              </w:rPr>
              <w:t>($ in millions)</w:t>
            </w:r>
          </w:p>
        </w:tc>
        <w:tc>
          <w:tcPr>
            <w:tcW w:w="1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tcPr>
          <w:p>
            <w:pPr>
              <w:ind w:left="140"/>
              <w:spacing w:after="0"/>
              <w:rPr>
                <w:sz w:val="20"/>
                <w:szCs w:val="20"/>
                <w:color w:val="auto"/>
              </w:rPr>
            </w:pPr>
            <w:r>
              <w:rPr>
                <w:rFonts w:ascii="Arial" w:cs="Arial" w:eastAsia="Arial" w:hAnsi="Arial"/>
                <w:sz w:val="14"/>
                <w:szCs w:val="14"/>
                <w:color w:val="auto"/>
              </w:rPr>
              <w:t>Loans</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5,174</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4,788</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4,672</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4,569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4,410</w:t>
            </w:r>
          </w:p>
        </w:tc>
        <w:tc>
          <w:tcPr>
            <w:tcW w:w="1120" w:type="dxa"/>
            <w:vAlign w:val="bottom"/>
            <w:gridSpan w:val="3"/>
          </w:tcPr>
          <w:p>
            <w:pPr>
              <w:jc w:val="right"/>
              <w:ind w:right="220"/>
              <w:spacing w:after="0"/>
              <w:rPr>
                <w:sz w:val="20"/>
                <w:szCs w:val="20"/>
                <w:color w:val="auto"/>
              </w:rPr>
            </w:pPr>
            <w:r>
              <w:rPr>
                <w:rFonts w:ascii="Arial" w:cs="Arial" w:eastAsia="Arial" w:hAnsi="Arial"/>
                <w:sz w:val="14"/>
                <w:szCs w:val="14"/>
                <w:color w:val="auto"/>
              </w:rPr>
              <w:t>17</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5,174</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4,410</w:t>
            </w:r>
          </w:p>
        </w:tc>
        <w:tc>
          <w:tcPr>
            <w:tcW w:w="78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shd w:val="clear" w:color="auto" w:fill="F0FFFF"/>
          </w:tcPr>
          <w:p>
            <w:pPr>
              <w:ind w:left="140"/>
              <w:spacing w:after="0"/>
              <w:rPr>
                <w:sz w:val="20"/>
                <w:szCs w:val="20"/>
                <w:color w:val="auto"/>
              </w:rPr>
            </w:pPr>
            <w:r>
              <w:rPr>
                <w:rFonts w:ascii="Arial" w:cs="Arial" w:eastAsia="Arial" w:hAnsi="Arial"/>
                <w:sz w:val="14"/>
                <w:szCs w:val="14"/>
                <w:color w:val="auto"/>
              </w:rPr>
              <w:t>Investment securities</w:t>
            </w:r>
          </w:p>
        </w:tc>
        <w:tc>
          <w:tcPr>
            <w:tcW w:w="1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2,322</w:t>
            </w:r>
          </w:p>
        </w:tc>
        <w:tc>
          <w:tcPr>
            <w:tcW w:w="120" w:type="dxa"/>
            <w:vAlign w:val="bottom"/>
            <w:shd w:val="clear" w:color="auto" w:fill="F0FFFF"/>
          </w:tcPr>
          <w:p>
            <w:pPr>
              <w:spacing w:after="0"/>
              <w:rPr>
                <w:sz w:val="15"/>
                <w:szCs w:val="15"/>
                <w:color w:val="auto"/>
              </w:rPr>
            </w:pP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2,201</w:t>
            </w:r>
          </w:p>
        </w:tc>
        <w:tc>
          <w:tcPr>
            <w:tcW w:w="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2,198</w:t>
            </w:r>
          </w:p>
        </w:tc>
        <w:tc>
          <w:tcPr>
            <w:tcW w:w="120" w:type="dxa"/>
            <w:vAlign w:val="bottom"/>
            <w:shd w:val="clear" w:color="auto" w:fill="F0FFFF"/>
          </w:tcPr>
          <w:p>
            <w:pPr>
              <w:spacing w:after="0"/>
              <w:rPr>
                <w:sz w:val="15"/>
                <w:szCs w:val="15"/>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2,222</w:t>
            </w:r>
          </w:p>
        </w:tc>
        <w:tc>
          <w:tcPr>
            <w:tcW w:w="100" w:type="dxa"/>
            <w:vAlign w:val="bottom"/>
            <w:shd w:val="clear" w:color="auto" w:fill="F0FFFF"/>
          </w:tcPr>
          <w:p>
            <w:pPr>
              <w:spacing w:after="0"/>
              <w:rPr>
                <w:sz w:val="15"/>
                <w:szCs w:val="15"/>
                <w:color w:val="auto"/>
              </w:rPr>
            </w:pP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2,190</w:t>
            </w:r>
          </w:p>
        </w:tc>
        <w:tc>
          <w:tcPr>
            <w:tcW w:w="1120" w:type="dxa"/>
            <w:vAlign w:val="bottom"/>
            <w:gridSpan w:val="3"/>
            <w:shd w:val="clear" w:color="auto" w:fill="F0FFFF"/>
          </w:tcPr>
          <w:p>
            <w:pPr>
              <w:jc w:val="right"/>
              <w:ind w:right="220"/>
              <w:spacing w:after="0"/>
              <w:rPr>
                <w:sz w:val="20"/>
                <w:szCs w:val="20"/>
                <w:color w:val="auto"/>
              </w:rPr>
            </w:pPr>
            <w:r>
              <w:rPr>
                <w:rFonts w:ascii="Arial" w:cs="Arial" w:eastAsia="Arial" w:hAnsi="Arial"/>
                <w:sz w:val="14"/>
                <w:szCs w:val="14"/>
                <w:color w:val="auto"/>
              </w:rPr>
              <w:t>6</w:t>
            </w:r>
          </w:p>
        </w:tc>
        <w:tc>
          <w:tcPr>
            <w:tcW w:w="160" w:type="dxa"/>
            <w:vAlign w:val="bottom"/>
            <w:shd w:val="clear" w:color="auto" w:fill="F0FFFF"/>
          </w:tcPr>
          <w:p>
            <w:pPr>
              <w:spacing w:after="0"/>
              <w:rPr>
                <w:sz w:val="15"/>
                <w:szCs w:val="15"/>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2,322</w:t>
            </w:r>
          </w:p>
        </w:tc>
        <w:tc>
          <w:tcPr>
            <w:tcW w:w="240" w:type="dxa"/>
            <w:vAlign w:val="bottom"/>
            <w:shd w:val="clear" w:color="auto" w:fill="F0FFFF"/>
          </w:tcPr>
          <w:p>
            <w:pPr>
              <w:spacing w:after="0"/>
              <w:rPr>
                <w:sz w:val="15"/>
                <w:szCs w:val="15"/>
                <w:color w:val="auto"/>
              </w:rPr>
            </w:pPr>
          </w:p>
        </w:tc>
        <w:tc>
          <w:tcPr>
            <w:tcW w:w="7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2,190</w:t>
            </w:r>
          </w:p>
        </w:tc>
        <w:tc>
          <w:tcPr>
            <w:tcW w:w="7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tcPr>
          <w:p>
            <w:pPr>
              <w:ind w:left="140"/>
              <w:spacing w:after="0"/>
              <w:rPr>
                <w:sz w:val="20"/>
                <w:szCs w:val="20"/>
                <w:color w:val="auto"/>
              </w:rPr>
            </w:pPr>
            <w:r>
              <w:rPr>
                <w:rFonts w:ascii="Arial" w:cs="Arial" w:eastAsia="Arial" w:hAnsi="Arial"/>
                <w:sz w:val="14"/>
                <w:szCs w:val="14"/>
                <w:color w:val="auto"/>
              </w:rPr>
              <w:t>Total assets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8,246</w:t>
            </w:r>
          </w:p>
        </w:tc>
        <w:tc>
          <w:tcPr>
            <w:tcW w:w="1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7,664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7,567</w:t>
            </w:r>
          </w:p>
        </w:tc>
        <w:tc>
          <w:tcPr>
            <w:tcW w:w="12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7,526</w:t>
            </w:r>
          </w:p>
        </w:tc>
        <w:tc>
          <w:tcPr>
            <w:tcW w:w="10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7,352</w:t>
            </w:r>
          </w:p>
        </w:tc>
        <w:tc>
          <w:tcPr>
            <w:tcW w:w="1120" w:type="dxa"/>
            <w:vAlign w:val="bottom"/>
            <w:gridSpan w:val="3"/>
          </w:tcPr>
          <w:p>
            <w:pPr>
              <w:jc w:val="right"/>
              <w:ind w:right="220"/>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8,246</w:t>
            </w:r>
          </w:p>
        </w:tc>
        <w:tc>
          <w:tcPr>
            <w:tcW w:w="24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7,352</w:t>
            </w:r>
          </w:p>
        </w:tc>
        <w:tc>
          <w:tcPr>
            <w:tcW w:w="7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shd w:val="clear" w:color="auto" w:fill="F0FFFF"/>
          </w:tcPr>
          <w:p>
            <w:pPr>
              <w:ind w:left="140"/>
              <w:spacing w:after="0"/>
              <w:rPr>
                <w:sz w:val="20"/>
                <w:szCs w:val="20"/>
                <w:color w:val="auto"/>
              </w:rPr>
            </w:pPr>
            <w:r>
              <w:rPr>
                <w:rFonts w:ascii="Arial" w:cs="Arial" w:eastAsia="Arial" w:hAnsi="Arial"/>
                <w:sz w:val="14"/>
                <w:szCs w:val="14"/>
                <w:color w:val="auto"/>
              </w:rPr>
              <w:t>Deposits</w:t>
            </w:r>
          </w:p>
        </w:tc>
        <w:tc>
          <w:tcPr>
            <w:tcW w:w="1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6,808</w:t>
            </w:r>
          </w:p>
        </w:tc>
        <w:tc>
          <w:tcPr>
            <w:tcW w:w="120" w:type="dxa"/>
            <w:vAlign w:val="bottom"/>
            <w:shd w:val="clear" w:color="auto" w:fill="F0FFFF"/>
          </w:tcPr>
          <w:p>
            <w:pPr>
              <w:spacing w:after="0"/>
              <w:rPr>
                <w:sz w:val="15"/>
                <w:szCs w:val="15"/>
                <w:color w:val="auto"/>
              </w:rPr>
            </w:pPr>
          </w:p>
        </w:tc>
        <w:tc>
          <w:tcPr>
            <w:tcW w:w="8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6,438</w:t>
            </w:r>
          </w:p>
        </w:tc>
        <w:tc>
          <w:tcPr>
            <w:tcW w:w="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6,327</w:t>
            </w:r>
          </w:p>
        </w:tc>
        <w:tc>
          <w:tcPr>
            <w:tcW w:w="120" w:type="dxa"/>
            <w:vAlign w:val="bottom"/>
            <w:shd w:val="clear" w:color="auto" w:fill="F0FFFF"/>
          </w:tcPr>
          <w:p>
            <w:pPr>
              <w:spacing w:after="0"/>
              <w:rPr>
                <w:sz w:val="15"/>
                <w:szCs w:val="15"/>
                <w:color w:val="auto"/>
              </w:rPr>
            </w:pPr>
          </w:p>
        </w:tc>
        <w:tc>
          <w:tcPr>
            <w:tcW w:w="90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6,241</w:t>
            </w:r>
          </w:p>
        </w:tc>
        <w:tc>
          <w:tcPr>
            <w:tcW w:w="100" w:type="dxa"/>
            <w:vAlign w:val="bottom"/>
            <w:shd w:val="clear" w:color="auto" w:fill="F0FFFF"/>
          </w:tcPr>
          <w:p>
            <w:pPr>
              <w:spacing w:after="0"/>
              <w:rPr>
                <w:sz w:val="15"/>
                <w:szCs w:val="15"/>
                <w:color w:val="auto"/>
              </w:rPr>
            </w:pP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6,164</w:t>
            </w:r>
          </w:p>
        </w:tc>
        <w:tc>
          <w:tcPr>
            <w:tcW w:w="1120" w:type="dxa"/>
            <w:vAlign w:val="bottom"/>
            <w:gridSpan w:val="3"/>
            <w:shd w:val="clear" w:color="auto" w:fill="F0FFFF"/>
          </w:tcPr>
          <w:p>
            <w:pPr>
              <w:jc w:val="right"/>
              <w:ind w:right="220"/>
              <w:spacing w:after="0"/>
              <w:rPr>
                <w:sz w:val="20"/>
                <w:szCs w:val="20"/>
                <w:color w:val="auto"/>
              </w:rPr>
            </w:pPr>
            <w:r>
              <w:rPr>
                <w:rFonts w:ascii="Arial" w:cs="Arial" w:eastAsia="Arial" w:hAnsi="Arial"/>
                <w:sz w:val="14"/>
                <w:szCs w:val="14"/>
                <w:color w:val="auto"/>
              </w:rPr>
              <w:t>10</w:t>
            </w:r>
          </w:p>
        </w:tc>
        <w:tc>
          <w:tcPr>
            <w:tcW w:w="160" w:type="dxa"/>
            <w:vAlign w:val="bottom"/>
            <w:shd w:val="clear" w:color="auto" w:fill="F0FFFF"/>
          </w:tcPr>
          <w:p>
            <w:pPr>
              <w:spacing w:after="0"/>
              <w:rPr>
                <w:sz w:val="15"/>
                <w:szCs w:val="15"/>
                <w:color w:val="auto"/>
              </w:rPr>
            </w:pP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6,808</w:t>
            </w:r>
          </w:p>
        </w:tc>
        <w:tc>
          <w:tcPr>
            <w:tcW w:w="240" w:type="dxa"/>
            <w:vAlign w:val="bottom"/>
            <w:shd w:val="clear" w:color="auto" w:fill="F0FFFF"/>
          </w:tcPr>
          <w:p>
            <w:pPr>
              <w:spacing w:after="0"/>
              <w:rPr>
                <w:sz w:val="15"/>
                <w:szCs w:val="15"/>
                <w:color w:val="auto"/>
              </w:rPr>
            </w:pPr>
          </w:p>
        </w:tc>
        <w:tc>
          <w:tcPr>
            <w:tcW w:w="7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6,164</w:t>
            </w:r>
          </w:p>
        </w:tc>
        <w:tc>
          <w:tcPr>
            <w:tcW w:w="7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tcPr>
          <w:p>
            <w:pPr>
              <w:ind w:left="140"/>
              <w:spacing w:after="0"/>
              <w:rPr>
                <w:sz w:val="20"/>
                <w:szCs w:val="20"/>
                <w:color w:val="auto"/>
              </w:rPr>
            </w:pPr>
            <w:r>
              <w:rPr>
                <w:rFonts w:ascii="Arial" w:cs="Arial" w:eastAsia="Arial" w:hAnsi="Arial"/>
                <w:sz w:val="14"/>
                <w:szCs w:val="14"/>
                <w:color w:val="auto"/>
              </w:rPr>
              <w:t>Shareholders’ equity</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827</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764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740</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736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722</w:t>
            </w:r>
          </w:p>
        </w:tc>
        <w:tc>
          <w:tcPr>
            <w:tcW w:w="1120" w:type="dxa"/>
            <w:vAlign w:val="bottom"/>
            <w:gridSpan w:val="3"/>
          </w:tcPr>
          <w:p>
            <w:pPr>
              <w:jc w:val="right"/>
              <w:ind w:right="220"/>
              <w:spacing w:after="0"/>
              <w:rPr>
                <w:sz w:val="20"/>
                <w:szCs w:val="20"/>
                <w:color w:val="auto"/>
              </w:rPr>
            </w:pPr>
            <w:r>
              <w:rPr>
                <w:rFonts w:ascii="Arial" w:cs="Arial" w:eastAsia="Arial" w:hAnsi="Arial"/>
                <w:sz w:val="14"/>
                <w:szCs w:val="14"/>
                <w:color w:val="auto"/>
              </w:rPr>
              <w:t>15</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827</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722</w:t>
            </w:r>
          </w:p>
        </w:tc>
        <w:tc>
          <w:tcPr>
            <w:tcW w:w="78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160" w:type="dxa"/>
            <w:vAlign w:val="bottom"/>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940" w:type="dxa"/>
            <w:vAlign w:val="bottom"/>
            <w:gridSpan w:val="2"/>
            <w:shd w:val="clear" w:color="auto" w:fill="F0FFFF"/>
          </w:tcPr>
          <w:p>
            <w:pPr>
              <w:jc w:val="right"/>
              <w:ind w:right="260"/>
              <w:spacing w:after="0" w:line="151" w:lineRule="exact"/>
              <w:rPr>
                <w:sz w:val="20"/>
                <w:szCs w:val="20"/>
                <w:color w:val="auto"/>
              </w:rPr>
            </w:pPr>
            <w:r>
              <w:rPr>
                <w:rFonts w:ascii="Arial" w:cs="Arial" w:eastAsia="Arial" w:hAnsi="Arial"/>
                <w:sz w:val="14"/>
                <w:szCs w:val="14"/>
                <w:color w:val="auto"/>
              </w:rPr>
              <w:t>62,700</w:t>
            </w:r>
          </w:p>
        </w:tc>
        <w:tc>
          <w:tcPr>
            <w:tcW w:w="120" w:type="dxa"/>
            <w:vAlign w:val="bottom"/>
            <w:shd w:val="clear" w:color="auto" w:fill="F0FFFF"/>
          </w:tcPr>
          <w:p>
            <w:pPr>
              <w:spacing w:after="0"/>
              <w:rPr>
                <w:sz w:val="13"/>
                <w:szCs w:val="13"/>
                <w:color w:val="auto"/>
              </w:rPr>
            </w:pPr>
          </w:p>
        </w:tc>
        <w:tc>
          <w:tcPr>
            <w:tcW w:w="880" w:type="dxa"/>
            <w:vAlign w:val="bottom"/>
            <w:gridSpan w:val="2"/>
            <w:shd w:val="clear" w:color="auto" w:fill="F0FFFF"/>
          </w:tcPr>
          <w:p>
            <w:pPr>
              <w:jc w:val="right"/>
              <w:ind w:right="180"/>
              <w:spacing w:after="0" w:line="151" w:lineRule="exact"/>
              <w:rPr>
                <w:sz w:val="20"/>
                <w:szCs w:val="20"/>
                <w:color w:val="auto"/>
              </w:rPr>
            </w:pPr>
            <w:r>
              <w:rPr>
                <w:rFonts w:ascii="Arial" w:cs="Arial" w:eastAsia="Arial" w:hAnsi="Arial"/>
                <w:sz w:val="14"/>
                <w:szCs w:val="14"/>
                <w:color w:val="auto"/>
              </w:rPr>
              <w:t>60,309</w:t>
            </w:r>
          </w:p>
        </w:tc>
        <w:tc>
          <w:tcPr>
            <w:tcW w:w="8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900" w:type="dxa"/>
            <w:vAlign w:val="bottom"/>
            <w:gridSpan w:val="2"/>
            <w:shd w:val="clear" w:color="auto" w:fill="F0FFFF"/>
          </w:tcPr>
          <w:p>
            <w:pPr>
              <w:jc w:val="right"/>
              <w:ind w:right="220"/>
              <w:spacing w:after="0" w:line="151" w:lineRule="exact"/>
              <w:rPr>
                <w:sz w:val="20"/>
                <w:szCs w:val="20"/>
                <w:color w:val="auto"/>
              </w:rPr>
            </w:pPr>
            <w:r>
              <w:rPr>
                <w:rFonts w:ascii="Arial" w:cs="Arial" w:eastAsia="Arial" w:hAnsi="Arial"/>
                <w:sz w:val="14"/>
                <w:szCs w:val="14"/>
                <w:color w:val="auto"/>
              </w:rPr>
              <w:t>60,259</w:t>
            </w:r>
          </w:p>
        </w:tc>
        <w:tc>
          <w:tcPr>
            <w:tcW w:w="120" w:type="dxa"/>
            <w:vAlign w:val="bottom"/>
            <w:shd w:val="clear" w:color="auto" w:fill="F0FFFF"/>
          </w:tcPr>
          <w:p>
            <w:pPr>
              <w:spacing w:after="0"/>
              <w:rPr>
                <w:sz w:val="13"/>
                <w:szCs w:val="13"/>
                <w:color w:val="auto"/>
              </w:rPr>
            </w:pPr>
          </w:p>
        </w:tc>
        <w:tc>
          <w:tcPr>
            <w:tcW w:w="900" w:type="dxa"/>
            <w:vAlign w:val="bottom"/>
            <w:tcBorders>
              <w:right w:val="single" w:sz="8" w:color="F0FFFF"/>
            </w:tcBorders>
            <w:gridSpan w:val="2"/>
            <w:shd w:val="clear" w:color="auto" w:fill="F0FFFF"/>
          </w:tcPr>
          <w:p>
            <w:pPr>
              <w:jc w:val="right"/>
              <w:ind w:right="240"/>
              <w:spacing w:after="0" w:line="151" w:lineRule="exact"/>
              <w:rPr>
                <w:sz w:val="20"/>
                <w:szCs w:val="20"/>
                <w:color w:val="auto"/>
              </w:rPr>
            </w:pPr>
            <w:r>
              <w:rPr>
                <w:rFonts w:ascii="Arial" w:cs="Arial" w:eastAsia="Arial" w:hAnsi="Arial"/>
                <w:sz w:val="14"/>
                <w:szCs w:val="14"/>
                <w:color w:val="auto"/>
              </w:rPr>
              <w:t>60,248</w:t>
            </w:r>
          </w:p>
        </w:tc>
        <w:tc>
          <w:tcPr>
            <w:tcW w:w="100" w:type="dxa"/>
            <w:vAlign w:val="bottom"/>
            <w:shd w:val="clear" w:color="auto" w:fill="F0FFFF"/>
          </w:tcPr>
          <w:p>
            <w:pPr>
              <w:spacing w:after="0"/>
              <w:rPr>
                <w:sz w:val="13"/>
                <w:szCs w:val="13"/>
                <w:color w:val="auto"/>
              </w:rPr>
            </w:pPr>
          </w:p>
        </w:tc>
        <w:tc>
          <w:tcPr>
            <w:tcW w:w="780" w:type="dxa"/>
            <w:vAlign w:val="bottom"/>
            <w:gridSpan w:val="2"/>
            <w:shd w:val="clear" w:color="auto" w:fill="F0FFFF"/>
          </w:tcPr>
          <w:p>
            <w:pPr>
              <w:jc w:val="right"/>
              <w:ind w:right="100"/>
              <w:spacing w:after="0" w:line="151" w:lineRule="exact"/>
              <w:rPr>
                <w:sz w:val="20"/>
                <w:szCs w:val="20"/>
                <w:color w:val="auto"/>
              </w:rPr>
            </w:pPr>
            <w:r>
              <w:rPr>
                <w:rFonts w:ascii="Arial" w:cs="Arial" w:eastAsia="Arial" w:hAnsi="Arial"/>
                <w:sz w:val="14"/>
                <w:szCs w:val="14"/>
                <w:color w:val="auto"/>
              </w:rPr>
              <w:t>60,139</w:t>
            </w:r>
          </w:p>
        </w:tc>
        <w:tc>
          <w:tcPr>
            <w:tcW w:w="120" w:type="dxa"/>
            <w:vAlign w:val="bottom"/>
            <w:shd w:val="clear" w:color="auto" w:fill="F0FFFF"/>
          </w:tcPr>
          <w:p>
            <w:pPr>
              <w:spacing w:after="0"/>
              <w:rPr>
                <w:sz w:val="13"/>
                <w:szCs w:val="13"/>
                <w:color w:val="auto"/>
              </w:rPr>
            </w:pPr>
          </w:p>
        </w:tc>
        <w:tc>
          <w:tcPr>
            <w:tcW w:w="780" w:type="dxa"/>
            <w:vAlign w:val="bottom"/>
            <w:shd w:val="clear" w:color="auto" w:fill="F0FFFF"/>
          </w:tcPr>
          <w:p>
            <w:pPr>
              <w:spacing w:after="0"/>
              <w:rPr>
                <w:sz w:val="13"/>
                <w:szCs w:val="13"/>
                <w:color w:val="auto"/>
              </w:rPr>
            </w:pPr>
          </w:p>
        </w:tc>
        <w:tc>
          <w:tcPr>
            <w:tcW w:w="220" w:type="dxa"/>
            <w:vAlign w:val="bottom"/>
            <w:shd w:val="clear" w:color="auto" w:fill="F0FFFF"/>
          </w:tcPr>
          <w:p>
            <w:pPr>
              <w:spacing w:after="0"/>
              <w:rPr>
                <w:sz w:val="13"/>
                <w:szCs w:val="13"/>
                <w:color w:val="auto"/>
              </w:rPr>
            </w:pPr>
          </w:p>
        </w:tc>
        <w:tc>
          <w:tcPr>
            <w:tcW w:w="160" w:type="dxa"/>
            <w:vAlign w:val="bottom"/>
            <w:shd w:val="clear" w:color="auto" w:fill="F0FFFF"/>
          </w:tcPr>
          <w:p>
            <w:pPr>
              <w:spacing w:after="0"/>
              <w:rPr>
                <w:sz w:val="13"/>
                <w:szCs w:val="13"/>
                <w:color w:val="auto"/>
              </w:rPr>
            </w:pPr>
          </w:p>
        </w:tc>
        <w:tc>
          <w:tcPr>
            <w:tcW w:w="860" w:type="dxa"/>
            <w:vAlign w:val="bottom"/>
            <w:tcBorders>
              <w:right w:val="single" w:sz="8" w:color="F0FFFF"/>
            </w:tcBorders>
            <w:gridSpan w:val="2"/>
            <w:shd w:val="clear" w:color="auto" w:fill="F0FFFF"/>
          </w:tcPr>
          <w:p>
            <w:pPr>
              <w:jc w:val="right"/>
              <w:ind w:right="220"/>
              <w:spacing w:after="0" w:line="151" w:lineRule="exact"/>
              <w:rPr>
                <w:sz w:val="20"/>
                <w:szCs w:val="20"/>
                <w:color w:val="auto"/>
              </w:rPr>
            </w:pPr>
            <w:r>
              <w:rPr>
                <w:rFonts w:ascii="Arial" w:cs="Arial" w:eastAsia="Arial" w:hAnsi="Arial"/>
                <w:sz w:val="14"/>
                <w:szCs w:val="14"/>
                <w:color w:val="auto"/>
              </w:rPr>
              <w:t>62,700</w:t>
            </w:r>
          </w:p>
        </w:tc>
        <w:tc>
          <w:tcPr>
            <w:tcW w:w="240" w:type="dxa"/>
            <w:vAlign w:val="bottom"/>
            <w:shd w:val="clear" w:color="auto" w:fill="F0FFFF"/>
          </w:tcPr>
          <w:p>
            <w:pPr>
              <w:spacing w:after="0"/>
              <w:rPr>
                <w:sz w:val="13"/>
                <w:szCs w:val="13"/>
                <w:color w:val="auto"/>
              </w:rPr>
            </w:pPr>
          </w:p>
        </w:tc>
        <w:tc>
          <w:tcPr>
            <w:tcW w:w="780" w:type="dxa"/>
            <w:vAlign w:val="bottom"/>
            <w:gridSpan w:val="2"/>
            <w:shd w:val="clear" w:color="auto" w:fill="F0FFFF"/>
          </w:tcPr>
          <w:p>
            <w:pPr>
              <w:jc w:val="right"/>
              <w:ind w:right="240"/>
              <w:spacing w:after="0" w:line="151" w:lineRule="exact"/>
              <w:rPr>
                <w:sz w:val="20"/>
                <w:szCs w:val="20"/>
                <w:color w:val="auto"/>
              </w:rPr>
            </w:pPr>
            <w:r>
              <w:rPr>
                <w:rFonts w:ascii="Arial" w:cs="Arial" w:eastAsia="Arial" w:hAnsi="Arial"/>
                <w:sz w:val="14"/>
                <w:szCs w:val="14"/>
                <w:color w:val="auto"/>
              </w:rPr>
              <w:t>60,139</w:t>
            </w:r>
          </w:p>
        </w:tc>
        <w:tc>
          <w:tcPr>
            <w:tcW w:w="7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878" w:right="239" w:bottom="0" w:gutter="0" w:footer="0" w:header="0"/>
        </w:sectPr>
      </w:pPr>
    </w:p>
    <w:bookmarkStart w:id="51" w:name="page52"/>
    <w:bookmarkEnd w:id="51"/>
    <w:p>
      <w:pPr>
        <w:ind w:left="160"/>
        <w:spacing w:after="0"/>
        <w:rPr>
          <w:sz w:val="20"/>
          <w:szCs w:val="20"/>
          <w:color w:val="auto"/>
        </w:rPr>
      </w:pPr>
      <w:r>
        <w:rPr>
          <w:rFonts w:ascii="Arial" w:cs="Arial" w:eastAsia="Arial" w:hAnsi="Arial"/>
          <w:sz w:val="14"/>
          <w:szCs w:val="14"/>
          <w:color w:val="auto"/>
        </w:rPr>
        <w:t>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4"/>
          <w:szCs w:val="14"/>
          <w:i w:val="1"/>
          <w:iCs w:val="1"/>
          <w:color w:val="auto"/>
        </w:rPr>
        <w:t>(thousands)</w:t>
      </w:r>
    </w:p>
    <w:p>
      <w:pPr>
        <w:spacing w:after="0" w:line="226" w:lineRule="exact"/>
        <w:rPr>
          <w:sz w:val="20"/>
          <w:szCs w:val="20"/>
          <w:color w:val="auto"/>
        </w:rPr>
      </w:pPr>
    </w:p>
    <w:p>
      <w:pPr>
        <w:ind w:firstLine="8"/>
        <w:spacing w:after="0" w:line="246" w:lineRule="auto"/>
        <w:tabs>
          <w:tab w:leader="none" w:pos="214" w:val="left"/>
        </w:tabs>
        <w:numPr>
          <w:ilvl w:val="0"/>
          <w:numId w:val="7"/>
        </w:numPr>
        <w:rPr>
          <w:rFonts w:ascii="Arial" w:cs="Arial" w:eastAsia="Arial" w:hAnsi="Arial"/>
          <w:sz w:val="25"/>
          <w:szCs w:val="25"/>
          <w:color w:val="auto"/>
          <w:vertAlign w:val="superscript"/>
        </w:rPr>
      </w:pPr>
      <w:r>
        <w:rPr>
          <w:rFonts w:ascii="Arial" w:cs="Arial" w:eastAsia="Arial" w:hAnsi="Arial"/>
          <w:sz w:val="16"/>
          <w:szCs w:val="16"/>
          <w:color w:val="auto"/>
        </w:rPr>
        <w:t xml:space="preserve">Excludes merger-related charges. </w:t>
      </w:r>
      <w:r>
        <w:rPr>
          <w:rFonts w:ascii="Arial" w:cs="Arial" w:eastAsia="Arial" w:hAnsi="Arial"/>
          <w:sz w:val="25"/>
          <w:szCs w:val="25"/>
          <w:color w:val="auto"/>
          <w:vertAlign w:val="superscript"/>
        </w:rPr>
        <w:t>(2)</w:t>
      </w:r>
      <w:r>
        <w:rPr>
          <w:rFonts w:ascii="Arial" w:cs="Arial" w:eastAsia="Arial" w:hAnsi="Arial"/>
          <w:sz w:val="16"/>
          <w:szCs w:val="16"/>
          <w:color w:val="auto"/>
        </w:rPr>
        <w:t xml:space="preserve"> Net income available to common shareholders, which is net of preferred stock dividends, divided by average realized common equity, which excludes accumulated other comprehensive income (loss). </w:t>
      </w:r>
      <w:r>
        <w:rPr>
          <w:rFonts w:ascii="Arial" w:cs="Arial" w:eastAsia="Arial" w:hAnsi="Arial"/>
          <w:sz w:val="25"/>
          <w:szCs w:val="25"/>
          <w:color w:val="auto"/>
          <w:vertAlign w:val="superscript"/>
        </w:rPr>
        <w:t>(3)</w:t>
      </w:r>
      <w:r>
        <w:rPr>
          <w:rFonts w:ascii="Arial" w:cs="Arial" w:eastAsia="Arial" w:hAnsi="Arial"/>
          <w:sz w:val="16"/>
          <w:szCs w:val="16"/>
          <w:color w:val="auto"/>
        </w:rPr>
        <w:t xml:space="preserve"> Excludes effect of acquisition related intangibles and associated amortization. </w:t>
      </w:r>
      <w:r>
        <w:rPr>
          <w:rFonts w:ascii="Arial" w:cs="Arial" w:eastAsia="Arial" w:hAnsi="Arial"/>
          <w:sz w:val="25"/>
          <w:szCs w:val="25"/>
          <w:color w:val="auto"/>
          <w:vertAlign w:val="superscript"/>
        </w:rPr>
        <w:t>(4)</w:t>
      </w:r>
      <w:r>
        <w:rPr>
          <w:rFonts w:ascii="Arial" w:cs="Arial" w:eastAsia="Arial" w:hAnsi="Arial"/>
          <w:sz w:val="16"/>
          <w:szCs w:val="16"/>
          <w:color w:val="auto"/>
        </w:rPr>
        <w:t xml:space="preserve"> Annualized. </w:t>
      </w:r>
      <w:r>
        <w:rPr>
          <w:rFonts w:ascii="Arial" w:cs="Arial" w:eastAsia="Arial" w:hAnsi="Arial"/>
          <w:sz w:val="25"/>
          <w:szCs w:val="25"/>
          <w:color w:val="auto"/>
          <w:vertAlign w:val="superscript"/>
        </w:rPr>
        <w:t>(5)</w:t>
      </w:r>
      <w:r>
        <w:rPr>
          <w:rFonts w:ascii="Arial" w:cs="Arial" w:eastAsia="Arial" w:hAnsi="Arial"/>
          <w:sz w:val="16"/>
          <w:szCs w:val="16"/>
          <w:color w:val="auto"/>
        </w:rPr>
        <w:t xml:space="preserve"> June 30 and March 31, 2015 calculated under Basel III rules, which became effective January 1, 2015.</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2" w:name="page53"/>
    <w:bookmarkEnd w:id="52"/>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 Non-GAAP Performance Measures Reconciliation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7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4"/>
            <w:vMerge w:val="restart"/>
          </w:tcPr>
          <w:p>
            <w:pPr>
              <w:jc w:val="right"/>
              <w:ind w:right="160"/>
              <w:spacing w:after="0"/>
              <w:rPr>
                <w:sz w:val="20"/>
                <w:szCs w:val="20"/>
                <w:color w:val="auto"/>
              </w:rPr>
            </w:pPr>
            <w:r>
              <w:rPr>
                <w:rFonts w:ascii="Arial" w:cs="Arial" w:eastAsia="Arial" w:hAnsi="Arial"/>
                <w:sz w:val="14"/>
                <w:szCs w:val="14"/>
                <w:b w:val="1"/>
                <w:bCs w:val="1"/>
                <w:color w:val="auto"/>
              </w:rPr>
              <w:t>2015</w:t>
            </w:r>
          </w:p>
        </w:tc>
        <w:tc>
          <w:tcPr>
            <w:tcW w:w="8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center"/>
              <w:ind w:right="108"/>
              <w:spacing w:after="0"/>
              <w:rPr>
                <w:sz w:val="20"/>
                <w:szCs w:val="20"/>
                <w:color w:val="auto"/>
              </w:rPr>
            </w:pPr>
            <w:r>
              <w:rPr>
                <w:rFonts w:ascii="Arial" w:cs="Arial" w:eastAsia="Arial" w:hAnsi="Arial"/>
                <w:sz w:val="14"/>
                <w:szCs w:val="14"/>
                <w:b w:val="1"/>
                <w:bCs w:val="1"/>
                <w:color w:val="auto"/>
                <w:w w:val="89"/>
              </w:rPr>
              <w:t>2014</w:t>
            </w: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180" w:type="dxa"/>
            <w:vAlign w:val="bottom"/>
            <w:tcBorders>
              <w:top w:val="single" w:sz="8" w:color="auto"/>
            </w:tcBorders>
            <w:gridSpan w:val="5"/>
          </w:tcPr>
          <w:p>
            <w:pPr>
              <w:jc w:val="right"/>
              <w:ind w:right="440"/>
              <w:spacing w:after="0" w:line="133" w:lineRule="exact"/>
              <w:rPr>
                <w:sz w:val="20"/>
                <w:szCs w:val="20"/>
                <w:color w:val="auto"/>
              </w:rPr>
            </w:pPr>
            <w:r>
              <w:rPr>
                <w:rFonts w:ascii="Arial" w:cs="Arial" w:eastAsia="Arial" w:hAnsi="Arial"/>
                <w:sz w:val="14"/>
                <w:szCs w:val="14"/>
                <w:b w:val="1"/>
                <w:bCs w:val="1"/>
                <w:color w:val="auto"/>
                <w:w w:val="99"/>
              </w:rPr>
              <w:t>For the Six Months Ended</w:t>
            </w:r>
          </w:p>
        </w:tc>
        <w:tc>
          <w:tcPr>
            <w:tcW w:w="0" w:type="dxa"/>
            <w:vAlign w:val="bottom"/>
          </w:tcPr>
          <w:p>
            <w:pPr>
              <w:spacing w:after="0"/>
              <w:rPr>
                <w:sz w:val="1"/>
                <w:szCs w:val="1"/>
                <w:color w:val="auto"/>
              </w:rPr>
            </w:pPr>
          </w:p>
        </w:tc>
      </w:tr>
      <w:tr>
        <w:trPr>
          <w:trHeight w:val="178"/>
        </w:trPr>
        <w:tc>
          <w:tcPr>
            <w:tcW w:w="27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2760" w:type="dxa"/>
            <w:vAlign w:val="bottom"/>
          </w:tcPr>
          <w:p>
            <w:pPr>
              <w:spacing w:after="0"/>
              <w:rPr>
                <w:sz w:val="20"/>
                <w:szCs w:val="20"/>
                <w:color w:val="auto"/>
              </w:rPr>
            </w:pPr>
            <w:r>
              <w:rPr>
                <w:rFonts w:ascii="Arial" w:cs="Arial" w:eastAsia="Arial" w:hAnsi="Arial"/>
                <w:sz w:val="14"/>
                <w:szCs w:val="14"/>
                <w:i w:val="1"/>
                <w:iCs w:val="1"/>
                <w:color w:val="auto"/>
              </w:rPr>
              <w:t>(in thousands, except per share</w:t>
            </w:r>
          </w:p>
        </w:tc>
        <w:tc>
          <w:tcPr>
            <w:tcW w:w="180" w:type="dxa"/>
            <w:vAlign w:val="bottom"/>
          </w:tcPr>
          <w:p>
            <w:pPr>
              <w:spacing w:after="0"/>
              <w:rPr>
                <w:sz w:val="22"/>
                <w:szCs w:val="22"/>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Second</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First</w:t>
            </w:r>
          </w:p>
        </w:tc>
        <w:tc>
          <w:tcPr>
            <w:tcW w:w="160" w:type="dxa"/>
            <w:vAlign w:val="bottom"/>
          </w:tcPr>
          <w:p>
            <w:pPr>
              <w:spacing w:after="0"/>
              <w:rPr>
                <w:sz w:val="22"/>
                <w:szCs w:val="22"/>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Third</w:t>
            </w:r>
          </w:p>
        </w:tc>
        <w:tc>
          <w:tcPr>
            <w:tcW w:w="160" w:type="dxa"/>
            <w:vAlign w:val="bottom"/>
          </w:tcPr>
          <w:p>
            <w:pPr>
              <w:spacing w:after="0"/>
              <w:rPr>
                <w:sz w:val="22"/>
                <w:szCs w:val="22"/>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Second</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760" w:type="dxa"/>
            <w:vAlign w:val="bottom"/>
          </w:tcPr>
          <w:p>
            <w:pPr>
              <w:spacing w:after="0"/>
              <w:rPr>
                <w:sz w:val="20"/>
                <w:szCs w:val="20"/>
                <w:color w:val="auto"/>
              </w:rPr>
            </w:pPr>
            <w:r>
              <w:rPr>
                <w:rFonts w:ascii="Arial" w:cs="Arial" w:eastAsia="Arial" w:hAnsi="Arial"/>
                <w:sz w:val="14"/>
                <w:szCs w:val="14"/>
                <w:i w:val="1"/>
                <w:iCs w:val="1"/>
                <w:color w:val="auto"/>
              </w:rPr>
              <w:t>data; taxable equivalent)</w:t>
            </w:r>
          </w:p>
        </w:tc>
        <w:tc>
          <w:tcPr>
            <w:tcW w:w="18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Quarter</w:t>
            </w:r>
          </w:p>
        </w:tc>
        <w:tc>
          <w:tcPr>
            <w:tcW w:w="16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28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4"/>
                <w:szCs w:val="14"/>
                <w:b w:val="1"/>
                <w:bCs w:val="1"/>
                <w:color w:val="auto"/>
              </w:rPr>
              <w:t>Interest revenue reconciliation</w:t>
            </w:r>
          </w:p>
        </w:tc>
        <w:tc>
          <w:tcPr>
            <w:tcW w:w="180" w:type="dxa"/>
            <w:vAlign w:val="bottom"/>
            <w:tcBorders>
              <w:top w:val="single" w:sz="8" w:color="auto"/>
            </w:tcBorders>
            <w:shd w:val="clear" w:color="auto" w:fill="F0FFFF"/>
          </w:tcPr>
          <w:p>
            <w:pPr>
              <w:spacing w:after="0"/>
              <w:rPr>
                <w:sz w:val="21"/>
                <w:szCs w:val="21"/>
                <w:color w:val="auto"/>
              </w:rPr>
            </w:pPr>
          </w:p>
        </w:tc>
        <w:tc>
          <w:tcPr>
            <w:tcW w:w="860" w:type="dxa"/>
            <w:vAlign w:val="bottom"/>
            <w:tcBorders>
              <w:top w:val="single" w:sz="8" w:color="auto"/>
            </w:tcBorders>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60" w:type="dxa"/>
            <w:vAlign w:val="bottom"/>
            <w:tcBorders>
              <w:top w:val="single" w:sz="8" w:color="auto"/>
            </w:tcBorders>
            <w:shd w:val="clear" w:color="auto" w:fill="F0FFFF"/>
          </w:tcPr>
          <w:p>
            <w:pPr>
              <w:spacing w:after="0"/>
              <w:rPr>
                <w:sz w:val="21"/>
                <w:szCs w:val="21"/>
                <w:color w:val="auto"/>
              </w:rPr>
            </w:pPr>
          </w:p>
        </w:tc>
        <w:tc>
          <w:tcPr>
            <w:tcW w:w="860" w:type="dxa"/>
            <w:vAlign w:val="bottom"/>
            <w:tcBorders>
              <w:top w:val="single" w:sz="8" w:color="auto"/>
            </w:tcBorders>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60" w:type="dxa"/>
            <w:vAlign w:val="bottom"/>
            <w:tcBorders>
              <w:top w:val="single" w:sz="8" w:color="auto"/>
            </w:tcBorders>
            <w:shd w:val="clear" w:color="auto" w:fill="F0FFFF"/>
          </w:tcPr>
          <w:p>
            <w:pPr>
              <w:spacing w:after="0"/>
              <w:rPr>
                <w:sz w:val="21"/>
                <w:szCs w:val="21"/>
                <w:color w:val="auto"/>
              </w:rPr>
            </w:pPr>
          </w:p>
        </w:tc>
        <w:tc>
          <w:tcPr>
            <w:tcW w:w="840" w:type="dxa"/>
            <w:vAlign w:val="bottom"/>
            <w:tcBorders>
              <w:top w:val="single" w:sz="8" w:color="auto"/>
            </w:tcBorders>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60" w:type="dxa"/>
            <w:vAlign w:val="bottom"/>
            <w:tcBorders>
              <w:top w:val="single" w:sz="8" w:color="auto"/>
            </w:tcBorders>
            <w:shd w:val="clear" w:color="auto" w:fill="F0FFFF"/>
          </w:tcPr>
          <w:p>
            <w:pPr>
              <w:spacing w:after="0"/>
              <w:rPr>
                <w:sz w:val="21"/>
                <w:szCs w:val="21"/>
                <w:color w:val="auto"/>
              </w:rPr>
            </w:pPr>
          </w:p>
        </w:tc>
        <w:tc>
          <w:tcPr>
            <w:tcW w:w="860" w:type="dxa"/>
            <w:vAlign w:val="bottom"/>
            <w:tcBorders>
              <w:top w:val="single" w:sz="8" w:color="auto"/>
            </w:tcBorders>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60" w:type="dxa"/>
            <w:vAlign w:val="bottom"/>
            <w:tcBorders>
              <w:top w:val="single" w:sz="8" w:color="auto"/>
            </w:tcBorders>
            <w:shd w:val="clear" w:color="auto" w:fill="F0FFFF"/>
          </w:tcPr>
          <w:p>
            <w:pPr>
              <w:spacing w:after="0"/>
              <w:rPr>
                <w:sz w:val="21"/>
                <w:szCs w:val="21"/>
                <w:color w:val="auto"/>
              </w:rPr>
            </w:pPr>
          </w:p>
        </w:tc>
        <w:tc>
          <w:tcPr>
            <w:tcW w:w="860" w:type="dxa"/>
            <w:vAlign w:val="bottom"/>
            <w:tcBorders>
              <w:top w:val="single" w:sz="8" w:color="auto"/>
            </w:tcBorders>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200" w:type="dxa"/>
            <w:vAlign w:val="bottom"/>
            <w:tcBorders>
              <w:top w:val="single" w:sz="8" w:color="auto"/>
            </w:tcBorders>
            <w:shd w:val="clear" w:color="auto" w:fill="F0FFFF"/>
          </w:tcPr>
          <w:p>
            <w:pPr>
              <w:spacing w:after="0"/>
              <w:rPr>
                <w:sz w:val="21"/>
                <w:szCs w:val="21"/>
                <w:color w:val="auto"/>
              </w:rPr>
            </w:pPr>
          </w:p>
        </w:tc>
        <w:tc>
          <w:tcPr>
            <w:tcW w:w="820" w:type="dxa"/>
            <w:vAlign w:val="bottom"/>
            <w:tcBorders>
              <w:top w:val="single" w:sz="8" w:color="auto"/>
            </w:tcBorders>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260" w:type="dxa"/>
            <w:vAlign w:val="bottom"/>
            <w:tcBorders>
              <w:top w:val="single" w:sz="8" w:color="auto"/>
            </w:tcBorders>
            <w:shd w:val="clear" w:color="auto" w:fill="F0FFFF"/>
          </w:tcPr>
          <w:p>
            <w:pPr>
              <w:spacing w:after="0"/>
              <w:rPr>
                <w:sz w:val="21"/>
                <w:szCs w:val="21"/>
                <w:color w:val="auto"/>
              </w:rPr>
            </w:pPr>
          </w:p>
        </w:tc>
        <w:tc>
          <w:tcPr>
            <w:tcW w:w="760" w:type="dxa"/>
            <w:vAlign w:val="bottom"/>
            <w:tcBorders>
              <w:top w:val="single" w:sz="8" w:color="auto"/>
            </w:tcBorders>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0"/>
                <w:szCs w:val="20"/>
                <w:color w:val="auto"/>
              </w:rPr>
            </w:pPr>
            <w:r>
              <w:rPr>
                <w:rFonts w:ascii="Arial" w:cs="Arial" w:eastAsia="Arial" w:hAnsi="Arial"/>
                <w:sz w:val="14"/>
                <w:szCs w:val="14"/>
                <w:color w:val="auto"/>
              </w:rPr>
              <w:t>Interest revenue - taxable equivalent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66,134</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62,909</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64,353</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63,338</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61,783</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129,043</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122,278</w:t>
            </w:r>
          </w:p>
        </w:tc>
        <w:tc>
          <w:tcPr>
            <w:tcW w:w="0" w:type="dxa"/>
            <w:vAlign w:val="bottom"/>
          </w:tcPr>
          <w:p>
            <w:pPr>
              <w:spacing w:after="0"/>
              <w:rPr>
                <w:sz w:val="1"/>
                <w:szCs w:val="1"/>
                <w:color w:val="auto"/>
              </w:rPr>
            </w:pPr>
          </w:p>
        </w:tc>
      </w:tr>
      <w:tr>
        <w:trPr>
          <w:trHeight w:val="243"/>
        </w:trPr>
        <w:tc>
          <w:tcPr>
            <w:tcW w:w="2760" w:type="dxa"/>
            <w:vAlign w:val="bottom"/>
            <w:shd w:val="clear" w:color="auto" w:fill="F0FFFF"/>
          </w:tcPr>
          <w:p>
            <w:pPr>
              <w:spacing w:after="0"/>
              <w:rPr>
                <w:sz w:val="20"/>
                <w:szCs w:val="20"/>
                <w:color w:val="auto"/>
              </w:rPr>
            </w:pPr>
            <w:r>
              <w:rPr>
                <w:rFonts w:ascii="Arial" w:cs="Arial" w:eastAsia="Arial" w:hAnsi="Arial"/>
                <w:sz w:val="14"/>
                <w:szCs w:val="14"/>
                <w:color w:val="auto"/>
              </w:rPr>
              <w:t>Taxable equivalent adjustment</w:t>
            </w:r>
          </w:p>
        </w:tc>
        <w:tc>
          <w:tcPr>
            <w:tcW w:w="18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(326)</w:t>
            </w:r>
          </w:p>
        </w:tc>
        <w:tc>
          <w:tcPr>
            <w:tcW w:w="10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(375)</w:t>
            </w:r>
          </w:p>
        </w:tc>
        <w:tc>
          <w:tcPr>
            <w:tcW w:w="160" w:type="dxa"/>
            <w:vAlign w:val="bottom"/>
            <w:shd w:val="clear" w:color="auto" w:fill="F0FFFF"/>
          </w:tcPr>
          <w:p>
            <w:pPr>
              <w:spacing w:after="0"/>
              <w:rPr>
                <w:sz w:val="21"/>
                <w:szCs w:val="21"/>
                <w:color w:val="auto"/>
              </w:rPr>
            </w:pPr>
          </w:p>
        </w:tc>
        <w:tc>
          <w:tcPr>
            <w:tcW w:w="98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(398)</w:t>
            </w:r>
          </w:p>
        </w:tc>
        <w:tc>
          <w:tcPr>
            <w:tcW w:w="10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(405)</w:t>
            </w:r>
          </w:p>
        </w:tc>
        <w:tc>
          <w:tcPr>
            <w:tcW w:w="16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(377)</w:t>
            </w:r>
          </w:p>
        </w:tc>
        <w:tc>
          <w:tcPr>
            <w:tcW w:w="8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(701)</w:t>
            </w:r>
          </w:p>
        </w:tc>
        <w:tc>
          <w:tcPr>
            <w:tcW w:w="260" w:type="dxa"/>
            <w:vAlign w:val="bottom"/>
            <w:shd w:val="clear" w:color="auto" w:fill="F0FFFF"/>
          </w:tcPr>
          <w:p>
            <w:pPr>
              <w:spacing w:after="0"/>
              <w:rPr>
                <w:sz w:val="21"/>
                <w:szCs w:val="21"/>
                <w:color w:val="auto"/>
              </w:rPr>
            </w:pPr>
          </w:p>
        </w:tc>
        <w:tc>
          <w:tcPr>
            <w:tcW w:w="88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27"/>
        </w:trPr>
        <w:tc>
          <w:tcPr>
            <w:tcW w:w="276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760" w:type="dxa"/>
            <w:vAlign w:val="bottom"/>
            <w:vMerge w:val="restart"/>
          </w:tcPr>
          <w:p>
            <w:pPr>
              <w:ind w:left="160"/>
              <w:spacing w:after="0"/>
              <w:rPr>
                <w:sz w:val="20"/>
                <w:szCs w:val="20"/>
                <w:color w:val="auto"/>
              </w:rPr>
            </w:pPr>
            <w:r>
              <w:rPr>
                <w:rFonts w:ascii="Arial" w:cs="Arial" w:eastAsia="Arial" w:hAnsi="Arial"/>
                <w:sz w:val="14"/>
                <w:szCs w:val="14"/>
                <w:color w:val="auto"/>
              </w:rPr>
              <w:t>Interest revenue (GAAP)</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65,808</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62,534</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63,955</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62,933</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61,406</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128,342</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121,544</w:t>
            </w:r>
          </w:p>
        </w:tc>
        <w:tc>
          <w:tcPr>
            <w:tcW w:w="0" w:type="dxa"/>
            <w:vAlign w:val="bottom"/>
          </w:tcPr>
          <w:p>
            <w:pPr>
              <w:spacing w:after="0"/>
              <w:rPr>
                <w:sz w:val="1"/>
                <w:szCs w:val="1"/>
                <w:color w:val="auto"/>
              </w:rPr>
            </w:pPr>
          </w:p>
        </w:tc>
      </w:tr>
      <w:tr>
        <w:trPr>
          <w:trHeight w:val="21"/>
        </w:trPr>
        <w:tc>
          <w:tcPr>
            <w:tcW w:w="2760" w:type="dxa"/>
            <w:vAlign w:val="bottom"/>
            <w:vMerge w:val="continue"/>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76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86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86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84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86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86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82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76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0"/>
                <w:szCs w:val="20"/>
                <w:color w:val="auto"/>
              </w:rPr>
            </w:pPr>
            <w:r>
              <w:rPr>
                <w:rFonts w:ascii="Arial" w:cs="Arial" w:eastAsia="Arial" w:hAnsi="Arial"/>
                <w:sz w:val="14"/>
                <w:szCs w:val="14"/>
                <w:b w:val="1"/>
                <w:bCs w:val="1"/>
                <w:color w:val="auto"/>
              </w:rPr>
              <w:t>Net interest revenue reconciliation</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shd w:val="clear" w:color="auto" w:fill="F0FFFF"/>
          </w:tcPr>
          <w:p>
            <w:pPr>
              <w:spacing w:after="0"/>
              <w:rPr>
                <w:sz w:val="20"/>
                <w:szCs w:val="20"/>
                <w:color w:val="auto"/>
              </w:rPr>
            </w:pPr>
            <w:r>
              <w:rPr>
                <w:rFonts w:ascii="Arial" w:cs="Arial" w:eastAsia="Arial" w:hAnsi="Arial"/>
                <w:sz w:val="14"/>
                <w:szCs w:val="14"/>
                <w:color w:val="auto"/>
              </w:rPr>
              <w:t>Net interest revenue - taxable equivalent</w:t>
            </w:r>
          </w:p>
        </w:tc>
        <w:tc>
          <w:tcPr>
            <w:tcW w:w="1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61,317</w:t>
            </w:r>
          </w:p>
        </w:tc>
        <w:tc>
          <w:tcPr>
            <w:tcW w:w="26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57,617</w:t>
            </w:r>
          </w:p>
        </w:tc>
        <w:tc>
          <w:tcPr>
            <w:tcW w:w="160" w:type="dxa"/>
            <w:vAlign w:val="bottom"/>
            <w:shd w:val="clear" w:color="auto" w:fill="F0FF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58,332</w:t>
            </w:r>
          </w:p>
        </w:tc>
        <w:tc>
          <w:tcPr>
            <w:tcW w:w="26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56,967</w:t>
            </w:r>
          </w:p>
        </w:tc>
        <w:tc>
          <w:tcPr>
            <w:tcW w:w="1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54,950</w:t>
            </w:r>
          </w:p>
        </w:tc>
        <w:tc>
          <w:tcPr>
            <w:tcW w:w="28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118,934</w:t>
            </w:r>
          </w:p>
        </w:tc>
        <w:tc>
          <w:tcPr>
            <w:tcW w:w="260" w:type="dxa"/>
            <w:vAlign w:val="bottom"/>
            <w:shd w:val="clear" w:color="auto" w:fill="F0FFFF"/>
          </w:tcPr>
          <w:p>
            <w:pPr>
              <w:jc w:val="right"/>
              <w:ind w:right="10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109,119</w:t>
            </w:r>
          </w:p>
        </w:tc>
        <w:tc>
          <w:tcPr>
            <w:tcW w:w="12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0"/>
                <w:szCs w:val="20"/>
                <w:color w:val="auto"/>
              </w:rPr>
            </w:pPr>
            <w:r>
              <w:rPr>
                <w:rFonts w:ascii="Arial" w:cs="Arial" w:eastAsia="Arial" w:hAnsi="Arial"/>
                <w:sz w:val="14"/>
                <w:szCs w:val="14"/>
                <w:color w:val="auto"/>
              </w:rPr>
              <w:t>Taxable equivalent adjustment</w:t>
            </w:r>
          </w:p>
        </w:tc>
        <w:tc>
          <w:tcPr>
            <w:tcW w:w="18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(375)</w:t>
            </w:r>
          </w:p>
        </w:tc>
        <w:tc>
          <w:tcPr>
            <w:tcW w:w="1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(405)</w:t>
            </w:r>
          </w:p>
        </w:tc>
        <w:tc>
          <w:tcPr>
            <w:tcW w:w="16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(377)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(701)</w:t>
            </w:r>
          </w:p>
        </w:tc>
        <w:tc>
          <w:tcPr>
            <w:tcW w:w="260" w:type="dxa"/>
            <w:vAlign w:val="bottom"/>
          </w:tcPr>
          <w:p>
            <w:pPr>
              <w:spacing w:after="0"/>
              <w:rPr>
                <w:sz w:val="21"/>
                <w:szCs w:val="21"/>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760" w:type="dxa"/>
            <w:vAlign w:val="bottom"/>
            <w:shd w:val="clear" w:color="auto" w:fill="F0FFFF"/>
          </w:tcPr>
          <w:p>
            <w:pPr>
              <w:ind w:left="160"/>
              <w:spacing w:after="0"/>
              <w:rPr>
                <w:sz w:val="20"/>
                <w:szCs w:val="20"/>
                <w:color w:val="auto"/>
              </w:rPr>
            </w:pPr>
            <w:r>
              <w:rPr>
                <w:rFonts w:ascii="Arial" w:cs="Arial" w:eastAsia="Arial" w:hAnsi="Arial"/>
                <w:sz w:val="14"/>
                <w:szCs w:val="14"/>
                <w:color w:val="auto"/>
              </w:rPr>
              <w:t>Net interest revenue (GAAP)</w:t>
            </w:r>
          </w:p>
        </w:tc>
        <w:tc>
          <w:tcPr>
            <w:tcW w:w="1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60,991</w:t>
            </w:r>
          </w:p>
        </w:tc>
        <w:tc>
          <w:tcPr>
            <w:tcW w:w="26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57,242</w:t>
            </w:r>
          </w:p>
        </w:tc>
        <w:tc>
          <w:tcPr>
            <w:tcW w:w="160" w:type="dxa"/>
            <w:vAlign w:val="bottom"/>
            <w:shd w:val="clear" w:color="auto" w:fill="F0FF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57,934</w:t>
            </w:r>
          </w:p>
        </w:tc>
        <w:tc>
          <w:tcPr>
            <w:tcW w:w="26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56,562</w:t>
            </w:r>
          </w:p>
        </w:tc>
        <w:tc>
          <w:tcPr>
            <w:tcW w:w="1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54,573</w:t>
            </w:r>
          </w:p>
        </w:tc>
        <w:tc>
          <w:tcPr>
            <w:tcW w:w="28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118,233</w:t>
            </w:r>
          </w:p>
        </w:tc>
        <w:tc>
          <w:tcPr>
            <w:tcW w:w="260" w:type="dxa"/>
            <w:vAlign w:val="bottom"/>
            <w:shd w:val="clear" w:color="auto" w:fill="F0FF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108,385</w:t>
            </w:r>
          </w:p>
        </w:tc>
        <w:tc>
          <w:tcPr>
            <w:tcW w:w="0" w:type="dxa"/>
            <w:vAlign w:val="bottom"/>
          </w:tcPr>
          <w:p>
            <w:pPr>
              <w:spacing w:after="0"/>
              <w:rPr>
                <w:sz w:val="1"/>
                <w:szCs w:val="1"/>
                <w:color w:val="auto"/>
              </w:rPr>
            </w:pPr>
          </w:p>
        </w:tc>
      </w:tr>
      <w:tr>
        <w:trPr>
          <w:trHeight w:val="237"/>
        </w:trPr>
        <w:tc>
          <w:tcPr>
            <w:tcW w:w="2760" w:type="dxa"/>
            <w:vAlign w:val="bottom"/>
            <w:tcBorders>
              <w:top w:val="single" w:sz="8" w:color="F0FF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60" w:type="dxa"/>
            <w:vAlign w:val="bottom"/>
            <w:tcBorders>
              <w:top w:val="single" w:sz="8" w:color="F0FFFF"/>
            </w:tcBorders>
          </w:tcPr>
          <w:p>
            <w:pPr>
              <w:spacing w:after="0"/>
              <w:rPr>
                <w:sz w:val="20"/>
                <w:szCs w:val="20"/>
                <w:color w:val="auto"/>
              </w:rPr>
            </w:pPr>
          </w:p>
        </w:tc>
        <w:tc>
          <w:tcPr>
            <w:tcW w:w="100" w:type="dxa"/>
            <w:vAlign w:val="bottom"/>
            <w:tcBorders>
              <w:top w:val="single" w:sz="8" w:color="F0FF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40" w:type="dxa"/>
            <w:vAlign w:val="bottom"/>
            <w:tcBorders>
              <w:top w:val="single" w:sz="8" w:color="F0FF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40" w:type="dxa"/>
            <w:vAlign w:val="bottom"/>
            <w:tcBorders>
              <w:top w:val="single" w:sz="8" w:color="F0FFFF"/>
            </w:tcBorders>
          </w:tcPr>
          <w:p>
            <w:pPr>
              <w:spacing w:after="0"/>
              <w:rPr>
                <w:sz w:val="20"/>
                <w:szCs w:val="20"/>
                <w:color w:val="auto"/>
              </w:rPr>
            </w:pPr>
          </w:p>
        </w:tc>
        <w:tc>
          <w:tcPr>
            <w:tcW w:w="100" w:type="dxa"/>
            <w:vAlign w:val="bottom"/>
            <w:tcBorders>
              <w:top w:val="single" w:sz="8" w:color="F0FF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Borders>
              <w:top w:val="single" w:sz="8" w:color="F0FF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0" w:type="dxa"/>
            <w:vAlign w:val="bottom"/>
            <w:tcBorders>
              <w:top w:val="single" w:sz="8" w:color="F0FFFF"/>
            </w:tcBorders>
          </w:tcPr>
          <w:p>
            <w:pPr>
              <w:spacing w:after="0"/>
              <w:rPr>
                <w:sz w:val="20"/>
                <w:szCs w:val="20"/>
                <w:color w:val="auto"/>
              </w:rPr>
            </w:pPr>
          </w:p>
        </w:tc>
        <w:tc>
          <w:tcPr>
            <w:tcW w:w="80" w:type="dxa"/>
            <w:vAlign w:val="bottom"/>
            <w:tcBorders>
              <w:top w:val="single" w:sz="8" w:color="F0FF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20" w:type="dxa"/>
            <w:vAlign w:val="bottom"/>
            <w:tcBorders>
              <w:top w:val="single" w:sz="8" w:color="F0FF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Borders>
              <w:top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60" w:type="dxa"/>
            <w:vAlign w:val="bottom"/>
            <w:shd w:val="clear" w:color="auto" w:fill="F0FFFF"/>
          </w:tcPr>
          <w:p>
            <w:pPr>
              <w:spacing w:after="0"/>
              <w:rPr>
                <w:sz w:val="20"/>
                <w:szCs w:val="20"/>
                <w:color w:val="auto"/>
              </w:rPr>
            </w:pPr>
            <w:r>
              <w:rPr>
                <w:rFonts w:ascii="Arial" w:cs="Arial" w:eastAsia="Arial" w:hAnsi="Arial"/>
                <w:sz w:val="14"/>
                <w:szCs w:val="14"/>
                <w:b w:val="1"/>
                <w:bCs w:val="1"/>
                <w:color w:val="auto"/>
              </w:rPr>
              <w:t>Total revenue reconciliation</w:t>
            </w:r>
          </w:p>
        </w:tc>
        <w:tc>
          <w:tcPr>
            <w:tcW w:w="180" w:type="dxa"/>
            <w:vAlign w:val="bottom"/>
            <w:shd w:val="clear" w:color="auto" w:fill="F0FFFF"/>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84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8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76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0"/>
                <w:szCs w:val="20"/>
                <w:color w:val="auto"/>
              </w:rPr>
            </w:pPr>
            <w:r>
              <w:rPr>
                <w:rFonts w:ascii="Arial" w:cs="Arial" w:eastAsia="Arial" w:hAnsi="Arial"/>
                <w:sz w:val="14"/>
                <w:szCs w:val="14"/>
                <w:color w:val="auto"/>
              </w:rPr>
              <w:t>Total operating revenue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77,683</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71,499</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71,355</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69,379</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66,893</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149,182</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130,738</w:t>
            </w:r>
          </w:p>
        </w:tc>
        <w:tc>
          <w:tcPr>
            <w:tcW w:w="0" w:type="dxa"/>
            <w:vAlign w:val="bottom"/>
          </w:tcPr>
          <w:p>
            <w:pPr>
              <w:spacing w:after="0"/>
              <w:rPr>
                <w:sz w:val="1"/>
                <w:szCs w:val="1"/>
                <w:color w:val="auto"/>
              </w:rPr>
            </w:pPr>
          </w:p>
        </w:tc>
      </w:tr>
      <w:tr>
        <w:trPr>
          <w:trHeight w:val="243"/>
        </w:trPr>
        <w:tc>
          <w:tcPr>
            <w:tcW w:w="2760" w:type="dxa"/>
            <w:vAlign w:val="bottom"/>
            <w:shd w:val="clear" w:color="auto" w:fill="F0FFFF"/>
          </w:tcPr>
          <w:p>
            <w:pPr>
              <w:spacing w:after="0"/>
              <w:rPr>
                <w:sz w:val="20"/>
                <w:szCs w:val="20"/>
                <w:color w:val="auto"/>
              </w:rPr>
            </w:pPr>
            <w:r>
              <w:rPr>
                <w:rFonts w:ascii="Arial" w:cs="Arial" w:eastAsia="Arial" w:hAnsi="Arial"/>
                <w:sz w:val="14"/>
                <w:szCs w:val="14"/>
                <w:color w:val="auto"/>
              </w:rPr>
              <w:t>Taxable equivalent adjustment</w:t>
            </w:r>
          </w:p>
        </w:tc>
        <w:tc>
          <w:tcPr>
            <w:tcW w:w="18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(326)</w:t>
            </w:r>
          </w:p>
        </w:tc>
        <w:tc>
          <w:tcPr>
            <w:tcW w:w="10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(375)</w:t>
            </w:r>
          </w:p>
        </w:tc>
        <w:tc>
          <w:tcPr>
            <w:tcW w:w="160" w:type="dxa"/>
            <w:vAlign w:val="bottom"/>
            <w:shd w:val="clear" w:color="auto" w:fill="F0FFFF"/>
          </w:tcPr>
          <w:p>
            <w:pPr>
              <w:spacing w:after="0"/>
              <w:rPr>
                <w:sz w:val="21"/>
                <w:szCs w:val="21"/>
                <w:color w:val="auto"/>
              </w:rPr>
            </w:pPr>
          </w:p>
        </w:tc>
        <w:tc>
          <w:tcPr>
            <w:tcW w:w="98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(398)</w:t>
            </w:r>
          </w:p>
        </w:tc>
        <w:tc>
          <w:tcPr>
            <w:tcW w:w="10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(405)</w:t>
            </w:r>
          </w:p>
        </w:tc>
        <w:tc>
          <w:tcPr>
            <w:tcW w:w="16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(377)</w:t>
            </w:r>
          </w:p>
        </w:tc>
        <w:tc>
          <w:tcPr>
            <w:tcW w:w="8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(701)</w:t>
            </w:r>
          </w:p>
        </w:tc>
        <w:tc>
          <w:tcPr>
            <w:tcW w:w="260" w:type="dxa"/>
            <w:vAlign w:val="bottom"/>
            <w:shd w:val="clear" w:color="auto" w:fill="F0FFFF"/>
          </w:tcPr>
          <w:p>
            <w:pPr>
              <w:spacing w:after="0"/>
              <w:rPr>
                <w:sz w:val="21"/>
                <w:szCs w:val="21"/>
                <w:color w:val="auto"/>
              </w:rPr>
            </w:pPr>
          </w:p>
        </w:tc>
        <w:tc>
          <w:tcPr>
            <w:tcW w:w="88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27"/>
        </w:trPr>
        <w:tc>
          <w:tcPr>
            <w:tcW w:w="276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760" w:type="dxa"/>
            <w:vAlign w:val="bottom"/>
            <w:vMerge w:val="restart"/>
          </w:tcPr>
          <w:p>
            <w:pPr>
              <w:ind w:left="160"/>
              <w:spacing w:after="0"/>
              <w:rPr>
                <w:sz w:val="20"/>
                <w:szCs w:val="20"/>
                <w:color w:val="auto"/>
              </w:rPr>
            </w:pPr>
            <w:r>
              <w:rPr>
                <w:rFonts w:ascii="Arial" w:cs="Arial" w:eastAsia="Arial" w:hAnsi="Arial"/>
                <w:sz w:val="14"/>
                <w:szCs w:val="14"/>
                <w:color w:val="auto"/>
              </w:rPr>
              <w:t>Total revenue (GAAP)</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77,357</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71,124</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70,957</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68,974</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66,516</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148,481</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130,004</w:t>
            </w:r>
          </w:p>
        </w:tc>
        <w:tc>
          <w:tcPr>
            <w:tcW w:w="0" w:type="dxa"/>
            <w:vAlign w:val="bottom"/>
          </w:tcPr>
          <w:p>
            <w:pPr>
              <w:spacing w:after="0"/>
              <w:rPr>
                <w:sz w:val="1"/>
                <w:szCs w:val="1"/>
                <w:color w:val="auto"/>
              </w:rPr>
            </w:pPr>
          </w:p>
        </w:tc>
      </w:tr>
      <w:tr>
        <w:trPr>
          <w:trHeight w:val="21"/>
        </w:trPr>
        <w:tc>
          <w:tcPr>
            <w:tcW w:w="2760" w:type="dxa"/>
            <w:vAlign w:val="bottom"/>
            <w:vMerge w:val="continue"/>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76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86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86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84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86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86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82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76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0"/>
                <w:szCs w:val="20"/>
                <w:color w:val="auto"/>
              </w:rPr>
            </w:pPr>
            <w:r>
              <w:rPr>
                <w:rFonts w:ascii="Arial" w:cs="Arial" w:eastAsia="Arial" w:hAnsi="Arial"/>
                <w:sz w:val="14"/>
                <w:szCs w:val="14"/>
                <w:b w:val="1"/>
                <w:bCs w:val="1"/>
                <w:color w:val="auto"/>
              </w:rPr>
              <w:t>Expense reconciliation</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shd w:val="clear" w:color="auto" w:fill="F0FFFF"/>
          </w:tcPr>
          <w:p>
            <w:pPr>
              <w:spacing w:after="0"/>
              <w:rPr>
                <w:sz w:val="20"/>
                <w:szCs w:val="20"/>
                <w:color w:val="auto"/>
              </w:rPr>
            </w:pPr>
            <w:r>
              <w:rPr>
                <w:rFonts w:ascii="Arial" w:cs="Arial" w:eastAsia="Arial" w:hAnsi="Arial"/>
                <w:sz w:val="14"/>
                <w:szCs w:val="14"/>
                <w:color w:val="auto"/>
              </w:rPr>
              <w:t>Expenses - operating</w:t>
            </w:r>
          </w:p>
        </w:tc>
        <w:tc>
          <w:tcPr>
            <w:tcW w:w="1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45,247</w:t>
            </w:r>
          </w:p>
        </w:tc>
        <w:tc>
          <w:tcPr>
            <w:tcW w:w="26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43,061</w:t>
            </w:r>
          </w:p>
        </w:tc>
        <w:tc>
          <w:tcPr>
            <w:tcW w:w="160" w:type="dxa"/>
            <w:vAlign w:val="bottom"/>
            <w:shd w:val="clear" w:color="auto" w:fill="F0FF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41,919</w:t>
            </w:r>
          </w:p>
        </w:tc>
        <w:tc>
          <w:tcPr>
            <w:tcW w:w="26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41,364</w:t>
            </w:r>
          </w:p>
        </w:tc>
        <w:tc>
          <w:tcPr>
            <w:tcW w:w="1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40,532</w:t>
            </w:r>
          </w:p>
        </w:tc>
        <w:tc>
          <w:tcPr>
            <w:tcW w:w="28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88,308</w:t>
            </w:r>
          </w:p>
        </w:tc>
        <w:tc>
          <w:tcPr>
            <w:tcW w:w="260" w:type="dxa"/>
            <w:vAlign w:val="bottom"/>
            <w:shd w:val="clear" w:color="auto" w:fill="F0FF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79,582</w:t>
            </w: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0"/>
                <w:szCs w:val="20"/>
                <w:color w:val="auto"/>
              </w:rPr>
            </w:pPr>
            <w:r>
              <w:rPr>
                <w:rFonts w:ascii="Arial" w:cs="Arial" w:eastAsia="Arial" w:hAnsi="Arial"/>
                <w:sz w:val="14"/>
                <w:szCs w:val="14"/>
                <w:color w:val="auto"/>
              </w:rPr>
              <w:t>Merger-related charges</w:t>
            </w:r>
          </w:p>
        </w:tc>
        <w:tc>
          <w:tcPr>
            <w:tcW w:w="1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3,173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3,173</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760" w:type="dxa"/>
            <w:vAlign w:val="bottom"/>
            <w:shd w:val="clear" w:color="auto" w:fill="F0FFFF"/>
          </w:tcPr>
          <w:p>
            <w:pPr>
              <w:ind w:left="160"/>
              <w:spacing w:after="0"/>
              <w:rPr>
                <w:sz w:val="20"/>
                <w:szCs w:val="20"/>
                <w:color w:val="auto"/>
              </w:rPr>
            </w:pPr>
            <w:r>
              <w:rPr>
                <w:rFonts w:ascii="Arial" w:cs="Arial" w:eastAsia="Arial" w:hAnsi="Arial"/>
                <w:sz w:val="14"/>
                <w:szCs w:val="14"/>
                <w:color w:val="auto"/>
              </w:rPr>
              <w:t>Expenses (GAAP)</w:t>
            </w:r>
          </w:p>
        </w:tc>
        <w:tc>
          <w:tcPr>
            <w:tcW w:w="1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48,420</w:t>
            </w:r>
          </w:p>
        </w:tc>
        <w:tc>
          <w:tcPr>
            <w:tcW w:w="26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43,061</w:t>
            </w:r>
          </w:p>
        </w:tc>
        <w:tc>
          <w:tcPr>
            <w:tcW w:w="160" w:type="dxa"/>
            <w:vAlign w:val="bottom"/>
            <w:shd w:val="clear" w:color="auto" w:fill="F0FF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41,919</w:t>
            </w:r>
          </w:p>
        </w:tc>
        <w:tc>
          <w:tcPr>
            <w:tcW w:w="26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41,364</w:t>
            </w:r>
          </w:p>
        </w:tc>
        <w:tc>
          <w:tcPr>
            <w:tcW w:w="1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40,532</w:t>
            </w:r>
          </w:p>
        </w:tc>
        <w:tc>
          <w:tcPr>
            <w:tcW w:w="28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91,481</w:t>
            </w:r>
          </w:p>
        </w:tc>
        <w:tc>
          <w:tcPr>
            <w:tcW w:w="260" w:type="dxa"/>
            <w:vAlign w:val="bottom"/>
            <w:shd w:val="clear" w:color="auto" w:fill="F0FF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79,582</w:t>
            </w:r>
          </w:p>
        </w:tc>
        <w:tc>
          <w:tcPr>
            <w:tcW w:w="0" w:type="dxa"/>
            <w:vAlign w:val="bottom"/>
          </w:tcPr>
          <w:p>
            <w:pPr>
              <w:spacing w:after="0"/>
              <w:rPr>
                <w:sz w:val="1"/>
                <w:szCs w:val="1"/>
                <w:color w:val="auto"/>
              </w:rPr>
            </w:pPr>
          </w:p>
        </w:tc>
      </w:tr>
      <w:tr>
        <w:trPr>
          <w:trHeight w:val="237"/>
        </w:trPr>
        <w:tc>
          <w:tcPr>
            <w:tcW w:w="2760" w:type="dxa"/>
            <w:vAlign w:val="bottom"/>
            <w:tcBorders>
              <w:top w:val="single" w:sz="8" w:color="F0FF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60" w:type="dxa"/>
            <w:vAlign w:val="bottom"/>
            <w:tcBorders>
              <w:top w:val="single" w:sz="8" w:color="F0FFFF"/>
            </w:tcBorders>
          </w:tcPr>
          <w:p>
            <w:pPr>
              <w:spacing w:after="0"/>
              <w:rPr>
                <w:sz w:val="20"/>
                <w:szCs w:val="20"/>
                <w:color w:val="auto"/>
              </w:rPr>
            </w:pPr>
          </w:p>
        </w:tc>
        <w:tc>
          <w:tcPr>
            <w:tcW w:w="100" w:type="dxa"/>
            <w:vAlign w:val="bottom"/>
            <w:tcBorders>
              <w:top w:val="single" w:sz="8" w:color="F0FF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40" w:type="dxa"/>
            <w:vAlign w:val="bottom"/>
            <w:tcBorders>
              <w:top w:val="single" w:sz="8" w:color="F0FF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40" w:type="dxa"/>
            <w:vAlign w:val="bottom"/>
            <w:tcBorders>
              <w:top w:val="single" w:sz="8" w:color="F0FFFF"/>
            </w:tcBorders>
          </w:tcPr>
          <w:p>
            <w:pPr>
              <w:spacing w:after="0"/>
              <w:rPr>
                <w:sz w:val="20"/>
                <w:szCs w:val="20"/>
                <w:color w:val="auto"/>
              </w:rPr>
            </w:pPr>
          </w:p>
        </w:tc>
        <w:tc>
          <w:tcPr>
            <w:tcW w:w="100" w:type="dxa"/>
            <w:vAlign w:val="bottom"/>
            <w:tcBorders>
              <w:top w:val="single" w:sz="8" w:color="F0FF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Borders>
              <w:top w:val="single" w:sz="8" w:color="F0FF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0" w:type="dxa"/>
            <w:vAlign w:val="bottom"/>
            <w:tcBorders>
              <w:top w:val="single" w:sz="8" w:color="F0FFFF"/>
            </w:tcBorders>
          </w:tcPr>
          <w:p>
            <w:pPr>
              <w:spacing w:after="0"/>
              <w:rPr>
                <w:sz w:val="20"/>
                <w:szCs w:val="20"/>
                <w:color w:val="auto"/>
              </w:rPr>
            </w:pPr>
          </w:p>
        </w:tc>
        <w:tc>
          <w:tcPr>
            <w:tcW w:w="80" w:type="dxa"/>
            <w:vAlign w:val="bottom"/>
            <w:tcBorders>
              <w:top w:val="single" w:sz="8" w:color="F0FF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20" w:type="dxa"/>
            <w:vAlign w:val="bottom"/>
            <w:tcBorders>
              <w:top w:val="single" w:sz="8" w:color="F0FF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Borders>
              <w:top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60" w:type="dxa"/>
            <w:vAlign w:val="bottom"/>
            <w:shd w:val="clear" w:color="auto" w:fill="F0FFFF"/>
          </w:tcPr>
          <w:p>
            <w:pPr>
              <w:spacing w:after="0"/>
              <w:rPr>
                <w:sz w:val="20"/>
                <w:szCs w:val="20"/>
                <w:color w:val="auto"/>
              </w:rPr>
            </w:pPr>
            <w:r>
              <w:rPr>
                <w:rFonts w:ascii="Arial" w:cs="Arial" w:eastAsia="Arial" w:hAnsi="Arial"/>
                <w:sz w:val="14"/>
                <w:szCs w:val="14"/>
                <w:b w:val="1"/>
                <w:bCs w:val="1"/>
                <w:color w:val="auto"/>
              </w:rPr>
              <w:t>Income before taxes reconciliation</w:t>
            </w:r>
          </w:p>
        </w:tc>
        <w:tc>
          <w:tcPr>
            <w:tcW w:w="180" w:type="dxa"/>
            <w:vAlign w:val="bottom"/>
            <w:shd w:val="clear" w:color="auto" w:fill="F0FFFF"/>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84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8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76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0"/>
                <w:szCs w:val="20"/>
                <w:color w:val="auto"/>
              </w:rPr>
            </w:pPr>
            <w:r>
              <w:rPr>
                <w:rFonts w:ascii="Arial" w:cs="Arial" w:eastAsia="Arial" w:hAnsi="Arial"/>
                <w:sz w:val="14"/>
                <w:szCs w:val="14"/>
                <w:color w:val="auto"/>
              </w:rPr>
              <w:t>Income before taxes - operating</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32,436</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28,438</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29,436</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28,015</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26,361</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60,874</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51,156</w:t>
            </w:r>
          </w:p>
        </w:tc>
        <w:tc>
          <w:tcPr>
            <w:tcW w:w="0" w:type="dxa"/>
            <w:vAlign w:val="bottom"/>
          </w:tcPr>
          <w:p>
            <w:pPr>
              <w:spacing w:after="0"/>
              <w:rPr>
                <w:sz w:val="1"/>
                <w:szCs w:val="1"/>
                <w:color w:val="auto"/>
              </w:rPr>
            </w:pPr>
          </w:p>
        </w:tc>
      </w:tr>
      <w:tr>
        <w:trPr>
          <w:trHeight w:val="243"/>
        </w:trPr>
        <w:tc>
          <w:tcPr>
            <w:tcW w:w="2760" w:type="dxa"/>
            <w:vAlign w:val="bottom"/>
            <w:shd w:val="clear" w:color="auto" w:fill="F0FFFF"/>
          </w:tcPr>
          <w:p>
            <w:pPr>
              <w:spacing w:after="0"/>
              <w:rPr>
                <w:sz w:val="20"/>
                <w:szCs w:val="20"/>
                <w:color w:val="auto"/>
              </w:rPr>
            </w:pPr>
            <w:r>
              <w:rPr>
                <w:rFonts w:ascii="Arial" w:cs="Arial" w:eastAsia="Arial" w:hAnsi="Arial"/>
                <w:sz w:val="14"/>
                <w:szCs w:val="14"/>
                <w:color w:val="auto"/>
              </w:rPr>
              <w:t>Taxable equivalent adjustment</w:t>
            </w:r>
          </w:p>
        </w:tc>
        <w:tc>
          <w:tcPr>
            <w:tcW w:w="18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(326)</w:t>
            </w:r>
          </w:p>
        </w:tc>
        <w:tc>
          <w:tcPr>
            <w:tcW w:w="10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(375)</w:t>
            </w:r>
          </w:p>
        </w:tc>
        <w:tc>
          <w:tcPr>
            <w:tcW w:w="160" w:type="dxa"/>
            <w:vAlign w:val="bottom"/>
            <w:shd w:val="clear" w:color="auto" w:fill="F0FFFF"/>
          </w:tcPr>
          <w:p>
            <w:pPr>
              <w:spacing w:after="0"/>
              <w:rPr>
                <w:sz w:val="21"/>
                <w:szCs w:val="21"/>
                <w:color w:val="auto"/>
              </w:rPr>
            </w:pPr>
          </w:p>
        </w:tc>
        <w:tc>
          <w:tcPr>
            <w:tcW w:w="98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(398)</w:t>
            </w:r>
          </w:p>
        </w:tc>
        <w:tc>
          <w:tcPr>
            <w:tcW w:w="10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(405)</w:t>
            </w:r>
          </w:p>
        </w:tc>
        <w:tc>
          <w:tcPr>
            <w:tcW w:w="16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(377)</w:t>
            </w:r>
          </w:p>
        </w:tc>
        <w:tc>
          <w:tcPr>
            <w:tcW w:w="8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(701)</w:t>
            </w:r>
          </w:p>
        </w:tc>
        <w:tc>
          <w:tcPr>
            <w:tcW w:w="260" w:type="dxa"/>
            <w:vAlign w:val="bottom"/>
            <w:shd w:val="clear" w:color="auto" w:fill="F0FFFF"/>
          </w:tcPr>
          <w:p>
            <w:pPr>
              <w:spacing w:after="0"/>
              <w:rPr>
                <w:sz w:val="21"/>
                <w:szCs w:val="21"/>
                <w:color w:val="auto"/>
              </w:rPr>
            </w:pPr>
          </w:p>
        </w:tc>
        <w:tc>
          <w:tcPr>
            <w:tcW w:w="88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0"/>
                <w:szCs w:val="20"/>
                <w:color w:val="auto"/>
              </w:rPr>
            </w:pPr>
            <w:r>
              <w:rPr>
                <w:rFonts w:ascii="Arial" w:cs="Arial" w:eastAsia="Arial" w:hAnsi="Arial"/>
                <w:sz w:val="14"/>
                <w:szCs w:val="14"/>
                <w:color w:val="auto"/>
              </w:rPr>
              <w:t>Merger-related charges</w:t>
            </w:r>
          </w:p>
        </w:tc>
        <w:tc>
          <w:tcPr>
            <w:tcW w:w="18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(3,173)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(3,173)</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760" w:type="dxa"/>
            <w:vAlign w:val="bottom"/>
            <w:shd w:val="clear" w:color="auto" w:fill="F0FFFF"/>
          </w:tcPr>
          <w:p>
            <w:pPr>
              <w:ind w:left="160"/>
              <w:spacing w:after="0"/>
              <w:rPr>
                <w:sz w:val="20"/>
                <w:szCs w:val="20"/>
                <w:color w:val="auto"/>
              </w:rPr>
            </w:pPr>
            <w:r>
              <w:rPr>
                <w:rFonts w:ascii="Arial" w:cs="Arial" w:eastAsia="Arial" w:hAnsi="Arial"/>
                <w:sz w:val="14"/>
                <w:szCs w:val="14"/>
                <w:color w:val="auto"/>
              </w:rPr>
              <w:t>Income before taxes (GAAP)</w:t>
            </w:r>
          </w:p>
        </w:tc>
        <w:tc>
          <w:tcPr>
            <w:tcW w:w="1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28,937</w:t>
            </w:r>
          </w:p>
        </w:tc>
        <w:tc>
          <w:tcPr>
            <w:tcW w:w="26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28,063</w:t>
            </w:r>
          </w:p>
        </w:tc>
        <w:tc>
          <w:tcPr>
            <w:tcW w:w="160" w:type="dxa"/>
            <w:vAlign w:val="bottom"/>
            <w:shd w:val="clear" w:color="auto" w:fill="F0FF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29,038</w:t>
            </w:r>
          </w:p>
        </w:tc>
        <w:tc>
          <w:tcPr>
            <w:tcW w:w="26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27,610</w:t>
            </w:r>
          </w:p>
        </w:tc>
        <w:tc>
          <w:tcPr>
            <w:tcW w:w="1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25,984</w:t>
            </w:r>
          </w:p>
        </w:tc>
        <w:tc>
          <w:tcPr>
            <w:tcW w:w="28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57,000</w:t>
            </w:r>
          </w:p>
        </w:tc>
        <w:tc>
          <w:tcPr>
            <w:tcW w:w="260" w:type="dxa"/>
            <w:vAlign w:val="bottom"/>
            <w:shd w:val="clear" w:color="auto" w:fill="F0FF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50,422</w:t>
            </w:r>
          </w:p>
        </w:tc>
        <w:tc>
          <w:tcPr>
            <w:tcW w:w="0" w:type="dxa"/>
            <w:vAlign w:val="bottom"/>
          </w:tcPr>
          <w:p>
            <w:pPr>
              <w:spacing w:after="0"/>
              <w:rPr>
                <w:sz w:val="1"/>
                <w:szCs w:val="1"/>
                <w:color w:val="auto"/>
              </w:rPr>
            </w:pPr>
          </w:p>
        </w:tc>
      </w:tr>
      <w:tr>
        <w:trPr>
          <w:trHeight w:val="237"/>
        </w:trPr>
        <w:tc>
          <w:tcPr>
            <w:tcW w:w="2760" w:type="dxa"/>
            <w:vAlign w:val="bottom"/>
            <w:tcBorders>
              <w:top w:val="single" w:sz="8" w:color="F0FF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60" w:type="dxa"/>
            <w:vAlign w:val="bottom"/>
            <w:tcBorders>
              <w:top w:val="single" w:sz="8" w:color="F0FFFF"/>
            </w:tcBorders>
          </w:tcPr>
          <w:p>
            <w:pPr>
              <w:spacing w:after="0"/>
              <w:rPr>
                <w:sz w:val="20"/>
                <w:szCs w:val="20"/>
                <w:color w:val="auto"/>
              </w:rPr>
            </w:pPr>
          </w:p>
        </w:tc>
        <w:tc>
          <w:tcPr>
            <w:tcW w:w="100" w:type="dxa"/>
            <w:vAlign w:val="bottom"/>
            <w:tcBorders>
              <w:top w:val="single" w:sz="8" w:color="F0FF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40" w:type="dxa"/>
            <w:vAlign w:val="bottom"/>
            <w:tcBorders>
              <w:top w:val="single" w:sz="8" w:color="F0FF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40" w:type="dxa"/>
            <w:vAlign w:val="bottom"/>
            <w:tcBorders>
              <w:top w:val="single" w:sz="8" w:color="F0FFFF"/>
            </w:tcBorders>
          </w:tcPr>
          <w:p>
            <w:pPr>
              <w:spacing w:after="0"/>
              <w:rPr>
                <w:sz w:val="20"/>
                <w:szCs w:val="20"/>
                <w:color w:val="auto"/>
              </w:rPr>
            </w:pPr>
          </w:p>
        </w:tc>
        <w:tc>
          <w:tcPr>
            <w:tcW w:w="100" w:type="dxa"/>
            <w:vAlign w:val="bottom"/>
            <w:tcBorders>
              <w:top w:val="single" w:sz="8" w:color="F0FF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Borders>
              <w:top w:val="single" w:sz="8" w:color="F0FF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0" w:type="dxa"/>
            <w:vAlign w:val="bottom"/>
            <w:tcBorders>
              <w:top w:val="single" w:sz="8" w:color="F0FFFF"/>
            </w:tcBorders>
          </w:tcPr>
          <w:p>
            <w:pPr>
              <w:spacing w:after="0"/>
              <w:rPr>
                <w:sz w:val="20"/>
                <w:szCs w:val="20"/>
                <w:color w:val="auto"/>
              </w:rPr>
            </w:pPr>
          </w:p>
        </w:tc>
        <w:tc>
          <w:tcPr>
            <w:tcW w:w="80" w:type="dxa"/>
            <w:vAlign w:val="bottom"/>
            <w:tcBorders>
              <w:top w:val="single" w:sz="8" w:color="F0FF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20" w:type="dxa"/>
            <w:vAlign w:val="bottom"/>
            <w:tcBorders>
              <w:top w:val="single" w:sz="8" w:color="F0FF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Borders>
              <w:top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60" w:type="dxa"/>
            <w:vAlign w:val="bottom"/>
            <w:shd w:val="clear" w:color="auto" w:fill="F0FFFF"/>
          </w:tcPr>
          <w:p>
            <w:pPr>
              <w:spacing w:after="0"/>
              <w:rPr>
                <w:sz w:val="20"/>
                <w:szCs w:val="20"/>
                <w:color w:val="auto"/>
              </w:rPr>
            </w:pPr>
            <w:r>
              <w:rPr>
                <w:rFonts w:ascii="Arial" w:cs="Arial" w:eastAsia="Arial" w:hAnsi="Arial"/>
                <w:sz w:val="14"/>
                <w:szCs w:val="14"/>
                <w:b w:val="1"/>
                <w:bCs w:val="1"/>
                <w:color w:val="auto"/>
              </w:rPr>
              <w:t>Income tax expense reconciliation</w:t>
            </w:r>
          </w:p>
        </w:tc>
        <w:tc>
          <w:tcPr>
            <w:tcW w:w="180" w:type="dxa"/>
            <w:vAlign w:val="bottom"/>
            <w:shd w:val="clear" w:color="auto" w:fill="F0FFFF"/>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84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8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76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0"/>
                <w:szCs w:val="20"/>
                <w:color w:val="auto"/>
              </w:rPr>
            </w:pPr>
            <w:r>
              <w:rPr>
                <w:rFonts w:ascii="Arial" w:cs="Arial" w:eastAsia="Arial" w:hAnsi="Arial"/>
                <w:sz w:val="14"/>
                <w:szCs w:val="14"/>
                <w:color w:val="auto"/>
              </w:rPr>
              <w:t>Income tax expense - operating</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12,447</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10,768</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11,189</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10,399</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10,004</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23,215</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19,399</w:t>
            </w:r>
          </w:p>
        </w:tc>
        <w:tc>
          <w:tcPr>
            <w:tcW w:w="0" w:type="dxa"/>
            <w:vAlign w:val="bottom"/>
          </w:tcPr>
          <w:p>
            <w:pPr>
              <w:spacing w:after="0"/>
              <w:rPr>
                <w:sz w:val="1"/>
                <w:szCs w:val="1"/>
                <w:color w:val="auto"/>
              </w:rPr>
            </w:pPr>
          </w:p>
        </w:tc>
      </w:tr>
      <w:tr>
        <w:trPr>
          <w:trHeight w:val="243"/>
        </w:trPr>
        <w:tc>
          <w:tcPr>
            <w:tcW w:w="2760" w:type="dxa"/>
            <w:vAlign w:val="bottom"/>
            <w:shd w:val="clear" w:color="auto" w:fill="F0FFFF"/>
          </w:tcPr>
          <w:p>
            <w:pPr>
              <w:spacing w:after="0"/>
              <w:rPr>
                <w:sz w:val="20"/>
                <w:szCs w:val="20"/>
                <w:color w:val="auto"/>
              </w:rPr>
            </w:pPr>
            <w:r>
              <w:rPr>
                <w:rFonts w:ascii="Arial" w:cs="Arial" w:eastAsia="Arial" w:hAnsi="Arial"/>
                <w:sz w:val="14"/>
                <w:szCs w:val="14"/>
                <w:color w:val="auto"/>
              </w:rPr>
              <w:t>Taxable equivalent adjustment</w:t>
            </w:r>
          </w:p>
        </w:tc>
        <w:tc>
          <w:tcPr>
            <w:tcW w:w="18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(326)</w:t>
            </w:r>
          </w:p>
        </w:tc>
        <w:tc>
          <w:tcPr>
            <w:tcW w:w="10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(375)</w:t>
            </w:r>
          </w:p>
        </w:tc>
        <w:tc>
          <w:tcPr>
            <w:tcW w:w="160" w:type="dxa"/>
            <w:vAlign w:val="bottom"/>
            <w:shd w:val="clear" w:color="auto" w:fill="F0FFFF"/>
          </w:tcPr>
          <w:p>
            <w:pPr>
              <w:spacing w:after="0"/>
              <w:rPr>
                <w:sz w:val="21"/>
                <w:szCs w:val="21"/>
                <w:color w:val="auto"/>
              </w:rPr>
            </w:pPr>
          </w:p>
        </w:tc>
        <w:tc>
          <w:tcPr>
            <w:tcW w:w="98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(398)</w:t>
            </w:r>
          </w:p>
        </w:tc>
        <w:tc>
          <w:tcPr>
            <w:tcW w:w="10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(405)</w:t>
            </w:r>
          </w:p>
        </w:tc>
        <w:tc>
          <w:tcPr>
            <w:tcW w:w="16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(377)</w:t>
            </w:r>
          </w:p>
        </w:tc>
        <w:tc>
          <w:tcPr>
            <w:tcW w:w="8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(701)</w:t>
            </w:r>
          </w:p>
        </w:tc>
        <w:tc>
          <w:tcPr>
            <w:tcW w:w="260" w:type="dxa"/>
            <w:vAlign w:val="bottom"/>
            <w:shd w:val="clear" w:color="auto" w:fill="F0FFFF"/>
          </w:tcPr>
          <w:p>
            <w:pPr>
              <w:spacing w:after="0"/>
              <w:rPr>
                <w:sz w:val="21"/>
                <w:szCs w:val="21"/>
                <w:color w:val="auto"/>
              </w:rPr>
            </w:pPr>
          </w:p>
        </w:tc>
        <w:tc>
          <w:tcPr>
            <w:tcW w:w="88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0"/>
                <w:szCs w:val="20"/>
                <w:color w:val="auto"/>
              </w:rPr>
            </w:pPr>
            <w:r>
              <w:rPr>
                <w:rFonts w:ascii="Arial" w:cs="Arial" w:eastAsia="Arial" w:hAnsi="Arial"/>
                <w:sz w:val="14"/>
                <w:szCs w:val="14"/>
                <w:color w:val="auto"/>
              </w:rPr>
              <w:t>Merger-related charges, tax benefit</w:t>
            </w:r>
          </w:p>
        </w:tc>
        <w:tc>
          <w:tcPr>
            <w:tcW w:w="18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(997)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(997)</w:t>
            </w: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760" w:type="dxa"/>
            <w:vAlign w:val="bottom"/>
            <w:shd w:val="clear" w:color="auto" w:fill="F0FFFF"/>
          </w:tcPr>
          <w:p>
            <w:pPr>
              <w:ind w:left="160"/>
              <w:spacing w:after="0"/>
              <w:rPr>
                <w:sz w:val="20"/>
                <w:szCs w:val="20"/>
                <w:color w:val="auto"/>
              </w:rPr>
            </w:pPr>
            <w:r>
              <w:rPr>
                <w:rFonts w:ascii="Arial" w:cs="Arial" w:eastAsia="Arial" w:hAnsi="Arial"/>
                <w:sz w:val="14"/>
                <w:szCs w:val="14"/>
                <w:color w:val="auto"/>
              </w:rPr>
              <w:t>Income tax expense (GAAP)</w:t>
            </w:r>
          </w:p>
        </w:tc>
        <w:tc>
          <w:tcPr>
            <w:tcW w:w="1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11,124</w:t>
            </w:r>
          </w:p>
        </w:tc>
        <w:tc>
          <w:tcPr>
            <w:tcW w:w="160" w:type="dxa"/>
            <w:vAlign w:val="bottom"/>
            <w:shd w:val="clear" w:color="auto" w:fill="F0FFFF"/>
          </w:tcPr>
          <w:p>
            <w:pPr>
              <w:spacing w:after="0"/>
              <w:rPr>
                <w:sz w:val="19"/>
                <w:szCs w:val="19"/>
                <w:color w:val="auto"/>
              </w:rPr>
            </w:pPr>
          </w:p>
        </w:tc>
        <w:tc>
          <w:tcPr>
            <w:tcW w:w="26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10,393</w:t>
            </w:r>
          </w:p>
        </w:tc>
        <w:tc>
          <w:tcPr>
            <w:tcW w:w="160" w:type="dxa"/>
            <w:vAlign w:val="bottom"/>
            <w:shd w:val="clear" w:color="auto" w:fill="F0FF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10,791</w:t>
            </w:r>
          </w:p>
        </w:tc>
        <w:tc>
          <w:tcPr>
            <w:tcW w:w="26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9,994</w:t>
            </w:r>
          </w:p>
        </w:tc>
        <w:tc>
          <w:tcPr>
            <w:tcW w:w="1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9,627</w:t>
            </w:r>
          </w:p>
        </w:tc>
        <w:tc>
          <w:tcPr>
            <w:tcW w:w="28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21,517</w:t>
            </w:r>
          </w:p>
        </w:tc>
        <w:tc>
          <w:tcPr>
            <w:tcW w:w="260" w:type="dxa"/>
            <w:vAlign w:val="bottom"/>
            <w:shd w:val="clear" w:color="auto" w:fill="F0FF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18,665</w:t>
            </w:r>
          </w:p>
        </w:tc>
        <w:tc>
          <w:tcPr>
            <w:tcW w:w="0" w:type="dxa"/>
            <w:vAlign w:val="bottom"/>
          </w:tcPr>
          <w:p>
            <w:pPr>
              <w:spacing w:after="0"/>
              <w:rPr>
                <w:sz w:val="1"/>
                <w:szCs w:val="1"/>
                <w:color w:val="auto"/>
              </w:rPr>
            </w:pPr>
          </w:p>
        </w:tc>
      </w:tr>
      <w:tr>
        <w:trPr>
          <w:trHeight w:val="237"/>
        </w:trPr>
        <w:tc>
          <w:tcPr>
            <w:tcW w:w="2760" w:type="dxa"/>
            <w:vAlign w:val="bottom"/>
            <w:tcBorders>
              <w:top w:val="single" w:sz="8" w:color="F0FF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60" w:type="dxa"/>
            <w:vAlign w:val="bottom"/>
            <w:tcBorders>
              <w:top w:val="single" w:sz="8" w:color="F0FFFF"/>
            </w:tcBorders>
          </w:tcPr>
          <w:p>
            <w:pPr>
              <w:spacing w:after="0"/>
              <w:rPr>
                <w:sz w:val="20"/>
                <w:szCs w:val="20"/>
                <w:color w:val="auto"/>
              </w:rPr>
            </w:pPr>
          </w:p>
        </w:tc>
        <w:tc>
          <w:tcPr>
            <w:tcW w:w="100" w:type="dxa"/>
            <w:vAlign w:val="bottom"/>
            <w:tcBorders>
              <w:top w:val="single" w:sz="8" w:color="F0FF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40" w:type="dxa"/>
            <w:vAlign w:val="bottom"/>
            <w:tcBorders>
              <w:top w:val="single" w:sz="8" w:color="F0FF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40" w:type="dxa"/>
            <w:vAlign w:val="bottom"/>
            <w:tcBorders>
              <w:top w:val="single" w:sz="8" w:color="F0FFFF"/>
            </w:tcBorders>
          </w:tcPr>
          <w:p>
            <w:pPr>
              <w:spacing w:after="0"/>
              <w:rPr>
                <w:sz w:val="20"/>
                <w:szCs w:val="20"/>
                <w:color w:val="auto"/>
              </w:rPr>
            </w:pPr>
          </w:p>
        </w:tc>
        <w:tc>
          <w:tcPr>
            <w:tcW w:w="100" w:type="dxa"/>
            <w:vAlign w:val="bottom"/>
            <w:tcBorders>
              <w:top w:val="single" w:sz="8" w:color="F0FF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Borders>
              <w:top w:val="single" w:sz="8" w:color="F0FF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0" w:type="dxa"/>
            <w:vAlign w:val="bottom"/>
            <w:tcBorders>
              <w:top w:val="single" w:sz="8" w:color="F0FFFF"/>
            </w:tcBorders>
          </w:tcPr>
          <w:p>
            <w:pPr>
              <w:spacing w:after="0"/>
              <w:rPr>
                <w:sz w:val="20"/>
                <w:szCs w:val="20"/>
                <w:color w:val="auto"/>
              </w:rPr>
            </w:pPr>
          </w:p>
        </w:tc>
        <w:tc>
          <w:tcPr>
            <w:tcW w:w="80" w:type="dxa"/>
            <w:vAlign w:val="bottom"/>
            <w:tcBorders>
              <w:top w:val="single" w:sz="8" w:color="F0FF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20" w:type="dxa"/>
            <w:vAlign w:val="bottom"/>
            <w:tcBorders>
              <w:top w:val="single" w:sz="8" w:color="F0FF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Borders>
              <w:top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60" w:type="dxa"/>
            <w:vAlign w:val="bottom"/>
            <w:shd w:val="clear" w:color="auto" w:fill="F0FFFF"/>
          </w:tcPr>
          <w:p>
            <w:pPr>
              <w:spacing w:after="0"/>
              <w:rPr>
                <w:sz w:val="20"/>
                <w:szCs w:val="20"/>
                <w:color w:val="auto"/>
              </w:rPr>
            </w:pPr>
            <w:r>
              <w:rPr>
                <w:rFonts w:ascii="Arial" w:cs="Arial" w:eastAsia="Arial" w:hAnsi="Arial"/>
                <w:sz w:val="14"/>
                <w:szCs w:val="14"/>
                <w:b w:val="1"/>
                <w:bCs w:val="1"/>
                <w:color w:val="auto"/>
              </w:rPr>
              <w:t>Net income reconciliation</w:t>
            </w:r>
          </w:p>
        </w:tc>
        <w:tc>
          <w:tcPr>
            <w:tcW w:w="180" w:type="dxa"/>
            <w:vAlign w:val="bottom"/>
            <w:shd w:val="clear" w:color="auto" w:fill="F0FFFF"/>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84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8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76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0"/>
                <w:szCs w:val="20"/>
                <w:color w:val="auto"/>
              </w:rPr>
            </w:pPr>
            <w:r>
              <w:rPr>
                <w:rFonts w:ascii="Arial" w:cs="Arial" w:eastAsia="Arial" w:hAnsi="Arial"/>
                <w:sz w:val="14"/>
                <w:szCs w:val="14"/>
                <w:color w:val="auto"/>
              </w:rPr>
              <w:t>Net income - operating</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19,989</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17,670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18,247</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17,616</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16,357</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37,659</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31,757</w:t>
            </w:r>
          </w:p>
        </w:tc>
        <w:tc>
          <w:tcPr>
            <w:tcW w:w="0" w:type="dxa"/>
            <w:vAlign w:val="bottom"/>
          </w:tcPr>
          <w:p>
            <w:pPr>
              <w:spacing w:after="0"/>
              <w:rPr>
                <w:sz w:val="1"/>
                <w:szCs w:val="1"/>
                <w:color w:val="auto"/>
              </w:rPr>
            </w:pPr>
          </w:p>
        </w:tc>
      </w:tr>
      <w:tr>
        <w:trPr>
          <w:trHeight w:val="130"/>
        </w:trPr>
        <w:tc>
          <w:tcPr>
            <w:tcW w:w="276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rPr>
              <w:t>Merger-related charges, net of income tax</w:t>
            </w:r>
          </w:p>
        </w:tc>
        <w:tc>
          <w:tcPr>
            <w:tcW w:w="180" w:type="dxa"/>
            <w:vAlign w:val="bottom"/>
            <w:shd w:val="clear" w:color="auto" w:fill="F0FFFF"/>
          </w:tcPr>
          <w:p>
            <w:pPr>
              <w:spacing w:after="0"/>
              <w:rPr>
                <w:sz w:val="11"/>
                <w:szCs w:val="11"/>
                <w:color w:val="auto"/>
              </w:rPr>
            </w:pPr>
          </w:p>
        </w:tc>
        <w:tc>
          <w:tcPr>
            <w:tcW w:w="1020" w:type="dxa"/>
            <w:vAlign w:val="bottom"/>
            <w:gridSpan w:val="2"/>
            <w:vMerge w:val="restart"/>
            <w:shd w:val="clear" w:color="auto" w:fill="F0FFFF"/>
          </w:tcPr>
          <w:p>
            <w:pPr>
              <w:jc w:val="right"/>
              <w:ind w:right="100"/>
              <w:spacing w:after="0"/>
              <w:rPr>
                <w:sz w:val="20"/>
                <w:szCs w:val="20"/>
                <w:color w:val="auto"/>
              </w:rPr>
            </w:pPr>
            <w:r>
              <w:rPr>
                <w:rFonts w:ascii="Arial" w:cs="Arial" w:eastAsia="Arial" w:hAnsi="Arial"/>
                <w:sz w:val="14"/>
                <w:szCs w:val="14"/>
                <w:color w:val="auto"/>
              </w:rPr>
              <w:t>(2,176)</w:t>
            </w:r>
          </w:p>
        </w:tc>
        <w:tc>
          <w:tcPr>
            <w:tcW w:w="10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860" w:type="dxa"/>
            <w:vAlign w:val="bottom"/>
            <w:vMerge w:val="restart"/>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980" w:type="dxa"/>
            <w:vAlign w:val="bottom"/>
            <w:gridSpan w:val="2"/>
            <w:vMerge w:val="restart"/>
            <w:shd w:val="clear" w:color="auto" w:fill="F0FF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1080" w:type="dxa"/>
            <w:vAlign w:val="bottom"/>
            <w:gridSpan w:val="2"/>
            <w:vMerge w:val="restart"/>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1"/>
                <w:szCs w:val="11"/>
                <w:color w:val="auto"/>
              </w:rPr>
            </w:pPr>
          </w:p>
        </w:tc>
        <w:tc>
          <w:tcPr>
            <w:tcW w:w="860" w:type="dxa"/>
            <w:vAlign w:val="bottom"/>
            <w:vMerge w:val="restart"/>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040" w:type="dxa"/>
            <w:vAlign w:val="bottom"/>
            <w:gridSpan w:val="2"/>
            <w:vMerge w:val="restart"/>
            <w:shd w:val="clear" w:color="auto" w:fill="F0FFFF"/>
          </w:tcPr>
          <w:p>
            <w:pPr>
              <w:jc w:val="right"/>
              <w:ind w:right="180"/>
              <w:spacing w:after="0"/>
              <w:rPr>
                <w:sz w:val="20"/>
                <w:szCs w:val="20"/>
                <w:color w:val="auto"/>
              </w:rPr>
            </w:pPr>
            <w:r>
              <w:rPr>
                <w:rFonts w:ascii="Arial" w:cs="Arial" w:eastAsia="Arial" w:hAnsi="Arial"/>
                <w:sz w:val="14"/>
                <w:szCs w:val="14"/>
                <w:color w:val="auto"/>
              </w:rPr>
              <w:t>(2,176)</w:t>
            </w:r>
          </w:p>
        </w:tc>
        <w:tc>
          <w:tcPr>
            <w:tcW w:w="260" w:type="dxa"/>
            <w:vAlign w:val="bottom"/>
            <w:shd w:val="clear" w:color="auto" w:fill="F0FFFF"/>
          </w:tcPr>
          <w:p>
            <w:pPr>
              <w:spacing w:after="0"/>
              <w:rPr>
                <w:sz w:val="11"/>
                <w:szCs w:val="11"/>
                <w:color w:val="auto"/>
              </w:rPr>
            </w:pPr>
          </w:p>
        </w:tc>
        <w:tc>
          <w:tcPr>
            <w:tcW w:w="760" w:type="dxa"/>
            <w:vAlign w:val="bottom"/>
            <w:vMerge w:val="restart"/>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760" w:type="dxa"/>
            <w:vAlign w:val="bottom"/>
            <w:shd w:val="clear" w:color="auto" w:fill="F0FFFF"/>
          </w:tcPr>
          <w:p>
            <w:pPr>
              <w:ind w:left="160"/>
              <w:spacing w:after="0" w:line="154" w:lineRule="exact"/>
              <w:rPr>
                <w:sz w:val="20"/>
                <w:szCs w:val="20"/>
                <w:color w:val="auto"/>
              </w:rPr>
            </w:pPr>
            <w:r>
              <w:rPr>
                <w:rFonts w:ascii="Arial" w:cs="Arial" w:eastAsia="Arial" w:hAnsi="Arial"/>
                <w:sz w:val="14"/>
                <w:szCs w:val="14"/>
                <w:color w:val="auto"/>
              </w:rPr>
              <w:t>benefit</w:t>
            </w:r>
          </w:p>
        </w:tc>
        <w:tc>
          <w:tcPr>
            <w:tcW w:w="180" w:type="dxa"/>
            <w:vAlign w:val="bottom"/>
            <w:shd w:val="clear" w:color="auto" w:fill="F0FFFF"/>
          </w:tcPr>
          <w:p>
            <w:pPr>
              <w:spacing w:after="0"/>
              <w:rPr>
                <w:sz w:val="13"/>
                <w:szCs w:val="13"/>
                <w:color w:val="auto"/>
              </w:rPr>
            </w:pPr>
          </w:p>
        </w:tc>
        <w:tc>
          <w:tcPr>
            <w:tcW w:w="1020" w:type="dxa"/>
            <w:vAlign w:val="bottom"/>
            <w:gridSpan w:val="2"/>
            <w:vMerge w:val="continue"/>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60" w:type="dxa"/>
            <w:vAlign w:val="bottom"/>
            <w:shd w:val="clear" w:color="auto" w:fill="F0FFFF"/>
          </w:tcPr>
          <w:p>
            <w:pPr>
              <w:spacing w:after="0"/>
              <w:rPr>
                <w:sz w:val="13"/>
                <w:szCs w:val="13"/>
                <w:color w:val="auto"/>
              </w:rPr>
            </w:pPr>
          </w:p>
        </w:tc>
        <w:tc>
          <w:tcPr>
            <w:tcW w:w="860" w:type="dxa"/>
            <w:vAlign w:val="bottom"/>
            <w:vMerge w:val="continue"/>
            <w:shd w:val="clear" w:color="auto" w:fill="F0FFFF"/>
          </w:tcPr>
          <w:p>
            <w:pPr>
              <w:spacing w:after="0"/>
              <w:rPr>
                <w:sz w:val="13"/>
                <w:szCs w:val="13"/>
                <w:color w:val="auto"/>
              </w:rPr>
            </w:pPr>
          </w:p>
        </w:tc>
        <w:tc>
          <w:tcPr>
            <w:tcW w:w="240" w:type="dxa"/>
            <w:vAlign w:val="bottom"/>
            <w:shd w:val="clear" w:color="auto" w:fill="F0FFFF"/>
          </w:tcPr>
          <w:p>
            <w:pPr>
              <w:spacing w:after="0"/>
              <w:rPr>
                <w:sz w:val="13"/>
                <w:szCs w:val="13"/>
                <w:color w:val="auto"/>
              </w:rPr>
            </w:pPr>
          </w:p>
        </w:tc>
        <w:tc>
          <w:tcPr>
            <w:tcW w:w="160" w:type="dxa"/>
            <w:vAlign w:val="bottom"/>
            <w:shd w:val="clear" w:color="auto" w:fill="F0FFFF"/>
          </w:tcPr>
          <w:p>
            <w:pPr>
              <w:spacing w:after="0"/>
              <w:rPr>
                <w:sz w:val="13"/>
                <w:szCs w:val="13"/>
                <w:color w:val="auto"/>
              </w:rPr>
            </w:pPr>
          </w:p>
        </w:tc>
        <w:tc>
          <w:tcPr>
            <w:tcW w:w="980" w:type="dxa"/>
            <w:vAlign w:val="bottom"/>
            <w:gridSpan w:val="2"/>
            <w:vMerge w:val="continue"/>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60" w:type="dxa"/>
            <w:vAlign w:val="bottom"/>
            <w:shd w:val="clear" w:color="auto" w:fill="F0FFFF"/>
          </w:tcPr>
          <w:p>
            <w:pPr>
              <w:spacing w:after="0"/>
              <w:rPr>
                <w:sz w:val="13"/>
                <w:szCs w:val="13"/>
                <w:color w:val="auto"/>
              </w:rPr>
            </w:pPr>
          </w:p>
        </w:tc>
        <w:tc>
          <w:tcPr>
            <w:tcW w:w="1080" w:type="dxa"/>
            <w:vAlign w:val="bottom"/>
            <w:gridSpan w:val="2"/>
            <w:vMerge w:val="continue"/>
            <w:shd w:val="clear" w:color="auto" w:fill="F0FFFF"/>
          </w:tcPr>
          <w:p>
            <w:pPr>
              <w:spacing w:after="0"/>
              <w:rPr>
                <w:sz w:val="13"/>
                <w:szCs w:val="13"/>
                <w:color w:val="auto"/>
              </w:rPr>
            </w:pPr>
          </w:p>
        </w:tc>
        <w:tc>
          <w:tcPr>
            <w:tcW w:w="160" w:type="dxa"/>
            <w:vAlign w:val="bottom"/>
            <w:shd w:val="clear" w:color="auto" w:fill="F0FFFF"/>
          </w:tcPr>
          <w:p>
            <w:pPr>
              <w:spacing w:after="0"/>
              <w:rPr>
                <w:sz w:val="13"/>
                <w:szCs w:val="13"/>
                <w:color w:val="auto"/>
              </w:rPr>
            </w:pPr>
          </w:p>
        </w:tc>
        <w:tc>
          <w:tcPr>
            <w:tcW w:w="860" w:type="dxa"/>
            <w:vAlign w:val="bottom"/>
            <w:vMerge w:val="continue"/>
            <w:shd w:val="clear" w:color="auto" w:fill="F0FFFF"/>
          </w:tcPr>
          <w:p>
            <w:pPr>
              <w:spacing w:after="0"/>
              <w:rPr>
                <w:sz w:val="13"/>
                <w:szCs w:val="13"/>
                <w:color w:val="auto"/>
              </w:rPr>
            </w:pPr>
          </w:p>
        </w:tc>
        <w:tc>
          <w:tcPr>
            <w:tcW w:w="14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200" w:type="dxa"/>
            <w:vAlign w:val="bottom"/>
            <w:shd w:val="clear" w:color="auto" w:fill="F0FFFF"/>
          </w:tcPr>
          <w:p>
            <w:pPr>
              <w:spacing w:after="0"/>
              <w:rPr>
                <w:sz w:val="13"/>
                <w:szCs w:val="13"/>
                <w:color w:val="auto"/>
              </w:rPr>
            </w:pPr>
          </w:p>
        </w:tc>
        <w:tc>
          <w:tcPr>
            <w:tcW w:w="1040" w:type="dxa"/>
            <w:vAlign w:val="bottom"/>
            <w:gridSpan w:val="2"/>
            <w:vMerge w:val="continue"/>
            <w:shd w:val="clear" w:color="auto" w:fill="F0FFFF"/>
          </w:tcPr>
          <w:p>
            <w:pPr>
              <w:spacing w:after="0"/>
              <w:rPr>
                <w:sz w:val="13"/>
                <w:szCs w:val="13"/>
                <w:color w:val="auto"/>
              </w:rPr>
            </w:pPr>
          </w:p>
        </w:tc>
        <w:tc>
          <w:tcPr>
            <w:tcW w:w="260" w:type="dxa"/>
            <w:vAlign w:val="bottom"/>
            <w:shd w:val="clear" w:color="auto" w:fill="F0FFFF"/>
          </w:tcPr>
          <w:p>
            <w:pPr>
              <w:spacing w:after="0"/>
              <w:rPr>
                <w:sz w:val="13"/>
                <w:szCs w:val="13"/>
                <w:color w:val="auto"/>
              </w:rPr>
            </w:pPr>
          </w:p>
        </w:tc>
        <w:tc>
          <w:tcPr>
            <w:tcW w:w="760" w:type="dxa"/>
            <w:vAlign w:val="bottom"/>
            <w:vMerge w:val="continue"/>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76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760" w:type="dxa"/>
            <w:vAlign w:val="bottom"/>
            <w:vMerge w:val="restart"/>
          </w:tcPr>
          <w:p>
            <w:pPr>
              <w:ind w:left="160"/>
              <w:spacing w:after="0"/>
              <w:rPr>
                <w:sz w:val="20"/>
                <w:szCs w:val="20"/>
                <w:color w:val="auto"/>
              </w:rPr>
            </w:pPr>
            <w:r>
              <w:rPr>
                <w:rFonts w:ascii="Arial" w:cs="Arial" w:eastAsia="Arial" w:hAnsi="Arial"/>
                <w:sz w:val="14"/>
                <w:szCs w:val="14"/>
                <w:color w:val="auto"/>
              </w:rPr>
              <w:t>Net income (GAAP)</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17,813</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17,670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18,247</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17,616</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16,357</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35,483</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31,757</w:t>
            </w:r>
          </w:p>
        </w:tc>
        <w:tc>
          <w:tcPr>
            <w:tcW w:w="0" w:type="dxa"/>
            <w:vAlign w:val="bottom"/>
          </w:tcPr>
          <w:p>
            <w:pPr>
              <w:spacing w:after="0"/>
              <w:rPr>
                <w:sz w:val="1"/>
                <w:szCs w:val="1"/>
                <w:color w:val="auto"/>
              </w:rPr>
            </w:pPr>
          </w:p>
        </w:tc>
      </w:tr>
      <w:tr>
        <w:trPr>
          <w:trHeight w:val="21"/>
        </w:trPr>
        <w:tc>
          <w:tcPr>
            <w:tcW w:w="2760" w:type="dxa"/>
            <w:vAlign w:val="bottom"/>
            <w:vMerge w:val="continue"/>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760" w:type="dxa"/>
            <w:vAlign w:val="bottom"/>
            <w:shd w:val="clear" w:color="auto" w:fill="F0FFFF"/>
          </w:tcPr>
          <w:p>
            <w:pPr>
              <w:spacing w:after="0"/>
              <w:rPr>
                <w:sz w:val="22"/>
                <w:szCs w:val="22"/>
                <w:color w:val="auto"/>
              </w:rPr>
            </w:pPr>
          </w:p>
        </w:tc>
        <w:tc>
          <w:tcPr>
            <w:tcW w:w="180" w:type="dxa"/>
            <w:vAlign w:val="bottom"/>
            <w:shd w:val="clear" w:color="auto" w:fill="F0FFFF"/>
          </w:tcPr>
          <w:p>
            <w:pPr>
              <w:spacing w:after="0"/>
              <w:rPr>
                <w:sz w:val="22"/>
                <w:szCs w:val="22"/>
                <w:color w:val="auto"/>
              </w:rPr>
            </w:pPr>
          </w:p>
        </w:tc>
        <w:tc>
          <w:tcPr>
            <w:tcW w:w="86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860" w:type="dxa"/>
            <w:vAlign w:val="bottom"/>
            <w:shd w:val="clear" w:color="auto" w:fill="F0FFFF"/>
          </w:tcPr>
          <w:p>
            <w:pPr>
              <w:spacing w:after="0"/>
              <w:rPr>
                <w:sz w:val="22"/>
                <w:szCs w:val="22"/>
                <w:color w:val="auto"/>
              </w:rPr>
            </w:pPr>
          </w:p>
        </w:tc>
        <w:tc>
          <w:tcPr>
            <w:tcW w:w="24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84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860" w:type="dxa"/>
            <w:vAlign w:val="bottom"/>
            <w:shd w:val="clear" w:color="auto" w:fill="F0FFFF"/>
          </w:tcPr>
          <w:p>
            <w:pPr>
              <w:spacing w:after="0"/>
              <w:rPr>
                <w:sz w:val="22"/>
                <w:szCs w:val="22"/>
                <w:color w:val="auto"/>
              </w:rPr>
            </w:pPr>
          </w:p>
        </w:tc>
        <w:tc>
          <w:tcPr>
            <w:tcW w:w="22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86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80" w:type="dxa"/>
            <w:vAlign w:val="bottom"/>
            <w:shd w:val="clear" w:color="auto" w:fill="F0FFFF"/>
          </w:tcPr>
          <w:p>
            <w:pPr>
              <w:spacing w:after="0"/>
              <w:rPr>
                <w:sz w:val="22"/>
                <w:szCs w:val="22"/>
                <w:color w:val="auto"/>
              </w:rPr>
            </w:pPr>
          </w:p>
        </w:tc>
        <w:tc>
          <w:tcPr>
            <w:tcW w:w="200" w:type="dxa"/>
            <w:vAlign w:val="bottom"/>
            <w:shd w:val="clear" w:color="auto" w:fill="F0FFFF"/>
          </w:tcPr>
          <w:p>
            <w:pPr>
              <w:spacing w:after="0"/>
              <w:rPr>
                <w:sz w:val="22"/>
                <w:szCs w:val="22"/>
                <w:color w:val="auto"/>
              </w:rPr>
            </w:pPr>
          </w:p>
        </w:tc>
        <w:tc>
          <w:tcPr>
            <w:tcW w:w="820" w:type="dxa"/>
            <w:vAlign w:val="bottom"/>
            <w:shd w:val="clear" w:color="auto" w:fill="F0FFFF"/>
          </w:tcPr>
          <w:p>
            <w:pPr>
              <w:spacing w:after="0"/>
              <w:rPr>
                <w:sz w:val="22"/>
                <w:szCs w:val="22"/>
                <w:color w:val="auto"/>
              </w:rPr>
            </w:pPr>
          </w:p>
        </w:tc>
        <w:tc>
          <w:tcPr>
            <w:tcW w:w="220" w:type="dxa"/>
            <w:vAlign w:val="bottom"/>
            <w:shd w:val="clear" w:color="auto" w:fill="F0FFFF"/>
          </w:tcPr>
          <w:p>
            <w:pPr>
              <w:spacing w:after="0"/>
              <w:rPr>
                <w:sz w:val="22"/>
                <w:szCs w:val="22"/>
                <w:color w:val="auto"/>
              </w:rPr>
            </w:pPr>
          </w:p>
        </w:tc>
        <w:tc>
          <w:tcPr>
            <w:tcW w:w="260" w:type="dxa"/>
            <w:vAlign w:val="bottom"/>
            <w:shd w:val="clear" w:color="auto" w:fill="F0FFFF"/>
          </w:tcPr>
          <w:p>
            <w:pPr>
              <w:spacing w:after="0"/>
              <w:rPr>
                <w:sz w:val="22"/>
                <w:szCs w:val="22"/>
                <w:color w:val="auto"/>
              </w:rPr>
            </w:pPr>
          </w:p>
        </w:tc>
        <w:tc>
          <w:tcPr>
            <w:tcW w:w="76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1900" w:h="16900" w:orient="portrait"/>
          <w:cols w:equalWidth="0" w:num="1">
            <w:col w:w="11420"/>
          </w:cols>
          <w:pgMar w:left="240" w:top="905" w:right="239" w:bottom="0" w:gutter="0" w:footer="0" w:header="0"/>
        </w:sectPr>
      </w:pPr>
    </w:p>
    <w:tbl>
      <w:tblPr>
        <w:tblLayout w:type="fixed"/>
        <w:tblInd w:w="0" w:type="dxa"/>
        <w:tblCellMar>
          <w:top w:w="0" w:type="dxa"/>
          <w:left w:w="0" w:type="dxa"/>
          <w:bottom w:w="0" w:type="dxa"/>
          <w:right w:w="0" w:type="dxa"/>
        </w:tblCellMar>
      </w:tblPr>
      <w:tr>
        <w:trPr>
          <w:trHeight w:val="161"/>
        </w:trPr>
        <w:tc>
          <w:tcPr>
            <w:tcW w:w="3960" w:type="dxa"/>
            <w:vAlign w:val="bottom"/>
            <w:gridSpan w:val="4"/>
          </w:tcPr>
          <w:p>
            <w:pPr>
              <w:spacing w:after="0"/>
              <w:rPr>
                <w:sz w:val="20"/>
                <w:szCs w:val="20"/>
                <w:color w:val="auto"/>
              </w:rPr>
            </w:pPr>
            <w:r>
              <w:rPr>
                <w:rFonts w:ascii="Arial" w:cs="Arial" w:eastAsia="Arial" w:hAnsi="Arial"/>
                <w:sz w:val="14"/>
                <w:szCs w:val="14"/>
                <w:b w:val="1"/>
                <w:bCs w:val="1"/>
                <w:color w:val="auto"/>
                <w:w w:val="97"/>
              </w:rPr>
              <w:t>Net income available to common shareholders reconciliation</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Net income available to common</w:t>
            </w: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ind w:left="160"/>
              <w:spacing w:after="0" w:line="149" w:lineRule="exact"/>
              <w:rPr>
                <w:sz w:val="20"/>
                <w:szCs w:val="20"/>
                <w:color w:val="auto"/>
              </w:rPr>
            </w:pPr>
            <w:r>
              <w:rPr>
                <w:rFonts w:ascii="Arial" w:cs="Arial" w:eastAsia="Arial" w:hAnsi="Arial"/>
                <w:sz w:val="14"/>
                <w:szCs w:val="14"/>
                <w:color w:val="auto"/>
              </w:rPr>
              <w:t>shareholders - operating</w:t>
            </w:r>
          </w:p>
        </w:tc>
        <w:tc>
          <w:tcPr>
            <w:tcW w:w="360" w:type="dxa"/>
            <w:vAlign w:val="bottom"/>
          </w:tcPr>
          <w:p>
            <w:pPr>
              <w:jc w:val="right"/>
              <w:ind w:right="20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19,972</w:t>
            </w:r>
          </w:p>
        </w:tc>
        <w:tc>
          <w:tcPr>
            <w:tcW w:w="160" w:type="dxa"/>
            <w:vAlign w:val="bottom"/>
          </w:tcPr>
          <w:p>
            <w:pPr>
              <w:spacing w:after="0"/>
              <w:rPr>
                <w:sz w:val="12"/>
                <w:szCs w:val="12"/>
                <w:color w:val="auto"/>
              </w:rPr>
            </w:pPr>
          </w:p>
        </w:tc>
        <w:tc>
          <w:tcPr>
            <w:tcW w:w="4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17,670</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18,247</w:t>
            </w:r>
          </w:p>
        </w:tc>
        <w:tc>
          <w:tcPr>
            <w:tcW w:w="4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17,616</w:t>
            </w:r>
          </w:p>
        </w:tc>
        <w:tc>
          <w:tcPr>
            <w:tcW w:w="340" w:type="dxa"/>
            <w:vAlign w:val="bottom"/>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16,357</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Arial" w:cs="Arial" w:eastAsia="Arial" w:hAnsi="Arial"/>
                <w:sz w:val="14"/>
                <w:szCs w:val="14"/>
                <w:color w:val="auto"/>
              </w:rPr>
              <w:t>Merger-related charges, net of income tax</w:t>
            </w:r>
          </w:p>
        </w:tc>
        <w:tc>
          <w:tcPr>
            <w:tcW w:w="360" w:type="dxa"/>
            <w:vAlign w:val="bottom"/>
          </w:tcPr>
          <w:p>
            <w:pPr>
              <w:spacing w:after="0"/>
              <w:rPr>
                <w:sz w:val="12"/>
                <w:szCs w:val="12"/>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(2,176)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760" w:type="dxa"/>
            <w:vAlign w:val="bottom"/>
          </w:tcPr>
          <w:p>
            <w:pPr>
              <w:ind w:left="160"/>
              <w:spacing w:after="0" w:line="154" w:lineRule="exact"/>
              <w:rPr>
                <w:sz w:val="20"/>
                <w:szCs w:val="20"/>
                <w:color w:val="auto"/>
              </w:rPr>
            </w:pPr>
            <w:r>
              <w:rPr>
                <w:rFonts w:ascii="Arial" w:cs="Arial" w:eastAsia="Arial" w:hAnsi="Arial"/>
                <w:sz w:val="14"/>
                <w:szCs w:val="14"/>
                <w:color w:val="auto"/>
              </w:rPr>
              <w:t>benefit</w:t>
            </w:r>
          </w:p>
        </w:tc>
        <w:tc>
          <w:tcPr>
            <w:tcW w:w="3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7246620"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20" w:type="dxa"/>
            <w:vAlign w:val="bottom"/>
          </w:tcPr>
          <w:p>
            <w:pPr>
              <w:jc w:val="right"/>
              <w:ind w:right="148"/>
              <w:spacing w:after="0"/>
              <w:rPr>
                <w:sz w:val="20"/>
                <w:szCs w:val="20"/>
                <w:color w:val="auto"/>
              </w:rPr>
            </w:pPr>
            <w:r>
              <w:rPr>
                <w:rFonts w:ascii="Arial" w:cs="Arial" w:eastAsia="Arial" w:hAnsi="Arial"/>
                <w:sz w:val="14"/>
                <w:szCs w:val="14"/>
                <w:color w:val="auto"/>
                <w:w w:val="88"/>
              </w:rPr>
              <w:t>37,642</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31,318</w:t>
            </w:r>
          </w:p>
        </w:tc>
      </w:tr>
      <w:tr>
        <w:trPr>
          <w:trHeight w:val="276"/>
        </w:trPr>
        <w:tc>
          <w:tcPr>
            <w:tcW w:w="620" w:type="dxa"/>
            <w:vAlign w:val="bottom"/>
          </w:tcPr>
          <w:p>
            <w:pPr>
              <w:jc w:val="right"/>
              <w:ind w:right="108"/>
              <w:spacing w:after="0"/>
              <w:rPr>
                <w:sz w:val="20"/>
                <w:szCs w:val="20"/>
                <w:color w:val="auto"/>
              </w:rPr>
            </w:pPr>
            <w:r>
              <w:rPr>
                <w:rFonts w:ascii="Arial" w:cs="Arial" w:eastAsia="Arial" w:hAnsi="Arial"/>
                <w:sz w:val="14"/>
                <w:szCs w:val="14"/>
                <w:color w:val="auto"/>
                <w:w w:val="94"/>
              </w:rPr>
              <w:t>(2,176)</w:t>
            </w:r>
          </w:p>
        </w:tc>
        <w:tc>
          <w:tcPr>
            <w:tcW w:w="3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-16510</wp:posOffset>
            </wp:positionV>
            <wp:extent cx="6432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3255" cy="17145"/>
                    </a:xfrm>
                    <a:prstGeom prst="rect">
                      <a:avLst/>
                    </a:prstGeom>
                    <a:noFill/>
                  </pic:spPr>
                </pic:pic>
              </a:graphicData>
            </a:graphic>
          </wp:anchor>
        </w:drawing>
      </w:r>
    </w:p>
    <w:p>
      <w:pPr>
        <w:spacing w:after="0" w:line="8" w:lineRule="exact"/>
        <w:rPr>
          <w:sz w:val="20"/>
          <w:szCs w:val="20"/>
          <w:color w:val="auto"/>
        </w:rPr>
      </w:pPr>
    </w:p>
    <w:p>
      <w:pPr>
        <w:sectPr>
          <w:pgSz w:w="11900" w:h="16900" w:orient="portrait"/>
          <w:cols w:equalWidth="0" w:num="2">
            <w:col w:w="9120" w:space="540"/>
            <w:col w:w="1760"/>
          </w:cols>
          <w:pgMar w:left="240" w:top="905" w:right="239" w:bottom="0" w:gutter="0" w:footer="0" w:header="0"/>
          <w:type w:val="continuous"/>
        </w:sectPr>
      </w:pPr>
    </w:p>
    <w:p>
      <w:pPr>
        <w:ind w:left="320" w:right="80" w:hanging="155"/>
        <w:spacing w:after="0" w:line="291" w:lineRule="auto"/>
        <w:rPr>
          <w:sz w:val="20"/>
          <w:szCs w:val="20"/>
          <w:color w:val="auto"/>
        </w:rPr>
      </w:pPr>
      <w:r>
        <w:rPr>
          <w:rFonts w:ascii="Arial" w:cs="Arial" w:eastAsia="Arial" w:hAnsi="Arial"/>
          <w:sz w:val="13"/>
          <w:szCs w:val="13"/>
          <w:color w:val="auto"/>
        </w:rPr>
        <w:t>Net income available to common shareholders (GAAP)</w:t>
      </w:r>
    </w:p>
    <w:p>
      <w:pPr>
        <w:spacing w:after="0" w:line="174" w:lineRule="exact"/>
        <w:rPr>
          <w:sz w:val="20"/>
          <w:szCs w:val="20"/>
          <w:color w:val="auto"/>
        </w:rPr>
      </w:pPr>
    </w:p>
    <w:p>
      <w:pPr>
        <w:ind w:left="160" w:right="40" w:hanging="155"/>
        <w:spacing w:after="0" w:line="233" w:lineRule="auto"/>
        <w:rPr>
          <w:sz w:val="20"/>
          <w:szCs w:val="20"/>
          <w:color w:val="auto"/>
        </w:rPr>
      </w:pPr>
      <w:r>
        <w:rPr>
          <w:rFonts w:ascii="Arial" w:cs="Arial" w:eastAsia="Arial" w:hAnsi="Arial"/>
          <w:sz w:val="14"/>
          <w:szCs w:val="14"/>
          <w:b w:val="1"/>
          <w:bCs w:val="1"/>
          <w:color w:val="auto"/>
        </w:rPr>
        <w:t>Diluted income per common share reconciliation</w:t>
      </w:r>
    </w:p>
    <w:p>
      <w:pPr>
        <w:spacing w:after="0" w:line="1" w:lineRule="exact"/>
        <w:rPr>
          <w:sz w:val="20"/>
          <w:szCs w:val="20"/>
          <w:color w:val="auto"/>
        </w:rPr>
      </w:pPr>
    </w:p>
    <w:p>
      <w:pPr>
        <w:ind w:left="160" w:right="80" w:hanging="155"/>
        <w:spacing w:after="0" w:line="237" w:lineRule="auto"/>
        <w:rPr>
          <w:sz w:val="20"/>
          <w:szCs w:val="20"/>
          <w:color w:val="auto"/>
        </w:rPr>
      </w:pPr>
      <w:r>
        <w:rPr>
          <w:rFonts w:ascii="Arial" w:cs="Arial" w:eastAsia="Arial" w:hAnsi="Arial"/>
          <w:sz w:val="14"/>
          <w:szCs w:val="14"/>
          <w:color w:val="auto"/>
        </w:rPr>
        <w:t>Diluted income per common share - operating</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Merger-related charges</w:t>
      </w:r>
    </w:p>
    <w:p>
      <w:pPr>
        <w:spacing w:after="0" w:line="28" w:lineRule="exact"/>
        <w:rPr>
          <w:sz w:val="20"/>
          <w:szCs w:val="20"/>
          <w:color w:val="auto"/>
        </w:rPr>
      </w:pPr>
    </w:p>
    <w:p>
      <w:pPr>
        <w:ind w:left="320" w:hanging="155"/>
        <w:spacing w:after="0" w:line="253" w:lineRule="auto"/>
        <w:rPr>
          <w:sz w:val="20"/>
          <w:szCs w:val="20"/>
          <w:color w:val="auto"/>
        </w:rPr>
      </w:pPr>
      <w:r>
        <w:rPr>
          <w:rFonts w:ascii="Arial" w:cs="Arial" w:eastAsia="Arial" w:hAnsi="Arial"/>
          <w:sz w:val="14"/>
          <w:szCs w:val="14"/>
          <w:color w:val="auto"/>
        </w:rPr>
        <w:t>Diluted income per common share (GAAP)</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17,796</w:t>
            </w:r>
          </w:p>
        </w:tc>
        <w:tc>
          <w:tcPr>
            <w:tcW w:w="160" w:type="dxa"/>
            <w:vAlign w:val="bottom"/>
          </w:tcPr>
          <w:p>
            <w:pPr>
              <w:spacing w:after="0"/>
              <w:rPr>
                <w:sz w:val="14"/>
                <w:szCs w:val="14"/>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17,670</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18,247</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17,616</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16,357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
        </w:trPr>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846"/>
        </w:trPr>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24"/>
                <w:szCs w:val="24"/>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.29</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.30</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.29</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8"/>
        </w:trPr>
        <w:tc>
          <w:tcPr>
            <w:tcW w:w="3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7"/>
        </w:trPr>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.28</w:t>
            </w:r>
          </w:p>
        </w:tc>
        <w:tc>
          <w:tcPr>
            <w:tcW w:w="160" w:type="dxa"/>
            <w:vAlign w:val="bottom"/>
          </w:tcPr>
          <w:p>
            <w:pPr>
              <w:spacing w:after="0"/>
              <w:rPr>
                <w:sz w:val="23"/>
                <w:szCs w:val="23"/>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.29</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.30</w:t>
            </w:r>
          </w:p>
        </w:tc>
        <w:tc>
          <w:tcPr>
            <w:tcW w:w="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.29</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
        </w:trPr>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-753745</wp:posOffset>
            </wp:positionV>
            <wp:extent cx="7246620"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0</wp:posOffset>
            </wp:positionV>
            <wp:extent cx="72466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-376555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620" w:type="dxa"/>
            <w:vAlign w:val="bottom"/>
          </w:tcPr>
          <w:p>
            <w:pPr>
              <w:jc w:val="right"/>
              <w:ind w:right="148"/>
              <w:spacing w:after="0"/>
              <w:rPr>
                <w:sz w:val="20"/>
                <w:szCs w:val="20"/>
                <w:color w:val="auto"/>
              </w:rPr>
            </w:pPr>
            <w:r>
              <w:rPr>
                <w:rFonts w:ascii="Arial" w:cs="Arial" w:eastAsia="Arial" w:hAnsi="Arial"/>
                <w:sz w:val="14"/>
                <w:szCs w:val="14"/>
                <w:color w:val="auto"/>
                <w:w w:val="88"/>
              </w:rPr>
              <w:t>35,466</w:t>
            </w: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31,318</w:t>
            </w:r>
          </w:p>
        </w:tc>
      </w:tr>
      <w:tr>
        <w:trPr>
          <w:trHeight w:val="21"/>
        </w:trPr>
        <w:tc>
          <w:tcPr>
            <w:tcW w:w="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846"/>
        </w:trPr>
        <w:tc>
          <w:tcPr>
            <w:tcW w:w="620" w:type="dxa"/>
            <w:vAlign w:val="bottom"/>
          </w:tcPr>
          <w:p>
            <w:pPr>
              <w:jc w:val="right"/>
              <w:ind w:right="148"/>
              <w:spacing w:after="0"/>
              <w:rPr>
                <w:sz w:val="20"/>
                <w:szCs w:val="20"/>
                <w:color w:val="auto"/>
              </w:rPr>
            </w:pPr>
            <w:r>
              <w:rPr>
                <w:rFonts w:ascii="Arial" w:cs="Arial" w:eastAsia="Arial" w:hAnsi="Arial"/>
                <w:sz w:val="14"/>
                <w:szCs w:val="14"/>
                <w:color w:val="auto"/>
              </w:rPr>
              <w:t>.61</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35"/>
        </w:trPr>
        <w:tc>
          <w:tcPr>
            <w:tcW w:w="620" w:type="dxa"/>
            <w:vAlign w:val="bottom"/>
          </w:tcPr>
          <w:p>
            <w:pPr>
              <w:jc w:val="right"/>
              <w:ind w:right="108"/>
              <w:spacing w:after="0"/>
              <w:rPr>
                <w:sz w:val="20"/>
                <w:szCs w:val="20"/>
                <w:color w:val="auto"/>
              </w:rPr>
            </w:pPr>
            <w:r>
              <w:rPr>
                <w:rFonts w:ascii="Arial" w:cs="Arial" w:eastAsia="Arial" w:hAnsi="Arial"/>
                <w:sz w:val="14"/>
                <w:szCs w:val="14"/>
                <w:color w:val="auto"/>
              </w:rPr>
              <w:t>(.04)</w:t>
            </w:r>
          </w:p>
        </w:tc>
        <w:tc>
          <w:tcPr>
            <w:tcW w:w="3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70"/>
        </w:trPr>
        <w:tc>
          <w:tcPr>
            <w:tcW w:w="620" w:type="dxa"/>
            <w:vAlign w:val="bottom"/>
          </w:tcPr>
          <w:p>
            <w:pPr>
              <w:jc w:val="right"/>
              <w:ind w:right="148"/>
              <w:spacing w:after="0"/>
              <w:rPr>
                <w:sz w:val="20"/>
                <w:szCs w:val="20"/>
                <w:color w:val="auto"/>
              </w:rPr>
            </w:pPr>
            <w:r>
              <w:rPr>
                <w:rFonts w:ascii="Arial" w:cs="Arial" w:eastAsia="Arial" w:hAnsi="Arial"/>
                <w:sz w:val="14"/>
                <w:szCs w:val="14"/>
                <w:color w:val="auto"/>
              </w:rPr>
              <w:t>.57</w:t>
            </w: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r>
      <w:tr>
        <w:trPr>
          <w:trHeight w:val="21"/>
        </w:trPr>
        <w:tc>
          <w:tcPr>
            <w:tcW w:w="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-33655</wp:posOffset>
            </wp:positionV>
            <wp:extent cx="643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-8255</wp:posOffset>
            </wp:positionV>
            <wp:extent cx="643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20" w:lineRule="exact"/>
        <w:rPr>
          <w:sz w:val="20"/>
          <w:szCs w:val="20"/>
          <w:color w:val="auto"/>
        </w:rPr>
      </w:pPr>
    </w:p>
    <w:p>
      <w:pPr>
        <w:sectPr>
          <w:pgSz w:w="11900" w:h="16900" w:orient="portrait"/>
          <w:cols w:equalWidth="0" w:num="3">
            <w:col w:w="2160" w:space="600"/>
            <w:col w:w="6360" w:space="540"/>
            <w:col w:w="1760"/>
          </w:cols>
          <w:pgMar w:left="240" w:top="905" w:right="239" w:bottom="0" w:gutter="0" w:footer="0" w:header="0"/>
          <w:type w:val="continuous"/>
        </w:sectPr>
      </w:pPr>
    </w:p>
    <w:p>
      <w:pPr>
        <w:spacing w:after="0"/>
        <w:rPr>
          <w:sz w:val="20"/>
          <w:szCs w:val="20"/>
          <w:color w:val="auto"/>
        </w:rPr>
      </w:pPr>
      <w:r>
        <w:rPr>
          <w:rFonts w:ascii="Arial" w:cs="Arial" w:eastAsia="Arial" w:hAnsi="Arial"/>
          <w:sz w:val="14"/>
          <w:szCs w:val="14"/>
          <w:b w:val="1"/>
          <w:bCs w:val="1"/>
          <w:color w:val="auto"/>
        </w:rPr>
        <w:t>Book value per common share</w:t>
      </w:r>
    </w:p>
    <w:tbl>
      <w:tblPr>
        <w:tblLayout w:type="fixed"/>
        <w:tblInd w:w="0" w:type="dxa"/>
        <w:tblCellMar>
          <w:top w:w="0" w:type="dxa"/>
          <w:left w:w="0" w:type="dxa"/>
          <w:bottom w:w="0" w:type="dxa"/>
          <w:right w:w="0" w:type="dxa"/>
        </w:tblCellMar>
      </w:tblPr>
      <w:tr>
        <w:trPr>
          <w:trHeight w:val="159"/>
        </w:trPr>
        <w:tc>
          <w:tcPr>
            <w:tcW w:w="2760" w:type="dxa"/>
            <w:vAlign w:val="bottom"/>
          </w:tcPr>
          <w:p>
            <w:pPr>
              <w:ind w:left="160"/>
              <w:spacing w:after="0" w:line="159" w:lineRule="exact"/>
              <w:rPr>
                <w:sz w:val="20"/>
                <w:szCs w:val="20"/>
                <w:color w:val="auto"/>
              </w:rPr>
            </w:pPr>
            <w:r>
              <w:rPr>
                <w:rFonts w:ascii="Arial" w:cs="Arial" w:eastAsia="Arial" w:hAnsi="Arial"/>
                <w:sz w:val="14"/>
                <w:szCs w:val="14"/>
                <w:b w:val="1"/>
                <w:bCs w:val="1"/>
                <w:color w:val="auto"/>
              </w:rPr>
              <w:t>reconciliation</w:t>
            </w: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43"/>
        </w:trPr>
        <w:tc>
          <w:tcPr>
            <w:tcW w:w="2760" w:type="dxa"/>
            <w:vAlign w:val="bottom"/>
            <w:shd w:val="clear" w:color="auto" w:fill="F0FFFF"/>
          </w:tcPr>
          <w:p>
            <w:pPr>
              <w:spacing w:after="0"/>
              <w:rPr>
                <w:sz w:val="20"/>
                <w:szCs w:val="20"/>
                <w:color w:val="auto"/>
              </w:rPr>
            </w:pPr>
            <w:r>
              <w:rPr>
                <w:rFonts w:ascii="Arial" w:cs="Arial" w:eastAsia="Arial" w:hAnsi="Arial"/>
                <w:sz w:val="14"/>
                <w:szCs w:val="14"/>
                <w:color w:val="auto"/>
              </w:rPr>
              <w:t>Tangible book value per common share</w:t>
            </w:r>
          </w:p>
        </w:tc>
        <w:tc>
          <w:tcPr>
            <w:tcW w:w="400" w:type="dxa"/>
            <w:vAlign w:val="bottom"/>
            <w:shd w:val="clear" w:color="auto" w:fill="F0FFFF"/>
          </w:tcPr>
          <w:p>
            <w:pPr>
              <w:jc w:val="right"/>
              <w:ind w:right="248"/>
              <w:spacing w:after="0"/>
              <w:rPr>
                <w:sz w:val="20"/>
                <w:szCs w:val="20"/>
                <w:color w:val="auto"/>
              </w:rPr>
            </w:pPr>
            <w:r>
              <w:rPr>
                <w:rFonts w:ascii="Arial" w:cs="Arial" w:eastAsia="Arial" w:hAnsi="Arial"/>
                <w:sz w:val="14"/>
                <w:szCs w:val="14"/>
                <w:color w:val="auto"/>
                <w:w w:val="76"/>
              </w:rPr>
              <w:t>$</w:t>
            </w:r>
          </w:p>
        </w:tc>
        <w:tc>
          <w:tcPr>
            <w:tcW w:w="9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12.66</w:t>
            </w:r>
          </w:p>
        </w:tc>
        <w:tc>
          <w:tcPr>
            <w:tcW w:w="380" w:type="dxa"/>
            <w:vAlign w:val="bottom"/>
            <w:shd w:val="clear" w:color="auto" w:fill="F0FFFF"/>
          </w:tcPr>
          <w:p>
            <w:pPr>
              <w:jc w:val="right"/>
              <w:ind w:right="228"/>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12.53</w:t>
            </w:r>
          </w:p>
        </w:tc>
        <w:tc>
          <w:tcPr>
            <w:tcW w:w="380" w:type="dxa"/>
            <w:vAlign w:val="bottom"/>
            <w:shd w:val="clear" w:color="auto" w:fill="F0FFFF"/>
          </w:tcPr>
          <w:p>
            <w:pPr>
              <w:jc w:val="right"/>
              <w:ind w:right="269"/>
              <w:spacing w:after="0"/>
              <w:rPr>
                <w:sz w:val="20"/>
                <w:szCs w:val="20"/>
                <w:color w:val="auto"/>
              </w:rPr>
            </w:pPr>
            <w:r>
              <w:rPr>
                <w:rFonts w:ascii="Arial" w:cs="Arial" w:eastAsia="Arial" w:hAnsi="Arial"/>
                <w:sz w:val="10"/>
                <w:szCs w:val="10"/>
                <w:color w:val="auto"/>
                <w:w w:val="71"/>
              </w:rPr>
              <w:t>$</w:t>
            </w:r>
          </w:p>
        </w:tc>
        <w:tc>
          <w:tcPr>
            <w:tcW w:w="8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12.15</w:t>
            </w:r>
          </w:p>
        </w:tc>
        <w:tc>
          <w:tcPr>
            <w:tcW w:w="380" w:type="dxa"/>
            <w:vAlign w:val="bottom"/>
            <w:shd w:val="clear" w:color="auto" w:fill="F0FFFF"/>
          </w:tcPr>
          <w:p>
            <w:pPr>
              <w:jc w:val="right"/>
              <w:ind w:right="22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12.10</w:t>
            </w:r>
          </w:p>
        </w:tc>
        <w:tc>
          <w:tcPr>
            <w:tcW w:w="380" w:type="dxa"/>
            <w:vAlign w:val="bottom"/>
            <w:shd w:val="clear" w:color="auto" w:fill="F0FFFF"/>
          </w:tcPr>
          <w:p>
            <w:pPr>
              <w:jc w:val="right"/>
              <w:ind w:right="228"/>
              <w:spacing w:after="0"/>
              <w:rPr>
                <w:sz w:val="20"/>
                <w:szCs w:val="20"/>
                <w:color w:val="auto"/>
              </w:rPr>
            </w:pPr>
            <w:r>
              <w:rPr>
                <w:rFonts w:ascii="Arial" w:cs="Arial" w:eastAsia="Arial" w:hAnsi="Arial"/>
                <w:sz w:val="14"/>
                <w:szCs w:val="14"/>
                <w:color w:val="auto"/>
                <w:w w:val="76"/>
              </w:rPr>
              <w:t>$</w:t>
            </w: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11.91</w:t>
            </w:r>
          </w:p>
        </w:tc>
        <w:tc>
          <w:tcPr>
            <w:tcW w:w="380" w:type="dxa"/>
            <w:vAlign w:val="bottom"/>
            <w:shd w:val="clear" w:color="auto" w:fill="F0FFFF"/>
          </w:tcPr>
          <w:p>
            <w:pPr>
              <w:jc w:val="right"/>
              <w:ind w:right="22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12.66</w:t>
            </w:r>
          </w:p>
        </w:tc>
        <w:tc>
          <w:tcPr>
            <w:tcW w:w="380" w:type="dxa"/>
            <w:vAlign w:val="bottom"/>
            <w:shd w:val="clear" w:color="auto" w:fill="F0FFFF"/>
          </w:tcPr>
          <w:p>
            <w:pPr>
              <w:jc w:val="right"/>
              <w:ind w:right="22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11.91</w:t>
            </w:r>
          </w:p>
        </w:tc>
        <w:tc>
          <w:tcPr>
            <w:tcW w:w="120" w:type="dxa"/>
            <w:vAlign w:val="bottom"/>
            <w:shd w:val="clear" w:color="auto" w:fill="F0FFFF"/>
          </w:tcPr>
          <w:p>
            <w:pPr>
              <w:spacing w:after="0"/>
              <w:rPr>
                <w:sz w:val="21"/>
                <w:szCs w:val="21"/>
                <w:color w:val="auto"/>
              </w:rPr>
            </w:pPr>
          </w:p>
        </w:tc>
      </w:tr>
      <w:tr>
        <w:trPr>
          <w:trHeight w:val="243"/>
        </w:trPr>
        <w:tc>
          <w:tcPr>
            <w:tcW w:w="2760" w:type="dxa"/>
            <w:vAlign w:val="bottom"/>
          </w:tcPr>
          <w:p>
            <w:pPr>
              <w:spacing w:after="0"/>
              <w:rPr>
                <w:sz w:val="20"/>
                <w:szCs w:val="20"/>
                <w:color w:val="auto"/>
              </w:rPr>
            </w:pPr>
            <w:r>
              <w:rPr>
                <w:rFonts w:ascii="Arial" w:cs="Arial" w:eastAsia="Arial" w:hAnsi="Arial"/>
                <w:sz w:val="14"/>
                <w:szCs w:val="14"/>
                <w:color w:val="auto"/>
              </w:rPr>
              <w:t>Effect of goodwill and other intangibles</w:t>
            </w:r>
          </w:p>
        </w:tc>
        <w:tc>
          <w:tcPr>
            <w:tcW w:w="40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.29</w:t>
            </w:r>
          </w:p>
        </w:tc>
        <w:tc>
          <w:tcPr>
            <w:tcW w:w="3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.05</w:t>
            </w:r>
          </w:p>
        </w:tc>
        <w:tc>
          <w:tcPr>
            <w:tcW w:w="38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.05</w:t>
            </w:r>
          </w:p>
        </w:tc>
        <w:tc>
          <w:tcPr>
            <w:tcW w:w="3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.05</w:t>
            </w:r>
          </w:p>
        </w:tc>
        <w:tc>
          <w:tcPr>
            <w:tcW w:w="3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.03</w:t>
            </w:r>
          </w:p>
        </w:tc>
        <w:tc>
          <w:tcPr>
            <w:tcW w:w="3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.29</w:t>
            </w:r>
          </w:p>
        </w:tc>
        <w:tc>
          <w:tcPr>
            <w:tcW w:w="38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.03</w:t>
            </w:r>
          </w:p>
        </w:tc>
      </w:tr>
      <w:tr>
        <w:trPr>
          <w:trHeight w:val="27"/>
        </w:trPr>
        <w:tc>
          <w:tcPr>
            <w:tcW w:w="27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0"/>
        </w:trPr>
        <w:tc>
          <w:tcPr>
            <w:tcW w:w="2760" w:type="dxa"/>
            <w:vAlign w:val="bottom"/>
            <w:shd w:val="clear" w:color="auto" w:fill="F0FFFF"/>
          </w:tcPr>
          <w:p>
            <w:pPr>
              <w:ind w:left="160"/>
              <w:spacing w:after="0"/>
              <w:rPr>
                <w:sz w:val="20"/>
                <w:szCs w:val="20"/>
                <w:color w:val="auto"/>
              </w:rPr>
            </w:pPr>
            <w:r>
              <w:rPr>
                <w:rFonts w:ascii="Arial" w:cs="Arial" w:eastAsia="Arial" w:hAnsi="Arial"/>
                <w:sz w:val="14"/>
                <w:szCs w:val="14"/>
                <w:color w:val="auto"/>
              </w:rPr>
              <w:t>Book value per common share (GAAP)</w:t>
            </w:r>
          </w:p>
        </w:tc>
        <w:tc>
          <w:tcPr>
            <w:tcW w:w="400" w:type="dxa"/>
            <w:vAlign w:val="bottom"/>
            <w:shd w:val="clear" w:color="auto" w:fill="F0FFFF"/>
          </w:tcPr>
          <w:p>
            <w:pPr>
              <w:jc w:val="right"/>
              <w:ind w:right="248"/>
              <w:spacing w:after="0"/>
              <w:rPr>
                <w:sz w:val="20"/>
                <w:szCs w:val="20"/>
                <w:color w:val="auto"/>
              </w:rPr>
            </w:pPr>
            <w:r>
              <w:rPr>
                <w:rFonts w:ascii="Arial" w:cs="Arial" w:eastAsia="Arial" w:hAnsi="Arial"/>
                <w:sz w:val="14"/>
                <w:szCs w:val="14"/>
                <w:color w:val="auto"/>
                <w:w w:val="76"/>
              </w:rPr>
              <w:t>$</w:t>
            </w:r>
          </w:p>
        </w:tc>
        <w:tc>
          <w:tcPr>
            <w:tcW w:w="9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12.95</w:t>
            </w:r>
          </w:p>
        </w:tc>
        <w:tc>
          <w:tcPr>
            <w:tcW w:w="380" w:type="dxa"/>
            <w:vAlign w:val="bottom"/>
            <w:shd w:val="clear" w:color="auto" w:fill="F0FFFF"/>
          </w:tcPr>
          <w:p>
            <w:pPr>
              <w:jc w:val="right"/>
              <w:ind w:right="228"/>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12.58</w:t>
            </w:r>
          </w:p>
        </w:tc>
        <w:tc>
          <w:tcPr>
            <w:tcW w:w="380" w:type="dxa"/>
            <w:vAlign w:val="bottom"/>
            <w:shd w:val="clear" w:color="auto" w:fill="F0FFFF"/>
          </w:tcPr>
          <w:p>
            <w:pPr>
              <w:jc w:val="right"/>
              <w:ind w:right="269"/>
              <w:spacing w:after="0"/>
              <w:rPr>
                <w:sz w:val="20"/>
                <w:szCs w:val="20"/>
                <w:color w:val="auto"/>
              </w:rPr>
            </w:pPr>
            <w:r>
              <w:rPr>
                <w:rFonts w:ascii="Arial" w:cs="Arial" w:eastAsia="Arial" w:hAnsi="Arial"/>
                <w:sz w:val="10"/>
                <w:szCs w:val="10"/>
                <w:color w:val="auto"/>
                <w:w w:val="71"/>
              </w:rPr>
              <w:t>$</w:t>
            </w:r>
          </w:p>
        </w:tc>
        <w:tc>
          <w:tcPr>
            <w:tcW w:w="8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12.20</w:t>
            </w:r>
          </w:p>
        </w:tc>
        <w:tc>
          <w:tcPr>
            <w:tcW w:w="380" w:type="dxa"/>
            <w:vAlign w:val="bottom"/>
            <w:shd w:val="clear" w:color="auto" w:fill="F0FFFF"/>
          </w:tcPr>
          <w:p>
            <w:pPr>
              <w:jc w:val="right"/>
              <w:ind w:right="22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12.15</w:t>
            </w:r>
          </w:p>
        </w:tc>
        <w:tc>
          <w:tcPr>
            <w:tcW w:w="380" w:type="dxa"/>
            <w:vAlign w:val="bottom"/>
            <w:shd w:val="clear" w:color="auto" w:fill="F0FFFF"/>
          </w:tcPr>
          <w:p>
            <w:pPr>
              <w:jc w:val="right"/>
              <w:ind w:right="228"/>
              <w:spacing w:after="0"/>
              <w:rPr>
                <w:sz w:val="20"/>
                <w:szCs w:val="20"/>
                <w:color w:val="auto"/>
              </w:rPr>
            </w:pPr>
            <w:r>
              <w:rPr>
                <w:rFonts w:ascii="Arial" w:cs="Arial" w:eastAsia="Arial" w:hAnsi="Arial"/>
                <w:sz w:val="14"/>
                <w:szCs w:val="14"/>
                <w:color w:val="auto"/>
                <w:w w:val="76"/>
              </w:rPr>
              <w:t>$</w:t>
            </w:r>
          </w:p>
        </w:tc>
        <w:tc>
          <w:tcPr>
            <w:tcW w:w="8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11.94</w:t>
            </w:r>
          </w:p>
        </w:tc>
        <w:tc>
          <w:tcPr>
            <w:tcW w:w="380" w:type="dxa"/>
            <w:vAlign w:val="bottom"/>
            <w:shd w:val="clear" w:color="auto" w:fill="F0FFFF"/>
          </w:tcPr>
          <w:p>
            <w:pPr>
              <w:jc w:val="right"/>
              <w:ind w:right="22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12.95</w:t>
            </w:r>
          </w:p>
        </w:tc>
        <w:tc>
          <w:tcPr>
            <w:tcW w:w="380" w:type="dxa"/>
            <w:vAlign w:val="bottom"/>
            <w:shd w:val="clear" w:color="auto" w:fill="F0FFFF"/>
          </w:tcPr>
          <w:p>
            <w:pPr>
              <w:jc w:val="right"/>
              <w:ind w:right="22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11.94</w:t>
            </w:r>
          </w:p>
        </w:tc>
        <w:tc>
          <w:tcPr>
            <w:tcW w:w="120" w:type="dxa"/>
            <w:vAlign w:val="bottom"/>
            <w:shd w:val="clear" w:color="auto" w:fill="F0FFFF"/>
          </w:tcPr>
          <w:p>
            <w:pPr>
              <w:spacing w:after="0"/>
              <w:rPr>
                <w:sz w:val="19"/>
                <w:szCs w:val="19"/>
                <w:color w:val="auto"/>
              </w:rPr>
            </w:pPr>
          </w:p>
        </w:tc>
      </w:tr>
      <w:tr>
        <w:trPr>
          <w:trHeight w:val="237"/>
        </w:trPr>
        <w:tc>
          <w:tcPr>
            <w:tcW w:w="2760" w:type="dxa"/>
            <w:vAlign w:val="bottom"/>
            <w:tcBorders>
              <w:top w:val="single" w:sz="8" w:color="F0FFFF"/>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60" w:type="dxa"/>
            <w:vAlign w:val="bottom"/>
            <w:tcBorders>
              <w:top w:val="single" w:sz="8" w:color="F0FFFF"/>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40" w:type="dxa"/>
            <w:vAlign w:val="bottom"/>
            <w:tcBorders>
              <w:top w:val="single" w:sz="8" w:color="F0FFFF"/>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40" w:type="dxa"/>
            <w:vAlign w:val="bottom"/>
            <w:tcBorders>
              <w:top w:val="single" w:sz="8" w:color="F0FFFF"/>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20" w:type="dxa"/>
            <w:vAlign w:val="bottom"/>
            <w:tcBorders>
              <w:top w:val="single" w:sz="8" w:color="F0FFFF"/>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20" w:type="dxa"/>
            <w:vAlign w:val="bottom"/>
            <w:tcBorders>
              <w:top w:val="single" w:sz="8" w:color="F0FFFF"/>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20" w:type="dxa"/>
            <w:vAlign w:val="bottom"/>
            <w:tcBorders>
              <w:top w:val="single" w:sz="8" w:color="F0FFFF"/>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F0FFFF"/>
            </w:tcBorders>
          </w:tcPr>
          <w:p>
            <w:pPr>
              <w:spacing w:after="0"/>
              <w:rPr>
                <w:sz w:val="20"/>
                <w:szCs w:val="20"/>
                <w:color w:val="auto"/>
              </w:rPr>
            </w:pPr>
          </w:p>
        </w:tc>
      </w:tr>
      <w:tr>
        <w:trPr>
          <w:trHeight w:val="243"/>
        </w:trPr>
        <w:tc>
          <w:tcPr>
            <w:tcW w:w="2760" w:type="dxa"/>
            <w:vAlign w:val="bottom"/>
            <w:shd w:val="clear" w:color="auto" w:fill="F0FFFF"/>
          </w:tcPr>
          <w:p>
            <w:pPr>
              <w:spacing w:after="0"/>
              <w:rPr>
                <w:sz w:val="20"/>
                <w:szCs w:val="20"/>
                <w:color w:val="auto"/>
              </w:rPr>
            </w:pPr>
            <w:r>
              <w:rPr>
                <w:rFonts w:ascii="Arial" w:cs="Arial" w:eastAsia="Arial" w:hAnsi="Arial"/>
                <w:sz w:val="14"/>
                <w:szCs w:val="14"/>
                <w:b w:val="1"/>
                <w:bCs w:val="1"/>
                <w:color w:val="auto"/>
              </w:rPr>
              <w:t>Return on common equity reconciliation</w:t>
            </w:r>
          </w:p>
        </w:tc>
        <w:tc>
          <w:tcPr>
            <w:tcW w:w="400" w:type="dxa"/>
            <w:vAlign w:val="bottom"/>
            <w:shd w:val="clear" w:color="auto" w:fill="F0FFFF"/>
          </w:tcPr>
          <w:p>
            <w:pPr>
              <w:spacing w:after="0"/>
              <w:rPr>
                <w:sz w:val="21"/>
                <w:szCs w:val="21"/>
                <w:color w:val="auto"/>
              </w:rPr>
            </w:pPr>
          </w:p>
        </w:tc>
        <w:tc>
          <w:tcPr>
            <w:tcW w:w="640" w:type="dxa"/>
            <w:vAlign w:val="bottom"/>
            <w:shd w:val="clear" w:color="auto" w:fill="F0FFFF"/>
          </w:tcPr>
          <w:p>
            <w:pPr>
              <w:spacing w:after="0"/>
              <w:rPr>
                <w:sz w:val="21"/>
                <w:szCs w:val="21"/>
                <w:color w:val="auto"/>
              </w:rPr>
            </w:pPr>
          </w:p>
        </w:tc>
        <w:tc>
          <w:tcPr>
            <w:tcW w:w="260" w:type="dxa"/>
            <w:vAlign w:val="bottom"/>
            <w:tcBorders>
              <w:right w:val="single" w:sz="8" w:color="F0FFFF"/>
            </w:tcBorders>
            <w:shd w:val="clear" w:color="auto" w:fill="F0FFFF"/>
          </w:tcPr>
          <w:p>
            <w:pPr>
              <w:spacing w:after="0"/>
              <w:rPr>
                <w:sz w:val="21"/>
                <w:szCs w:val="21"/>
                <w:color w:val="auto"/>
              </w:rPr>
            </w:pPr>
          </w:p>
        </w:tc>
        <w:tc>
          <w:tcPr>
            <w:tcW w:w="380" w:type="dxa"/>
            <w:vAlign w:val="bottom"/>
            <w:shd w:val="clear" w:color="auto" w:fill="F0FFFF"/>
          </w:tcPr>
          <w:p>
            <w:pPr>
              <w:spacing w:after="0"/>
              <w:rPr>
                <w:sz w:val="21"/>
                <w:szCs w:val="21"/>
                <w:color w:val="auto"/>
              </w:rPr>
            </w:pPr>
          </w:p>
        </w:tc>
        <w:tc>
          <w:tcPr>
            <w:tcW w:w="64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380" w:type="dxa"/>
            <w:vAlign w:val="bottom"/>
            <w:shd w:val="clear" w:color="auto" w:fill="F0FFFF"/>
          </w:tcPr>
          <w:p>
            <w:pPr>
              <w:spacing w:after="0"/>
              <w:rPr>
                <w:sz w:val="21"/>
                <w:szCs w:val="21"/>
                <w:color w:val="auto"/>
              </w:rPr>
            </w:pPr>
          </w:p>
        </w:tc>
        <w:tc>
          <w:tcPr>
            <w:tcW w:w="620" w:type="dxa"/>
            <w:vAlign w:val="bottom"/>
            <w:shd w:val="clear" w:color="auto" w:fill="F0FFFF"/>
          </w:tcPr>
          <w:p>
            <w:pPr>
              <w:spacing w:after="0"/>
              <w:rPr>
                <w:sz w:val="21"/>
                <w:szCs w:val="21"/>
                <w:color w:val="auto"/>
              </w:rPr>
            </w:pPr>
          </w:p>
        </w:tc>
        <w:tc>
          <w:tcPr>
            <w:tcW w:w="240" w:type="dxa"/>
            <w:vAlign w:val="bottom"/>
            <w:tcBorders>
              <w:right w:val="single" w:sz="8" w:color="F0FFFF"/>
            </w:tcBorders>
            <w:shd w:val="clear" w:color="auto" w:fill="F0FFFF"/>
          </w:tcPr>
          <w:p>
            <w:pPr>
              <w:spacing w:after="0"/>
              <w:rPr>
                <w:sz w:val="21"/>
                <w:szCs w:val="21"/>
                <w:color w:val="auto"/>
              </w:rPr>
            </w:pPr>
          </w:p>
        </w:tc>
        <w:tc>
          <w:tcPr>
            <w:tcW w:w="380" w:type="dxa"/>
            <w:vAlign w:val="bottom"/>
            <w:shd w:val="clear" w:color="auto" w:fill="F0FFFF"/>
          </w:tcPr>
          <w:p>
            <w:pPr>
              <w:spacing w:after="0"/>
              <w:rPr>
                <w:sz w:val="21"/>
                <w:szCs w:val="21"/>
                <w:color w:val="auto"/>
              </w:rPr>
            </w:pPr>
          </w:p>
        </w:tc>
        <w:tc>
          <w:tcPr>
            <w:tcW w:w="64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380" w:type="dxa"/>
            <w:vAlign w:val="bottom"/>
            <w:shd w:val="clear" w:color="auto" w:fill="F0FFFF"/>
          </w:tcPr>
          <w:p>
            <w:pPr>
              <w:spacing w:after="0"/>
              <w:rPr>
                <w:sz w:val="21"/>
                <w:szCs w:val="21"/>
                <w:color w:val="auto"/>
              </w:rPr>
            </w:pPr>
          </w:p>
        </w:tc>
        <w:tc>
          <w:tcPr>
            <w:tcW w:w="640" w:type="dxa"/>
            <w:vAlign w:val="bottom"/>
            <w:shd w:val="clear" w:color="auto" w:fill="F0FFFF"/>
          </w:tcPr>
          <w:p>
            <w:pPr>
              <w:spacing w:after="0"/>
              <w:rPr>
                <w:sz w:val="21"/>
                <w:szCs w:val="21"/>
                <w:color w:val="auto"/>
              </w:rPr>
            </w:pPr>
          </w:p>
        </w:tc>
        <w:tc>
          <w:tcPr>
            <w:tcW w:w="220" w:type="dxa"/>
            <w:vAlign w:val="bottom"/>
            <w:tcBorders>
              <w:right w:val="single" w:sz="8" w:color="F0FFFF"/>
            </w:tcBorders>
            <w:shd w:val="clear" w:color="auto" w:fill="F0FFFF"/>
          </w:tcPr>
          <w:p>
            <w:pPr>
              <w:spacing w:after="0"/>
              <w:rPr>
                <w:sz w:val="21"/>
                <w:szCs w:val="21"/>
                <w:color w:val="auto"/>
              </w:rPr>
            </w:pPr>
          </w:p>
        </w:tc>
        <w:tc>
          <w:tcPr>
            <w:tcW w:w="380" w:type="dxa"/>
            <w:vAlign w:val="bottom"/>
            <w:shd w:val="clear" w:color="auto" w:fill="F0FFFF"/>
          </w:tcPr>
          <w:p>
            <w:pPr>
              <w:spacing w:after="0"/>
              <w:rPr>
                <w:sz w:val="21"/>
                <w:szCs w:val="21"/>
                <w:color w:val="auto"/>
              </w:rPr>
            </w:pPr>
          </w:p>
        </w:tc>
        <w:tc>
          <w:tcPr>
            <w:tcW w:w="64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380" w:type="dxa"/>
            <w:vAlign w:val="bottom"/>
            <w:shd w:val="clear" w:color="auto" w:fill="F0FFFF"/>
          </w:tcPr>
          <w:p>
            <w:pPr>
              <w:spacing w:after="0"/>
              <w:rPr>
                <w:sz w:val="21"/>
                <w:szCs w:val="21"/>
                <w:color w:val="auto"/>
              </w:rPr>
            </w:pPr>
          </w:p>
        </w:tc>
        <w:tc>
          <w:tcPr>
            <w:tcW w:w="64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r>
      <w:tr>
        <w:trPr>
          <w:trHeight w:val="243"/>
        </w:trPr>
        <w:tc>
          <w:tcPr>
            <w:tcW w:w="2760" w:type="dxa"/>
            <w:vAlign w:val="bottom"/>
          </w:tcPr>
          <w:p>
            <w:pPr>
              <w:spacing w:after="0"/>
              <w:rPr>
                <w:sz w:val="20"/>
                <w:szCs w:val="20"/>
                <w:color w:val="auto"/>
              </w:rPr>
            </w:pPr>
            <w:r>
              <w:rPr>
                <w:rFonts w:ascii="Arial" w:cs="Arial" w:eastAsia="Arial" w:hAnsi="Arial"/>
                <w:sz w:val="14"/>
                <w:szCs w:val="14"/>
                <w:color w:val="auto"/>
              </w:rPr>
              <w:t>Return on common equity - operating</w:t>
            </w:r>
          </w:p>
        </w:tc>
        <w:tc>
          <w:tcPr>
            <w:tcW w:w="40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9.90%</w:t>
            </w:r>
          </w:p>
        </w:tc>
        <w:tc>
          <w:tcPr>
            <w:tcW w:w="38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9.34%</w:t>
            </w:r>
          </w:p>
        </w:tc>
        <w:tc>
          <w:tcPr>
            <w:tcW w:w="38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9.60%</w:t>
            </w:r>
          </w:p>
        </w:tc>
        <w:tc>
          <w:tcPr>
            <w:tcW w:w="38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9.41%</w:t>
            </w:r>
          </w:p>
        </w:tc>
        <w:tc>
          <w:tcPr>
            <w:tcW w:w="38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8.99%</w:t>
            </w:r>
          </w:p>
        </w:tc>
        <w:tc>
          <w:tcPr>
            <w:tcW w:w="38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9.63%</w:t>
            </w:r>
          </w:p>
        </w:tc>
        <w:tc>
          <w:tcPr>
            <w:tcW w:w="3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8.82%</w:t>
            </w:r>
          </w:p>
        </w:tc>
      </w:tr>
      <w:tr>
        <w:trPr>
          <w:trHeight w:val="243"/>
        </w:trPr>
        <w:tc>
          <w:tcPr>
            <w:tcW w:w="2760" w:type="dxa"/>
            <w:vAlign w:val="bottom"/>
            <w:shd w:val="clear" w:color="auto" w:fill="F0FFFF"/>
          </w:tcPr>
          <w:p>
            <w:pPr>
              <w:spacing w:after="0"/>
              <w:rPr>
                <w:sz w:val="20"/>
                <w:szCs w:val="20"/>
                <w:color w:val="auto"/>
              </w:rPr>
            </w:pPr>
            <w:r>
              <w:rPr>
                <w:rFonts w:ascii="Arial" w:cs="Arial" w:eastAsia="Arial" w:hAnsi="Arial"/>
                <w:sz w:val="14"/>
                <w:szCs w:val="14"/>
                <w:color w:val="auto"/>
              </w:rPr>
              <w:t>Merger-related charges</w:t>
            </w:r>
          </w:p>
        </w:tc>
        <w:tc>
          <w:tcPr>
            <w:tcW w:w="400" w:type="dxa"/>
            <w:vAlign w:val="bottom"/>
            <w:shd w:val="clear" w:color="auto" w:fill="F0FFFF"/>
          </w:tcPr>
          <w:p>
            <w:pPr>
              <w:spacing w:after="0"/>
              <w:rPr>
                <w:sz w:val="21"/>
                <w:szCs w:val="21"/>
                <w:color w:val="auto"/>
              </w:rPr>
            </w:pPr>
          </w:p>
        </w:tc>
        <w:tc>
          <w:tcPr>
            <w:tcW w:w="90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(1.07)</w:t>
            </w:r>
          </w:p>
        </w:tc>
        <w:tc>
          <w:tcPr>
            <w:tcW w:w="380" w:type="dxa"/>
            <w:vAlign w:val="bottom"/>
            <w:shd w:val="clear" w:color="auto" w:fill="F0FFFF"/>
          </w:tcPr>
          <w:p>
            <w:pPr>
              <w:spacing w:after="0"/>
              <w:rPr>
                <w:sz w:val="21"/>
                <w:szCs w:val="21"/>
                <w:color w:val="auto"/>
              </w:rPr>
            </w:pPr>
          </w:p>
        </w:tc>
        <w:tc>
          <w:tcPr>
            <w:tcW w:w="6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F0FFFF"/>
          </w:tcPr>
          <w:p>
            <w:pPr>
              <w:spacing w:after="0"/>
              <w:rPr>
                <w:sz w:val="21"/>
                <w:szCs w:val="21"/>
                <w:color w:val="auto"/>
              </w:rPr>
            </w:pPr>
          </w:p>
        </w:tc>
        <w:tc>
          <w:tcPr>
            <w:tcW w:w="380" w:type="dxa"/>
            <w:vAlign w:val="bottom"/>
            <w:shd w:val="clear" w:color="auto" w:fill="F0FFFF"/>
          </w:tcPr>
          <w:p>
            <w:pPr>
              <w:spacing w:after="0"/>
              <w:rPr>
                <w:sz w:val="21"/>
                <w:szCs w:val="21"/>
                <w:color w:val="auto"/>
              </w:rPr>
            </w:pPr>
          </w:p>
        </w:tc>
        <w:tc>
          <w:tcPr>
            <w:tcW w:w="86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F0FFFF"/>
          </w:tcPr>
          <w:p>
            <w:pPr>
              <w:spacing w:after="0"/>
              <w:rPr>
                <w:sz w:val="21"/>
                <w:szCs w:val="21"/>
                <w:color w:val="auto"/>
              </w:rPr>
            </w:pPr>
          </w:p>
        </w:tc>
        <w:tc>
          <w:tcPr>
            <w:tcW w:w="86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F0FFFF"/>
          </w:tcPr>
          <w:p>
            <w:pPr>
              <w:spacing w:after="0"/>
              <w:rPr>
                <w:sz w:val="21"/>
                <w:szCs w:val="21"/>
                <w:color w:val="auto"/>
              </w:rPr>
            </w:pPr>
          </w:p>
        </w:tc>
        <w:tc>
          <w:tcPr>
            <w:tcW w:w="6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F0FFFF"/>
            </w:tcBorders>
            <w:shd w:val="clear" w:color="auto" w:fill="F0FFFF"/>
          </w:tcPr>
          <w:p>
            <w:pPr>
              <w:spacing w:after="0"/>
              <w:rPr>
                <w:sz w:val="21"/>
                <w:szCs w:val="21"/>
                <w:color w:val="auto"/>
              </w:rPr>
            </w:pPr>
          </w:p>
        </w:tc>
        <w:tc>
          <w:tcPr>
            <w:tcW w:w="380" w:type="dxa"/>
            <w:vAlign w:val="bottom"/>
            <w:shd w:val="clear" w:color="auto" w:fill="F0FFFF"/>
          </w:tcPr>
          <w:p>
            <w:pPr>
              <w:spacing w:after="0"/>
              <w:rPr>
                <w:sz w:val="21"/>
                <w:szCs w:val="21"/>
                <w:color w:val="auto"/>
              </w:rPr>
            </w:pPr>
          </w:p>
        </w:tc>
        <w:tc>
          <w:tcPr>
            <w:tcW w:w="8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(.55)</w:t>
            </w:r>
          </w:p>
        </w:tc>
        <w:tc>
          <w:tcPr>
            <w:tcW w:w="380" w:type="dxa"/>
            <w:vAlign w:val="bottom"/>
            <w:shd w:val="clear" w:color="auto" w:fill="F0FFFF"/>
          </w:tcPr>
          <w:p>
            <w:pPr>
              <w:spacing w:after="0"/>
              <w:rPr>
                <w:sz w:val="21"/>
                <w:szCs w:val="21"/>
                <w:color w:val="auto"/>
              </w:rPr>
            </w:pPr>
          </w:p>
        </w:tc>
        <w:tc>
          <w:tcPr>
            <w:tcW w:w="6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1"/>
                <w:szCs w:val="21"/>
                <w:color w:val="auto"/>
              </w:rPr>
            </w:pPr>
          </w:p>
        </w:tc>
      </w:tr>
      <w:tr>
        <w:trPr>
          <w:trHeight w:val="27"/>
        </w:trPr>
        <w:tc>
          <w:tcPr>
            <w:tcW w:w="2760" w:type="dxa"/>
            <w:vAlign w:val="bottom"/>
            <w:shd w:val="clear" w:color="auto" w:fill="F0FF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r>
      <w:tr>
        <w:trPr>
          <w:trHeight w:val="243"/>
        </w:trPr>
        <w:tc>
          <w:tcPr>
            <w:tcW w:w="2760" w:type="dxa"/>
            <w:vAlign w:val="bottom"/>
          </w:tcPr>
          <w:p>
            <w:pPr>
              <w:ind w:left="160"/>
              <w:spacing w:after="0"/>
              <w:rPr>
                <w:sz w:val="20"/>
                <w:szCs w:val="20"/>
                <w:color w:val="auto"/>
              </w:rPr>
            </w:pPr>
            <w:r>
              <w:rPr>
                <w:rFonts w:ascii="Arial" w:cs="Arial" w:eastAsia="Arial" w:hAnsi="Arial"/>
                <w:sz w:val="14"/>
                <w:szCs w:val="14"/>
                <w:color w:val="auto"/>
              </w:rPr>
              <w:t>Return on common equity (GAAP)</w:t>
            </w:r>
          </w:p>
        </w:tc>
        <w:tc>
          <w:tcPr>
            <w:tcW w:w="40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8.83%</w:t>
            </w:r>
          </w:p>
        </w:tc>
        <w:tc>
          <w:tcPr>
            <w:tcW w:w="38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9.34%</w:t>
            </w:r>
          </w:p>
        </w:tc>
        <w:tc>
          <w:tcPr>
            <w:tcW w:w="380" w:type="dxa"/>
            <w:vAlign w:val="bottom"/>
          </w:tcPr>
          <w:p>
            <w:pPr>
              <w:spacing w:after="0"/>
              <w:rPr>
                <w:sz w:val="21"/>
                <w:szCs w:val="21"/>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9.60%</w:t>
            </w:r>
          </w:p>
        </w:tc>
        <w:tc>
          <w:tcPr>
            <w:tcW w:w="38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9.41%</w:t>
            </w:r>
          </w:p>
        </w:tc>
        <w:tc>
          <w:tcPr>
            <w:tcW w:w="38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8.99%</w:t>
            </w:r>
          </w:p>
        </w:tc>
        <w:tc>
          <w:tcPr>
            <w:tcW w:w="38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9.08%</w:t>
            </w:r>
          </w:p>
        </w:tc>
        <w:tc>
          <w:tcPr>
            <w:tcW w:w="3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8.82%</w:t>
            </w:r>
          </w:p>
        </w:tc>
      </w:tr>
      <w:tr>
        <w:trPr>
          <w:trHeight w:val="20"/>
        </w:trPr>
        <w:tc>
          <w:tcPr>
            <w:tcW w:w="27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
        </w:trPr>
        <w:tc>
          <w:tcPr>
            <w:tcW w:w="2760" w:type="dxa"/>
            <w:vAlign w:val="bottom"/>
            <w:shd w:val="clear" w:color="auto" w:fill="F0FFFF"/>
          </w:tcPr>
          <w:p>
            <w:pPr>
              <w:spacing w:after="0"/>
              <w:rPr>
                <w:sz w:val="2"/>
                <w:szCs w:val="2"/>
                <w:color w:val="auto"/>
              </w:rPr>
            </w:pPr>
          </w:p>
        </w:tc>
        <w:tc>
          <w:tcPr>
            <w:tcW w:w="400" w:type="dxa"/>
            <w:vAlign w:val="bottom"/>
            <w:shd w:val="clear" w:color="auto" w:fill="F0FFFF"/>
          </w:tcPr>
          <w:p>
            <w:pPr>
              <w:spacing w:after="0"/>
              <w:rPr>
                <w:sz w:val="2"/>
                <w:szCs w:val="2"/>
                <w:color w:val="auto"/>
              </w:rPr>
            </w:pPr>
          </w:p>
        </w:tc>
        <w:tc>
          <w:tcPr>
            <w:tcW w:w="640" w:type="dxa"/>
            <w:vAlign w:val="bottom"/>
            <w:shd w:val="clear" w:color="auto" w:fill="F0FFFF"/>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380" w:type="dxa"/>
            <w:vAlign w:val="bottom"/>
            <w:shd w:val="clear" w:color="auto" w:fill="F0FFFF"/>
          </w:tcPr>
          <w:p>
            <w:pPr>
              <w:spacing w:after="0"/>
              <w:rPr>
                <w:sz w:val="2"/>
                <w:szCs w:val="2"/>
                <w:color w:val="auto"/>
              </w:rPr>
            </w:pPr>
          </w:p>
        </w:tc>
        <w:tc>
          <w:tcPr>
            <w:tcW w:w="640" w:type="dxa"/>
            <w:vAlign w:val="bottom"/>
            <w:shd w:val="clear" w:color="auto" w:fill="F0FFFF"/>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380" w:type="dxa"/>
            <w:vAlign w:val="bottom"/>
            <w:shd w:val="clear" w:color="auto" w:fill="F0FFFF"/>
          </w:tcPr>
          <w:p>
            <w:pPr>
              <w:spacing w:after="0"/>
              <w:rPr>
                <w:sz w:val="2"/>
                <w:szCs w:val="2"/>
                <w:color w:val="auto"/>
              </w:rPr>
            </w:pPr>
          </w:p>
        </w:tc>
        <w:tc>
          <w:tcPr>
            <w:tcW w:w="620" w:type="dxa"/>
            <w:vAlign w:val="bottom"/>
            <w:shd w:val="clear" w:color="auto" w:fill="F0FFFF"/>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380" w:type="dxa"/>
            <w:vAlign w:val="bottom"/>
            <w:shd w:val="clear" w:color="auto" w:fill="F0FFFF"/>
          </w:tcPr>
          <w:p>
            <w:pPr>
              <w:spacing w:after="0"/>
              <w:rPr>
                <w:sz w:val="2"/>
                <w:szCs w:val="2"/>
                <w:color w:val="auto"/>
              </w:rPr>
            </w:pPr>
          </w:p>
        </w:tc>
        <w:tc>
          <w:tcPr>
            <w:tcW w:w="640" w:type="dxa"/>
            <w:vAlign w:val="bottom"/>
            <w:shd w:val="clear" w:color="auto" w:fill="F0FFFF"/>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380" w:type="dxa"/>
            <w:vAlign w:val="bottom"/>
            <w:shd w:val="clear" w:color="auto" w:fill="F0FFFF"/>
          </w:tcPr>
          <w:p>
            <w:pPr>
              <w:spacing w:after="0"/>
              <w:rPr>
                <w:sz w:val="2"/>
                <w:szCs w:val="2"/>
                <w:color w:val="auto"/>
              </w:rPr>
            </w:pPr>
          </w:p>
        </w:tc>
        <w:tc>
          <w:tcPr>
            <w:tcW w:w="640" w:type="dxa"/>
            <w:vAlign w:val="bottom"/>
            <w:shd w:val="clear" w:color="auto" w:fill="F0FFFF"/>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380" w:type="dxa"/>
            <w:vAlign w:val="bottom"/>
            <w:shd w:val="clear" w:color="auto" w:fill="F0FFFF"/>
          </w:tcPr>
          <w:p>
            <w:pPr>
              <w:spacing w:after="0"/>
              <w:rPr>
                <w:sz w:val="2"/>
                <w:szCs w:val="2"/>
                <w:color w:val="auto"/>
              </w:rPr>
            </w:pPr>
          </w:p>
        </w:tc>
        <w:tc>
          <w:tcPr>
            <w:tcW w:w="640" w:type="dxa"/>
            <w:vAlign w:val="bottom"/>
            <w:shd w:val="clear" w:color="auto" w:fill="F0FFFF"/>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380" w:type="dxa"/>
            <w:vAlign w:val="bottom"/>
            <w:shd w:val="clear" w:color="auto" w:fill="F0FFFF"/>
          </w:tcPr>
          <w:p>
            <w:pPr>
              <w:spacing w:after="0"/>
              <w:rPr>
                <w:sz w:val="2"/>
                <w:szCs w:val="2"/>
                <w:color w:val="auto"/>
              </w:rPr>
            </w:pPr>
          </w:p>
        </w:tc>
        <w:tc>
          <w:tcPr>
            <w:tcW w:w="6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r>
    </w:tbl>
    <w:p>
      <w:pPr>
        <w:sectPr>
          <w:pgSz w:w="11900" w:h="16900" w:orient="portrait"/>
          <w:cols w:equalWidth="0" w:num="1">
            <w:col w:w="11420"/>
          </w:cols>
          <w:pgMar w:left="240" w:top="905" w:right="239" w:bottom="0" w:gutter="0" w:footer="0" w:header="0"/>
          <w:type w:val="continuous"/>
        </w:sectPr>
      </w:pPr>
    </w:p>
    <w:bookmarkStart w:id="53" w:name="page54"/>
    <w:bookmarkEnd w:id="5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Return on assets reconciliation</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Return on assets - operating</w:t>
            </w:r>
          </w:p>
        </w:tc>
        <w:tc>
          <w:tcPr>
            <w:tcW w:w="84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1.00%</w:t>
            </w: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.94%</w:t>
            </w:r>
          </w:p>
        </w:tc>
        <w:tc>
          <w:tcPr>
            <w:tcW w:w="124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.96%</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.95%</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.88%</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.97%</w:t>
            </w:r>
          </w:p>
        </w:tc>
        <w:tc>
          <w:tcPr>
            <w:tcW w:w="114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43"/>
        </w:trPr>
        <w:tc>
          <w:tcPr>
            <w:tcW w:w="2760" w:type="dxa"/>
            <w:vAlign w:val="bottom"/>
            <w:gridSpan w:val="2"/>
          </w:tcPr>
          <w:p>
            <w:pPr>
              <w:spacing w:after="0"/>
              <w:rPr>
                <w:sz w:val="20"/>
                <w:szCs w:val="20"/>
                <w:color w:val="auto"/>
              </w:rPr>
            </w:pPr>
            <w:r>
              <w:rPr>
                <w:rFonts w:ascii="Arial" w:cs="Arial" w:eastAsia="Arial" w:hAnsi="Arial"/>
                <w:sz w:val="14"/>
                <w:szCs w:val="14"/>
                <w:color w:val="auto"/>
              </w:rPr>
              <w:t>Merger-related charges</w:t>
            </w:r>
          </w:p>
        </w:tc>
        <w:tc>
          <w:tcPr>
            <w:tcW w:w="46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(.11)</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(.05)</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0" w:type="dxa"/>
            <w:vAlign w:val="bottom"/>
          </w:tcPr>
          <w:p>
            <w:pPr>
              <w:spacing w:after="0"/>
              <w:rPr>
                <w:sz w:val="24"/>
                <w:szCs w:val="24"/>
                <w:color w:val="auto"/>
              </w:rPr>
            </w:pPr>
          </w:p>
        </w:tc>
        <w:tc>
          <w:tcPr>
            <w:tcW w:w="2740" w:type="dxa"/>
            <w:vAlign w:val="bottom"/>
            <w:shd w:val="clear" w:color="auto" w:fill="F0FFFF"/>
          </w:tcPr>
          <w:p>
            <w:pPr>
              <w:ind w:left="140"/>
              <w:spacing w:after="0"/>
              <w:rPr>
                <w:sz w:val="20"/>
                <w:szCs w:val="20"/>
                <w:color w:val="auto"/>
              </w:rPr>
            </w:pPr>
            <w:r>
              <w:rPr>
                <w:rFonts w:ascii="Arial" w:cs="Arial" w:eastAsia="Arial" w:hAnsi="Arial"/>
                <w:sz w:val="14"/>
                <w:szCs w:val="14"/>
                <w:color w:val="auto"/>
              </w:rPr>
              <w:t>Return on assets (GAAP)</w:t>
            </w:r>
          </w:p>
        </w:tc>
        <w:tc>
          <w:tcPr>
            <w:tcW w:w="460" w:type="dxa"/>
            <w:vAlign w:val="bottom"/>
            <w:shd w:val="clear" w:color="auto" w:fill="F0FFFF"/>
          </w:tcPr>
          <w:p>
            <w:pPr>
              <w:spacing w:after="0"/>
              <w:rPr>
                <w:sz w:val="24"/>
                <w:szCs w:val="24"/>
                <w:color w:val="auto"/>
              </w:rPr>
            </w:pPr>
          </w:p>
        </w:tc>
        <w:tc>
          <w:tcPr>
            <w:tcW w:w="84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.89%</w:t>
            </w: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.94%</w:t>
            </w:r>
          </w:p>
        </w:tc>
        <w:tc>
          <w:tcPr>
            <w:tcW w:w="124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.96%</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.95%</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.88%</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.92%</w:t>
            </w:r>
          </w:p>
        </w:tc>
        <w:tc>
          <w:tcPr>
            <w:tcW w:w="114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tcBorders>
              <w:top w:val="single" w:sz="8" w:color="F0FFFF"/>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Borders>
              <w:top w:val="single" w:sz="8" w:color="F0FFFF"/>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40" w:type="dxa"/>
            <w:vAlign w:val="bottom"/>
            <w:tcBorders>
              <w:top w:val="single" w:sz="8" w:color="F0FFFF"/>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Borders>
              <w:top w:val="single" w:sz="8" w:color="F0FFFF"/>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Borders>
              <w:top w:val="single" w:sz="8" w:color="F0FFFF"/>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Borders>
              <w:top w:val="single" w:sz="8" w:color="F0FFFF"/>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Borders>
              <w:top w:val="single" w:sz="8" w:color="F0FFFF"/>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Borders>
              <w:top w:val="single" w:sz="8" w:color="F0FF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0" w:type="dxa"/>
            <w:vAlign w:val="bottom"/>
            <w:gridSpan w:val="2"/>
            <w:shd w:val="clear" w:color="auto" w:fill="F0FFFF"/>
          </w:tcPr>
          <w:p>
            <w:pPr>
              <w:spacing w:after="0"/>
              <w:rPr>
                <w:sz w:val="20"/>
                <w:szCs w:val="20"/>
                <w:color w:val="auto"/>
              </w:rPr>
            </w:pPr>
            <w:r>
              <w:rPr>
                <w:rFonts w:ascii="Arial" w:cs="Arial" w:eastAsia="Arial" w:hAnsi="Arial"/>
                <w:sz w:val="14"/>
                <w:szCs w:val="14"/>
                <w:b w:val="1"/>
                <w:bCs w:val="1"/>
                <w:color w:val="auto"/>
              </w:rPr>
              <w:t>Dividend payout ratio reconciliation</w:t>
            </w:r>
          </w:p>
        </w:tc>
        <w:tc>
          <w:tcPr>
            <w:tcW w:w="58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02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00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0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gridSpan w:val="3"/>
          </w:tcPr>
          <w:p>
            <w:pPr>
              <w:spacing w:after="0"/>
              <w:rPr>
                <w:sz w:val="20"/>
                <w:szCs w:val="20"/>
                <w:color w:val="auto"/>
              </w:rPr>
            </w:pPr>
            <w:r>
              <w:rPr>
                <w:rFonts w:ascii="Arial" w:cs="Arial" w:eastAsia="Arial" w:hAnsi="Arial"/>
                <w:sz w:val="14"/>
                <w:szCs w:val="14"/>
                <w:color w:val="auto"/>
              </w:rPr>
              <w:t>Dividend payout ratio - operating</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15.63%</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17.24%</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16.67%</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10.34%</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11.11%</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16.39%</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5.77%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F0FFFF"/>
          </w:tcPr>
          <w:p>
            <w:pPr>
              <w:spacing w:after="0"/>
              <w:rPr>
                <w:sz w:val="20"/>
                <w:szCs w:val="20"/>
                <w:color w:val="auto"/>
              </w:rPr>
            </w:pPr>
            <w:r>
              <w:rPr>
                <w:rFonts w:ascii="Arial" w:cs="Arial" w:eastAsia="Arial" w:hAnsi="Arial"/>
                <w:sz w:val="14"/>
                <w:szCs w:val="14"/>
                <w:color w:val="auto"/>
              </w:rPr>
              <w:t>Merger-related charges</w:t>
            </w:r>
          </w:p>
        </w:tc>
        <w:tc>
          <w:tcPr>
            <w:tcW w:w="460" w:type="dxa"/>
            <w:vAlign w:val="bottom"/>
            <w:shd w:val="clear" w:color="auto" w:fill="F0FFFF"/>
          </w:tcPr>
          <w:p>
            <w:pPr>
              <w:spacing w:after="0"/>
              <w:rPr>
                <w:sz w:val="21"/>
                <w:szCs w:val="21"/>
                <w:color w:val="auto"/>
              </w:rPr>
            </w:pPr>
          </w:p>
        </w:tc>
        <w:tc>
          <w:tcPr>
            <w:tcW w:w="84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2.23</w:t>
            </w:r>
          </w:p>
        </w:tc>
        <w:tc>
          <w:tcPr>
            <w:tcW w:w="10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1.15</w:t>
            </w:r>
          </w:p>
        </w:tc>
        <w:tc>
          <w:tcPr>
            <w:tcW w:w="10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shd w:val="clear" w:color="auto" w:fill="F0FF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tcPr>
          <w:p>
            <w:pPr>
              <w:ind w:left="140"/>
              <w:spacing w:after="0"/>
              <w:rPr>
                <w:sz w:val="20"/>
                <w:szCs w:val="20"/>
                <w:color w:val="auto"/>
              </w:rPr>
            </w:pPr>
            <w:r>
              <w:rPr>
                <w:rFonts w:ascii="Arial" w:cs="Arial" w:eastAsia="Arial" w:hAnsi="Arial"/>
                <w:sz w:val="14"/>
                <w:szCs w:val="14"/>
                <w:color w:val="auto"/>
              </w:rPr>
              <w:t>Dividend payout ratio (GAAP)</w:t>
            </w:r>
          </w:p>
        </w:tc>
        <w:tc>
          <w:tcPr>
            <w:tcW w:w="46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17.86%</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17.24%</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16.67%</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10.34%</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11.11%</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17.54%</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5.77%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F0FFFF"/>
          </w:tcPr>
          <w:p>
            <w:pPr>
              <w:spacing w:after="0"/>
              <w:rPr>
                <w:sz w:val="19"/>
                <w:szCs w:val="19"/>
                <w:color w:val="auto"/>
              </w:rPr>
            </w:pPr>
          </w:p>
        </w:tc>
        <w:tc>
          <w:tcPr>
            <w:tcW w:w="460" w:type="dxa"/>
            <w:vAlign w:val="bottom"/>
            <w:shd w:val="clear" w:color="auto" w:fill="F0FFFF"/>
          </w:tcPr>
          <w:p>
            <w:pPr>
              <w:spacing w:after="0"/>
              <w:rPr>
                <w:sz w:val="19"/>
                <w:szCs w:val="19"/>
                <w:color w:val="auto"/>
              </w:rPr>
            </w:pPr>
          </w:p>
        </w:tc>
        <w:tc>
          <w:tcPr>
            <w:tcW w:w="58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02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0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2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02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02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0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Efficiency ratio reconciliation</w:t>
            </w: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Efficiency ratio - operating</w:t>
            </w:r>
          </w:p>
        </w:tc>
        <w:tc>
          <w:tcPr>
            <w:tcW w:w="84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57.59%</w:t>
            </w: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59.15%</w:t>
            </w:r>
          </w:p>
        </w:tc>
        <w:tc>
          <w:tcPr>
            <w:tcW w:w="124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57.47%</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57.96%</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58.65%</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58.34%</w:t>
            </w:r>
          </w:p>
        </w:tc>
        <w:tc>
          <w:tcPr>
            <w:tcW w:w="114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58.85%</w:t>
            </w:r>
          </w:p>
        </w:tc>
        <w:tc>
          <w:tcPr>
            <w:tcW w:w="0" w:type="dxa"/>
            <w:vAlign w:val="bottom"/>
          </w:tcPr>
          <w:p>
            <w:pPr>
              <w:spacing w:after="0"/>
              <w:rPr>
                <w:sz w:val="1"/>
                <w:szCs w:val="1"/>
                <w:color w:val="auto"/>
              </w:rPr>
            </w:pPr>
          </w:p>
        </w:tc>
      </w:tr>
      <w:tr>
        <w:trPr>
          <w:trHeight w:val="243"/>
        </w:trPr>
        <w:tc>
          <w:tcPr>
            <w:tcW w:w="2760" w:type="dxa"/>
            <w:vAlign w:val="bottom"/>
            <w:gridSpan w:val="2"/>
          </w:tcPr>
          <w:p>
            <w:pPr>
              <w:spacing w:after="0"/>
              <w:rPr>
                <w:sz w:val="20"/>
                <w:szCs w:val="20"/>
                <w:color w:val="auto"/>
              </w:rPr>
            </w:pPr>
            <w:r>
              <w:rPr>
                <w:rFonts w:ascii="Arial" w:cs="Arial" w:eastAsia="Arial" w:hAnsi="Arial"/>
                <w:sz w:val="14"/>
                <w:szCs w:val="14"/>
                <w:color w:val="auto"/>
              </w:rPr>
              <w:t>Merger-related charges</w:t>
            </w:r>
          </w:p>
        </w:tc>
        <w:tc>
          <w:tcPr>
            <w:tcW w:w="46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4.04</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2.10</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0" w:type="dxa"/>
            <w:vAlign w:val="bottom"/>
          </w:tcPr>
          <w:p>
            <w:pPr>
              <w:spacing w:after="0"/>
              <w:rPr>
                <w:sz w:val="24"/>
                <w:szCs w:val="24"/>
                <w:color w:val="auto"/>
              </w:rPr>
            </w:pPr>
          </w:p>
        </w:tc>
        <w:tc>
          <w:tcPr>
            <w:tcW w:w="2740" w:type="dxa"/>
            <w:vAlign w:val="bottom"/>
            <w:shd w:val="clear" w:color="auto" w:fill="F0FFFF"/>
          </w:tcPr>
          <w:p>
            <w:pPr>
              <w:ind w:left="140"/>
              <w:spacing w:after="0"/>
              <w:rPr>
                <w:sz w:val="20"/>
                <w:szCs w:val="20"/>
                <w:color w:val="auto"/>
              </w:rPr>
            </w:pPr>
            <w:r>
              <w:rPr>
                <w:rFonts w:ascii="Arial" w:cs="Arial" w:eastAsia="Arial" w:hAnsi="Arial"/>
                <w:sz w:val="14"/>
                <w:szCs w:val="14"/>
                <w:color w:val="auto"/>
              </w:rPr>
              <w:t>Efficiency ratio (GAAP)</w:t>
            </w:r>
          </w:p>
        </w:tc>
        <w:tc>
          <w:tcPr>
            <w:tcW w:w="460" w:type="dxa"/>
            <w:vAlign w:val="bottom"/>
            <w:shd w:val="clear" w:color="auto" w:fill="F0FFFF"/>
          </w:tcPr>
          <w:p>
            <w:pPr>
              <w:spacing w:after="0"/>
              <w:rPr>
                <w:sz w:val="24"/>
                <w:szCs w:val="24"/>
                <w:color w:val="auto"/>
              </w:rPr>
            </w:pPr>
          </w:p>
        </w:tc>
        <w:tc>
          <w:tcPr>
            <w:tcW w:w="84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61.63%</w:t>
            </w: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59.15%</w:t>
            </w:r>
          </w:p>
        </w:tc>
        <w:tc>
          <w:tcPr>
            <w:tcW w:w="124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57.47%</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57.96%</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58.65%</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60.44%</w:t>
            </w:r>
          </w:p>
        </w:tc>
        <w:tc>
          <w:tcPr>
            <w:tcW w:w="114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58.85%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tcBorders>
              <w:top w:val="single" w:sz="8" w:color="F0FFFF"/>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Borders>
              <w:top w:val="single" w:sz="8" w:color="F0FFFF"/>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40" w:type="dxa"/>
            <w:vAlign w:val="bottom"/>
            <w:tcBorders>
              <w:top w:val="single" w:sz="8" w:color="F0FFFF"/>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40" w:type="dxa"/>
            <w:vAlign w:val="bottom"/>
            <w:tcBorders>
              <w:top w:val="single" w:sz="8" w:color="F0FFFF"/>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Borders>
              <w:top w:val="single" w:sz="8" w:color="F0FFFF"/>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Borders>
              <w:top w:val="single" w:sz="8" w:color="F0FFFF"/>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Borders>
              <w:top w:val="single" w:sz="8" w:color="F0FFFF"/>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Borders>
              <w:top w:val="single" w:sz="8" w:color="F0FF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0" w:type="dxa"/>
            <w:vAlign w:val="bottom"/>
            <w:gridSpan w:val="2"/>
            <w:shd w:val="clear" w:color="auto" w:fill="F0FFFF"/>
          </w:tcPr>
          <w:p>
            <w:pPr>
              <w:spacing w:after="0"/>
              <w:rPr>
                <w:sz w:val="20"/>
                <w:szCs w:val="20"/>
                <w:color w:val="auto"/>
              </w:rPr>
            </w:pPr>
            <w:r>
              <w:rPr>
                <w:rFonts w:ascii="Arial" w:cs="Arial" w:eastAsia="Arial" w:hAnsi="Arial"/>
                <w:sz w:val="14"/>
                <w:szCs w:val="14"/>
                <w:b w:val="1"/>
                <w:bCs w:val="1"/>
                <w:color w:val="auto"/>
              </w:rPr>
              <w:t>Average equity to assets reconciliation</w:t>
            </w:r>
          </w:p>
        </w:tc>
        <w:tc>
          <w:tcPr>
            <w:tcW w:w="58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02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00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0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20" w:type="dxa"/>
            <w:vAlign w:val="bottom"/>
            <w:gridSpan w:val="3"/>
          </w:tcPr>
          <w:p>
            <w:pPr>
              <w:spacing w:after="0"/>
              <w:rPr>
                <w:sz w:val="20"/>
                <w:szCs w:val="20"/>
                <w:color w:val="auto"/>
              </w:rPr>
            </w:pPr>
            <w:r>
              <w:rPr>
                <w:rFonts w:ascii="Arial" w:cs="Arial" w:eastAsia="Arial" w:hAnsi="Arial"/>
                <w:sz w:val="14"/>
                <w:szCs w:val="14"/>
                <w:color w:val="auto"/>
              </w:rPr>
              <w:t>Tangible common equity to assets</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9.83%</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9.82%</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9.72%</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9.83%</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9.58%</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9.83%</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9.40%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F0FFFF"/>
          </w:tcPr>
          <w:p>
            <w:pPr>
              <w:spacing w:after="0"/>
              <w:rPr>
                <w:sz w:val="20"/>
                <w:szCs w:val="20"/>
                <w:color w:val="auto"/>
              </w:rPr>
            </w:pPr>
            <w:r>
              <w:rPr>
                <w:rFonts w:ascii="Arial" w:cs="Arial" w:eastAsia="Arial" w:hAnsi="Arial"/>
                <w:sz w:val="14"/>
                <w:szCs w:val="14"/>
                <w:color w:val="auto"/>
              </w:rPr>
              <w:t>Effect of preferred equity</w:t>
            </w:r>
          </w:p>
        </w:tc>
        <w:tc>
          <w:tcPr>
            <w:tcW w:w="460" w:type="dxa"/>
            <w:vAlign w:val="bottom"/>
            <w:shd w:val="clear" w:color="auto" w:fill="F0FFFF"/>
          </w:tcPr>
          <w:p>
            <w:pPr>
              <w:spacing w:after="0"/>
              <w:rPr>
                <w:sz w:val="21"/>
                <w:szCs w:val="21"/>
                <w:color w:val="auto"/>
              </w:rPr>
            </w:pPr>
          </w:p>
        </w:tc>
        <w:tc>
          <w:tcPr>
            <w:tcW w:w="84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.08</w:t>
            </w:r>
          </w:p>
        </w:tc>
        <w:tc>
          <w:tcPr>
            <w:tcW w:w="10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.04</w:t>
            </w: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shd w:val="clear" w:color="auto" w:fill="F0FF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tcPr>
          <w:p>
            <w:pPr>
              <w:ind w:left="140"/>
              <w:spacing w:after="0"/>
              <w:rPr>
                <w:sz w:val="20"/>
                <w:szCs w:val="20"/>
                <w:color w:val="auto"/>
              </w:rPr>
            </w:pPr>
            <w:r>
              <w:rPr>
                <w:rFonts w:ascii="Arial" w:cs="Arial" w:eastAsia="Arial" w:hAnsi="Arial"/>
                <w:sz w:val="14"/>
                <w:szCs w:val="14"/>
                <w:color w:val="auto"/>
              </w:rPr>
              <w:t>Tangible equity to assets</w:t>
            </w:r>
          </w:p>
        </w:tc>
        <w:tc>
          <w:tcPr>
            <w:tcW w:w="46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9.91</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9.82</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9.72</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9.83</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9.58</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9.87</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9.54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F0FFFF"/>
          </w:tcPr>
          <w:p>
            <w:pPr>
              <w:spacing w:after="0"/>
              <w:rPr>
                <w:sz w:val="20"/>
                <w:szCs w:val="20"/>
                <w:color w:val="auto"/>
              </w:rPr>
            </w:pPr>
            <w:r>
              <w:rPr>
                <w:rFonts w:ascii="Arial" w:cs="Arial" w:eastAsia="Arial" w:hAnsi="Arial"/>
                <w:sz w:val="14"/>
                <w:szCs w:val="14"/>
                <w:color w:val="auto"/>
              </w:rPr>
              <w:t>Effect of goodwill and other intangibles</w:t>
            </w:r>
          </w:p>
        </w:tc>
        <w:tc>
          <w:tcPr>
            <w:tcW w:w="460" w:type="dxa"/>
            <w:vAlign w:val="bottom"/>
            <w:shd w:val="clear" w:color="auto" w:fill="F0FFFF"/>
          </w:tcPr>
          <w:p>
            <w:pPr>
              <w:spacing w:after="0"/>
              <w:rPr>
                <w:sz w:val="21"/>
                <w:szCs w:val="21"/>
                <w:color w:val="auto"/>
              </w:rPr>
            </w:pPr>
          </w:p>
        </w:tc>
        <w:tc>
          <w:tcPr>
            <w:tcW w:w="84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.14</w:t>
            </w: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.04</w:t>
            </w: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.04</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.02</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.03</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.09</w:t>
            </w: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shd w:val="clear" w:color="auto" w:fill="F0FF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tcPr>
          <w:p>
            <w:pPr>
              <w:ind w:left="140"/>
              <w:spacing w:after="0"/>
              <w:rPr>
                <w:sz w:val="20"/>
                <w:szCs w:val="20"/>
                <w:color w:val="auto"/>
              </w:rPr>
            </w:pPr>
            <w:r>
              <w:rPr>
                <w:rFonts w:ascii="Arial" w:cs="Arial" w:eastAsia="Arial" w:hAnsi="Arial"/>
                <w:sz w:val="14"/>
                <w:szCs w:val="14"/>
                <w:color w:val="auto"/>
              </w:rPr>
              <w:t>Equity to assets (GAAP)</w:t>
            </w:r>
          </w:p>
        </w:tc>
        <w:tc>
          <w:tcPr>
            <w:tcW w:w="46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10.05%</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9.86%</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9.76%</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9.85%</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9.61%</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9.96%</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2740" w:type="dxa"/>
            <w:vAlign w:val="bottom"/>
            <w:shd w:val="clear" w:color="auto" w:fill="F0FFFF"/>
          </w:tcPr>
          <w:p>
            <w:pPr>
              <w:spacing w:after="0"/>
              <w:rPr>
                <w:sz w:val="19"/>
                <w:szCs w:val="19"/>
                <w:color w:val="auto"/>
              </w:rPr>
            </w:pPr>
          </w:p>
        </w:tc>
        <w:tc>
          <w:tcPr>
            <w:tcW w:w="460" w:type="dxa"/>
            <w:vAlign w:val="bottom"/>
            <w:shd w:val="clear" w:color="auto" w:fill="F0FFFF"/>
          </w:tcPr>
          <w:p>
            <w:pPr>
              <w:spacing w:after="0"/>
              <w:rPr>
                <w:sz w:val="19"/>
                <w:szCs w:val="19"/>
                <w:color w:val="auto"/>
              </w:rPr>
            </w:pPr>
          </w:p>
        </w:tc>
        <w:tc>
          <w:tcPr>
            <w:tcW w:w="58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02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0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2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02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02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0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3200" w:type="dxa"/>
            <w:vAlign w:val="bottom"/>
            <w:gridSpan w:val="2"/>
          </w:tcPr>
          <w:p>
            <w:pPr>
              <w:spacing w:after="0" w:line="136" w:lineRule="exact"/>
              <w:rPr>
                <w:sz w:val="20"/>
                <w:szCs w:val="20"/>
                <w:color w:val="auto"/>
              </w:rPr>
            </w:pPr>
            <w:r>
              <w:rPr>
                <w:rFonts w:ascii="Arial" w:cs="Arial" w:eastAsia="Arial" w:hAnsi="Arial"/>
                <w:sz w:val="14"/>
                <w:szCs w:val="14"/>
                <w:b w:val="1"/>
                <w:bCs w:val="1"/>
                <w:color w:val="auto"/>
                <w:w w:val="98"/>
              </w:rPr>
              <w:t>Tangible common equity to risk-weighted assets</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ind w:left="140"/>
              <w:spacing w:after="0" w:line="202" w:lineRule="exact"/>
              <w:rPr>
                <w:sz w:val="20"/>
                <w:szCs w:val="20"/>
                <w:color w:val="auto"/>
              </w:rPr>
            </w:pPr>
            <w:r>
              <w:rPr>
                <w:rFonts w:ascii="Arial" w:cs="Arial" w:eastAsia="Arial" w:hAnsi="Arial"/>
                <w:sz w:val="14"/>
                <w:szCs w:val="14"/>
                <w:b w:val="1"/>
                <w:bCs w:val="1"/>
                <w:color w:val="auto"/>
              </w:rPr>
              <w:t xml:space="preserve">reconciliation </w:t>
            </w:r>
            <w:r>
              <w:rPr>
                <w:rFonts w:ascii="Arial" w:cs="Arial" w:eastAsia="Arial" w:hAnsi="Arial"/>
                <w:sz w:val="23"/>
                <w:szCs w:val="23"/>
                <w:b w:val="1"/>
                <w:bCs w:val="1"/>
                <w:color w:val="auto"/>
                <w:vertAlign w:val="superscript"/>
              </w:rPr>
              <w:t>(1)</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00" w:type="dxa"/>
            <w:vAlign w:val="bottom"/>
            <w:gridSpan w:val="2"/>
            <w:shd w:val="clear" w:color="auto" w:fill="F0FFFF"/>
          </w:tcPr>
          <w:p>
            <w:pPr>
              <w:spacing w:after="0" w:line="130" w:lineRule="exact"/>
              <w:rPr>
                <w:sz w:val="20"/>
                <w:szCs w:val="20"/>
                <w:color w:val="auto"/>
              </w:rPr>
            </w:pPr>
            <w:r>
              <w:rPr>
                <w:rFonts w:ascii="Arial" w:cs="Arial" w:eastAsia="Arial" w:hAnsi="Arial"/>
                <w:sz w:val="14"/>
                <w:szCs w:val="14"/>
                <w:color w:val="auto"/>
              </w:rPr>
              <w:t>Tangible common equity to risk-weighted</w:t>
            </w:r>
          </w:p>
        </w:tc>
        <w:tc>
          <w:tcPr>
            <w:tcW w:w="58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102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100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10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0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0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0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00" w:type="dxa"/>
            <w:vAlign w:val="bottom"/>
            <w:gridSpan w:val="2"/>
            <w:shd w:val="clear" w:color="auto" w:fill="F0FFFF"/>
          </w:tcPr>
          <w:p>
            <w:pPr>
              <w:ind w:left="140"/>
              <w:spacing w:after="0"/>
              <w:rPr>
                <w:sz w:val="20"/>
                <w:szCs w:val="20"/>
                <w:color w:val="auto"/>
              </w:rPr>
            </w:pPr>
            <w:r>
              <w:rPr>
                <w:rFonts w:ascii="Arial" w:cs="Arial" w:eastAsia="Arial" w:hAnsi="Arial"/>
                <w:sz w:val="14"/>
                <w:szCs w:val="14"/>
                <w:color w:val="auto"/>
              </w:rPr>
              <w:t>assets</w:t>
            </w:r>
          </w:p>
        </w:tc>
        <w:tc>
          <w:tcPr>
            <w:tcW w:w="84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13.24%</w:t>
            </w: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13.53%</w:t>
            </w:r>
          </w:p>
        </w:tc>
        <w:tc>
          <w:tcPr>
            <w:tcW w:w="124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13.82%</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14.10%</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13.92%</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13.24%</w:t>
            </w:r>
          </w:p>
        </w:tc>
        <w:tc>
          <w:tcPr>
            <w:tcW w:w="114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13.92%</w:t>
            </w:r>
          </w:p>
        </w:tc>
        <w:tc>
          <w:tcPr>
            <w:tcW w:w="0" w:type="dxa"/>
            <w:vAlign w:val="bottom"/>
          </w:tcPr>
          <w:p>
            <w:pPr>
              <w:spacing w:after="0"/>
              <w:rPr>
                <w:sz w:val="1"/>
                <w:szCs w:val="1"/>
                <w:color w:val="auto"/>
              </w:rPr>
            </w:pPr>
          </w:p>
        </w:tc>
      </w:tr>
      <w:tr>
        <w:trPr>
          <w:trHeight w:val="243"/>
        </w:trPr>
        <w:tc>
          <w:tcPr>
            <w:tcW w:w="3220" w:type="dxa"/>
            <w:vAlign w:val="bottom"/>
            <w:gridSpan w:val="3"/>
          </w:tcPr>
          <w:p>
            <w:pPr>
              <w:spacing w:after="0"/>
              <w:rPr>
                <w:sz w:val="20"/>
                <w:szCs w:val="20"/>
                <w:color w:val="auto"/>
              </w:rPr>
            </w:pPr>
            <w:r>
              <w:rPr>
                <w:rFonts w:ascii="Arial" w:cs="Arial" w:eastAsia="Arial" w:hAnsi="Arial"/>
                <w:sz w:val="14"/>
                <w:szCs w:val="14"/>
                <w:color w:val="auto"/>
              </w:rPr>
              <w:t>Effect of other comprehensive income</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.28</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.19</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.35</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.34</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.53</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.28</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00" w:type="dxa"/>
            <w:vAlign w:val="bottom"/>
            <w:gridSpan w:val="2"/>
            <w:shd w:val="clear" w:color="auto" w:fill="F0FFFF"/>
          </w:tcPr>
          <w:p>
            <w:pPr>
              <w:spacing w:after="0"/>
              <w:rPr>
                <w:sz w:val="20"/>
                <w:szCs w:val="20"/>
                <w:color w:val="auto"/>
              </w:rPr>
            </w:pPr>
            <w:r>
              <w:rPr>
                <w:rFonts w:ascii="Arial" w:cs="Arial" w:eastAsia="Arial" w:hAnsi="Arial"/>
                <w:sz w:val="14"/>
                <w:szCs w:val="14"/>
                <w:color w:val="auto"/>
              </w:rPr>
              <w:t>Effect of deferred tax limitation</w:t>
            </w:r>
          </w:p>
        </w:tc>
        <w:tc>
          <w:tcPr>
            <w:tcW w:w="84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(2.46)</w:t>
            </w:r>
          </w:p>
        </w:tc>
        <w:tc>
          <w:tcPr>
            <w:tcW w:w="126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(2.86)</w:t>
            </w:r>
          </w:p>
        </w:tc>
        <w:tc>
          <w:tcPr>
            <w:tcW w:w="124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(3.11)</w:t>
            </w:r>
          </w:p>
        </w:tc>
        <w:tc>
          <w:tcPr>
            <w:tcW w:w="124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(3.39)</w:t>
            </w:r>
          </w:p>
        </w:tc>
        <w:tc>
          <w:tcPr>
            <w:tcW w:w="124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(3.74)</w:t>
            </w:r>
          </w:p>
        </w:tc>
        <w:tc>
          <w:tcPr>
            <w:tcW w:w="124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(2.46)</w:t>
            </w:r>
          </w:p>
        </w:tc>
        <w:tc>
          <w:tcPr>
            <w:tcW w:w="114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243"/>
        </w:trPr>
        <w:tc>
          <w:tcPr>
            <w:tcW w:w="3220" w:type="dxa"/>
            <w:vAlign w:val="bottom"/>
            <w:gridSpan w:val="3"/>
          </w:tcPr>
          <w:p>
            <w:pPr>
              <w:spacing w:after="0"/>
              <w:rPr>
                <w:sz w:val="20"/>
                <w:szCs w:val="20"/>
                <w:color w:val="auto"/>
              </w:rPr>
            </w:pPr>
            <w:r>
              <w:rPr>
                <w:rFonts w:ascii="Arial" w:cs="Arial" w:eastAsia="Arial" w:hAnsi="Arial"/>
                <w:sz w:val="14"/>
                <w:szCs w:val="14"/>
                <w:color w:val="auto"/>
              </w:rPr>
              <w:t>Effect of trust preferred</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.63</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.67</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1.00</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1.02</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1.04</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.63</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F0FFFF"/>
          </w:tcPr>
          <w:p>
            <w:pPr>
              <w:spacing w:after="0"/>
              <w:rPr>
                <w:sz w:val="20"/>
                <w:szCs w:val="20"/>
                <w:color w:val="auto"/>
              </w:rPr>
            </w:pPr>
            <w:r>
              <w:rPr>
                <w:rFonts w:ascii="Arial" w:cs="Arial" w:eastAsia="Arial" w:hAnsi="Arial"/>
                <w:sz w:val="14"/>
                <w:szCs w:val="14"/>
                <w:color w:val="auto"/>
              </w:rPr>
              <w:t>Effect of preferred equity</w:t>
            </w:r>
          </w:p>
        </w:tc>
        <w:tc>
          <w:tcPr>
            <w:tcW w:w="460" w:type="dxa"/>
            <w:vAlign w:val="bottom"/>
            <w:shd w:val="clear" w:color="auto" w:fill="F0FFFF"/>
          </w:tcPr>
          <w:p>
            <w:pPr>
              <w:spacing w:after="0"/>
              <w:rPr>
                <w:sz w:val="21"/>
                <w:szCs w:val="21"/>
                <w:color w:val="auto"/>
              </w:rPr>
            </w:pPr>
          </w:p>
        </w:tc>
        <w:tc>
          <w:tcPr>
            <w:tcW w:w="84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.17</w:t>
            </w:r>
          </w:p>
        </w:tc>
        <w:tc>
          <w:tcPr>
            <w:tcW w:w="10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.17</w:t>
            </w:r>
          </w:p>
        </w:tc>
        <w:tc>
          <w:tcPr>
            <w:tcW w:w="10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shd w:val="clear" w:color="auto" w:fill="F0FF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tcPr>
          <w:p>
            <w:pPr>
              <w:ind w:left="140"/>
              <w:spacing w:after="0"/>
              <w:rPr>
                <w:sz w:val="20"/>
                <w:szCs w:val="20"/>
                <w:color w:val="auto"/>
              </w:rPr>
            </w:pPr>
            <w:r>
              <w:rPr>
                <w:rFonts w:ascii="Arial" w:cs="Arial" w:eastAsia="Arial" w:hAnsi="Arial"/>
                <w:sz w:val="14"/>
                <w:szCs w:val="14"/>
                <w:color w:val="auto"/>
              </w:rPr>
              <w:t>Tier I capital ratio (Regulatory)</w:t>
            </w:r>
          </w:p>
        </w:tc>
        <w:tc>
          <w:tcPr>
            <w:tcW w:w="46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11.86%</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11.53%</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12.06%</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12.07%</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11.75%</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11.86%</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20" w:right="3820" w:hanging="5612"/>
        <w:spacing w:after="0" w:line="791" w:lineRule="auto"/>
        <w:tabs>
          <w:tab w:leader="none" w:pos="224" w:val="left"/>
        </w:tabs>
        <w:numPr>
          <w:ilvl w:val="0"/>
          <w:numId w:val="8"/>
        </w:numPr>
        <w:rPr>
          <w:rFonts w:ascii="Arial" w:cs="Arial" w:eastAsia="Arial" w:hAnsi="Arial"/>
          <w:sz w:val="26"/>
          <w:szCs w:val="26"/>
          <w:color w:val="auto"/>
          <w:vertAlign w:val="superscript"/>
        </w:rPr>
      </w:pPr>
      <w:r>
        <w:rPr>
          <w:rFonts w:ascii="Arial" w:cs="Arial" w:eastAsia="Arial" w:hAnsi="Arial"/>
          <w:sz w:val="16"/>
          <w:szCs w:val="16"/>
          <w:color w:val="auto"/>
        </w:rPr>
        <w:t>June 30 and March 31, 2015 calculated under Basel III rules, which became effective January 1, 2015.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Net Interest Revenue (Taxable Equivalent)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interest revenue (the difference between the interest earned on assets and the interest paid on deposits and borrowed funds) is the single largest component of total revenue. United actively manages the balance sheet to provide optimal levels of revenue while balancing interest rate, credit and liquidity risks. Taxable equivalent net interest revenue for the second quarter of 2015 was $61.3 million, up $6.37 million from the second quarter of 2014. The combination of growth in the loan portfolio, a higher yield on the securities portfolio and lower interest costs on deposits and borrowed funds were responsible for the increase in net interest revenue. United continues to focus on loan and deposit pricing in an effort to maintain a steady level of net interest revenue. The acquisition of MoneyTree on May 1, 2015 also contributed to the increase as MoneyTree’s results are included in consolidated results beginning on the acquisition date.</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While average loans increased $641 million, or 15%, from the second quarter of last year, the yield on loans decreased 20 basis points, reflecting the continuing effect of the low interest rate environment and pricing competition for a limited number of quality lending opportunities.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Average interest-earning assets for the second quarter of 2015 increased $584 million, or 9%, from the second quarter of 2014, which was due primarily to the increase in loans, including the acquisition of MoneyTree loans, offset by a decrease in the securities portfolio. Average investment securities for the second quarter of 2015 decreased $64.8 million from a year ago as United’s earning asset mix shifted to loans. The average yield on the investment portfolio increased 4 basis points from a year ago, mostly due to changes in the asset mix resulting from portfolio restructuring activities executed in the second quarter of 2014.</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second quarter of 2014, United sold approximately $237 million in securities which were mostly low-yielding variable-rate collateralized mortgage obligations (“CMOs”) and fixed rate corporate bonds that had been swapped to a floating rate. Improvement in the credit spreads on corporate bonds allowed United to sell the securities at an attractive gain that was used to repay $44 million in structured repurchase agreements that were paying a 4% interest rate. About $120 million of the proceeds from the sales of securities were reinvested in fixed rate mortgage-backed securities and higher yielding floating rate collateralized loan obligations to offset the impact of the decrease in interest revenue on the sold securities. These actions in the second quarter of 2014, along with strong loan growth in the four quarters that followed, were primarily responsible for increasing net interest revenue and improving the net interest margin, which has held steady in the low 3.30% range since the time of the restructuring.</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Also in the second quarter of 2014, as a result of improvement in the interest sensitivity position, United effectively terminated $300 million notional in pay fixed forward starting swaps that were serving as cash flow hedges of LIBOR based wholesale borrowings and indexed money market deposits. The swaps were entered into in 2012 in anticipation of rising interest rates and had forward start dates that took effect in the first and second quarters of 2014. Changes in United’s balance sheet since that time made the hedges no longer necessary to achieve its desired interest sensitivity position. The termination of the cash flow hedges in the second quarter of 2014 lowered United’s deposit and wholesale borrowings costs and also contributed to the increase in net interest revenue and improvement in the net interest margin. In the fourth quarter of 2014 and first quarter of 2015, United terminated the remaining $100 million and $175 million notional, respectively, in pay fixed cash flow hedges that were serving as cash flow hedges of LIBOR based money market deposits.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above noted securities transactions increased the overall yield in the investment portfolio. The higher investment securities yields and the shift in composition of interest earning assets resulting from loan growth softened the impact of the 20 basis point decrease in the average loan yield on net interest revenue. Also, the decrease in the yield on interest-earning assets for the second quarter of 2015 compared with the second quarter of 2014 was held to only five basis points. The yield on other interest-earning assets decreased 50 basis points and the average balance increased $7.23 million from the second quarter of 2014. United utilizes reverse repurchase agreements, including collateral swap transactions, where the company enters into a repurchase agreement and reverse repurchase agreement simultaneously with the same counterparty subject to a master netting agreement. In these transactions, the offsetting balances are netted on the balance sheet.</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Average interest-bearing liabilities of $5.34 billion for the second quarter of 2015 increased $236 million from the second quarter of 2014. Average noninterest bearing deposits increased $305 million from the second quarter of 2014 to $1.78 billion for the second quarter of 2015. The average cost of interest-bearing liabilities for the second quarter of 2015 was .36% compared to .54% for the same period of 2014, reflecting United’s concerted efforts to reduce its cost of funds. During the second quarter of 2014, in conjunction with balance sheet restructuring activities, United prepaid approximately $44 million in other borrowings that were costing approximately 4%. In the first quarter of 2015, United repaid the remaining balance of $6 million. Late in the first quarter of 2015, United redeemed $15 million in trust preferred securities with an average rate exceeding 11%. Also contributing to the overall lower rate on interest-bearing liabilities was a shift in the mix of deposits away from more expensive time deposits toward lower-rate transaction deposits.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jc w:val="both"/>
        <w:spacing w:after="0" w:line="276" w:lineRule="auto"/>
        <w:rPr>
          <w:sz w:val="20"/>
          <w:szCs w:val="20"/>
          <w:color w:val="auto"/>
        </w:rPr>
      </w:pPr>
      <w:r>
        <w:rPr>
          <w:rFonts w:ascii="Arial" w:cs="Arial" w:eastAsia="Arial" w:hAnsi="Arial"/>
          <w:sz w:val="17"/>
          <w:szCs w:val="17"/>
          <w:color w:val="auto"/>
        </w:rPr>
        <w:t>The banking industry uses two ratios to measure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an indication of the profitability of a company’s balance sheet, and is defined as net interest revenue as a percent of average total interest-earning assets, which includes the positive effect of funding a portion of interest-earning assets with customers’ non-interest-bearing deposits and stockholders’ equity.</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second quarters of 2015 and 2014, the net interest spread was 3.20% and 3.07%, respectively, while the net interest margin was 3.30% and 3.21%, respectively. The increase in both ratios reflects the impact of the second quarter 2014 balance sheet management activities described above as well as growth in the loan portfolio.</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the first six months of 2015, net interest revenue was $119 million, an increase of $9.82 million, or 9%, from the first six months of 2014. Average earning assets increased $414 million, or 6%, during the first six months of 2015, compared to the same period a year ago. The yield on earning assets decreased 2 basis points from 3.60% for the six months ended June 30, 2014, to 3.58% for the six months ended June 30, 2015, due to declining loan yields. The lower loan portfolio yield reflects competitive pricing pressure on new and renewed loans. Investment yields increased 12 basis points for the first six months of 2015 compared to the first six months of 2014, which helped offset some of the decrease on loan yields. The rate on interest bearing liabilities over the same period decreased 13 basis points. The lower yield on interest earning assets was more than offset by the reduction in rates paid on interest bearing liabilities, resulting in the net interest margin increasing 9 basis points from the six months ended June 30, 2014 to the six months ended June 30, 2015.</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6" w:name="page57"/>
    <w:bookmarkEnd w:id="56"/>
    <w:p>
      <w:pPr>
        <w:spacing w:after="0" w:line="277" w:lineRule="auto"/>
        <w:rPr>
          <w:sz w:val="20"/>
          <w:szCs w:val="20"/>
          <w:color w:val="auto"/>
        </w:rPr>
      </w:pPr>
      <w:r>
        <w:rPr>
          <w:rFonts w:ascii="Arial" w:cs="Arial" w:eastAsia="Arial" w:hAnsi="Arial"/>
          <w:sz w:val="18"/>
          <w:szCs w:val="18"/>
          <w:color w:val="auto"/>
        </w:rPr>
        <w:t>The following table shows the relationship between interest revenue and expense, and the average amounts of interest-earning assets and interest-bearing liabilities for the three months ended June 30, 2015 and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 Average Consolidated Balance Sheets and Net Interest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June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9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9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(dollars in thousands, taxable equivalent)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Average</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Avg.</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Average</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Avg.</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9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Balance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Interest</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Rate</w:t>
            </w:r>
          </w:p>
        </w:tc>
        <w:tc>
          <w:tcPr>
            <w:tcW w:w="14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Balance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Interest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260" w:type="dxa"/>
            <w:vAlign w:val="bottom"/>
            <w:tcBorders>
              <w:top w:val="single" w:sz="8" w:color="auto"/>
              <w:right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Interest-earning assets: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920" w:type="dxa"/>
            <w:vAlign w:val="bottom"/>
            <w:shd w:val="clear" w:color="auto" w:fill="F0FFFF"/>
          </w:tcPr>
          <w:p>
            <w:pPr>
              <w:ind w:left="140"/>
              <w:spacing w:after="0" w:line="284" w:lineRule="exact"/>
              <w:rPr>
                <w:sz w:val="20"/>
                <w:szCs w:val="20"/>
                <w:color w:val="auto"/>
              </w:rPr>
            </w:pPr>
            <w:r>
              <w:rPr>
                <w:rFonts w:ascii="Arial" w:cs="Arial" w:eastAsia="Arial" w:hAnsi="Arial"/>
                <w:sz w:val="18"/>
                <w:szCs w:val="18"/>
                <w:color w:val="auto"/>
              </w:rPr>
              <w:t xml:space="preserve">Loans, net of unearned income </w:t>
            </w:r>
            <w:r>
              <w:rPr>
                <w:rFonts w:ascii="Arial" w:cs="Arial" w:eastAsia="Arial" w:hAnsi="Arial"/>
                <w:sz w:val="30"/>
                <w:szCs w:val="30"/>
                <w:color w:val="auto"/>
                <w:vertAlign w:val="superscript"/>
              </w:rPr>
              <w:t>(1)(2)</w:t>
            </w: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5,017,306</w:t>
            </w: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53,081</w:t>
            </w:r>
          </w:p>
        </w:tc>
        <w:tc>
          <w:tcPr>
            <w:tcW w:w="128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4.24%</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4,376,174</w:t>
            </w: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48,435</w:t>
            </w: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920" w:type="dxa"/>
            <w:vAlign w:val="bottom"/>
          </w:tcPr>
          <w:p>
            <w:pPr>
              <w:ind w:left="140"/>
              <w:spacing w:after="0" w:line="284" w:lineRule="exact"/>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30"/>
                <w:szCs w:val="30"/>
                <w:color w:val="auto"/>
                <w:vertAlign w:val="superscript"/>
              </w:rPr>
              <w:t>(3)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2,235,561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11,856</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2,306,457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11,972</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920" w:type="dxa"/>
            <w:vAlign w:val="bottom"/>
            <w:shd w:val="clear" w:color="auto" w:fill="F0FFFF"/>
          </w:tcPr>
          <w:p>
            <w:pPr>
              <w:ind w:left="140"/>
              <w:spacing w:after="0" w:line="284" w:lineRule="exact"/>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30"/>
                <w:szCs w:val="30"/>
                <w:color w:val="auto"/>
                <w:vertAlign w:val="superscript"/>
              </w:rPr>
              <w:t>(1)(3)</w:t>
            </w:r>
          </w:p>
        </w:tc>
        <w:tc>
          <w:tcPr>
            <w:tcW w:w="8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25,685</w:t>
            </w:r>
          </w:p>
        </w:tc>
        <w:tc>
          <w:tcPr>
            <w:tcW w:w="8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296</w:t>
            </w:r>
          </w:p>
        </w:tc>
        <w:tc>
          <w:tcPr>
            <w:tcW w:w="128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4.61</w:t>
            </w:r>
          </w:p>
        </w:tc>
        <w:tc>
          <w:tcPr>
            <w:tcW w:w="140" w:type="dxa"/>
            <w:vAlign w:val="bottom"/>
            <w:shd w:val="clear" w:color="auto" w:fill="F0FFFF"/>
          </w:tcPr>
          <w:p>
            <w:pPr>
              <w:spacing w:after="0"/>
              <w:rPr>
                <w:sz w:val="24"/>
                <w:szCs w:val="24"/>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19,592</w:t>
            </w:r>
          </w:p>
        </w:tc>
        <w:tc>
          <w:tcPr>
            <w:tcW w:w="80" w:type="dxa"/>
            <w:vAlign w:val="bottom"/>
            <w:shd w:val="clear" w:color="auto" w:fill="F0FFFF"/>
          </w:tcPr>
          <w:p>
            <w:pPr>
              <w:spacing w:after="0"/>
              <w:rPr>
                <w:sz w:val="24"/>
                <w:szCs w:val="24"/>
                <w:color w:val="auto"/>
              </w:rPr>
            </w:pPr>
          </w:p>
        </w:tc>
        <w:tc>
          <w:tcPr>
            <w:tcW w:w="140" w:type="dxa"/>
            <w:vAlign w:val="bottom"/>
            <w:shd w:val="clear" w:color="auto" w:fill="F0FFFF"/>
          </w:tcPr>
          <w:p>
            <w:pPr>
              <w:spacing w:after="0"/>
              <w:rPr>
                <w:sz w:val="24"/>
                <w:szCs w:val="24"/>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316</w:t>
            </w:r>
          </w:p>
        </w:tc>
        <w:tc>
          <w:tcPr>
            <w:tcW w:w="11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40"/>
              <w:spacing w:after="0"/>
              <w:rPr>
                <w:sz w:val="20"/>
                <w:szCs w:val="20"/>
                <w:color w:val="auto"/>
              </w:rPr>
            </w:pPr>
            <w:r>
              <w:rPr>
                <w:rFonts w:ascii="Arial" w:cs="Arial" w:eastAsia="Arial" w:hAnsi="Arial"/>
                <w:sz w:val="18"/>
                <w:szCs w:val="18"/>
                <w:color w:val="auto"/>
                <w:w w:val="90"/>
              </w:rPr>
              <w:t>Federal funds sold and other interest-earning assets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165,643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901</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2.18</w:t>
            </w: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158,418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1,060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shd w:val="clear" w:color="auto" w:fill="F0FFFF"/>
          </w:tcPr>
          <w:p>
            <w:pPr>
              <w:ind w:left="300"/>
              <w:spacing w:after="0"/>
              <w:rPr>
                <w:sz w:val="20"/>
                <w:szCs w:val="20"/>
                <w:color w:val="auto"/>
              </w:rPr>
            </w:pPr>
            <w:r>
              <w:rPr>
                <w:rFonts w:ascii="Arial" w:cs="Arial" w:eastAsia="Arial" w:hAnsi="Arial"/>
                <w:sz w:val="18"/>
                <w:szCs w:val="18"/>
                <w:b w:val="1"/>
                <w:bCs w:val="1"/>
                <w:color w:val="auto"/>
              </w:rPr>
              <w:t>Total interest-earning assets</w:t>
            </w:r>
          </w:p>
        </w:tc>
        <w:tc>
          <w:tcPr>
            <w:tcW w:w="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7,444,195</w:t>
            </w:r>
          </w:p>
        </w:tc>
        <w:tc>
          <w:tcPr>
            <w:tcW w:w="14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66,134</w:t>
            </w:r>
          </w:p>
        </w:tc>
        <w:tc>
          <w:tcPr>
            <w:tcW w:w="128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3.56</w:t>
            </w:r>
          </w:p>
        </w:tc>
        <w:tc>
          <w:tcPr>
            <w:tcW w:w="140" w:type="dxa"/>
            <w:vAlign w:val="bottom"/>
            <w:shd w:val="clear" w:color="auto" w:fill="F0FFFF"/>
          </w:tcPr>
          <w:p>
            <w:pPr>
              <w:spacing w:after="0"/>
              <w:rPr>
                <w:sz w:val="19"/>
                <w:szCs w:val="19"/>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6,860,641</w:t>
            </w:r>
          </w:p>
        </w:tc>
        <w:tc>
          <w:tcPr>
            <w:tcW w:w="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61,783</w:t>
            </w:r>
          </w:p>
        </w:tc>
        <w:tc>
          <w:tcPr>
            <w:tcW w:w="11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Non-interest-earning assets:</w:t>
            </w:r>
          </w:p>
        </w:tc>
        <w:tc>
          <w:tcPr>
            <w:tcW w:w="8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0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020" w:type="dxa"/>
            <w:vAlign w:val="bottom"/>
            <w:tcBorders>
              <w:top w:val="single" w:sz="8" w:color="F0FFFF"/>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F0FFFF"/>
          </w:tcPr>
          <w:p>
            <w:pPr>
              <w:ind w:left="140"/>
              <w:spacing w:after="0"/>
              <w:rPr>
                <w:sz w:val="20"/>
                <w:szCs w:val="20"/>
                <w:color w:val="auto"/>
              </w:rPr>
            </w:pPr>
            <w:r>
              <w:rPr>
                <w:rFonts w:ascii="Arial" w:cs="Arial" w:eastAsia="Arial" w:hAnsi="Arial"/>
                <w:sz w:val="18"/>
                <w:szCs w:val="18"/>
                <w:color w:val="auto"/>
              </w:rPr>
              <w:t>Allowance for loan losses</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(71,006)</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20" w:type="dxa"/>
            <w:vAlign w:val="bottom"/>
            <w:shd w:val="clear" w:color="auto" w:fill="F0FFFF"/>
          </w:tcPr>
          <w:p>
            <w:pPr>
              <w:spacing w:after="0"/>
              <w:rPr>
                <w:sz w:val="21"/>
                <w:szCs w:val="21"/>
                <w:color w:val="auto"/>
              </w:rPr>
            </w:pPr>
          </w:p>
        </w:tc>
        <w:tc>
          <w:tcPr>
            <w:tcW w:w="260" w:type="dxa"/>
            <w:vAlign w:val="bottom"/>
            <w:tcBorders>
              <w:right w:val="single" w:sz="8" w:color="F0FFFF"/>
            </w:tcBorders>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(76,843)</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ind w:left="140"/>
              <w:spacing w:after="0"/>
              <w:rPr>
                <w:sz w:val="20"/>
                <w:szCs w:val="20"/>
                <w:color w:val="auto"/>
              </w:rPr>
            </w:pPr>
            <w:r>
              <w:rPr>
                <w:rFonts w:ascii="Arial" w:cs="Arial" w:eastAsia="Arial" w:hAnsi="Arial"/>
                <w:sz w:val="18"/>
                <w:szCs w:val="18"/>
                <w:color w:val="auto"/>
              </w:rPr>
              <w:t>Cash and due from banks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77,124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63,853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F0FFFF"/>
          </w:tcPr>
          <w:p>
            <w:pPr>
              <w:ind w:left="140"/>
              <w:spacing w:after="0"/>
              <w:rPr>
                <w:sz w:val="20"/>
                <w:szCs w:val="20"/>
                <w:color w:val="auto"/>
              </w:rPr>
            </w:pPr>
            <w:r>
              <w:rPr>
                <w:rFonts w:ascii="Arial" w:cs="Arial" w:eastAsia="Arial" w:hAnsi="Arial"/>
                <w:sz w:val="18"/>
                <w:szCs w:val="18"/>
                <w:color w:val="auto"/>
              </w:rPr>
              <w:t>Premises and equipment</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167,926</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20" w:type="dxa"/>
            <w:vAlign w:val="bottom"/>
            <w:shd w:val="clear" w:color="auto" w:fill="F0FFFF"/>
          </w:tcPr>
          <w:p>
            <w:pPr>
              <w:spacing w:after="0"/>
              <w:rPr>
                <w:sz w:val="21"/>
                <w:szCs w:val="21"/>
                <w:color w:val="auto"/>
              </w:rPr>
            </w:pPr>
          </w:p>
        </w:tc>
        <w:tc>
          <w:tcPr>
            <w:tcW w:w="260" w:type="dxa"/>
            <w:vAlign w:val="bottom"/>
            <w:tcBorders>
              <w:right w:val="single" w:sz="8" w:color="F0FFFF"/>
            </w:tcBorders>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161,443</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920" w:type="dxa"/>
            <w:vAlign w:val="bottom"/>
          </w:tcPr>
          <w:p>
            <w:pPr>
              <w:ind w:left="140"/>
              <w:spacing w:after="0" w:line="256" w:lineRule="exact"/>
              <w:rPr>
                <w:sz w:val="20"/>
                <w:szCs w:val="20"/>
                <w:color w:val="auto"/>
              </w:rPr>
            </w:pPr>
            <w:r>
              <w:rPr>
                <w:rFonts w:ascii="Arial" w:cs="Arial" w:eastAsia="Arial" w:hAnsi="Arial"/>
                <w:sz w:val="18"/>
                <w:szCs w:val="18"/>
                <w:color w:val="auto"/>
              </w:rPr>
              <w:t xml:space="preserve">Other assets </w:t>
            </w:r>
            <w:r>
              <w:rPr>
                <w:rFonts w:ascii="Arial" w:cs="Arial" w:eastAsia="Arial" w:hAnsi="Arial"/>
                <w:sz w:val="29"/>
                <w:szCs w:val="29"/>
                <w:color w:val="auto"/>
                <w:vertAlign w:val="superscript"/>
              </w:rPr>
              <w:t>(3)</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398,356</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408,768</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20" w:type="dxa"/>
            <w:vAlign w:val="bottom"/>
            <w:shd w:val="clear" w:color="auto" w:fill="F0FFFF"/>
          </w:tcPr>
          <w:p>
            <w:pPr>
              <w:ind w:left="300"/>
              <w:spacing w:after="0" w:line="196" w:lineRule="exact"/>
              <w:rPr>
                <w:sz w:val="20"/>
                <w:szCs w:val="20"/>
                <w:color w:val="auto"/>
              </w:rPr>
            </w:pPr>
            <w:r>
              <w:rPr>
                <w:rFonts w:ascii="Arial" w:cs="Arial" w:eastAsia="Arial" w:hAnsi="Arial"/>
                <w:sz w:val="18"/>
                <w:szCs w:val="18"/>
                <w:b w:val="1"/>
                <w:bCs w:val="1"/>
                <w:color w:val="auto"/>
              </w:rPr>
              <w:t>Total assets</w:t>
            </w:r>
          </w:p>
        </w:tc>
        <w:tc>
          <w:tcPr>
            <w:tcW w:w="220" w:type="dxa"/>
            <w:vAlign w:val="bottom"/>
            <w:gridSpan w:val="2"/>
            <w:shd w:val="clear" w:color="auto" w:fill="F0FF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40"/>
              <w:spacing w:after="0" w:line="196" w:lineRule="exact"/>
              <w:rPr>
                <w:sz w:val="20"/>
                <w:szCs w:val="20"/>
                <w:color w:val="auto"/>
              </w:rPr>
            </w:pPr>
            <w:r>
              <w:rPr>
                <w:rFonts w:ascii="Arial" w:cs="Arial" w:eastAsia="Arial" w:hAnsi="Arial"/>
                <w:sz w:val="18"/>
                <w:szCs w:val="18"/>
                <w:color w:val="auto"/>
              </w:rPr>
              <w:t>8,016,595</w:t>
            </w:r>
          </w:p>
        </w:tc>
        <w:tc>
          <w:tcPr>
            <w:tcW w:w="8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860" w:type="dxa"/>
            <w:vAlign w:val="bottom"/>
            <w:shd w:val="clear" w:color="auto" w:fill="F0FFFF"/>
          </w:tcPr>
          <w:p>
            <w:pPr>
              <w:spacing w:after="0"/>
              <w:rPr>
                <w:sz w:val="22"/>
                <w:szCs w:val="22"/>
                <w:color w:val="auto"/>
              </w:rPr>
            </w:pPr>
          </w:p>
        </w:tc>
        <w:tc>
          <w:tcPr>
            <w:tcW w:w="220" w:type="dxa"/>
            <w:vAlign w:val="bottom"/>
            <w:shd w:val="clear" w:color="auto" w:fill="F0FFFF"/>
          </w:tcPr>
          <w:p>
            <w:pPr>
              <w:spacing w:after="0"/>
              <w:rPr>
                <w:sz w:val="22"/>
                <w:szCs w:val="22"/>
                <w:color w:val="auto"/>
              </w:rPr>
            </w:pPr>
          </w:p>
        </w:tc>
        <w:tc>
          <w:tcPr>
            <w:tcW w:w="1020" w:type="dxa"/>
            <w:vAlign w:val="bottom"/>
            <w:shd w:val="clear" w:color="auto" w:fill="F0FFFF"/>
          </w:tcPr>
          <w:p>
            <w:pPr>
              <w:spacing w:after="0"/>
              <w:rPr>
                <w:sz w:val="22"/>
                <w:szCs w:val="22"/>
                <w:color w:val="auto"/>
              </w:rPr>
            </w:pPr>
          </w:p>
        </w:tc>
        <w:tc>
          <w:tcPr>
            <w:tcW w:w="260" w:type="dxa"/>
            <w:vAlign w:val="bottom"/>
            <w:tcBorders>
              <w:right w:val="single" w:sz="8" w:color="F0FFFF"/>
            </w:tcBorders>
            <w:shd w:val="clear" w:color="auto" w:fill="F0FFFF"/>
          </w:tcPr>
          <w:p>
            <w:pPr>
              <w:spacing w:after="0"/>
              <w:rPr>
                <w:sz w:val="22"/>
                <w:szCs w:val="22"/>
                <w:color w:val="auto"/>
              </w:rPr>
            </w:pPr>
          </w:p>
        </w:tc>
        <w:tc>
          <w:tcPr>
            <w:tcW w:w="140" w:type="dxa"/>
            <w:vAlign w:val="bottom"/>
            <w:shd w:val="clear" w:color="auto" w:fill="F0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F0FFFF"/>
          </w:tcPr>
          <w:p>
            <w:pPr>
              <w:jc w:val="right"/>
              <w:ind w:right="140"/>
              <w:spacing w:after="0" w:line="196" w:lineRule="exact"/>
              <w:rPr>
                <w:sz w:val="20"/>
                <w:szCs w:val="20"/>
                <w:color w:val="auto"/>
              </w:rPr>
            </w:pPr>
            <w:r>
              <w:rPr>
                <w:rFonts w:ascii="Arial" w:cs="Arial" w:eastAsia="Arial" w:hAnsi="Arial"/>
                <w:sz w:val="18"/>
                <w:szCs w:val="18"/>
                <w:color w:val="auto"/>
              </w:rPr>
              <w:t>7,417,862</w:t>
            </w:r>
          </w:p>
        </w:tc>
        <w:tc>
          <w:tcPr>
            <w:tcW w:w="8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860" w:type="dxa"/>
            <w:vAlign w:val="bottom"/>
            <w:shd w:val="clear" w:color="auto" w:fill="F0FFFF"/>
          </w:tcPr>
          <w:p>
            <w:pPr>
              <w:spacing w:after="0"/>
              <w:rPr>
                <w:sz w:val="22"/>
                <w:szCs w:val="22"/>
                <w:color w:val="auto"/>
              </w:rPr>
            </w:pPr>
          </w:p>
        </w:tc>
        <w:tc>
          <w:tcPr>
            <w:tcW w:w="220" w:type="dxa"/>
            <w:vAlign w:val="bottom"/>
            <w:shd w:val="clear" w:color="auto" w:fill="F0FFFF"/>
          </w:tcPr>
          <w:p>
            <w:pPr>
              <w:spacing w:after="0"/>
              <w:rPr>
                <w:sz w:val="22"/>
                <w:szCs w:val="22"/>
                <w:color w:val="auto"/>
              </w:rPr>
            </w:pPr>
          </w:p>
        </w:tc>
        <w:tc>
          <w:tcPr>
            <w:tcW w:w="102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F0FFFF"/>
            </w:tcBorders>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6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02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6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020" w:type="dxa"/>
            <w:vAlign w:val="bottom"/>
            <w:tcBorders>
              <w:top w:val="single" w:sz="8" w:color="F0FFFF"/>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F0FFFF"/>
          </w:tcPr>
          <w:p>
            <w:pPr>
              <w:spacing w:after="0"/>
              <w:rPr>
                <w:sz w:val="20"/>
                <w:szCs w:val="20"/>
                <w:color w:val="auto"/>
              </w:rPr>
            </w:pPr>
            <w:r>
              <w:rPr>
                <w:rFonts w:ascii="Arial" w:cs="Arial" w:eastAsia="Arial" w:hAnsi="Arial"/>
                <w:sz w:val="18"/>
                <w:szCs w:val="18"/>
                <w:color w:val="auto"/>
              </w:rPr>
              <w:t>Interest-bearing liabilities:</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ind w:left="140"/>
              <w:spacing w:after="0"/>
              <w:rPr>
                <w:sz w:val="20"/>
                <w:szCs w:val="20"/>
                <w:color w:val="auto"/>
              </w:rPr>
            </w:pPr>
            <w:r>
              <w:rPr>
                <w:rFonts w:ascii="Arial" w:cs="Arial" w:eastAsia="Arial" w:hAnsi="Arial"/>
                <w:sz w:val="18"/>
                <w:szCs w:val="18"/>
                <w:color w:val="auto"/>
              </w:rPr>
              <w:t>Interest-bearing deposits: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F0FFFF"/>
          </w:tcPr>
          <w:p>
            <w:pPr>
              <w:ind w:left="140"/>
              <w:spacing w:after="0"/>
              <w:rPr>
                <w:sz w:val="20"/>
                <w:szCs w:val="20"/>
                <w:color w:val="auto"/>
              </w:rPr>
            </w:pPr>
            <w:r>
              <w:rPr>
                <w:rFonts w:ascii="Arial" w:cs="Arial" w:eastAsia="Arial" w:hAnsi="Arial"/>
                <w:sz w:val="18"/>
                <w:szCs w:val="18"/>
                <w:color w:val="auto"/>
              </w:rPr>
              <w:t>NOW</w:t>
            </w: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1,419,142</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348</w:t>
            </w:r>
          </w:p>
        </w:tc>
        <w:tc>
          <w:tcPr>
            <w:tcW w:w="128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1,356,141</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411</w:t>
            </w:r>
          </w:p>
        </w:tc>
        <w:tc>
          <w:tcPr>
            <w:tcW w:w="11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ind w:left="140"/>
              <w:spacing w:after="0"/>
              <w:rPr>
                <w:sz w:val="20"/>
                <w:szCs w:val="20"/>
                <w:color w:val="auto"/>
              </w:rPr>
            </w:pPr>
            <w:r>
              <w:rPr>
                <w:rFonts w:ascii="Arial" w:cs="Arial" w:eastAsia="Arial" w:hAnsi="Arial"/>
                <w:sz w:val="18"/>
                <w:szCs w:val="18"/>
                <w:color w:val="auto"/>
              </w:rPr>
              <w:t>Money market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1,607,665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806</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1,361,045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757</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F0FFFF"/>
          </w:tcPr>
          <w:p>
            <w:pPr>
              <w:ind w:left="140"/>
              <w:spacing w:after="0"/>
              <w:rPr>
                <w:sz w:val="20"/>
                <w:szCs w:val="20"/>
                <w:color w:val="auto"/>
              </w:rPr>
            </w:pPr>
            <w:r>
              <w:rPr>
                <w:rFonts w:ascii="Arial" w:cs="Arial" w:eastAsia="Arial" w:hAnsi="Arial"/>
                <w:sz w:val="18"/>
                <w:szCs w:val="18"/>
                <w:color w:val="auto"/>
              </w:rPr>
              <w:t>Savings</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335,093</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26</w:t>
            </w:r>
          </w:p>
        </w:tc>
        <w:tc>
          <w:tcPr>
            <w:tcW w:w="128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275,540</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21</w:t>
            </w:r>
          </w:p>
        </w:tc>
        <w:tc>
          <w:tcPr>
            <w:tcW w:w="11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ind w:left="140"/>
              <w:spacing w:after="0"/>
              <w:rPr>
                <w:sz w:val="20"/>
                <w:szCs w:val="20"/>
                <w:color w:val="auto"/>
              </w:rPr>
            </w:pPr>
            <w:r>
              <w:rPr>
                <w:rFonts w:ascii="Arial" w:cs="Arial" w:eastAsia="Arial" w:hAnsi="Arial"/>
                <w:sz w:val="18"/>
                <w:szCs w:val="18"/>
                <w:color w:val="auto"/>
              </w:rPr>
              <w:t>Time less than $100,000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774,193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791</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818,048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933</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F0FFFF"/>
          </w:tcPr>
          <w:p>
            <w:pPr>
              <w:ind w:left="140"/>
              <w:spacing w:after="0"/>
              <w:rPr>
                <w:sz w:val="20"/>
                <w:szCs w:val="20"/>
                <w:color w:val="auto"/>
              </w:rPr>
            </w:pPr>
            <w:r>
              <w:rPr>
                <w:rFonts w:ascii="Arial" w:cs="Arial" w:eastAsia="Arial" w:hAnsi="Arial"/>
                <w:sz w:val="18"/>
                <w:szCs w:val="18"/>
                <w:color w:val="auto"/>
              </w:rPr>
              <w:t>Time greater than $100,000</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474,905</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482</w:t>
            </w:r>
          </w:p>
        </w:tc>
        <w:tc>
          <w:tcPr>
            <w:tcW w:w="128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563,489</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865</w:t>
            </w:r>
          </w:p>
        </w:tc>
        <w:tc>
          <w:tcPr>
            <w:tcW w:w="11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40"/>
              <w:spacing w:after="0"/>
              <w:rPr>
                <w:sz w:val="20"/>
                <w:szCs w:val="20"/>
                <w:color w:val="auto"/>
              </w:rPr>
            </w:pPr>
            <w:r>
              <w:rPr>
                <w:rFonts w:ascii="Arial" w:cs="Arial" w:eastAsia="Arial" w:hAnsi="Arial"/>
                <w:sz w:val="18"/>
                <w:szCs w:val="18"/>
                <w:color w:val="auto"/>
              </w:rPr>
              <w:t>Brokered time deposits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276,073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(378)</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334,919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F0FFFF"/>
          </w:tcPr>
          <w:p>
            <w:pPr>
              <w:ind w:left="300"/>
              <w:spacing w:after="0"/>
              <w:rPr>
                <w:sz w:val="20"/>
                <w:szCs w:val="20"/>
                <w:color w:val="auto"/>
              </w:rPr>
            </w:pPr>
            <w:r>
              <w:rPr>
                <w:rFonts w:ascii="Arial" w:cs="Arial" w:eastAsia="Arial" w:hAnsi="Arial"/>
                <w:sz w:val="18"/>
                <w:szCs w:val="18"/>
                <w:color w:val="auto"/>
              </w:rPr>
              <w:t>Total interest-bearing deposits</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4,887,071</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2,075</w:t>
            </w:r>
          </w:p>
        </w:tc>
        <w:tc>
          <w:tcPr>
            <w:tcW w:w="128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4,709,182</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3,207</w:t>
            </w:r>
          </w:p>
        </w:tc>
        <w:tc>
          <w:tcPr>
            <w:tcW w:w="11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020" w:type="dxa"/>
            <w:vAlign w:val="bottom"/>
            <w:shd w:val="clear" w:color="auto" w:fill="F0FFFF"/>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02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ind w:left="140"/>
              <w:spacing w:after="0"/>
              <w:rPr>
                <w:sz w:val="20"/>
                <w:szCs w:val="20"/>
                <w:color w:val="auto"/>
              </w:rPr>
            </w:pPr>
            <w:r>
              <w:rPr>
                <w:rFonts w:ascii="Arial" w:cs="Arial" w:eastAsia="Arial" w:hAnsi="Arial"/>
                <w:sz w:val="18"/>
                <w:szCs w:val="18"/>
                <w:color w:val="auto"/>
              </w:rPr>
              <w:t>Federal funds purchased and other borrowings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47,698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108,311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908</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F0FFFF"/>
          </w:tcPr>
          <w:p>
            <w:pPr>
              <w:ind w:left="140"/>
              <w:spacing w:after="0"/>
              <w:rPr>
                <w:sz w:val="20"/>
                <w:szCs w:val="20"/>
                <w:color w:val="auto"/>
              </w:rPr>
            </w:pPr>
            <w:r>
              <w:rPr>
                <w:rFonts w:ascii="Arial" w:cs="Arial" w:eastAsia="Arial" w:hAnsi="Arial"/>
                <w:sz w:val="18"/>
                <w:szCs w:val="18"/>
                <w:color w:val="auto"/>
              </w:rPr>
              <w:t>Federal Home Loan Bank advances</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289,707</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454</w:t>
            </w:r>
          </w:p>
        </w:tc>
        <w:tc>
          <w:tcPr>
            <w:tcW w:w="128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154,795</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80</w:t>
            </w:r>
          </w:p>
        </w:tc>
        <w:tc>
          <w:tcPr>
            <w:tcW w:w="11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113,901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2,206</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7.77</w:t>
            </w: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129,865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2,638</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F0FFFF"/>
          </w:tcPr>
          <w:p>
            <w:pPr>
              <w:ind w:left="300"/>
              <w:spacing w:after="0"/>
              <w:rPr>
                <w:sz w:val="20"/>
                <w:szCs w:val="20"/>
                <w:color w:val="auto"/>
              </w:rPr>
            </w:pPr>
            <w:r>
              <w:rPr>
                <w:rFonts w:ascii="Arial" w:cs="Arial" w:eastAsia="Arial" w:hAnsi="Arial"/>
                <w:sz w:val="18"/>
                <w:szCs w:val="18"/>
                <w:color w:val="auto"/>
              </w:rPr>
              <w:t>Total borrowed funds</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451,306</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2,742</w:t>
            </w:r>
          </w:p>
        </w:tc>
        <w:tc>
          <w:tcPr>
            <w:tcW w:w="128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2.44</w:t>
            </w:r>
          </w:p>
        </w:tc>
        <w:tc>
          <w:tcPr>
            <w:tcW w:w="1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392,971</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3,626</w:t>
            </w:r>
          </w:p>
        </w:tc>
        <w:tc>
          <w:tcPr>
            <w:tcW w:w="11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020" w:type="dxa"/>
            <w:vAlign w:val="bottom"/>
            <w:shd w:val="clear" w:color="auto" w:fill="F0FFFF"/>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02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Pr>
          <w:p>
            <w:pPr>
              <w:ind w:left="300"/>
              <w:spacing w:after="0"/>
              <w:rPr>
                <w:sz w:val="20"/>
                <w:szCs w:val="20"/>
                <w:color w:val="auto"/>
              </w:rPr>
            </w:pPr>
            <w:r>
              <w:rPr>
                <w:rFonts w:ascii="Arial" w:cs="Arial" w:eastAsia="Arial" w:hAnsi="Arial"/>
                <w:sz w:val="18"/>
                <w:szCs w:val="18"/>
                <w:b w:val="1"/>
                <w:bCs w:val="1"/>
                <w:color w:val="auto"/>
              </w:rPr>
              <w:t>Total interest-bearing liabilities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5,338,377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4,817</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5,102,153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6,833</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F0FFFF"/>
          </w:tcPr>
          <w:p>
            <w:pPr>
              <w:spacing w:after="0"/>
              <w:rPr>
                <w:sz w:val="20"/>
                <w:szCs w:val="20"/>
                <w:color w:val="auto"/>
              </w:rPr>
            </w:pPr>
            <w:r>
              <w:rPr>
                <w:rFonts w:ascii="Arial" w:cs="Arial" w:eastAsia="Arial" w:hAnsi="Arial"/>
                <w:sz w:val="18"/>
                <w:szCs w:val="18"/>
                <w:color w:val="auto"/>
              </w:rPr>
              <w:t>Non-interest-bearing liabilities:</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ind w:left="140"/>
              <w:spacing w:after="0"/>
              <w:rPr>
                <w:sz w:val="20"/>
                <w:szCs w:val="20"/>
                <w:color w:val="auto"/>
              </w:rPr>
            </w:pPr>
            <w:r>
              <w:rPr>
                <w:rFonts w:ascii="Arial" w:cs="Arial" w:eastAsia="Arial" w:hAnsi="Arial"/>
                <w:sz w:val="18"/>
                <w:szCs w:val="18"/>
                <w:color w:val="auto"/>
              </w:rPr>
              <w:t>Non-interest-bearing deposits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1,782,405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1,477,849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Borders>
              <w:bottom w:val="single" w:sz="8" w:color="F0FFFF"/>
            </w:tcBorders>
            <w:shd w:val="clear" w:color="auto" w:fill="F0FFFF"/>
          </w:tcPr>
          <w:p>
            <w:pPr>
              <w:ind w:left="140"/>
              <w:spacing w:after="0"/>
              <w:rPr>
                <w:sz w:val="20"/>
                <w:szCs w:val="20"/>
                <w:color w:val="auto"/>
              </w:rPr>
            </w:pPr>
            <w:r>
              <w:rPr>
                <w:rFonts w:ascii="Arial" w:cs="Arial" w:eastAsia="Arial" w:hAnsi="Arial"/>
                <w:sz w:val="18"/>
                <w:szCs w:val="18"/>
                <w:color w:val="auto"/>
              </w:rPr>
              <w:t>Other liabilities</w:t>
            </w:r>
          </w:p>
        </w:tc>
        <w:tc>
          <w:tcPr>
            <w:tcW w:w="8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bottom w:val="single" w:sz="8" w:color="auto"/>
            </w:tcBorders>
            <w:shd w:val="clear" w:color="auto" w:fill="F0FFFF"/>
          </w:tcPr>
          <w:p>
            <w:pPr>
              <w:spacing w:after="0"/>
              <w:rPr>
                <w:sz w:val="19"/>
                <w:szCs w:val="19"/>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90,091</w:t>
            </w:r>
          </w:p>
        </w:tc>
        <w:tc>
          <w:tcPr>
            <w:tcW w:w="14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bottom w:val="single" w:sz="8" w:color="F0FFFF"/>
            </w:tcBorders>
            <w:shd w:val="clear" w:color="auto" w:fill="F0FFFF"/>
          </w:tcPr>
          <w:p>
            <w:pPr>
              <w:spacing w:after="0"/>
              <w:rPr>
                <w:sz w:val="19"/>
                <w:szCs w:val="19"/>
                <w:color w:val="auto"/>
              </w:rPr>
            </w:pPr>
          </w:p>
        </w:tc>
        <w:tc>
          <w:tcPr>
            <w:tcW w:w="86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F0FFFF"/>
            </w:tcBorders>
            <w:shd w:val="clear" w:color="auto" w:fill="F0FFFF"/>
          </w:tcPr>
          <w:p>
            <w:pPr>
              <w:spacing w:after="0"/>
              <w:rPr>
                <w:sz w:val="19"/>
                <w:szCs w:val="19"/>
                <w:color w:val="auto"/>
              </w:rPr>
            </w:pPr>
          </w:p>
        </w:tc>
        <w:tc>
          <w:tcPr>
            <w:tcW w:w="1020" w:type="dxa"/>
            <w:vAlign w:val="bottom"/>
            <w:tcBorders>
              <w:bottom w:val="single" w:sz="8" w:color="F0FFFF"/>
            </w:tcBorders>
            <w:shd w:val="clear" w:color="auto" w:fill="F0FFFF"/>
          </w:tcPr>
          <w:p>
            <w:pPr>
              <w:spacing w:after="0"/>
              <w:rPr>
                <w:sz w:val="19"/>
                <w:szCs w:val="19"/>
                <w:color w:val="auto"/>
              </w:rPr>
            </w:pPr>
          </w:p>
        </w:tc>
        <w:tc>
          <w:tcPr>
            <w:tcW w:w="260" w:type="dxa"/>
            <w:vAlign w:val="bottom"/>
            <w:tcBorders>
              <w:bottom w:val="single" w:sz="8" w:color="F0FFFF"/>
              <w:right w:val="single" w:sz="8" w:color="F0FFFF"/>
            </w:tcBorders>
            <w:shd w:val="clear" w:color="auto" w:fill="F0FFFF"/>
          </w:tcPr>
          <w:p>
            <w:pPr>
              <w:spacing w:after="0"/>
              <w:rPr>
                <w:sz w:val="19"/>
                <w:szCs w:val="19"/>
                <w:color w:val="auto"/>
              </w:rPr>
            </w:pPr>
          </w:p>
        </w:tc>
        <w:tc>
          <w:tcPr>
            <w:tcW w:w="140" w:type="dxa"/>
            <w:vAlign w:val="bottom"/>
            <w:tcBorders>
              <w:bottom w:val="single" w:sz="8" w:color="auto"/>
            </w:tcBorders>
            <w:shd w:val="clear" w:color="auto" w:fill="F0FFFF"/>
          </w:tcPr>
          <w:p>
            <w:pPr>
              <w:spacing w:after="0"/>
              <w:rPr>
                <w:sz w:val="19"/>
                <w:szCs w:val="19"/>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125,173</w:t>
            </w:r>
          </w:p>
        </w:tc>
        <w:tc>
          <w:tcPr>
            <w:tcW w:w="14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bottom w:val="single" w:sz="8" w:color="F0FFFF"/>
            </w:tcBorders>
            <w:shd w:val="clear" w:color="auto" w:fill="F0FFFF"/>
          </w:tcPr>
          <w:p>
            <w:pPr>
              <w:spacing w:after="0"/>
              <w:rPr>
                <w:sz w:val="19"/>
                <w:szCs w:val="19"/>
                <w:color w:val="auto"/>
              </w:rPr>
            </w:pPr>
          </w:p>
        </w:tc>
        <w:tc>
          <w:tcPr>
            <w:tcW w:w="86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F0FFFF"/>
            </w:tcBorders>
            <w:shd w:val="clear" w:color="auto" w:fill="F0FFFF"/>
          </w:tcPr>
          <w:p>
            <w:pPr>
              <w:spacing w:after="0"/>
              <w:rPr>
                <w:sz w:val="19"/>
                <w:szCs w:val="19"/>
                <w:color w:val="auto"/>
              </w:rPr>
            </w:pPr>
          </w:p>
        </w:tc>
        <w:tc>
          <w:tcPr>
            <w:tcW w:w="1020" w:type="dxa"/>
            <w:vAlign w:val="bottom"/>
            <w:tcBorders>
              <w:bottom w:val="single" w:sz="8" w:color="F0FFFF"/>
            </w:tcBorders>
            <w:shd w:val="clear" w:color="auto" w:fill="F0FFFF"/>
          </w:tcPr>
          <w:p>
            <w:pPr>
              <w:spacing w:after="0"/>
              <w:rPr>
                <w:sz w:val="19"/>
                <w:szCs w:val="19"/>
                <w:color w:val="auto"/>
              </w:rPr>
            </w:pPr>
          </w:p>
        </w:tc>
        <w:tc>
          <w:tcPr>
            <w:tcW w:w="16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ind w:left="30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7,210,873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6,705,175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bottom w:val="single" w:sz="8" w:color="auto"/>
            </w:tcBorders>
            <w:shd w:val="clear" w:color="auto" w:fill="F0FFFF"/>
          </w:tcPr>
          <w:p>
            <w:pPr>
              <w:spacing w:after="0"/>
              <w:rPr>
                <w:sz w:val="19"/>
                <w:szCs w:val="19"/>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805,722</w:t>
            </w:r>
          </w:p>
        </w:tc>
        <w:tc>
          <w:tcPr>
            <w:tcW w:w="14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bottom w:val="single" w:sz="8" w:color="F0FFFF"/>
            </w:tcBorders>
            <w:shd w:val="clear" w:color="auto" w:fill="F0FFFF"/>
          </w:tcPr>
          <w:p>
            <w:pPr>
              <w:spacing w:after="0"/>
              <w:rPr>
                <w:sz w:val="19"/>
                <w:szCs w:val="19"/>
                <w:color w:val="auto"/>
              </w:rPr>
            </w:pPr>
          </w:p>
        </w:tc>
        <w:tc>
          <w:tcPr>
            <w:tcW w:w="86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F0FFFF"/>
            </w:tcBorders>
            <w:shd w:val="clear" w:color="auto" w:fill="F0FFFF"/>
          </w:tcPr>
          <w:p>
            <w:pPr>
              <w:spacing w:after="0"/>
              <w:rPr>
                <w:sz w:val="19"/>
                <w:szCs w:val="19"/>
                <w:color w:val="auto"/>
              </w:rPr>
            </w:pPr>
          </w:p>
        </w:tc>
        <w:tc>
          <w:tcPr>
            <w:tcW w:w="1020" w:type="dxa"/>
            <w:vAlign w:val="bottom"/>
            <w:tcBorders>
              <w:bottom w:val="single" w:sz="8" w:color="F0FFFF"/>
            </w:tcBorders>
            <w:shd w:val="clear" w:color="auto" w:fill="F0FFFF"/>
          </w:tcPr>
          <w:p>
            <w:pPr>
              <w:spacing w:after="0"/>
              <w:rPr>
                <w:sz w:val="19"/>
                <w:szCs w:val="19"/>
                <w:color w:val="auto"/>
              </w:rPr>
            </w:pPr>
          </w:p>
        </w:tc>
        <w:tc>
          <w:tcPr>
            <w:tcW w:w="260" w:type="dxa"/>
            <w:vAlign w:val="bottom"/>
            <w:tcBorders>
              <w:bottom w:val="single" w:sz="8" w:color="F0FFFF"/>
              <w:right w:val="single" w:sz="8" w:color="F0FFFF"/>
            </w:tcBorders>
            <w:shd w:val="clear" w:color="auto" w:fill="F0FFFF"/>
          </w:tcPr>
          <w:p>
            <w:pPr>
              <w:spacing w:after="0"/>
              <w:rPr>
                <w:sz w:val="19"/>
                <w:szCs w:val="19"/>
                <w:color w:val="auto"/>
              </w:rPr>
            </w:pPr>
          </w:p>
        </w:tc>
        <w:tc>
          <w:tcPr>
            <w:tcW w:w="140" w:type="dxa"/>
            <w:vAlign w:val="bottom"/>
            <w:tcBorders>
              <w:bottom w:val="single" w:sz="8" w:color="auto"/>
            </w:tcBorders>
            <w:shd w:val="clear" w:color="auto" w:fill="F0FFFF"/>
          </w:tcPr>
          <w:p>
            <w:pPr>
              <w:spacing w:after="0"/>
              <w:rPr>
                <w:sz w:val="19"/>
                <w:szCs w:val="19"/>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712,687</w:t>
            </w:r>
          </w:p>
        </w:tc>
        <w:tc>
          <w:tcPr>
            <w:tcW w:w="14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bottom w:val="single" w:sz="8" w:color="F0FFFF"/>
            </w:tcBorders>
            <w:shd w:val="clear" w:color="auto" w:fill="F0FFFF"/>
          </w:tcPr>
          <w:p>
            <w:pPr>
              <w:spacing w:after="0"/>
              <w:rPr>
                <w:sz w:val="19"/>
                <w:szCs w:val="19"/>
                <w:color w:val="auto"/>
              </w:rPr>
            </w:pPr>
          </w:p>
        </w:tc>
        <w:tc>
          <w:tcPr>
            <w:tcW w:w="86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F0FFFF"/>
            </w:tcBorders>
            <w:shd w:val="clear" w:color="auto" w:fill="F0FFFF"/>
          </w:tcPr>
          <w:p>
            <w:pPr>
              <w:spacing w:after="0"/>
              <w:rPr>
                <w:sz w:val="19"/>
                <w:szCs w:val="19"/>
                <w:color w:val="auto"/>
              </w:rPr>
            </w:pPr>
          </w:p>
        </w:tc>
        <w:tc>
          <w:tcPr>
            <w:tcW w:w="1020" w:type="dxa"/>
            <w:vAlign w:val="bottom"/>
            <w:tcBorders>
              <w:bottom w:val="single" w:sz="8" w:color="F0FFFF"/>
            </w:tcBorders>
            <w:shd w:val="clear" w:color="auto" w:fill="F0FFFF"/>
          </w:tcPr>
          <w:p>
            <w:pPr>
              <w:spacing w:after="0"/>
              <w:rPr>
                <w:sz w:val="19"/>
                <w:szCs w:val="19"/>
                <w:color w:val="auto"/>
              </w:rPr>
            </w:pPr>
          </w:p>
        </w:tc>
        <w:tc>
          <w:tcPr>
            <w:tcW w:w="16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300"/>
              <w:spacing w:after="0" w:line="196" w:lineRule="exact"/>
              <w:rPr>
                <w:sz w:val="20"/>
                <w:szCs w:val="20"/>
                <w:color w:val="auto"/>
              </w:rPr>
            </w:pPr>
            <w:r>
              <w:rPr>
                <w:rFonts w:ascii="Arial" w:cs="Arial" w:eastAsia="Arial" w:hAnsi="Arial"/>
                <w:sz w:val="18"/>
                <w:szCs w:val="18"/>
                <w:b w:val="1"/>
                <w:bCs w:val="1"/>
                <w:color w:val="auto"/>
              </w:rPr>
              <w:t>Total liabilities and shareholders’ equity</w:t>
            </w:r>
          </w:p>
        </w:tc>
        <w:tc>
          <w:tcPr>
            <w:tcW w:w="2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8,016,595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7,417,862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2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Net interest revenue</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9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61,317</w:t>
            </w:r>
          </w:p>
        </w:tc>
        <w:tc>
          <w:tcPr>
            <w:tcW w:w="1020" w:type="dxa"/>
            <w:vAlign w:val="bottom"/>
            <w:shd w:val="clear" w:color="auto" w:fill="F0FFFF"/>
          </w:tcPr>
          <w:p>
            <w:pPr>
              <w:spacing w:after="0"/>
              <w:rPr>
                <w:sz w:val="21"/>
                <w:szCs w:val="21"/>
                <w:color w:val="auto"/>
              </w:rPr>
            </w:pPr>
          </w:p>
        </w:tc>
        <w:tc>
          <w:tcPr>
            <w:tcW w:w="260" w:type="dxa"/>
            <w:vAlign w:val="bottom"/>
            <w:tcBorders>
              <w:right w:val="single" w:sz="8" w:color="F0FFFF"/>
            </w:tcBorders>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8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54,950</w:t>
            </w:r>
          </w:p>
        </w:tc>
        <w:tc>
          <w:tcPr>
            <w:tcW w:w="102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Net interest-rate spread</w:t>
            </w:r>
          </w:p>
        </w:tc>
        <w:tc>
          <w:tcPr>
            <w:tcW w:w="8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90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280" w:type="dxa"/>
            <w:vAlign w:val="bottom"/>
            <w:tcBorders>
              <w:top w:val="single" w:sz="8" w:color="F0FFFF"/>
            </w:tcBorders>
            <w:gridSpan w:val="2"/>
          </w:tcPr>
          <w:p>
            <w:pPr>
              <w:jc w:val="right"/>
              <w:ind w:right="120"/>
              <w:spacing w:after="0"/>
              <w:rPr>
                <w:sz w:val="20"/>
                <w:szCs w:val="20"/>
                <w:color w:val="auto"/>
              </w:rPr>
            </w:pPr>
            <w:r>
              <w:rPr>
                <w:rFonts w:ascii="Arial" w:cs="Arial" w:eastAsia="Arial" w:hAnsi="Arial"/>
                <w:sz w:val="18"/>
                <w:szCs w:val="18"/>
                <w:color w:val="auto"/>
              </w:rPr>
              <w:t>3.20%</w:t>
            </w:r>
          </w:p>
        </w:tc>
        <w:tc>
          <w:tcPr>
            <w:tcW w:w="140" w:type="dxa"/>
            <w:vAlign w:val="bottom"/>
            <w:tcBorders>
              <w:top w:val="single" w:sz="8" w:color="F0FFFF"/>
            </w:tcBorders>
          </w:tcPr>
          <w:p>
            <w:pPr>
              <w:spacing w:after="0"/>
              <w:rPr>
                <w:sz w:val="18"/>
                <w:szCs w:val="18"/>
                <w:color w:val="auto"/>
              </w:rPr>
            </w:pPr>
          </w:p>
        </w:tc>
        <w:tc>
          <w:tcPr>
            <w:tcW w:w="88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180" w:type="dxa"/>
            <w:vAlign w:val="bottom"/>
            <w:tcBorders>
              <w:top w:val="single" w:sz="8" w:color="F0FFFF"/>
            </w:tcBorders>
            <w:gridSpan w:val="2"/>
          </w:tcPr>
          <w:p>
            <w:pPr>
              <w:jc w:val="right"/>
              <w:ind w:right="2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920" w:type="dxa"/>
            <w:vAlign w:val="bottom"/>
          </w:tcPr>
          <w:p>
            <w:pPr>
              <w:spacing w:after="0" w:line="256" w:lineRule="exact"/>
              <w:rPr>
                <w:sz w:val="20"/>
                <w:szCs w:val="20"/>
                <w:color w:val="auto"/>
              </w:rPr>
            </w:pPr>
            <w:r>
              <w:rPr>
                <w:rFonts w:ascii="Arial" w:cs="Arial" w:eastAsia="Arial" w:hAnsi="Arial"/>
                <w:sz w:val="18"/>
                <w:szCs w:val="18"/>
                <w:b w:val="1"/>
                <w:bCs w:val="1"/>
                <w:color w:val="auto"/>
              </w:rPr>
              <w:t xml:space="preserve">Net interest margin </w:t>
            </w:r>
            <w:r>
              <w:rPr>
                <w:rFonts w:ascii="Arial" w:cs="Arial" w:eastAsia="Arial" w:hAnsi="Arial"/>
                <w:sz w:val="29"/>
                <w:szCs w:val="29"/>
                <w:color w:val="auto"/>
                <w:vertAlign w:val="superscript"/>
              </w:rPr>
              <w:t>(4)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right="300" w:hanging="532"/>
        <w:spacing w:after="0" w:line="194" w:lineRule="auto"/>
        <w:tabs>
          <w:tab w:leader="none" w:pos="54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ind w:left="540" w:hanging="532"/>
        <w:spacing w:after="0" w:line="180" w:lineRule="auto"/>
        <w:tabs>
          <w:tab w:leader="none" w:pos="540" w:val="left"/>
        </w:tabs>
        <w:numPr>
          <w:ilvl w:val="0"/>
          <w:numId w:val="9"/>
        </w:numPr>
        <w:rPr>
          <w:rFonts w:ascii="Arial" w:cs="Arial" w:eastAsia="Arial" w:hAnsi="Arial"/>
          <w:sz w:val="25"/>
          <w:szCs w:val="25"/>
          <w:color w:val="auto"/>
          <w:vertAlign w:val="superscript"/>
        </w:rPr>
      </w:pPr>
      <w:r>
        <w:rPr>
          <w:rFonts w:ascii="Arial" w:cs="Arial" w:eastAsia="Arial" w:hAnsi="Arial"/>
          <w:sz w:val="16"/>
          <w:szCs w:val="16"/>
          <w:color w:val="auto"/>
        </w:rPr>
        <w:t>Included in the average balance of loans outstanding are loans where the accrual of interest has been discontinued and loans that are held for sale.</w:t>
      </w:r>
    </w:p>
    <w:p>
      <w:pPr>
        <w:spacing w:after="0" w:line="2" w:lineRule="exact"/>
        <w:rPr>
          <w:rFonts w:ascii="Arial" w:cs="Arial" w:eastAsia="Arial" w:hAnsi="Arial"/>
          <w:sz w:val="25"/>
          <w:szCs w:val="25"/>
          <w:color w:val="auto"/>
          <w:vertAlign w:val="superscript"/>
        </w:rPr>
      </w:pPr>
    </w:p>
    <w:p>
      <w:pPr>
        <w:ind w:left="540" w:right="560" w:hanging="532"/>
        <w:spacing w:after="0" w:line="187" w:lineRule="auto"/>
        <w:tabs>
          <w:tab w:leader="none" w:pos="54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Securities available for sale are shown at amortized cost. Pretax unrealized gains of $18.9 million in 2015 and pretax unrealized gains of $1.86 million in 2014 are included in other assets for purposes of this presentation.</w:t>
      </w:r>
    </w:p>
    <w:p>
      <w:pPr>
        <w:ind w:left="540" w:hanging="532"/>
        <w:spacing w:after="0" w:line="180" w:lineRule="auto"/>
        <w:tabs>
          <w:tab w:leader="none" w:pos="540" w:val="left"/>
        </w:tabs>
        <w:numPr>
          <w:ilvl w:val="0"/>
          <w:numId w:val="9"/>
        </w:numPr>
        <w:rPr>
          <w:rFonts w:ascii="Arial" w:cs="Arial" w:eastAsia="Arial" w:hAnsi="Arial"/>
          <w:sz w:val="25"/>
          <w:szCs w:val="25"/>
          <w:color w:val="auto"/>
          <w:vertAlign w:val="superscript"/>
        </w:rPr>
      </w:pPr>
      <w:r>
        <w:rPr>
          <w:rFonts w:ascii="Arial" w:cs="Arial" w:eastAsia="Arial" w:hAnsi="Arial"/>
          <w:sz w:val="16"/>
          <w:szCs w:val="16"/>
          <w:color w:val="auto"/>
        </w:rPr>
        <w:t>Net interest margin is taxable equivalent net-interest revenue divided by average interest-earning assets.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7" w:name="page58"/>
    <w:bookmarkEnd w:id="57"/>
    <w:p>
      <w:pPr>
        <w:spacing w:after="0" w:line="277" w:lineRule="auto"/>
        <w:rPr>
          <w:sz w:val="20"/>
          <w:szCs w:val="20"/>
          <w:color w:val="auto"/>
        </w:rPr>
      </w:pPr>
      <w:r>
        <w:rPr>
          <w:rFonts w:ascii="Arial" w:cs="Arial" w:eastAsia="Arial" w:hAnsi="Arial"/>
          <w:sz w:val="18"/>
          <w:szCs w:val="18"/>
          <w:color w:val="auto"/>
        </w:rPr>
        <w:t>The following table shows the relationship between interest revenue and expense, and the average amounts of interest-earning assets and interest-bearing liabilities for the six months ended June 30, 2015 and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3 - Average Consolidated Balance Sheets and Net Interest Analysis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364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w w:val="98"/>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500"/>
              <w:spacing w:after="0" w:line="198" w:lineRule="exact"/>
              <w:rPr>
                <w:sz w:val="20"/>
                <w:szCs w:val="20"/>
                <w:color w:val="auto"/>
              </w:rPr>
            </w:pPr>
            <w:r>
              <w:rPr>
                <w:rFonts w:ascii="Arial" w:cs="Arial" w:eastAsia="Arial" w:hAnsi="Arial"/>
                <w:sz w:val="18"/>
                <w:szCs w:val="18"/>
                <w:b w:val="1"/>
                <w:bCs w:val="1"/>
                <w:color w:val="auto"/>
              </w:rPr>
              <w:t>Avg.</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400"/>
              <w:spacing w:after="0" w:line="198" w:lineRule="exact"/>
              <w:rPr>
                <w:sz w:val="20"/>
                <w:szCs w:val="20"/>
                <w:color w:val="auto"/>
              </w:rPr>
            </w:pPr>
            <w:r>
              <w:rPr>
                <w:rFonts w:ascii="Arial" w:cs="Arial" w:eastAsia="Arial" w:hAnsi="Arial"/>
                <w:sz w:val="18"/>
                <w:szCs w:val="18"/>
                <w:b w:val="1"/>
                <w:bCs w:val="1"/>
                <w:color w:val="auto"/>
                <w:w w:val="95"/>
              </w:rPr>
              <w:t>Average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250"/>
              <w:spacing w:after="0" w:line="198" w:lineRule="exact"/>
              <w:rPr>
                <w:sz w:val="20"/>
                <w:szCs w:val="20"/>
                <w:color w:val="auto"/>
              </w:rPr>
            </w:pPr>
            <w:r>
              <w:rPr>
                <w:rFonts w:ascii="Arial" w:cs="Arial" w:eastAsia="Arial" w:hAnsi="Arial"/>
                <w:sz w:val="18"/>
                <w:szCs w:val="18"/>
                <w:b w:val="1"/>
                <w:bCs w:val="1"/>
                <w:color w:val="auto"/>
              </w:rPr>
              <w:t>Avg.</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660" w:type="dxa"/>
            <w:vAlign w:val="bottom"/>
            <w:gridSpan w:val="2"/>
          </w:tcPr>
          <w:p>
            <w:pPr>
              <w:spacing w:after="0"/>
              <w:rPr>
                <w:sz w:val="20"/>
                <w:szCs w:val="20"/>
                <w:color w:val="auto"/>
              </w:rPr>
            </w:pPr>
            <w:r>
              <w:rPr>
                <w:rFonts w:ascii="Arial" w:cs="Arial" w:eastAsia="Arial" w:hAnsi="Arial"/>
                <w:sz w:val="18"/>
                <w:szCs w:val="18"/>
                <w:i w:val="1"/>
                <w:iCs w:val="1"/>
                <w:color w:val="auto"/>
              </w:rPr>
              <w:t>(dollars in thousands, taxable equivalent)</w:t>
            </w:r>
          </w:p>
        </w:tc>
        <w:tc>
          <w:tcPr>
            <w:tcW w:w="18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8"/>
              </w:rPr>
              <w:t>Balance</w:t>
            </w:r>
          </w:p>
        </w:tc>
        <w:tc>
          <w:tcPr>
            <w:tcW w:w="18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Interest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Rate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Balance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Interest</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Interest-earning assets: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40" w:type="dxa"/>
            <w:vAlign w:val="bottom"/>
            <w:shd w:val="clear" w:color="auto" w:fill="F0FFFF"/>
          </w:tcPr>
          <w:p>
            <w:pPr>
              <w:ind w:left="160"/>
              <w:spacing w:after="0" w:line="256" w:lineRule="exact"/>
              <w:rPr>
                <w:sz w:val="20"/>
                <w:szCs w:val="20"/>
                <w:color w:val="auto"/>
              </w:rPr>
            </w:pPr>
            <w:r>
              <w:rPr>
                <w:rFonts w:ascii="Arial" w:cs="Arial" w:eastAsia="Arial" w:hAnsi="Arial"/>
                <w:sz w:val="18"/>
                <w:szCs w:val="18"/>
                <w:color w:val="auto"/>
              </w:rPr>
              <w:t xml:space="preserve">Loans, net of unearned income </w:t>
            </w:r>
            <w:r>
              <w:rPr>
                <w:rFonts w:ascii="Arial" w:cs="Arial" w:eastAsia="Arial" w:hAnsi="Arial"/>
                <w:sz w:val="29"/>
                <w:szCs w:val="29"/>
                <w:color w:val="auto"/>
                <w:vertAlign w:val="superscript"/>
              </w:rPr>
              <w:t>(1)(2)</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4,872,112</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102,946</w:t>
            </w:r>
          </w:p>
        </w:tc>
        <w:tc>
          <w:tcPr>
            <w:tcW w:w="220" w:type="dxa"/>
            <w:vAlign w:val="bottom"/>
            <w:shd w:val="clear" w:color="auto" w:fill="F0FFFF"/>
          </w:tcPr>
          <w:p>
            <w:pPr>
              <w:spacing w:after="0"/>
              <w:rPr>
                <w:sz w:val="22"/>
                <w:szCs w:val="22"/>
                <w:color w:val="auto"/>
              </w:rPr>
            </w:pP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4.26%</w:t>
            </w:r>
          </w:p>
        </w:tc>
        <w:tc>
          <w:tcPr>
            <w:tcW w:w="2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4,365,930</w:t>
            </w:r>
          </w:p>
        </w:tc>
        <w:tc>
          <w:tcPr>
            <w:tcW w:w="2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96,303</w:t>
            </w: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4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29"/>
                <w:szCs w:val="29"/>
                <w:color w:val="auto"/>
                <w:vertAlign w:val="superscript"/>
              </w:rPr>
              <w:t>(3)</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2,211,293</w:t>
            </w:r>
          </w:p>
        </w:tc>
        <w:tc>
          <w:tcPr>
            <w:tcW w:w="1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23,756</w:t>
            </w:r>
          </w:p>
        </w:tc>
        <w:tc>
          <w:tcPr>
            <w:tcW w:w="1020" w:type="dxa"/>
            <w:vAlign w:val="bottom"/>
          </w:tcPr>
          <w:p>
            <w:pPr>
              <w:jc w:val="right"/>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2,303,404</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23,391</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40" w:type="dxa"/>
            <w:vAlign w:val="bottom"/>
            <w:shd w:val="clear" w:color="auto" w:fill="F0FFFF"/>
          </w:tcPr>
          <w:p>
            <w:pPr>
              <w:ind w:left="160"/>
              <w:spacing w:after="0" w:line="256" w:lineRule="exact"/>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29"/>
                <w:szCs w:val="29"/>
                <w:color w:val="auto"/>
                <w:vertAlign w:val="superscript"/>
              </w:rPr>
              <w:t>(1)(3)</w:t>
            </w:r>
          </w:p>
        </w:tc>
        <w:tc>
          <w:tcPr>
            <w:tcW w:w="180" w:type="dxa"/>
            <w:vAlign w:val="bottom"/>
            <w:shd w:val="clear" w:color="auto" w:fill="F0FFFF"/>
          </w:tcPr>
          <w:p>
            <w:pPr>
              <w:spacing w:after="0"/>
              <w:rPr>
                <w:sz w:val="22"/>
                <w:szCs w:val="22"/>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20,987</w:t>
            </w:r>
          </w:p>
        </w:tc>
        <w:tc>
          <w:tcPr>
            <w:tcW w:w="180" w:type="dxa"/>
            <w:vAlign w:val="bottom"/>
            <w:shd w:val="clear" w:color="auto" w:fill="F0FFFF"/>
          </w:tcPr>
          <w:p>
            <w:pPr>
              <w:spacing w:after="0"/>
              <w:rPr>
                <w:sz w:val="22"/>
                <w:szCs w:val="22"/>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555</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5.29</w:t>
            </w:r>
          </w:p>
        </w:tc>
        <w:tc>
          <w:tcPr>
            <w:tcW w:w="16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80" w:type="dxa"/>
            <w:vAlign w:val="bottom"/>
            <w:shd w:val="clear" w:color="auto" w:fill="F0FFFF"/>
          </w:tcPr>
          <w:p>
            <w:pPr>
              <w:spacing w:after="0"/>
              <w:rPr>
                <w:sz w:val="22"/>
                <w:szCs w:val="22"/>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19,881</w:t>
            </w:r>
          </w:p>
        </w:tc>
        <w:tc>
          <w:tcPr>
            <w:tcW w:w="8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624</w:t>
            </w:r>
          </w:p>
        </w:tc>
        <w:tc>
          <w:tcPr>
            <w:tcW w:w="11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ind w:left="160"/>
              <w:spacing w:after="0" w:line="201" w:lineRule="exact"/>
              <w:rPr>
                <w:sz w:val="20"/>
                <w:szCs w:val="20"/>
                <w:color w:val="auto"/>
              </w:rPr>
            </w:pPr>
            <w:r>
              <w:rPr>
                <w:rFonts w:ascii="Arial" w:cs="Arial" w:eastAsia="Arial" w:hAnsi="Arial"/>
                <w:sz w:val="18"/>
                <w:szCs w:val="18"/>
                <w:color w:val="auto"/>
                <w:w w:val="96"/>
              </w:rPr>
              <w:t>Federal funds sold and other interest-earning</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tcPr>
          <w:p>
            <w:pPr>
              <w:ind w:left="32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153,597</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1,786</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154,651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1,960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F0FFFF"/>
              <w:bottom w:val="single" w:sz="8" w:color="F0FFFF"/>
            </w:tcBorders>
            <w:shd w:val="clear" w:color="auto" w:fill="F0FFFF"/>
          </w:tcPr>
          <w:p>
            <w:pPr>
              <w:ind w:left="480"/>
              <w:spacing w:after="0"/>
              <w:rPr>
                <w:sz w:val="20"/>
                <w:szCs w:val="20"/>
                <w:color w:val="auto"/>
              </w:rPr>
            </w:pPr>
            <w:r>
              <w:rPr>
                <w:rFonts w:ascii="Arial" w:cs="Arial" w:eastAsia="Arial" w:hAnsi="Arial"/>
                <w:sz w:val="18"/>
                <w:szCs w:val="18"/>
                <w:b w:val="1"/>
                <w:bCs w:val="1"/>
                <w:color w:val="auto"/>
              </w:rPr>
              <w:t>Total interest-earning assets</w:t>
            </w:r>
          </w:p>
        </w:tc>
        <w:tc>
          <w:tcPr>
            <w:tcW w:w="180" w:type="dxa"/>
            <w:vAlign w:val="bottom"/>
            <w:tcBorders>
              <w:top w:val="single" w:sz="8" w:color="auto"/>
              <w:bottom w:val="single" w:sz="8" w:color="auto"/>
            </w:tcBorders>
            <w:shd w:val="clear" w:color="auto" w:fill="F0FFFF"/>
          </w:tcPr>
          <w:p>
            <w:pPr>
              <w:spacing w:after="0"/>
              <w:rPr>
                <w:sz w:val="19"/>
                <w:szCs w:val="19"/>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7,257,989</w:t>
            </w:r>
          </w:p>
        </w:tc>
        <w:tc>
          <w:tcPr>
            <w:tcW w:w="220" w:type="dxa"/>
            <w:vAlign w:val="bottom"/>
            <w:tcBorders>
              <w:top w:val="single" w:sz="8" w:color="F0FFFF"/>
              <w:bottom w:val="single" w:sz="8" w:color="F0FFFF"/>
            </w:tcBorders>
            <w:shd w:val="clear" w:color="auto" w:fill="F0FFFF"/>
          </w:tcPr>
          <w:p>
            <w:pPr>
              <w:spacing w:after="0"/>
              <w:rPr>
                <w:sz w:val="19"/>
                <w:szCs w:val="19"/>
                <w:color w:val="auto"/>
              </w:rPr>
            </w:pPr>
          </w:p>
        </w:tc>
        <w:tc>
          <w:tcPr>
            <w:tcW w:w="180" w:type="dxa"/>
            <w:vAlign w:val="bottom"/>
            <w:tcBorders>
              <w:top w:val="single" w:sz="8" w:color="auto"/>
              <w:bottom w:val="single" w:sz="8" w:color="auto"/>
            </w:tcBorders>
            <w:shd w:val="clear" w:color="auto" w:fill="F0FFFF"/>
          </w:tcPr>
          <w:p>
            <w:pPr>
              <w:spacing w:after="0"/>
              <w:rPr>
                <w:sz w:val="19"/>
                <w:szCs w:val="19"/>
                <w:color w:val="auto"/>
              </w:rPr>
            </w:pP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129,043</w:t>
            </w:r>
          </w:p>
        </w:tc>
        <w:tc>
          <w:tcPr>
            <w:tcW w:w="220" w:type="dxa"/>
            <w:vAlign w:val="bottom"/>
            <w:tcBorders>
              <w:top w:val="single" w:sz="8" w:color="F0FFFF"/>
              <w:bottom w:val="single" w:sz="8" w:color="F0FFFF"/>
            </w:tcBorders>
            <w:shd w:val="clear" w:color="auto" w:fill="F0FFFF"/>
          </w:tcPr>
          <w:p>
            <w:pPr>
              <w:spacing w:after="0"/>
              <w:rPr>
                <w:sz w:val="19"/>
                <w:szCs w:val="19"/>
                <w:color w:val="auto"/>
              </w:rPr>
            </w:pPr>
          </w:p>
        </w:tc>
        <w:tc>
          <w:tcPr>
            <w:tcW w:w="102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Borders>
              <w:top w:val="single" w:sz="8" w:color="F0FFFF"/>
              <w:bottom w:val="single" w:sz="8" w:color="F0FFFF"/>
            </w:tcBorders>
            <w:shd w:val="clear" w:color="auto" w:fill="F0FFFF"/>
          </w:tcPr>
          <w:p>
            <w:pPr>
              <w:spacing w:after="0"/>
              <w:rPr>
                <w:sz w:val="19"/>
                <w:szCs w:val="19"/>
                <w:color w:val="auto"/>
              </w:rPr>
            </w:pP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180" w:type="dxa"/>
            <w:vAlign w:val="bottom"/>
            <w:tcBorders>
              <w:top w:val="single" w:sz="8" w:color="auto"/>
              <w:bottom w:val="single" w:sz="8" w:color="auto"/>
            </w:tcBorders>
            <w:shd w:val="clear" w:color="auto" w:fill="F0FFFF"/>
          </w:tcPr>
          <w:p>
            <w:pPr>
              <w:spacing w:after="0"/>
              <w:rPr>
                <w:sz w:val="19"/>
                <w:szCs w:val="19"/>
                <w:color w:val="auto"/>
              </w:rPr>
            </w:pP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6,843,866</w:t>
            </w:r>
          </w:p>
        </w:tc>
        <w:tc>
          <w:tcPr>
            <w:tcW w:w="140" w:type="dxa"/>
            <w:vAlign w:val="bottom"/>
            <w:tcBorders>
              <w:top w:val="single" w:sz="8" w:color="F0FFFF"/>
              <w:bottom w:val="single" w:sz="8" w:color="F0FFFF"/>
            </w:tcBorders>
            <w:shd w:val="clear" w:color="auto" w:fill="F0FFFF"/>
          </w:tcPr>
          <w:p>
            <w:pPr>
              <w:spacing w:after="0"/>
              <w:rPr>
                <w:sz w:val="19"/>
                <w:szCs w:val="19"/>
                <w:color w:val="auto"/>
              </w:rPr>
            </w:pPr>
          </w:p>
        </w:tc>
        <w:tc>
          <w:tcPr>
            <w:tcW w:w="80" w:type="dxa"/>
            <w:vAlign w:val="bottom"/>
            <w:tcBorders>
              <w:top w:val="single" w:sz="8" w:color="F0FFFF"/>
              <w:bottom w:val="single" w:sz="8" w:color="F0FFFF"/>
            </w:tcBorders>
            <w:shd w:val="clear" w:color="auto" w:fill="F0FFFF"/>
          </w:tcPr>
          <w:p>
            <w:pPr>
              <w:spacing w:after="0"/>
              <w:rPr>
                <w:sz w:val="19"/>
                <w:szCs w:val="19"/>
                <w:color w:val="auto"/>
              </w:rPr>
            </w:pPr>
          </w:p>
        </w:tc>
        <w:tc>
          <w:tcPr>
            <w:tcW w:w="140" w:type="dxa"/>
            <w:vAlign w:val="bottom"/>
            <w:tcBorders>
              <w:top w:val="single" w:sz="8" w:color="auto"/>
              <w:bottom w:val="single" w:sz="8" w:color="auto"/>
            </w:tcBorders>
            <w:shd w:val="clear" w:color="auto" w:fill="F0FFFF"/>
          </w:tcPr>
          <w:p>
            <w:pPr>
              <w:spacing w:after="0"/>
              <w:rPr>
                <w:sz w:val="19"/>
                <w:szCs w:val="19"/>
                <w:color w:val="auto"/>
              </w:rPr>
            </w:pP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122,278</w:t>
            </w:r>
          </w:p>
        </w:tc>
        <w:tc>
          <w:tcPr>
            <w:tcW w:w="220" w:type="dxa"/>
            <w:vAlign w:val="bottom"/>
            <w:tcBorders>
              <w:top w:val="single" w:sz="8" w:color="F0FFFF"/>
              <w:bottom w:val="single" w:sz="8" w:color="F0FFFF"/>
            </w:tcBorders>
            <w:shd w:val="clear" w:color="auto" w:fill="F0FFFF"/>
          </w:tcPr>
          <w:p>
            <w:pPr>
              <w:spacing w:after="0"/>
              <w:rPr>
                <w:sz w:val="19"/>
                <w:szCs w:val="19"/>
                <w:color w:val="auto"/>
              </w:rPr>
            </w:pPr>
          </w:p>
        </w:tc>
        <w:tc>
          <w:tcPr>
            <w:tcW w:w="1180" w:type="dxa"/>
            <w:vAlign w:val="bottom"/>
            <w:tcBorders>
              <w:top w:val="single" w:sz="8" w:color="F0FFFF"/>
              <w:bottom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Non-interest-earning assets: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Allowance for loan losses</w:t>
            </w: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(71,596)</w:t>
            </w: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(77,165)</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Cash and due from banks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78,069</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62,958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Premises and equipment</w:t>
            </w: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163,737</w:t>
            </w: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162,112</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64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Other assets </w:t>
            </w:r>
            <w:r>
              <w:rPr>
                <w:rFonts w:ascii="Arial" w:cs="Arial" w:eastAsia="Arial" w:hAnsi="Arial"/>
                <w:sz w:val="29"/>
                <w:szCs w:val="29"/>
                <w:color w:val="auto"/>
                <w:vertAlign w:val="superscript"/>
              </w:rPr>
              <w:t>(3)</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389,874</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409,466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40" w:type="dxa"/>
            <w:vAlign w:val="bottom"/>
            <w:tcBorders>
              <w:top w:val="single" w:sz="8" w:color="F0FFFF"/>
              <w:bottom w:val="single" w:sz="8" w:color="F0FFFF"/>
            </w:tcBorders>
            <w:shd w:val="clear" w:color="auto" w:fill="F0FFFF"/>
          </w:tcPr>
          <w:p>
            <w:pPr>
              <w:ind w:left="480"/>
              <w:spacing w:after="0" w:line="196" w:lineRule="exact"/>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shd w:val="clear" w:color="auto" w:fill="F0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F0FFFF"/>
          </w:tcPr>
          <w:p>
            <w:pPr>
              <w:jc w:val="right"/>
              <w:spacing w:after="0" w:line="196" w:lineRule="exact"/>
              <w:rPr>
                <w:sz w:val="20"/>
                <w:szCs w:val="20"/>
                <w:color w:val="auto"/>
              </w:rPr>
            </w:pPr>
            <w:r>
              <w:rPr>
                <w:rFonts w:ascii="Arial" w:cs="Arial" w:eastAsia="Arial" w:hAnsi="Arial"/>
                <w:sz w:val="18"/>
                <w:szCs w:val="18"/>
                <w:color w:val="auto"/>
              </w:rPr>
              <w:t>7,818,073</w:t>
            </w:r>
          </w:p>
        </w:tc>
        <w:tc>
          <w:tcPr>
            <w:tcW w:w="220" w:type="dxa"/>
            <w:vAlign w:val="bottom"/>
            <w:tcBorders>
              <w:top w:val="single" w:sz="8" w:color="F0FFFF"/>
              <w:bottom w:val="single" w:sz="8" w:color="F0FFFF"/>
            </w:tcBorders>
            <w:shd w:val="clear" w:color="auto" w:fill="F0FFFF"/>
          </w:tcPr>
          <w:p>
            <w:pPr>
              <w:spacing w:after="0"/>
              <w:rPr>
                <w:sz w:val="22"/>
                <w:szCs w:val="22"/>
                <w:color w:val="auto"/>
              </w:rPr>
            </w:pPr>
          </w:p>
        </w:tc>
        <w:tc>
          <w:tcPr>
            <w:tcW w:w="180" w:type="dxa"/>
            <w:vAlign w:val="bottom"/>
            <w:tcBorders>
              <w:top w:val="single" w:sz="8" w:color="F0FFFF"/>
              <w:bottom w:val="single" w:sz="8" w:color="F0FFFF"/>
            </w:tcBorders>
            <w:shd w:val="clear" w:color="auto" w:fill="F0FFFF"/>
          </w:tcPr>
          <w:p>
            <w:pPr>
              <w:spacing w:after="0"/>
              <w:rPr>
                <w:sz w:val="22"/>
                <w:szCs w:val="22"/>
                <w:color w:val="auto"/>
              </w:rPr>
            </w:pPr>
          </w:p>
        </w:tc>
        <w:tc>
          <w:tcPr>
            <w:tcW w:w="940" w:type="dxa"/>
            <w:vAlign w:val="bottom"/>
            <w:tcBorders>
              <w:top w:val="single" w:sz="8" w:color="F0FFFF"/>
              <w:bottom w:val="single" w:sz="8" w:color="F0FFFF"/>
            </w:tcBorders>
            <w:shd w:val="clear" w:color="auto" w:fill="F0FFFF"/>
          </w:tcPr>
          <w:p>
            <w:pPr>
              <w:spacing w:after="0"/>
              <w:rPr>
                <w:sz w:val="22"/>
                <w:szCs w:val="22"/>
                <w:color w:val="auto"/>
              </w:rPr>
            </w:pPr>
          </w:p>
        </w:tc>
        <w:tc>
          <w:tcPr>
            <w:tcW w:w="220" w:type="dxa"/>
            <w:vAlign w:val="bottom"/>
            <w:tcBorders>
              <w:top w:val="single" w:sz="8" w:color="F0FFFF"/>
              <w:bottom w:val="single" w:sz="8" w:color="F0FFFF"/>
            </w:tcBorders>
            <w:shd w:val="clear" w:color="auto" w:fill="F0FFFF"/>
          </w:tcPr>
          <w:p>
            <w:pPr>
              <w:spacing w:after="0"/>
              <w:rPr>
                <w:sz w:val="22"/>
                <w:szCs w:val="22"/>
                <w:color w:val="auto"/>
              </w:rPr>
            </w:pPr>
          </w:p>
        </w:tc>
        <w:tc>
          <w:tcPr>
            <w:tcW w:w="1020" w:type="dxa"/>
            <w:vAlign w:val="bottom"/>
            <w:tcBorders>
              <w:top w:val="single" w:sz="8" w:color="F0FFFF"/>
              <w:bottom w:val="single" w:sz="8" w:color="F0FFFF"/>
            </w:tcBorders>
            <w:shd w:val="clear" w:color="auto" w:fill="F0FFFF"/>
          </w:tcPr>
          <w:p>
            <w:pPr>
              <w:spacing w:after="0"/>
              <w:rPr>
                <w:sz w:val="22"/>
                <w:szCs w:val="22"/>
                <w:color w:val="auto"/>
              </w:rPr>
            </w:pPr>
          </w:p>
        </w:tc>
        <w:tc>
          <w:tcPr>
            <w:tcW w:w="160" w:type="dxa"/>
            <w:vAlign w:val="bottom"/>
            <w:tcBorders>
              <w:top w:val="single" w:sz="8" w:color="F0FFFF"/>
              <w:bottom w:val="single" w:sz="8" w:color="F0FFFF"/>
            </w:tcBorders>
            <w:shd w:val="clear" w:color="auto" w:fill="F0FFFF"/>
          </w:tcPr>
          <w:p>
            <w:pPr>
              <w:spacing w:after="0"/>
              <w:rPr>
                <w:sz w:val="22"/>
                <w:szCs w:val="22"/>
                <w:color w:val="auto"/>
              </w:rPr>
            </w:pPr>
          </w:p>
        </w:tc>
        <w:tc>
          <w:tcPr>
            <w:tcW w:w="100" w:type="dxa"/>
            <w:vAlign w:val="bottom"/>
            <w:tcBorders>
              <w:top w:val="single" w:sz="8" w:color="F0FFFF"/>
              <w:bottom w:val="single" w:sz="8" w:color="F0FFFF"/>
            </w:tcBorders>
            <w:shd w:val="clear" w:color="auto" w:fill="F0FFFF"/>
          </w:tcPr>
          <w:p>
            <w:pPr>
              <w:spacing w:after="0"/>
              <w:rPr>
                <w:sz w:val="22"/>
                <w:szCs w:val="22"/>
                <w:color w:val="auto"/>
              </w:rPr>
            </w:pPr>
          </w:p>
        </w:tc>
        <w:tc>
          <w:tcPr>
            <w:tcW w:w="180" w:type="dxa"/>
            <w:vAlign w:val="bottom"/>
            <w:tcBorders>
              <w:top w:val="single" w:sz="8" w:color="auto"/>
              <w:bottom w:val="single" w:sz="8" w:color="auto"/>
            </w:tcBorders>
            <w:shd w:val="clear" w:color="auto" w:fill="F0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F0FFFF"/>
          </w:tcPr>
          <w:p>
            <w:pPr>
              <w:jc w:val="right"/>
              <w:spacing w:after="0" w:line="196" w:lineRule="exact"/>
              <w:rPr>
                <w:sz w:val="20"/>
                <w:szCs w:val="20"/>
                <w:color w:val="auto"/>
              </w:rPr>
            </w:pPr>
            <w:r>
              <w:rPr>
                <w:rFonts w:ascii="Arial" w:cs="Arial" w:eastAsia="Arial" w:hAnsi="Arial"/>
                <w:sz w:val="18"/>
                <w:szCs w:val="18"/>
                <w:color w:val="auto"/>
              </w:rPr>
              <w:t>7,401,237</w:t>
            </w:r>
          </w:p>
        </w:tc>
        <w:tc>
          <w:tcPr>
            <w:tcW w:w="140" w:type="dxa"/>
            <w:vAlign w:val="bottom"/>
            <w:tcBorders>
              <w:top w:val="single" w:sz="8" w:color="F0FFFF"/>
              <w:bottom w:val="single" w:sz="8" w:color="F0FFFF"/>
            </w:tcBorders>
            <w:shd w:val="clear" w:color="auto" w:fill="F0FFFF"/>
          </w:tcPr>
          <w:p>
            <w:pPr>
              <w:spacing w:after="0"/>
              <w:rPr>
                <w:sz w:val="22"/>
                <w:szCs w:val="22"/>
                <w:color w:val="auto"/>
              </w:rPr>
            </w:pPr>
          </w:p>
        </w:tc>
        <w:tc>
          <w:tcPr>
            <w:tcW w:w="80" w:type="dxa"/>
            <w:vAlign w:val="bottom"/>
            <w:tcBorders>
              <w:top w:val="single" w:sz="8" w:color="F0FFFF"/>
              <w:bottom w:val="single" w:sz="8" w:color="F0FFFF"/>
            </w:tcBorders>
            <w:shd w:val="clear" w:color="auto" w:fill="F0FFFF"/>
          </w:tcPr>
          <w:p>
            <w:pPr>
              <w:spacing w:after="0"/>
              <w:rPr>
                <w:sz w:val="22"/>
                <w:szCs w:val="22"/>
                <w:color w:val="auto"/>
              </w:rPr>
            </w:pPr>
          </w:p>
        </w:tc>
        <w:tc>
          <w:tcPr>
            <w:tcW w:w="140" w:type="dxa"/>
            <w:vAlign w:val="bottom"/>
            <w:tcBorders>
              <w:top w:val="single" w:sz="8" w:color="F0FFFF"/>
              <w:bottom w:val="single" w:sz="8" w:color="F0FFFF"/>
            </w:tcBorders>
            <w:shd w:val="clear" w:color="auto" w:fill="F0FFFF"/>
          </w:tcPr>
          <w:p>
            <w:pPr>
              <w:spacing w:after="0"/>
              <w:rPr>
                <w:sz w:val="22"/>
                <w:szCs w:val="22"/>
                <w:color w:val="auto"/>
              </w:rPr>
            </w:pPr>
          </w:p>
        </w:tc>
        <w:tc>
          <w:tcPr>
            <w:tcW w:w="860" w:type="dxa"/>
            <w:vAlign w:val="bottom"/>
            <w:tcBorders>
              <w:top w:val="single" w:sz="8" w:color="F0FFFF"/>
              <w:bottom w:val="single" w:sz="8" w:color="F0FFFF"/>
            </w:tcBorders>
            <w:shd w:val="clear" w:color="auto" w:fill="F0FFFF"/>
          </w:tcPr>
          <w:p>
            <w:pPr>
              <w:spacing w:after="0"/>
              <w:rPr>
                <w:sz w:val="22"/>
                <w:szCs w:val="22"/>
                <w:color w:val="auto"/>
              </w:rPr>
            </w:pPr>
          </w:p>
        </w:tc>
        <w:tc>
          <w:tcPr>
            <w:tcW w:w="220" w:type="dxa"/>
            <w:vAlign w:val="bottom"/>
            <w:tcBorders>
              <w:top w:val="single" w:sz="8" w:color="F0FFFF"/>
              <w:bottom w:val="single" w:sz="8" w:color="F0FFFF"/>
            </w:tcBorders>
            <w:shd w:val="clear" w:color="auto" w:fill="F0FFFF"/>
          </w:tcPr>
          <w:p>
            <w:pPr>
              <w:spacing w:after="0"/>
              <w:rPr>
                <w:sz w:val="22"/>
                <w:szCs w:val="22"/>
                <w:color w:val="auto"/>
              </w:rPr>
            </w:pPr>
          </w:p>
        </w:tc>
        <w:tc>
          <w:tcPr>
            <w:tcW w:w="1020" w:type="dxa"/>
            <w:vAlign w:val="bottom"/>
            <w:tcBorders>
              <w:top w:val="single" w:sz="8" w:color="F0FFFF"/>
              <w:bottom w:val="single" w:sz="8" w:color="F0FFFF"/>
            </w:tcBorders>
            <w:shd w:val="clear" w:color="auto" w:fill="F0FFFF"/>
          </w:tcPr>
          <w:p>
            <w:pPr>
              <w:spacing w:after="0"/>
              <w:rPr>
                <w:sz w:val="22"/>
                <w:szCs w:val="22"/>
                <w:color w:val="auto"/>
              </w:rPr>
            </w:pPr>
          </w:p>
        </w:tc>
        <w:tc>
          <w:tcPr>
            <w:tcW w:w="160" w:type="dxa"/>
            <w:vAlign w:val="bottom"/>
            <w:tcBorders>
              <w:top w:val="single" w:sz="8" w:color="F0FFFF"/>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Interest-bearing deposits:</w:t>
            </w: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320"/>
              <w:spacing w:after="0"/>
              <w:rPr>
                <w:sz w:val="20"/>
                <w:szCs w:val="20"/>
                <w:color w:val="auto"/>
              </w:rPr>
            </w:pPr>
            <w:r>
              <w:rPr>
                <w:rFonts w:ascii="Arial" w:cs="Arial" w:eastAsia="Arial" w:hAnsi="Arial"/>
                <w:sz w:val="18"/>
                <w:szCs w:val="18"/>
                <w:color w:val="auto"/>
              </w:rPr>
              <w:t>NOW</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1,447,370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742</w:t>
            </w: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1,385,964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851</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Money market</w:t>
            </w: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1,537,678</w:t>
            </w: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1,479</w:t>
            </w: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1,368,975</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1,320</w:t>
            </w:r>
          </w:p>
        </w:tc>
        <w:tc>
          <w:tcPr>
            <w:tcW w:w="11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320"/>
              <w:spacing w:after="0"/>
              <w:rPr>
                <w:sz w:val="20"/>
                <w:szCs w:val="20"/>
                <w:color w:val="auto"/>
              </w:rPr>
            </w:pPr>
            <w:r>
              <w:rPr>
                <w:rFonts w:ascii="Arial" w:cs="Arial" w:eastAsia="Arial" w:hAnsi="Arial"/>
                <w:sz w:val="18"/>
                <w:szCs w:val="18"/>
                <w:color w:val="auto"/>
              </w:rPr>
              <w:t>Savings</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317,814</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267,588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Time less than $100,000</w:t>
            </w: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755,826</w:t>
            </w: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1,515</w:t>
            </w: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847,707</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1,946</w:t>
            </w:r>
          </w:p>
        </w:tc>
        <w:tc>
          <w:tcPr>
            <w:tcW w:w="11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320"/>
              <w:spacing w:after="0"/>
              <w:rPr>
                <w:sz w:val="20"/>
                <w:szCs w:val="20"/>
                <w:color w:val="auto"/>
              </w:rPr>
            </w:pPr>
            <w:r>
              <w:rPr>
                <w:rFonts w:ascii="Arial" w:cs="Arial" w:eastAsia="Arial" w:hAnsi="Arial"/>
                <w:sz w:val="18"/>
                <w:szCs w:val="18"/>
                <w:color w:val="auto"/>
              </w:rPr>
              <w:t>Time greater than $100,000</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484,624</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1,146</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570,799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1,783</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Brokered time deposits</w:t>
            </w:r>
          </w:p>
        </w:tc>
        <w:tc>
          <w:tcPr>
            <w:tcW w:w="180" w:type="dxa"/>
            <w:vAlign w:val="bottom"/>
            <w:shd w:val="clear" w:color="auto" w:fill="F0FFFF"/>
          </w:tcPr>
          <w:p>
            <w:pPr>
              <w:spacing w:after="0"/>
              <w:rPr>
                <w:sz w:val="19"/>
                <w:szCs w:val="19"/>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274,708</w:t>
            </w:r>
          </w:p>
        </w:tc>
        <w:tc>
          <w:tcPr>
            <w:tcW w:w="180" w:type="dxa"/>
            <w:vAlign w:val="bottom"/>
            <w:shd w:val="clear" w:color="auto" w:fill="F0FFFF"/>
          </w:tcPr>
          <w:p>
            <w:pPr>
              <w:spacing w:after="0"/>
              <w:rPr>
                <w:sz w:val="19"/>
                <w:szCs w:val="19"/>
                <w:color w:val="auto"/>
              </w:rPr>
            </w:pPr>
          </w:p>
        </w:tc>
        <w:tc>
          <w:tcPr>
            <w:tcW w:w="11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(657)</w:t>
            </w:r>
          </w:p>
        </w:tc>
        <w:tc>
          <w:tcPr>
            <w:tcW w:w="11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311,579</w:t>
            </w:r>
          </w:p>
        </w:tc>
        <w:tc>
          <w:tcPr>
            <w:tcW w:w="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60</w:t>
            </w:r>
          </w:p>
        </w:tc>
        <w:tc>
          <w:tcPr>
            <w:tcW w:w="11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480"/>
              <w:spacing w:after="0"/>
              <w:rPr>
                <w:sz w:val="20"/>
                <w:szCs w:val="20"/>
                <w:color w:val="auto"/>
              </w:rPr>
            </w:pPr>
            <w:r>
              <w:rPr>
                <w:rFonts w:ascii="Arial" w:cs="Arial" w:eastAsia="Arial" w:hAnsi="Arial"/>
                <w:sz w:val="18"/>
                <w:szCs w:val="18"/>
                <w:color w:val="auto"/>
              </w:rPr>
              <w:t>Total interest-bearing deposits</w:t>
            </w: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4,818,020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4,271</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4,752,612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6,001</w:t>
            </w: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tcPr>
          <w:p>
            <w:pPr>
              <w:ind w:left="320"/>
              <w:spacing w:after="0" w:line="201" w:lineRule="exact"/>
              <w:rPr>
                <w:sz w:val="20"/>
                <w:szCs w:val="20"/>
                <w:color w:val="auto"/>
              </w:rPr>
            </w:pPr>
            <w:r>
              <w:rPr>
                <w:rFonts w:ascii="Arial" w:cs="Arial" w:eastAsia="Arial" w:hAnsi="Arial"/>
                <w:sz w:val="18"/>
                <w:szCs w:val="18"/>
                <w:color w:val="auto"/>
              </w:rPr>
              <w:t>Federal funds purchased and other</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ind w:left="480"/>
              <w:spacing w:after="0"/>
              <w:rPr>
                <w:sz w:val="20"/>
                <w:szCs w:val="20"/>
                <w:color w:val="auto"/>
              </w:rPr>
            </w:pPr>
            <w:r>
              <w:rPr>
                <w:rFonts w:ascii="Arial" w:cs="Arial" w:eastAsia="Arial" w:hAnsi="Arial"/>
                <w:sz w:val="18"/>
                <w:szCs w:val="18"/>
                <w:color w:val="auto"/>
              </w:rPr>
              <w:t>borrowings</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41,953</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180</w:t>
            </w:r>
          </w:p>
        </w:tc>
        <w:tc>
          <w:tcPr>
            <w:tcW w:w="1020" w:type="dxa"/>
            <w:vAlign w:val="bottom"/>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110,436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1,748</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Federal Home Loan Bank advances</w:t>
            </w: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264,584</w:t>
            </w: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846</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140,014</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138</w:t>
            </w:r>
          </w:p>
        </w:tc>
        <w:tc>
          <w:tcPr>
            <w:tcW w:w="11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32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120,782</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4,812</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129,865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5,272</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top w:val="single" w:sz="8" w:color="F0FFFF"/>
              <w:bottom w:val="single" w:sz="8" w:color="F0FFFF"/>
            </w:tcBorders>
            <w:shd w:val="clear" w:color="auto" w:fill="F0FFFF"/>
          </w:tcPr>
          <w:p>
            <w:pPr>
              <w:ind w:left="320"/>
              <w:spacing w:after="0"/>
              <w:rPr>
                <w:sz w:val="20"/>
                <w:szCs w:val="20"/>
                <w:color w:val="auto"/>
              </w:rPr>
            </w:pPr>
            <w:r>
              <w:rPr>
                <w:rFonts w:ascii="Arial" w:cs="Arial" w:eastAsia="Arial" w:hAnsi="Arial"/>
                <w:sz w:val="18"/>
                <w:szCs w:val="18"/>
                <w:color w:val="auto"/>
              </w:rPr>
              <w:t>Total borrowed funds</w:t>
            </w:r>
          </w:p>
        </w:tc>
        <w:tc>
          <w:tcPr>
            <w:tcW w:w="180" w:type="dxa"/>
            <w:vAlign w:val="bottom"/>
            <w:tcBorders>
              <w:top w:val="single" w:sz="8" w:color="auto"/>
              <w:bottom w:val="single" w:sz="8" w:color="auto"/>
            </w:tcBorders>
            <w:shd w:val="clear" w:color="auto" w:fill="F0FFFF"/>
          </w:tcPr>
          <w:p>
            <w:pPr>
              <w:spacing w:after="0"/>
              <w:rPr>
                <w:sz w:val="19"/>
                <w:szCs w:val="19"/>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427,319</w:t>
            </w:r>
          </w:p>
        </w:tc>
        <w:tc>
          <w:tcPr>
            <w:tcW w:w="220" w:type="dxa"/>
            <w:vAlign w:val="bottom"/>
            <w:tcBorders>
              <w:top w:val="single" w:sz="8" w:color="F0FFFF"/>
              <w:bottom w:val="single" w:sz="8" w:color="F0FFFF"/>
            </w:tcBorders>
            <w:shd w:val="clear" w:color="auto" w:fill="F0FFFF"/>
          </w:tcPr>
          <w:p>
            <w:pPr>
              <w:spacing w:after="0"/>
              <w:rPr>
                <w:sz w:val="19"/>
                <w:szCs w:val="19"/>
                <w:color w:val="auto"/>
              </w:rPr>
            </w:pPr>
          </w:p>
        </w:tc>
        <w:tc>
          <w:tcPr>
            <w:tcW w:w="180" w:type="dxa"/>
            <w:vAlign w:val="bottom"/>
            <w:tcBorders>
              <w:top w:val="single" w:sz="8" w:color="auto"/>
              <w:bottom w:val="single" w:sz="8" w:color="auto"/>
            </w:tcBorders>
            <w:shd w:val="clear" w:color="auto" w:fill="F0FFFF"/>
          </w:tcPr>
          <w:p>
            <w:pPr>
              <w:spacing w:after="0"/>
              <w:rPr>
                <w:sz w:val="19"/>
                <w:szCs w:val="19"/>
                <w:color w:val="auto"/>
              </w:rPr>
            </w:pP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5,838</w:t>
            </w:r>
          </w:p>
        </w:tc>
        <w:tc>
          <w:tcPr>
            <w:tcW w:w="220" w:type="dxa"/>
            <w:vAlign w:val="bottom"/>
            <w:tcBorders>
              <w:top w:val="single" w:sz="8" w:color="F0FFFF"/>
              <w:bottom w:val="single" w:sz="8" w:color="F0FFFF"/>
            </w:tcBorders>
            <w:shd w:val="clear" w:color="auto" w:fill="F0FFFF"/>
          </w:tcPr>
          <w:p>
            <w:pPr>
              <w:spacing w:after="0"/>
              <w:rPr>
                <w:sz w:val="19"/>
                <w:szCs w:val="19"/>
                <w:color w:val="auto"/>
              </w:rPr>
            </w:pPr>
          </w:p>
        </w:tc>
        <w:tc>
          <w:tcPr>
            <w:tcW w:w="102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2.76</w:t>
            </w:r>
          </w:p>
        </w:tc>
        <w:tc>
          <w:tcPr>
            <w:tcW w:w="160" w:type="dxa"/>
            <w:vAlign w:val="bottom"/>
            <w:tcBorders>
              <w:top w:val="single" w:sz="8" w:color="F0FFFF"/>
              <w:bottom w:val="single" w:sz="8" w:color="F0FFFF"/>
            </w:tcBorders>
            <w:shd w:val="clear" w:color="auto" w:fill="F0FFFF"/>
          </w:tcPr>
          <w:p>
            <w:pPr>
              <w:spacing w:after="0"/>
              <w:rPr>
                <w:sz w:val="19"/>
                <w:szCs w:val="19"/>
                <w:color w:val="auto"/>
              </w:rPr>
            </w:pP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180" w:type="dxa"/>
            <w:vAlign w:val="bottom"/>
            <w:tcBorders>
              <w:top w:val="single" w:sz="8" w:color="auto"/>
              <w:bottom w:val="single" w:sz="8" w:color="auto"/>
            </w:tcBorders>
            <w:shd w:val="clear" w:color="auto" w:fill="F0FFFF"/>
          </w:tcPr>
          <w:p>
            <w:pPr>
              <w:spacing w:after="0"/>
              <w:rPr>
                <w:sz w:val="19"/>
                <w:szCs w:val="19"/>
                <w:color w:val="auto"/>
              </w:rPr>
            </w:pP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380,315</w:t>
            </w:r>
          </w:p>
        </w:tc>
        <w:tc>
          <w:tcPr>
            <w:tcW w:w="140" w:type="dxa"/>
            <w:vAlign w:val="bottom"/>
            <w:tcBorders>
              <w:top w:val="single" w:sz="8" w:color="F0FFFF"/>
              <w:bottom w:val="single" w:sz="8" w:color="F0FFFF"/>
            </w:tcBorders>
            <w:shd w:val="clear" w:color="auto" w:fill="F0FFFF"/>
          </w:tcPr>
          <w:p>
            <w:pPr>
              <w:spacing w:after="0"/>
              <w:rPr>
                <w:sz w:val="19"/>
                <w:szCs w:val="19"/>
                <w:color w:val="auto"/>
              </w:rPr>
            </w:pPr>
          </w:p>
        </w:tc>
        <w:tc>
          <w:tcPr>
            <w:tcW w:w="80" w:type="dxa"/>
            <w:vAlign w:val="bottom"/>
            <w:tcBorders>
              <w:top w:val="single" w:sz="8" w:color="F0FFFF"/>
              <w:bottom w:val="single" w:sz="8" w:color="F0FFFF"/>
            </w:tcBorders>
            <w:shd w:val="clear" w:color="auto" w:fill="F0FFFF"/>
          </w:tcPr>
          <w:p>
            <w:pPr>
              <w:spacing w:after="0"/>
              <w:rPr>
                <w:sz w:val="19"/>
                <w:szCs w:val="19"/>
                <w:color w:val="auto"/>
              </w:rPr>
            </w:pPr>
          </w:p>
        </w:tc>
        <w:tc>
          <w:tcPr>
            <w:tcW w:w="140" w:type="dxa"/>
            <w:vAlign w:val="bottom"/>
            <w:tcBorders>
              <w:top w:val="single" w:sz="8" w:color="auto"/>
              <w:bottom w:val="single" w:sz="8" w:color="auto"/>
            </w:tcBorders>
            <w:shd w:val="clear" w:color="auto" w:fill="F0FFFF"/>
          </w:tcPr>
          <w:p>
            <w:pPr>
              <w:spacing w:after="0"/>
              <w:rPr>
                <w:sz w:val="19"/>
                <w:szCs w:val="19"/>
                <w:color w:val="auto"/>
              </w:rPr>
            </w:pP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7,158</w:t>
            </w:r>
          </w:p>
        </w:tc>
        <w:tc>
          <w:tcPr>
            <w:tcW w:w="220" w:type="dxa"/>
            <w:vAlign w:val="bottom"/>
            <w:tcBorders>
              <w:top w:val="single" w:sz="8" w:color="F0FFFF"/>
              <w:bottom w:val="single" w:sz="8" w:color="F0FFFF"/>
            </w:tcBorders>
            <w:shd w:val="clear" w:color="auto" w:fill="F0FFFF"/>
          </w:tcPr>
          <w:p>
            <w:pPr>
              <w:spacing w:after="0"/>
              <w:rPr>
                <w:sz w:val="19"/>
                <w:szCs w:val="19"/>
                <w:color w:val="auto"/>
              </w:rPr>
            </w:pPr>
          </w:p>
        </w:tc>
        <w:tc>
          <w:tcPr>
            <w:tcW w:w="1180" w:type="dxa"/>
            <w:vAlign w:val="bottom"/>
            <w:tcBorders>
              <w:top w:val="single" w:sz="8" w:color="F0FFFF"/>
              <w:bottom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shd w:val="clear" w:color="auto" w:fill="F0FFFF"/>
          </w:tcPr>
          <w:p>
            <w:pPr>
              <w:ind w:left="480"/>
              <w:spacing w:after="0"/>
              <w:rPr>
                <w:sz w:val="20"/>
                <w:szCs w:val="20"/>
                <w:color w:val="auto"/>
              </w:rPr>
            </w:pPr>
            <w:r>
              <w:rPr>
                <w:rFonts w:ascii="Arial" w:cs="Arial" w:eastAsia="Arial" w:hAnsi="Arial"/>
                <w:sz w:val="18"/>
                <w:szCs w:val="18"/>
                <w:b w:val="1"/>
                <w:bCs w:val="1"/>
                <w:color w:val="auto"/>
              </w:rPr>
              <w:t>Total interest-bearing liabilities</w:t>
            </w:r>
          </w:p>
        </w:tc>
        <w:tc>
          <w:tcPr>
            <w:tcW w:w="180" w:type="dxa"/>
            <w:vAlign w:val="bottom"/>
            <w:shd w:val="clear" w:color="auto" w:fill="F0FFFF"/>
          </w:tcPr>
          <w:p>
            <w:pPr>
              <w:spacing w:after="0"/>
              <w:rPr>
                <w:sz w:val="19"/>
                <w:szCs w:val="19"/>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5,245,339</w:t>
            </w:r>
          </w:p>
        </w:tc>
        <w:tc>
          <w:tcPr>
            <w:tcW w:w="180" w:type="dxa"/>
            <w:vAlign w:val="bottom"/>
            <w:shd w:val="clear" w:color="auto" w:fill="F0FFFF"/>
          </w:tcPr>
          <w:p>
            <w:pPr>
              <w:spacing w:after="0"/>
              <w:rPr>
                <w:sz w:val="19"/>
                <w:szCs w:val="19"/>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10,109</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5,132,927</w:t>
            </w:r>
          </w:p>
        </w:tc>
        <w:tc>
          <w:tcPr>
            <w:tcW w:w="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10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13,159</w:t>
            </w:r>
          </w:p>
        </w:tc>
        <w:tc>
          <w:tcPr>
            <w:tcW w:w="11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Non-interest-bearing liabilities:</w:t>
            </w:r>
          </w:p>
        </w:tc>
        <w:tc>
          <w:tcPr>
            <w:tcW w:w="180" w:type="dxa"/>
            <w:vAlign w:val="bottom"/>
            <w:tcBorders>
              <w:top w:val="single" w:sz="8" w:color="F0FFFF"/>
            </w:tcBorders>
          </w:tcPr>
          <w:p>
            <w:pPr>
              <w:spacing w:after="0"/>
              <w:rPr>
                <w:sz w:val="18"/>
                <w:szCs w:val="18"/>
                <w:color w:val="auto"/>
              </w:rPr>
            </w:pPr>
          </w:p>
        </w:tc>
        <w:tc>
          <w:tcPr>
            <w:tcW w:w="98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020" w:type="dxa"/>
            <w:vAlign w:val="bottom"/>
            <w:tcBorders>
              <w:top w:val="single" w:sz="8" w:color="F0FFFF"/>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96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020" w:type="dxa"/>
            <w:vAlign w:val="bottom"/>
            <w:tcBorders>
              <w:top w:val="single" w:sz="8" w:color="F0FFFF"/>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Non-interest-bearing deposits</w:t>
            </w: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1,702,140</w:t>
            </w: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1,439,447</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92,138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F0FFFF"/>
          </w:tcPr>
          <w:p>
            <w:pPr>
              <w:ind w:left="48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7,039,617</w:t>
            </w: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6,693,317</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778,456</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707,920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40" w:type="dxa"/>
            <w:vAlign w:val="bottom"/>
            <w:tcBorders>
              <w:top w:val="single" w:sz="8" w:color="F0FFFF"/>
              <w:bottom w:val="single" w:sz="8" w:color="F0FFFF"/>
            </w:tcBorders>
            <w:shd w:val="clear" w:color="auto" w:fill="F0FFFF"/>
          </w:tcPr>
          <w:p>
            <w:pPr>
              <w:ind w:left="160"/>
              <w:spacing w:after="0" w:line="196" w:lineRule="exact"/>
              <w:rPr>
                <w:sz w:val="20"/>
                <w:szCs w:val="20"/>
                <w:color w:val="auto"/>
              </w:rPr>
            </w:pPr>
            <w:r>
              <w:rPr>
                <w:rFonts w:ascii="Arial" w:cs="Arial" w:eastAsia="Arial" w:hAnsi="Arial"/>
                <w:sz w:val="18"/>
                <w:szCs w:val="18"/>
                <w:b w:val="1"/>
                <w:bCs w:val="1"/>
                <w:color w:val="auto"/>
              </w:rPr>
              <w:t>Total liabilities and shareholders’ equity</w:t>
            </w:r>
          </w:p>
        </w:tc>
        <w:tc>
          <w:tcPr>
            <w:tcW w:w="180" w:type="dxa"/>
            <w:vAlign w:val="bottom"/>
            <w:tcBorders>
              <w:top w:val="single" w:sz="8" w:color="auto"/>
              <w:bottom w:val="single" w:sz="8" w:color="auto"/>
            </w:tcBorders>
            <w:shd w:val="clear" w:color="auto" w:fill="F0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F0FFFF"/>
          </w:tcPr>
          <w:p>
            <w:pPr>
              <w:jc w:val="right"/>
              <w:spacing w:after="0" w:line="196" w:lineRule="exact"/>
              <w:rPr>
                <w:sz w:val="20"/>
                <w:szCs w:val="20"/>
                <w:color w:val="auto"/>
              </w:rPr>
            </w:pPr>
            <w:r>
              <w:rPr>
                <w:rFonts w:ascii="Arial" w:cs="Arial" w:eastAsia="Arial" w:hAnsi="Arial"/>
                <w:sz w:val="18"/>
                <w:szCs w:val="18"/>
                <w:color w:val="auto"/>
              </w:rPr>
              <w:t>7,818,073</w:t>
            </w:r>
          </w:p>
        </w:tc>
        <w:tc>
          <w:tcPr>
            <w:tcW w:w="220" w:type="dxa"/>
            <w:vAlign w:val="bottom"/>
            <w:tcBorders>
              <w:top w:val="single" w:sz="8" w:color="F0FFFF"/>
              <w:bottom w:val="single" w:sz="8" w:color="F0FFFF"/>
            </w:tcBorders>
            <w:shd w:val="clear" w:color="auto" w:fill="F0FFFF"/>
          </w:tcPr>
          <w:p>
            <w:pPr>
              <w:spacing w:after="0"/>
              <w:rPr>
                <w:sz w:val="22"/>
                <w:szCs w:val="22"/>
                <w:color w:val="auto"/>
              </w:rPr>
            </w:pPr>
          </w:p>
        </w:tc>
        <w:tc>
          <w:tcPr>
            <w:tcW w:w="180" w:type="dxa"/>
            <w:vAlign w:val="bottom"/>
            <w:tcBorders>
              <w:top w:val="single" w:sz="8" w:color="F0FFFF"/>
              <w:bottom w:val="single" w:sz="8" w:color="F0FFFF"/>
            </w:tcBorders>
            <w:shd w:val="clear" w:color="auto" w:fill="F0FFFF"/>
          </w:tcPr>
          <w:p>
            <w:pPr>
              <w:spacing w:after="0"/>
              <w:rPr>
                <w:sz w:val="22"/>
                <w:szCs w:val="22"/>
                <w:color w:val="auto"/>
              </w:rPr>
            </w:pPr>
          </w:p>
        </w:tc>
        <w:tc>
          <w:tcPr>
            <w:tcW w:w="940" w:type="dxa"/>
            <w:vAlign w:val="bottom"/>
            <w:tcBorders>
              <w:top w:val="single" w:sz="8" w:color="F0FFFF"/>
              <w:bottom w:val="single" w:sz="8" w:color="F0FFFF"/>
            </w:tcBorders>
            <w:shd w:val="clear" w:color="auto" w:fill="F0FFFF"/>
          </w:tcPr>
          <w:p>
            <w:pPr>
              <w:spacing w:after="0"/>
              <w:rPr>
                <w:sz w:val="22"/>
                <w:szCs w:val="22"/>
                <w:color w:val="auto"/>
              </w:rPr>
            </w:pPr>
          </w:p>
        </w:tc>
        <w:tc>
          <w:tcPr>
            <w:tcW w:w="220" w:type="dxa"/>
            <w:vAlign w:val="bottom"/>
            <w:tcBorders>
              <w:top w:val="single" w:sz="8" w:color="F0FFFF"/>
              <w:bottom w:val="single" w:sz="8" w:color="F0FFFF"/>
            </w:tcBorders>
            <w:shd w:val="clear" w:color="auto" w:fill="F0FFFF"/>
          </w:tcPr>
          <w:p>
            <w:pPr>
              <w:spacing w:after="0"/>
              <w:rPr>
                <w:sz w:val="22"/>
                <w:szCs w:val="22"/>
                <w:color w:val="auto"/>
              </w:rPr>
            </w:pPr>
          </w:p>
        </w:tc>
        <w:tc>
          <w:tcPr>
            <w:tcW w:w="1020" w:type="dxa"/>
            <w:vAlign w:val="bottom"/>
            <w:tcBorders>
              <w:top w:val="single" w:sz="8" w:color="F0FFFF"/>
              <w:bottom w:val="single" w:sz="8" w:color="F0FFFF"/>
            </w:tcBorders>
            <w:shd w:val="clear" w:color="auto" w:fill="F0FFFF"/>
          </w:tcPr>
          <w:p>
            <w:pPr>
              <w:spacing w:after="0"/>
              <w:rPr>
                <w:sz w:val="22"/>
                <w:szCs w:val="22"/>
                <w:color w:val="auto"/>
              </w:rPr>
            </w:pPr>
          </w:p>
        </w:tc>
        <w:tc>
          <w:tcPr>
            <w:tcW w:w="160" w:type="dxa"/>
            <w:vAlign w:val="bottom"/>
            <w:tcBorders>
              <w:top w:val="single" w:sz="8" w:color="F0FFFF"/>
              <w:bottom w:val="single" w:sz="8" w:color="F0FFFF"/>
            </w:tcBorders>
            <w:shd w:val="clear" w:color="auto" w:fill="F0FFFF"/>
          </w:tcPr>
          <w:p>
            <w:pPr>
              <w:spacing w:after="0"/>
              <w:rPr>
                <w:sz w:val="22"/>
                <w:szCs w:val="22"/>
                <w:color w:val="auto"/>
              </w:rPr>
            </w:pPr>
          </w:p>
        </w:tc>
        <w:tc>
          <w:tcPr>
            <w:tcW w:w="100" w:type="dxa"/>
            <w:vAlign w:val="bottom"/>
            <w:tcBorders>
              <w:top w:val="single" w:sz="8" w:color="F0FFFF"/>
              <w:bottom w:val="single" w:sz="8" w:color="F0FFFF"/>
            </w:tcBorders>
            <w:shd w:val="clear" w:color="auto" w:fill="F0FFFF"/>
          </w:tcPr>
          <w:p>
            <w:pPr>
              <w:spacing w:after="0"/>
              <w:rPr>
                <w:sz w:val="22"/>
                <w:szCs w:val="22"/>
                <w:color w:val="auto"/>
              </w:rPr>
            </w:pPr>
          </w:p>
        </w:tc>
        <w:tc>
          <w:tcPr>
            <w:tcW w:w="180" w:type="dxa"/>
            <w:vAlign w:val="bottom"/>
            <w:tcBorders>
              <w:top w:val="single" w:sz="8" w:color="auto"/>
              <w:bottom w:val="single" w:sz="8" w:color="auto"/>
            </w:tcBorders>
            <w:shd w:val="clear" w:color="auto" w:fill="F0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F0FFFF"/>
          </w:tcPr>
          <w:p>
            <w:pPr>
              <w:jc w:val="right"/>
              <w:spacing w:after="0" w:line="196" w:lineRule="exact"/>
              <w:rPr>
                <w:sz w:val="20"/>
                <w:szCs w:val="20"/>
                <w:color w:val="auto"/>
              </w:rPr>
            </w:pPr>
            <w:r>
              <w:rPr>
                <w:rFonts w:ascii="Arial" w:cs="Arial" w:eastAsia="Arial" w:hAnsi="Arial"/>
                <w:sz w:val="18"/>
                <w:szCs w:val="18"/>
                <w:color w:val="auto"/>
              </w:rPr>
              <w:t>7,401,237</w:t>
            </w:r>
          </w:p>
        </w:tc>
        <w:tc>
          <w:tcPr>
            <w:tcW w:w="140" w:type="dxa"/>
            <w:vAlign w:val="bottom"/>
            <w:tcBorders>
              <w:top w:val="single" w:sz="8" w:color="F0FFFF"/>
              <w:bottom w:val="single" w:sz="8" w:color="F0FFFF"/>
            </w:tcBorders>
            <w:shd w:val="clear" w:color="auto" w:fill="F0FFFF"/>
          </w:tcPr>
          <w:p>
            <w:pPr>
              <w:spacing w:after="0"/>
              <w:rPr>
                <w:sz w:val="22"/>
                <w:szCs w:val="22"/>
                <w:color w:val="auto"/>
              </w:rPr>
            </w:pPr>
          </w:p>
        </w:tc>
        <w:tc>
          <w:tcPr>
            <w:tcW w:w="80" w:type="dxa"/>
            <w:vAlign w:val="bottom"/>
            <w:tcBorders>
              <w:top w:val="single" w:sz="8" w:color="F0FFFF"/>
              <w:bottom w:val="single" w:sz="8" w:color="F0FFFF"/>
            </w:tcBorders>
            <w:shd w:val="clear" w:color="auto" w:fill="F0FFFF"/>
          </w:tcPr>
          <w:p>
            <w:pPr>
              <w:spacing w:after="0"/>
              <w:rPr>
                <w:sz w:val="22"/>
                <w:szCs w:val="22"/>
                <w:color w:val="auto"/>
              </w:rPr>
            </w:pPr>
          </w:p>
        </w:tc>
        <w:tc>
          <w:tcPr>
            <w:tcW w:w="140" w:type="dxa"/>
            <w:vAlign w:val="bottom"/>
            <w:tcBorders>
              <w:top w:val="single" w:sz="8" w:color="F0FFFF"/>
              <w:bottom w:val="single" w:sz="8" w:color="F0FFFF"/>
            </w:tcBorders>
            <w:shd w:val="clear" w:color="auto" w:fill="F0FFFF"/>
          </w:tcPr>
          <w:p>
            <w:pPr>
              <w:spacing w:after="0"/>
              <w:rPr>
                <w:sz w:val="22"/>
                <w:szCs w:val="22"/>
                <w:color w:val="auto"/>
              </w:rPr>
            </w:pPr>
          </w:p>
        </w:tc>
        <w:tc>
          <w:tcPr>
            <w:tcW w:w="860" w:type="dxa"/>
            <w:vAlign w:val="bottom"/>
            <w:tcBorders>
              <w:top w:val="single" w:sz="8" w:color="F0FFFF"/>
              <w:bottom w:val="single" w:sz="8" w:color="F0FFFF"/>
            </w:tcBorders>
            <w:shd w:val="clear" w:color="auto" w:fill="F0FFFF"/>
          </w:tcPr>
          <w:p>
            <w:pPr>
              <w:spacing w:after="0"/>
              <w:rPr>
                <w:sz w:val="22"/>
                <w:szCs w:val="22"/>
                <w:color w:val="auto"/>
              </w:rPr>
            </w:pPr>
          </w:p>
        </w:tc>
        <w:tc>
          <w:tcPr>
            <w:tcW w:w="220" w:type="dxa"/>
            <w:vAlign w:val="bottom"/>
            <w:tcBorders>
              <w:top w:val="single" w:sz="8" w:color="F0FFFF"/>
              <w:bottom w:val="single" w:sz="8" w:color="F0FFFF"/>
            </w:tcBorders>
            <w:shd w:val="clear" w:color="auto" w:fill="F0FFFF"/>
          </w:tcPr>
          <w:p>
            <w:pPr>
              <w:spacing w:after="0"/>
              <w:rPr>
                <w:sz w:val="22"/>
                <w:szCs w:val="22"/>
                <w:color w:val="auto"/>
              </w:rPr>
            </w:pPr>
          </w:p>
        </w:tc>
        <w:tc>
          <w:tcPr>
            <w:tcW w:w="1020" w:type="dxa"/>
            <w:vAlign w:val="bottom"/>
            <w:tcBorders>
              <w:top w:val="single" w:sz="8" w:color="F0FFFF"/>
              <w:bottom w:val="single" w:sz="8" w:color="F0FFFF"/>
            </w:tcBorders>
            <w:shd w:val="clear" w:color="auto" w:fill="F0FFFF"/>
          </w:tcPr>
          <w:p>
            <w:pPr>
              <w:spacing w:after="0"/>
              <w:rPr>
                <w:sz w:val="22"/>
                <w:szCs w:val="22"/>
                <w:color w:val="auto"/>
              </w:rPr>
            </w:pPr>
          </w:p>
        </w:tc>
        <w:tc>
          <w:tcPr>
            <w:tcW w:w="160" w:type="dxa"/>
            <w:vAlign w:val="bottom"/>
            <w:tcBorders>
              <w:top w:val="single" w:sz="8" w:color="F0FFFF"/>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6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shd w:val="clear" w:color="auto" w:fill="F0FFFF"/>
          </w:tcPr>
          <w:p>
            <w:pPr>
              <w:spacing w:after="0" w:line="196" w:lineRule="exact"/>
              <w:rPr>
                <w:sz w:val="20"/>
                <w:szCs w:val="20"/>
                <w:color w:val="auto"/>
              </w:rPr>
            </w:pPr>
            <w:r>
              <w:rPr>
                <w:rFonts w:ascii="Arial" w:cs="Arial" w:eastAsia="Arial" w:hAnsi="Arial"/>
                <w:sz w:val="18"/>
                <w:szCs w:val="18"/>
                <w:b w:val="1"/>
                <w:bCs w:val="1"/>
                <w:color w:val="auto"/>
              </w:rPr>
              <w:t>Net interest revenue</w:t>
            </w:r>
          </w:p>
        </w:tc>
        <w:tc>
          <w:tcPr>
            <w:tcW w:w="180" w:type="dxa"/>
            <w:vAlign w:val="bottom"/>
            <w:shd w:val="clear" w:color="auto" w:fill="F0FFFF"/>
          </w:tcPr>
          <w:p>
            <w:pPr>
              <w:spacing w:after="0"/>
              <w:rPr>
                <w:sz w:val="20"/>
                <w:szCs w:val="20"/>
                <w:color w:val="auto"/>
              </w:rPr>
            </w:pPr>
          </w:p>
        </w:tc>
        <w:tc>
          <w:tcPr>
            <w:tcW w:w="98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F0FFFF"/>
          </w:tcPr>
          <w:p>
            <w:pPr>
              <w:jc w:val="right"/>
              <w:ind w:right="220"/>
              <w:spacing w:after="0" w:line="196" w:lineRule="exact"/>
              <w:rPr>
                <w:sz w:val="20"/>
                <w:szCs w:val="20"/>
                <w:color w:val="auto"/>
              </w:rPr>
            </w:pPr>
            <w:r>
              <w:rPr>
                <w:rFonts w:ascii="Arial" w:cs="Arial" w:eastAsia="Arial" w:hAnsi="Arial"/>
                <w:sz w:val="18"/>
                <w:szCs w:val="18"/>
                <w:color w:val="auto"/>
              </w:rPr>
              <w:t>118,934</w:t>
            </w:r>
          </w:p>
        </w:tc>
        <w:tc>
          <w:tcPr>
            <w:tcW w:w="102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96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220" w:type="dxa"/>
            <w:vAlign w:val="bottom"/>
            <w:gridSpan w:val="2"/>
            <w:shd w:val="clear" w:color="auto" w:fill="F0FF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220"/>
              <w:spacing w:after="0" w:line="196" w:lineRule="exact"/>
              <w:rPr>
                <w:sz w:val="20"/>
                <w:szCs w:val="20"/>
                <w:color w:val="auto"/>
              </w:rPr>
            </w:pPr>
            <w:r>
              <w:rPr>
                <w:rFonts w:ascii="Arial" w:cs="Arial" w:eastAsia="Arial" w:hAnsi="Arial"/>
                <w:sz w:val="18"/>
                <w:szCs w:val="18"/>
                <w:color w:val="auto"/>
              </w:rPr>
              <w:t>109,119</w:t>
            </w:r>
          </w:p>
        </w:tc>
        <w:tc>
          <w:tcPr>
            <w:tcW w:w="102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98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02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96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02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gridSpan w:val="2"/>
          </w:tcPr>
          <w:p>
            <w:pPr>
              <w:spacing w:after="0" w:line="196" w:lineRule="exact"/>
              <w:rPr>
                <w:sz w:val="20"/>
                <w:szCs w:val="20"/>
                <w:color w:val="auto"/>
              </w:rPr>
            </w:pPr>
            <w:r>
              <w:rPr>
                <w:rFonts w:ascii="Arial" w:cs="Arial" w:eastAsia="Arial" w:hAnsi="Arial"/>
                <w:sz w:val="18"/>
                <w:szCs w:val="18"/>
                <w:color w:val="auto"/>
              </w:rPr>
              <w:t>Net interest-rate spread</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
              <w:spacing w:after="0" w:line="197" w:lineRule="exact"/>
              <w:rPr>
                <w:sz w:val="20"/>
                <w:szCs w:val="20"/>
                <w:color w:val="auto"/>
              </w:rPr>
            </w:pPr>
            <w:r>
              <w:rPr>
                <w:rFonts w:ascii="Arial" w:cs="Arial" w:eastAsia="Arial" w:hAnsi="Arial"/>
                <w:sz w:val="13"/>
                <w:szCs w:val="13"/>
                <w:color w:val="auto"/>
              </w:rPr>
              <w:t>3.19</w:t>
            </w:r>
            <w:r>
              <w:rPr>
                <w:rFonts w:ascii="Arial" w:cs="Arial" w:eastAsia="Arial" w:hAnsi="Arial"/>
                <w:sz w:val="22"/>
                <w:szCs w:val="22"/>
                <w:color w:val="auto"/>
                <w:vertAlign w:val="subscript"/>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line="197" w:lineRule="exact"/>
              <w:rPr>
                <w:sz w:val="20"/>
                <w:szCs w:val="20"/>
                <w:color w:val="auto"/>
              </w:rPr>
            </w:pPr>
            <w:r>
              <w:rPr>
                <w:rFonts w:ascii="Arial" w:cs="Arial" w:eastAsia="Arial" w:hAnsi="Arial"/>
                <w:sz w:val="14"/>
                <w:szCs w:val="14"/>
                <w:b w:val="1"/>
                <w:bCs w:val="1"/>
                <w:color w:val="auto"/>
              </w:rPr>
              <w:t xml:space="preserve">Net interest margin </w:t>
            </w:r>
            <w:r>
              <w:rPr>
                <w:rFonts w:ascii="Arial" w:cs="Arial" w:eastAsia="Arial" w:hAnsi="Arial"/>
                <w:sz w:val="22"/>
                <w:szCs w:val="22"/>
                <w:color w:val="auto"/>
                <w:vertAlign w:val="superscript"/>
              </w:rPr>
              <w:t>(4)</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
              <w:spacing w:after="0" w:line="197" w:lineRule="exact"/>
              <w:rPr>
                <w:sz w:val="20"/>
                <w:szCs w:val="20"/>
                <w:color w:val="auto"/>
              </w:rPr>
            </w:pPr>
            <w:r>
              <w:rPr>
                <w:rFonts w:ascii="Arial" w:cs="Arial" w:eastAsia="Arial" w:hAnsi="Arial"/>
                <w:sz w:val="13"/>
                <w:szCs w:val="13"/>
                <w:color w:val="auto"/>
              </w:rPr>
              <w:t>3.30</w:t>
            </w:r>
            <w:r>
              <w:rPr>
                <w:rFonts w:ascii="Arial" w:cs="Arial" w:eastAsia="Arial" w:hAnsi="Arial"/>
                <w:sz w:val="22"/>
                <w:szCs w:val="22"/>
                <w:color w:val="auto"/>
                <w:vertAlign w:val="subscript"/>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hanging="338"/>
        <w:spacing w:after="0" w:line="194" w:lineRule="auto"/>
        <w:tabs>
          <w:tab w:leader="none" w:pos="36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spacing w:after="0" w:line="202" w:lineRule="exact"/>
        <w:rPr>
          <w:rFonts w:ascii="Arial" w:cs="Arial" w:eastAsia="Arial" w:hAnsi="Arial"/>
          <w:sz w:val="30"/>
          <w:szCs w:val="30"/>
          <w:color w:val="auto"/>
          <w:vertAlign w:val="superscript"/>
        </w:rPr>
      </w:pPr>
    </w:p>
    <w:p>
      <w:pPr>
        <w:ind w:left="340" w:right="600" w:hanging="318"/>
        <w:spacing w:after="0" w:line="194" w:lineRule="auto"/>
        <w:tabs>
          <w:tab w:leader="none" w:pos="34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Included in the average balance of loans outstanding are loans where the accrual of interest has been discontinued and loans that are held for sale.</w:t>
      </w:r>
    </w:p>
    <w:p>
      <w:pPr>
        <w:spacing w:after="0" w:line="202" w:lineRule="exact"/>
        <w:rPr>
          <w:rFonts w:ascii="Arial" w:cs="Arial" w:eastAsia="Arial" w:hAnsi="Arial"/>
          <w:sz w:val="30"/>
          <w:szCs w:val="30"/>
          <w:color w:val="auto"/>
          <w:vertAlign w:val="superscript"/>
        </w:rPr>
      </w:pPr>
    </w:p>
    <w:p>
      <w:pPr>
        <w:ind w:left="360" w:hanging="338"/>
        <w:spacing w:after="0" w:line="194" w:lineRule="auto"/>
        <w:tabs>
          <w:tab w:leader="none" w:pos="36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Securities available for sale are shown at amortized cost. Pretax unrealized gains of $14.8 million in 2015 and pretax unrealized losses of $1.37 million in 2014 are included in other assets for purposes of this presentation.</w:t>
      </w:r>
    </w:p>
    <w:p>
      <w:pPr>
        <w:spacing w:after="0" w:line="202" w:lineRule="exact"/>
        <w:rPr>
          <w:rFonts w:ascii="Arial" w:cs="Arial" w:eastAsia="Arial" w:hAnsi="Arial"/>
          <w:sz w:val="30"/>
          <w:szCs w:val="30"/>
          <w:color w:val="auto"/>
          <w:vertAlign w:val="superscript"/>
        </w:rPr>
      </w:pPr>
    </w:p>
    <w:p>
      <w:pPr>
        <w:ind w:left="260" w:right="3720" w:hanging="238"/>
        <w:spacing w:after="0" w:line="198" w:lineRule="auto"/>
        <w:tabs>
          <w:tab w:leader="none" w:pos="26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Net interest margin is taxable equivalent net-interest revenue divided by average interest-earning assets.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0" w:gutter="0" w:footer="0" w:header="0"/>
        </w:sectPr>
      </w:pPr>
    </w:p>
    <w:bookmarkStart w:id="58" w:name="page59"/>
    <w:bookmarkEnd w:id="58"/>
    <w:p>
      <w:pPr>
        <w:jc w:val="both"/>
        <w:spacing w:after="0" w:line="264" w:lineRule="auto"/>
        <w:rPr>
          <w:sz w:val="20"/>
          <w:szCs w:val="20"/>
          <w:color w:val="auto"/>
        </w:rPr>
      </w:pPr>
      <w:r>
        <w:rPr>
          <w:rFonts w:ascii="Arial" w:cs="Arial" w:eastAsia="Arial" w:hAnsi="Arial"/>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177" w:lineRule="exact"/>
        <w:rPr>
          <w:sz w:val="20"/>
          <w:szCs w:val="20"/>
          <w:color w:val="auto"/>
        </w:rPr>
      </w:pPr>
    </w:p>
    <w:p>
      <w:pPr>
        <w:ind w:left="60" w:right="5200" w:hanging="44"/>
        <w:spacing w:after="0" w:line="282" w:lineRule="auto"/>
        <w:rPr>
          <w:sz w:val="20"/>
          <w:szCs w:val="20"/>
          <w:color w:val="auto"/>
        </w:rPr>
      </w:pPr>
      <w:r>
        <w:rPr>
          <w:rFonts w:ascii="Arial" w:cs="Arial" w:eastAsia="Arial" w:hAnsi="Arial"/>
          <w:sz w:val="18"/>
          <w:szCs w:val="18"/>
          <w:b w:val="1"/>
          <w:bCs w:val="1"/>
          <w:color w:val="auto"/>
        </w:rPr>
        <w:t xml:space="preserve">Table 4 - Change in Interest Revenue and Expense on a Taxable Equivalent Basis </w:t>
      </w:r>
      <w:r>
        <w:rPr>
          <w:rFonts w:ascii="Arial" w:cs="Arial" w:eastAsia="Arial" w:hAnsi="Arial"/>
          <w:sz w:val="18"/>
          <w:szCs w:val="18"/>
          <w:i w:val="1"/>
          <w:iCs w:val="1"/>
          <w:color w:val="auto"/>
        </w:rPr>
        <w:t>(in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0"/>
              </w:rPr>
              <w:t>Three Months Ended June 30, 2015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20" w:type="dxa"/>
            <w:vAlign w:val="bottom"/>
            <w:gridSpan w:val="9"/>
          </w:tcPr>
          <w:p>
            <w:pPr>
              <w:jc w:val="center"/>
              <w:ind w:right="260"/>
              <w:spacing w:after="0"/>
              <w:rPr>
                <w:sz w:val="20"/>
                <w:szCs w:val="20"/>
                <w:color w:val="auto"/>
              </w:rPr>
            </w:pPr>
            <w:r>
              <w:rPr>
                <w:rFonts w:ascii="Arial" w:cs="Arial" w:eastAsia="Arial" w:hAnsi="Arial"/>
                <w:sz w:val="18"/>
                <w:szCs w:val="18"/>
                <w:b w:val="1"/>
                <w:bCs w:val="1"/>
                <w:color w:val="auto"/>
                <w:w w:val="90"/>
              </w:rPr>
              <w:t>Six Months Ended June 30,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Compared to 2014</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4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0"/>
              </w:rPr>
              <w:t>Compared to 2014</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Increase (decrease)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7"/>
          </w:tcPr>
          <w:p>
            <w:pPr>
              <w:jc w:val="center"/>
              <w:ind w:left="570"/>
              <w:spacing w:after="0"/>
              <w:rPr>
                <w:sz w:val="20"/>
                <w:szCs w:val="20"/>
                <w:color w:val="auto"/>
              </w:rPr>
            </w:pPr>
            <w:r>
              <w:rPr>
                <w:rFonts w:ascii="Arial" w:cs="Arial" w:eastAsia="Arial" w:hAnsi="Arial"/>
                <w:sz w:val="18"/>
                <w:szCs w:val="18"/>
                <w:b w:val="1"/>
                <w:bCs w:val="1"/>
                <w:color w:val="auto"/>
                <w:w w:val="88"/>
              </w:rPr>
              <w:t>Increase (decrease)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Due to Changes in</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8"/>
              </w:rPr>
              <w:t>Due to Changes in</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Volume</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Rate</w:t>
            </w:r>
          </w:p>
        </w:tc>
        <w:tc>
          <w:tcPr>
            <w:tcW w:w="22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w w:val="95"/>
              </w:rPr>
              <w:t>Volume</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Rate</w:t>
            </w:r>
          </w:p>
        </w:tc>
        <w:tc>
          <w:tcPr>
            <w:tcW w:w="200" w:type="dxa"/>
            <w:vAlign w:val="bottom"/>
          </w:tcPr>
          <w:p>
            <w:pPr>
              <w:spacing w:after="0"/>
              <w:rPr>
                <w:sz w:val="19"/>
                <w:szCs w:val="19"/>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Interest-earning assets:</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F0FFFF"/>
          </w:tcPr>
          <w:p>
            <w:pPr>
              <w:spacing w:after="0"/>
              <w:rPr>
                <w:sz w:val="20"/>
                <w:szCs w:val="20"/>
                <w:color w:val="auto"/>
              </w:rPr>
            </w:pPr>
            <w:r>
              <w:rPr>
                <w:rFonts w:ascii="Arial" w:cs="Arial" w:eastAsia="Arial" w:hAnsi="Arial"/>
                <w:sz w:val="18"/>
                <w:szCs w:val="18"/>
                <w:color w:val="auto"/>
              </w:rPr>
              <w:t>Loans</w:t>
            </w:r>
          </w:p>
        </w:tc>
        <w:tc>
          <w:tcPr>
            <w:tcW w:w="3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6,855</w:t>
            </w:r>
          </w:p>
        </w:tc>
        <w:tc>
          <w:tcPr>
            <w:tcW w:w="460" w:type="dxa"/>
            <w:vAlign w:val="bottom"/>
            <w:tcBorders>
              <w:lef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(2,209)</w:t>
            </w: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4,646</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50"/>
              <w:spacing w:after="0"/>
              <w:rPr>
                <w:sz w:val="20"/>
                <w:szCs w:val="20"/>
                <w:color w:val="auto"/>
              </w:rPr>
            </w:pPr>
            <w:r>
              <w:rPr>
                <w:rFonts w:ascii="Arial" w:cs="Arial" w:eastAsia="Arial" w:hAnsi="Arial"/>
                <w:sz w:val="18"/>
                <w:szCs w:val="18"/>
                <w:color w:val="auto"/>
              </w:rPr>
              <w:t>10,821</w:t>
            </w:r>
          </w:p>
        </w:tc>
        <w:tc>
          <w:tcPr>
            <w:tcW w:w="2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(4,178)</w:t>
            </w: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Taxable securities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(958)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1,323</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F0FFFF"/>
          </w:tcPr>
          <w:p>
            <w:pPr>
              <w:spacing w:after="0"/>
              <w:rPr>
                <w:sz w:val="20"/>
                <w:szCs w:val="20"/>
                <w:color w:val="auto"/>
              </w:rPr>
            </w:pPr>
            <w:r>
              <w:rPr>
                <w:rFonts w:ascii="Arial" w:cs="Arial" w:eastAsia="Arial" w:hAnsi="Arial"/>
                <w:sz w:val="18"/>
                <w:szCs w:val="18"/>
                <w:color w:val="auto"/>
              </w:rPr>
              <w:t>Tax-exempt securities</w:t>
            </w:r>
          </w:p>
        </w:tc>
        <w:tc>
          <w:tcPr>
            <w:tcW w:w="1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84</w:t>
            </w:r>
          </w:p>
        </w:tc>
        <w:tc>
          <w:tcPr>
            <w:tcW w:w="240" w:type="dxa"/>
            <w:vAlign w:val="bottom"/>
            <w:tcBorders>
              <w:left w:val="single" w:sz="8" w:color="F0FFFF"/>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50"/>
              <w:spacing w:after="0"/>
              <w:rPr>
                <w:sz w:val="20"/>
                <w:szCs w:val="20"/>
                <w:color w:val="auto"/>
              </w:rPr>
            </w:pPr>
            <w:r>
              <w:rPr>
                <w:rFonts w:ascii="Arial" w:cs="Arial" w:eastAsia="Arial" w:hAnsi="Arial"/>
                <w:sz w:val="18"/>
                <w:szCs w:val="18"/>
                <w:color w:val="auto"/>
              </w:rPr>
              <w:t>33</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w w:val="91"/>
              </w:rPr>
              <w:t>Federal funds sold and other interest-earning assets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shd w:val="clear" w:color="auto" w:fill="F0FFFF"/>
          </w:tcPr>
          <w:p>
            <w:pPr>
              <w:ind w:left="320"/>
              <w:spacing w:after="0"/>
              <w:rPr>
                <w:sz w:val="20"/>
                <w:szCs w:val="20"/>
                <w:color w:val="auto"/>
              </w:rPr>
            </w:pPr>
            <w:r>
              <w:rPr>
                <w:rFonts w:ascii="Arial" w:cs="Arial" w:eastAsia="Arial" w:hAnsi="Arial"/>
                <w:sz w:val="18"/>
                <w:szCs w:val="18"/>
                <w:b w:val="1"/>
                <w:bCs w:val="1"/>
                <w:color w:val="auto"/>
              </w:rPr>
              <w:t>Total interest-earning assets</w:t>
            </w:r>
          </w:p>
        </w:tc>
        <w:tc>
          <w:tcPr>
            <w:tcW w:w="16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6,613</w:t>
            </w:r>
          </w:p>
        </w:tc>
        <w:tc>
          <w:tcPr>
            <w:tcW w:w="240" w:type="dxa"/>
            <w:vAlign w:val="bottom"/>
            <w:tcBorders>
              <w:left w:val="single" w:sz="8" w:color="F0FFFF"/>
            </w:tcBorders>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0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(2,262)</w:t>
            </w:r>
          </w:p>
        </w:tc>
        <w:tc>
          <w:tcPr>
            <w:tcW w:w="220" w:type="dxa"/>
            <w:vAlign w:val="bottom"/>
            <w:shd w:val="clear" w:color="auto" w:fill="F0FFFF"/>
          </w:tcPr>
          <w:p>
            <w:pPr>
              <w:spacing w:after="0"/>
              <w:rPr>
                <w:sz w:val="19"/>
                <w:szCs w:val="19"/>
                <w:color w:val="auto"/>
              </w:rPr>
            </w:pPr>
          </w:p>
        </w:tc>
        <w:tc>
          <w:tcPr>
            <w:tcW w:w="9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4,351</w:t>
            </w:r>
          </w:p>
        </w:tc>
        <w:tc>
          <w:tcPr>
            <w:tcW w:w="8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1000" w:type="dxa"/>
            <w:vAlign w:val="bottom"/>
            <w:gridSpan w:val="2"/>
            <w:shd w:val="clear" w:color="auto" w:fill="F0FFFF"/>
          </w:tcPr>
          <w:p>
            <w:pPr>
              <w:jc w:val="right"/>
              <w:ind w:right="50"/>
              <w:spacing w:after="0"/>
              <w:rPr>
                <w:sz w:val="20"/>
                <w:szCs w:val="20"/>
                <w:color w:val="auto"/>
              </w:rPr>
            </w:pPr>
            <w:r>
              <w:rPr>
                <w:rFonts w:ascii="Arial" w:cs="Arial" w:eastAsia="Arial" w:hAnsi="Arial"/>
                <w:sz w:val="18"/>
                <w:szCs w:val="18"/>
                <w:color w:val="auto"/>
              </w:rPr>
              <w:t>9,883</w:t>
            </w:r>
          </w:p>
        </w:tc>
        <w:tc>
          <w:tcPr>
            <w:tcW w:w="8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(3,118)</w:t>
            </w:r>
          </w:p>
        </w:tc>
        <w:tc>
          <w:tcPr>
            <w:tcW w:w="200" w:type="dxa"/>
            <w:vAlign w:val="bottom"/>
            <w:shd w:val="clear" w:color="auto" w:fill="F0FFFF"/>
          </w:tcPr>
          <w:p>
            <w:pPr>
              <w:spacing w:after="0"/>
              <w:rPr>
                <w:sz w:val="19"/>
                <w:szCs w:val="19"/>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6,765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Borders>
              <w:top w:val="single" w:sz="8" w:color="F0FFFF"/>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Interest-bearing liabilities:</w:t>
            </w:r>
          </w:p>
        </w:tc>
        <w:tc>
          <w:tcPr>
            <w:tcW w:w="1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40" w:type="dxa"/>
            <w:vAlign w:val="bottom"/>
            <w:tcBorders>
              <w:left w:val="single" w:sz="8" w:color="F0FFFF"/>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NOW accounts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F0FFFF"/>
          </w:tcPr>
          <w:p>
            <w:pPr>
              <w:spacing w:after="0"/>
              <w:rPr>
                <w:sz w:val="20"/>
                <w:szCs w:val="20"/>
                <w:color w:val="auto"/>
              </w:rPr>
            </w:pPr>
            <w:r>
              <w:rPr>
                <w:rFonts w:ascii="Arial" w:cs="Arial" w:eastAsia="Arial" w:hAnsi="Arial"/>
                <w:sz w:val="18"/>
                <w:szCs w:val="18"/>
                <w:color w:val="auto"/>
              </w:rPr>
              <w:t>Money market accounts</w:t>
            </w:r>
          </w:p>
        </w:tc>
        <w:tc>
          <w:tcPr>
            <w:tcW w:w="1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Borders>
              <w:left w:val="single" w:sz="8" w:color="F0FFFF"/>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(79)</w:t>
            </w:r>
          </w:p>
        </w:tc>
        <w:tc>
          <w:tcPr>
            <w:tcW w:w="2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49</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50"/>
              <w:spacing w:after="0"/>
              <w:rPr>
                <w:sz w:val="20"/>
                <w:szCs w:val="20"/>
                <w:color w:val="auto"/>
              </w:rPr>
            </w:pPr>
            <w:r>
              <w:rPr>
                <w:rFonts w:ascii="Arial" w:cs="Arial" w:eastAsia="Arial" w:hAnsi="Arial"/>
                <w:sz w:val="18"/>
                <w:szCs w:val="18"/>
                <w:color w:val="auto"/>
              </w:rPr>
              <w:t>162</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w:t>
            </w: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Savings deposits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F0FFFF"/>
          </w:tcPr>
          <w:p>
            <w:pPr>
              <w:spacing w:after="0"/>
              <w:rPr>
                <w:sz w:val="20"/>
                <w:szCs w:val="20"/>
                <w:color w:val="auto"/>
              </w:rPr>
            </w:pPr>
            <w:r>
              <w:rPr>
                <w:rFonts w:ascii="Arial" w:cs="Arial" w:eastAsia="Arial" w:hAnsi="Arial"/>
                <w:sz w:val="18"/>
                <w:szCs w:val="18"/>
                <w:color w:val="auto"/>
              </w:rPr>
              <w:t>Time deposits less than $100,000</w:t>
            </w:r>
          </w:p>
        </w:tc>
        <w:tc>
          <w:tcPr>
            <w:tcW w:w="1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(48)</w:t>
            </w:r>
          </w:p>
        </w:tc>
        <w:tc>
          <w:tcPr>
            <w:tcW w:w="240" w:type="dxa"/>
            <w:vAlign w:val="bottom"/>
            <w:tcBorders>
              <w:left w:val="single" w:sz="8" w:color="F0FFFF"/>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(94)</w:t>
            </w:r>
          </w:p>
        </w:tc>
        <w:tc>
          <w:tcPr>
            <w:tcW w:w="2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(142)</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(199)</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Time deposits greater than $100,000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(262)</w:t>
            </w: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(393)</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F0FFFF"/>
          </w:tcPr>
          <w:p>
            <w:pPr>
              <w:spacing w:after="0"/>
              <w:rPr>
                <w:sz w:val="20"/>
                <w:szCs w:val="20"/>
                <w:color w:val="auto"/>
              </w:rPr>
            </w:pPr>
            <w:r>
              <w:rPr>
                <w:rFonts w:ascii="Arial" w:cs="Arial" w:eastAsia="Arial" w:hAnsi="Arial"/>
                <w:sz w:val="18"/>
                <w:szCs w:val="18"/>
                <w:color w:val="auto"/>
              </w:rPr>
              <w:t>Brokered deposits</w:t>
            </w:r>
          </w:p>
        </w:tc>
        <w:tc>
          <w:tcPr>
            <w:tcW w:w="1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w:t>
            </w:r>
          </w:p>
        </w:tc>
        <w:tc>
          <w:tcPr>
            <w:tcW w:w="240" w:type="dxa"/>
            <w:vAlign w:val="bottom"/>
            <w:tcBorders>
              <w:left w:val="single" w:sz="8" w:color="F0FFFF"/>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(566)</w:t>
            </w:r>
          </w:p>
        </w:tc>
        <w:tc>
          <w:tcPr>
            <w:tcW w:w="2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(598)</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(711)</w:t>
            </w: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Borders>
              <w:left w:val="single" w:sz="8" w:color="F0FFFF"/>
            </w:tcBorders>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Total interest-bearing deposits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(1,082)</w:t>
            </w: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(1,486)</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F0FFFF"/>
          </w:tcPr>
          <w:p>
            <w:pPr>
              <w:spacing w:after="0"/>
              <w:rPr>
                <w:sz w:val="20"/>
                <w:szCs w:val="20"/>
                <w:color w:val="auto"/>
              </w:rPr>
            </w:pPr>
            <w:r>
              <w:rPr>
                <w:rFonts w:ascii="Arial" w:cs="Arial" w:eastAsia="Arial" w:hAnsi="Arial"/>
                <w:sz w:val="18"/>
                <w:szCs w:val="18"/>
                <w:color w:val="auto"/>
              </w:rPr>
              <w:t>Federal funds purchased &amp; other borrowings</w:t>
            </w:r>
          </w:p>
        </w:tc>
        <w:tc>
          <w:tcPr>
            <w:tcW w:w="1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(341)</w:t>
            </w:r>
          </w:p>
        </w:tc>
        <w:tc>
          <w:tcPr>
            <w:tcW w:w="240" w:type="dxa"/>
            <w:vAlign w:val="bottom"/>
            <w:tcBorders>
              <w:left w:val="single" w:sz="8" w:color="F0FFFF"/>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(485)</w:t>
            </w:r>
          </w:p>
        </w:tc>
        <w:tc>
          <w:tcPr>
            <w:tcW w:w="2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(826)</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(721)</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(847)</w:t>
            </w: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Federal Home Loan Bank advances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262</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50"/>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507</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F0FFFF"/>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(313)</w:t>
            </w:r>
          </w:p>
        </w:tc>
        <w:tc>
          <w:tcPr>
            <w:tcW w:w="240" w:type="dxa"/>
            <w:vAlign w:val="bottom"/>
            <w:tcBorders>
              <w:left w:val="single" w:sz="8" w:color="F0FFFF"/>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(432)</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(363)</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(97)</w:t>
            </w: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Borders>
              <w:left w:val="single" w:sz="8" w:color="F0FFFF"/>
            </w:tcBorders>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Total borrowed funds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(342)</w:t>
            </w: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(883)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(437)</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shd w:val="clear" w:color="auto" w:fill="F0FFFF"/>
          </w:tcPr>
          <w:p>
            <w:pPr>
              <w:ind w:left="640"/>
              <w:spacing w:after="0"/>
              <w:rPr>
                <w:sz w:val="20"/>
                <w:szCs w:val="20"/>
                <w:color w:val="auto"/>
              </w:rPr>
            </w:pPr>
            <w:r>
              <w:rPr>
                <w:rFonts w:ascii="Arial" w:cs="Arial" w:eastAsia="Arial" w:hAnsi="Arial"/>
                <w:sz w:val="18"/>
                <w:szCs w:val="18"/>
                <w:b w:val="1"/>
                <w:bCs w:val="1"/>
                <w:color w:val="auto"/>
              </w:rPr>
              <w:t>Total interest-bearing liabilities</w:t>
            </w:r>
          </w:p>
        </w:tc>
        <w:tc>
          <w:tcPr>
            <w:tcW w:w="16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(592)</w:t>
            </w:r>
          </w:p>
        </w:tc>
        <w:tc>
          <w:tcPr>
            <w:tcW w:w="240" w:type="dxa"/>
            <w:vAlign w:val="bottom"/>
            <w:tcBorders>
              <w:left w:val="single" w:sz="8" w:color="F0FFFF"/>
            </w:tcBorders>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0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(1,424)</w:t>
            </w:r>
          </w:p>
        </w:tc>
        <w:tc>
          <w:tcPr>
            <w:tcW w:w="220" w:type="dxa"/>
            <w:vAlign w:val="bottom"/>
            <w:shd w:val="clear" w:color="auto" w:fill="F0FFFF"/>
          </w:tcPr>
          <w:p>
            <w:pPr>
              <w:spacing w:after="0"/>
              <w:rPr>
                <w:sz w:val="19"/>
                <w:szCs w:val="19"/>
                <w:color w:val="auto"/>
              </w:rPr>
            </w:pP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(2,016)</w:t>
            </w:r>
          </w:p>
        </w:tc>
        <w:tc>
          <w:tcPr>
            <w:tcW w:w="8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(1,127)</w:t>
            </w:r>
          </w:p>
        </w:tc>
        <w:tc>
          <w:tcPr>
            <w:tcW w:w="8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(1,923)</w:t>
            </w:r>
          </w:p>
        </w:tc>
        <w:tc>
          <w:tcPr>
            <w:tcW w:w="200" w:type="dxa"/>
            <w:vAlign w:val="bottom"/>
            <w:shd w:val="clear" w:color="auto" w:fill="F0FFFF"/>
          </w:tcPr>
          <w:p>
            <w:pPr>
              <w:spacing w:after="0"/>
              <w:rPr>
                <w:sz w:val="19"/>
                <w:szCs w:val="19"/>
                <w:color w:val="auto"/>
              </w:rPr>
            </w:pPr>
          </w:p>
        </w:tc>
        <w:tc>
          <w:tcPr>
            <w:tcW w:w="9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top w:val="single" w:sz="8" w:color="F0FFFF"/>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shd w:val="clear" w:color="auto" w:fill="F0FFFF"/>
          </w:tcPr>
          <w:p>
            <w:pPr>
              <w:ind w:left="960"/>
              <w:spacing w:after="0"/>
              <w:rPr>
                <w:sz w:val="20"/>
                <w:szCs w:val="20"/>
                <w:color w:val="auto"/>
              </w:rPr>
            </w:pPr>
            <w:r>
              <w:rPr>
                <w:rFonts w:ascii="Arial" w:cs="Arial" w:eastAsia="Arial" w:hAnsi="Arial"/>
                <w:sz w:val="18"/>
                <w:szCs w:val="18"/>
                <w:b w:val="1"/>
                <w:bCs w:val="1"/>
                <w:color w:val="auto"/>
              </w:rPr>
              <w:t>Increase in net interest revenue</w:t>
            </w:r>
          </w:p>
        </w:tc>
        <w:tc>
          <w:tcPr>
            <w:tcW w:w="3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7,205</w:t>
            </w:r>
          </w:p>
        </w:tc>
        <w:tc>
          <w:tcPr>
            <w:tcW w:w="460" w:type="dxa"/>
            <w:vAlign w:val="bottom"/>
            <w:tcBorders>
              <w:lef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(838)</w:t>
            </w: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6,367</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50"/>
              <w:spacing w:after="0"/>
              <w:rPr>
                <w:sz w:val="20"/>
                <w:szCs w:val="20"/>
                <w:color w:val="auto"/>
              </w:rPr>
            </w:pPr>
            <w:r>
              <w:rPr>
                <w:rFonts w:ascii="Arial" w:cs="Arial" w:eastAsia="Arial" w:hAnsi="Arial"/>
                <w:sz w:val="18"/>
                <w:szCs w:val="18"/>
                <w:color w:val="auto"/>
              </w:rPr>
              <w:t>11,010</w:t>
            </w:r>
          </w:p>
        </w:tc>
        <w:tc>
          <w:tcPr>
            <w:tcW w:w="2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(1,195)</w:t>
            </w: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9,815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left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Credit Losses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provision for credit losses is based on management’s evaluation of probable incurred losses in the loan portfolio and corresponding analysis of the allowance for credit losses at quarter-end. The provision for credit losses was $900,000 and $2.70 million, respectively, for the second quarter and first six months of 2015, compared to $2.20 million and $4.70 million, respectively, for the same periods in 2014. The amount of provision recorded in each period was the amount required such that the total allowance for loan losses reflected the appropriate balance, in the estimation of management, sufficient to cover incurred losses in the loan portfolio. The second quarter and first six months of 2015 loan loss provisions were lower than those for the comparable periods in 2014 due to overall improvement in the portfolio credit quality. For the three and six months ended June 30, 2015, net loan charge-offs as an annualized percentage of average outstanding loans were .08% and ..15%, respectively, compared to .38% and .38%, respectively, for the same periods in 2014.</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allowance for unfunded commitments represents probable incurred losses on unfunded loan commitments that are expected to result in outstanding loan balances. The allowance for unfunded loan commitments was established through the provision for credit losses.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discussion on credit quality and the allowance for loan losses is included in the “Asset Quality and Risk Elements” section of this report on page 56.</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Fee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Fee revenue for the three and six months ended June 30, 2015 was $17.3 million and $32.9 million, respectively, an increase of $3.12 million, or 22%, compared to the second quarter of 2014, and an increase of $6.63 million, or 25%, from the year-to-date period of 2014. The following table presents the components of fee revenue for the second quarters and first six months of 2015 and 2014.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Table 5 - Fee Revenue</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2160" w:type="dxa"/>
            <w:vAlign w:val="bottom"/>
            <w:gridSpan w:val="5"/>
            <w:vMerge w:val="restart"/>
          </w:tcPr>
          <w:p>
            <w:pPr>
              <w:jc w:val="right"/>
              <w:ind w:right="440"/>
              <w:spacing w:after="0"/>
              <w:rPr>
                <w:sz w:val="20"/>
                <w:szCs w:val="20"/>
                <w:color w:val="auto"/>
              </w:rPr>
            </w:pPr>
            <w:r>
              <w:rPr>
                <w:rFonts w:ascii="Arial" w:cs="Arial" w:eastAsia="Arial" w:hAnsi="Arial"/>
                <w:sz w:val="18"/>
                <w:szCs w:val="18"/>
                <w:b w:val="1"/>
                <w:bCs w:val="1"/>
                <w:color w:val="auto"/>
                <w:w w:val="95"/>
              </w:rPr>
              <w:t>Three Months Ended</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5"/>
            <w:vMerge w:val="restart"/>
          </w:tcPr>
          <w:p>
            <w:pPr>
              <w:jc w:val="right"/>
              <w:ind w:right="520"/>
              <w:spacing w:after="0"/>
              <w:rPr>
                <w:sz w:val="20"/>
                <w:szCs w:val="20"/>
                <w:color w:val="auto"/>
              </w:rPr>
            </w:pPr>
            <w:r>
              <w:rPr>
                <w:rFonts w:ascii="Arial" w:cs="Arial" w:eastAsia="Arial" w:hAnsi="Arial"/>
                <w:sz w:val="18"/>
                <w:szCs w:val="18"/>
                <w:b w:val="1"/>
                <w:bCs w:val="1"/>
                <w:color w:val="auto"/>
                <w:w w:val="97"/>
              </w:rPr>
              <w:t>Six Months Ended</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2014</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91"/>
              </w:rPr>
              <w:t>Amount</w:t>
            </w: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Percent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2014</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4"/>
              </w:rPr>
              <w:t>Amount</w:t>
            </w: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Percent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8"/>
                <w:szCs w:val="18"/>
                <w:color w:val="auto"/>
              </w:rPr>
              <w:t>Overdraft fees</w:t>
            </w:r>
          </w:p>
        </w:tc>
        <w:tc>
          <w:tcPr>
            <w:tcW w:w="140" w:type="dxa"/>
            <w:vAlign w:val="bottom"/>
            <w:shd w:val="clear" w:color="auto" w:fill="F0FFFF"/>
          </w:tcPr>
          <w:p>
            <w:pPr>
              <w:jc w:val="right"/>
              <w:ind w:right="30"/>
              <w:spacing w:after="0"/>
              <w:rPr>
                <w:sz w:val="20"/>
                <w:szCs w:val="20"/>
                <w:color w:val="auto"/>
              </w:rPr>
            </w:pPr>
            <w:r>
              <w:rPr>
                <w:rFonts w:ascii="Arial" w:cs="Arial" w:eastAsia="Arial" w:hAnsi="Arial"/>
                <w:sz w:val="10"/>
                <w:szCs w:val="10"/>
                <w:color w:val="auto"/>
                <w:w w:val="71"/>
              </w:rPr>
              <w:t>$</w:t>
            </w:r>
          </w:p>
        </w:tc>
        <w:tc>
          <w:tcPr>
            <w:tcW w:w="80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2,730</w:t>
            </w:r>
          </w:p>
        </w:tc>
        <w:tc>
          <w:tcPr>
            <w:tcW w:w="460" w:type="dxa"/>
            <w:vAlign w:val="bottom"/>
            <w:gridSpan w:val="2"/>
            <w:shd w:val="clear" w:color="auto" w:fill="F0FF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2,944</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(214)</w:t>
            </w: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(7)</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5,328</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5,864</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(536)</w:t>
            </w: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ATM and debit card fees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4,220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3,976</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244</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7,858</w:t>
            </w:r>
          </w:p>
        </w:tc>
        <w:tc>
          <w:tcPr>
            <w:tcW w:w="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7,507</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351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8"/>
                <w:szCs w:val="18"/>
                <w:color w:val="auto"/>
                <w:w w:val="97"/>
              </w:rPr>
              <w:t>Other service charges and fees</w:t>
            </w:r>
          </w:p>
        </w:tc>
        <w:tc>
          <w:tcPr>
            <w:tcW w:w="140" w:type="dxa"/>
            <w:vAlign w:val="bottom"/>
            <w:shd w:val="clear" w:color="auto" w:fill="F0FFFF"/>
          </w:tcPr>
          <w:p>
            <w:pPr>
              <w:spacing w:after="0"/>
              <w:rPr>
                <w:sz w:val="18"/>
                <w:szCs w:val="18"/>
                <w:color w:val="auto"/>
              </w:rPr>
            </w:pPr>
          </w:p>
        </w:tc>
        <w:tc>
          <w:tcPr>
            <w:tcW w:w="80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1,425</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1,607</w:t>
            </w: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(182)</w:t>
            </w: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2,804</w:t>
            </w:r>
          </w:p>
        </w:tc>
        <w:tc>
          <w:tcPr>
            <w:tcW w:w="24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3,054</w:t>
            </w: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(250)</w:t>
            </w: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80" w:type="dxa"/>
            <w:vAlign w:val="bottom"/>
            <w:tcBorders>
              <w:right w:val="single" w:sz="8" w:color="F0FFFF"/>
            </w:tcBorders>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tcBorders>
              <w:right w:val="single" w:sz="8" w:color="F0FFFF"/>
            </w:tcBorders>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900" w:type="dxa"/>
            <w:vAlign w:val="bottom"/>
            <w:shd w:val="clear" w:color="auto" w:fill="F0FFFF"/>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9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Service charges and fees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8,375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8,527</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15,990</w:t>
            </w:r>
          </w:p>
        </w:tc>
        <w:tc>
          <w:tcPr>
            <w:tcW w:w="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16,425</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(435)</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8"/>
                <w:szCs w:val="18"/>
                <w:color w:val="auto"/>
                <w:w w:val="97"/>
              </w:rPr>
              <w:t>Mortgage loan and related fees</w:t>
            </w:r>
          </w:p>
        </w:tc>
        <w:tc>
          <w:tcPr>
            <w:tcW w:w="140" w:type="dxa"/>
            <w:vAlign w:val="bottom"/>
            <w:shd w:val="clear" w:color="auto" w:fill="F0FFFF"/>
          </w:tcPr>
          <w:p>
            <w:pPr>
              <w:spacing w:after="0"/>
              <w:rPr>
                <w:sz w:val="18"/>
                <w:szCs w:val="18"/>
                <w:color w:val="auto"/>
              </w:rPr>
            </w:pPr>
          </w:p>
        </w:tc>
        <w:tc>
          <w:tcPr>
            <w:tcW w:w="80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3,707</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1,877</w:t>
            </w: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1,830</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97</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6,462</w:t>
            </w:r>
          </w:p>
        </w:tc>
        <w:tc>
          <w:tcPr>
            <w:tcW w:w="24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3,231</w:t>
            </w: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3,231</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Brokerage fees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1,245</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2,783</w:t>
            </w:r>
          </w:p>
        </w:tc>
        <w:tc>
          <w:tcPr>
            <w:tcW w:w="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2,422</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361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tcBorders>
              <w:right w:val="single" w:sz="8" w:color="F0FFFF"/>
            </w:tcBorders>
            <w:shd w:val="clear" w:color="auto" w:fill="F0FFFF"/>
          </w:tcPr>
          <w:p>
            <w:pPr>
              <w:spacing w:after="0" w:line="201" w:lineRule="exact"/>
              <w:rPr>
                <w:sz w:val="20"/>
                <w:szCs w:val="20"/>
                <w:color w:val="auto"/>
              </w:rPr>
            </w:pPr>
            <w:r>
              <w:rPr>
                <w:rFonts w:ascii="Arial" w:cs="Arial" w:eastAsia="Arial" w:hAnsi="Arial"/>
                <w:sz w:val="18"/>
                <w:szCs w:val="18"/>
                <w:color w:val="auto"/>
              </w:rPr>
              <w:t>Gains on sales of government</w:t>
            </w:r>
          </w:p>
        </w:tc>
        <w:tc>
          <w:tcPr>
            <w:tcW w:w="140" w:type="dxa"/>
            <w:vAlign w:val="bottom"/>
            <w:shd w:val="clear" w:color="auto" w:fill="F0FFFF"/>
          </w:tcPr>
          <w:p>
            <w:pPr>
              <w:spacing w:after="0"/>
              <w:rPr>
                <w:sz w:val="17"/>
                <w:szCs w:val="17"/>
                <w:color w:val="auto"/>
              </w:rPr>
            </w:pPr>
          </w:p>
        </w:tc>
        <w:tc>
          <w:tcPr>
            <w:tcW w:w="800" w:type="dxa"/>
            <w:vAlign w:val="bottom"/>
            <w:tcBorders>
              <w:right w:val="single" w:sz="8" w:color="F0FFFF"/>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Borders>
              <w:right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guaranteed loans</w:t>
            </w:r>
          </w:p>
        </w:tc>
        <w:tc>
          <w:tcPr>
            <w:tcW w:w="140" w:type="dxa"/>
            <w:vAlign w:val="bottom"/>
            <w:shd w:val="clear" w:color="auto" w:fill="F0FFFF"/>
          </w:tcPr>
          <w:p>
            <w:pPr>
              <w:spacing w:after="0"/>
              <w:rPr>
                <w:sz w:val="20"/>
                <w:szCs w:val="20"/>
                <w:color w:val="auto"/>
              </w:rPr>
            </w:pPr>
          </w:p>
        </w:tc>
        <w:tc>
          <w:tcPr>
            <w:tcW w:w="80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1,494</w:t>
            </w:r>
          </w:p>
        </w:tc>
        <w:tc>
          <w:tcPr>
            <w:tcW w:w="2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744</w:t>
            </w:r>
          </w:p>
        </w:tc>
        <w:tc>
          <w:tcPr>
            <w:tcW w:w="12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750</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2,635</w:t>
            </w:r>
          </w:p>
        </w:tc>
        <w:tc>
          <w:tcPr>
            <w:tcW w:w="240" w:type="dxa"/>
            <w:vAlign w:val="bottom"/>
            <w:shd w:val="clear" w:color="auto" w:fill="F0FFFF"/>
          </w:tcPr>
          <w:p>
            <w:pPr>
              <w:spacing w:after="0"/>
              <w:rPr>
                <w:sz w:val="20"/>
                <w:szCs w:val="20"/>
                <w:color w:val="auto"/>
              </w:rPr>
            </w:pPr>
          </w:p>
        </w:tc>
        <w:tc>
          <w:tcPr>
            <w:tcW w:w="8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744</w:t>
            </w:r>
          </w:p>
        </w:tc>
        <w:tc>
          <w:tcPr>
            <w:tcW w:w="12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1,891</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Customer derivatives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119</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896</w:t>
            </w:r>
          </w:p>
        </w:tc>
        <w:tc>
          <w:tcPr>
            <w:tcW w:w="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425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8"/>
                <w:szCs w:val="18"/>
                <w:color w:val="auto"/>
              </w:rPr>
              <w:t>Securities gains, net</w:t>
            </w:r>
          </w:p>
        </w:tc>
        <w:tc>
          <w:tcPr>
            <w:tcW w:w="140" w:type="dxa"/>
            <w:vAlign w:val="bottom"/>
            <w:shd w:val="clear" w:color="auto" w:fill="F0FFFF"/>
          </w:tcPr>
          <w:p>
            <w:pPr>
              <w:spacing w:after="0"/>
              <w:rPr>
                <w:sz w:val="18"/>
                <w:szCs w:val="18"/>
                <w:color w:val="auto"/>
              </w:rPr>
            </w:pPr>
          </w:p>
        </w:tc>
        <w:tc>
          <w:tcPr>
            <w:tcW w:w="80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4,435</w:t>
            </w: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(4,422)</w:t>
            </w: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1,552</w:t>
            </w:r>
          </w:p>
        </w:tc>
        <w:tc>
          <w:tcPr>
            <w:tcW w:w="24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4,652</w:t>
            </w: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(3,100)</w:t>
            </w: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w w:val="94"/>
              </w:rPr>
              <w:t>Losses from prepayment of debt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(4,446)</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4,446</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(1,038)</w:t>
            </w:r>
          </w:p>
        </w:tc>
        <w:tc>
          <w:tcPr>
            <w:tcW w:w="2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(4,446)</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3,408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F0FFFF"/>
          </w:tcPr>
          <w:p>
            <w:pPr>
              <w:spacing w:after="0"/>
              <w:rPr>
                <w:sz w:val="19"/>
                <w:szCs w:val="19"/>
                <w:color w:val="auto"/>
              </w:rPr>
            </w:pPr>
          </w:p>
        </w:tc>
        <w:tc>
          <w:tcPr>
            <w:tcW w:w="80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1,912</w:t>
            </w:r>
          </w:p>
        </w:tc>
        <w:tc>
          <w:tcPr>
            <w:tcW w:w="22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1,347</w:t>
            </w:r>
          </w:p>
        </w:tc>
        <w:tc>
          <w:tcPr>
            <w:tcW w:w="120" w:type="dxa"/>
            <w:vAlign w:val="bottom"/>
            <w:shd w:val="clear" w:color="auto" w:fill="F0FFFF"/>
          </w:tcPr>
          <w:p>
            <w:pPr>
              <w:spacing w:after="0"/>
              <w:rPr>
                <w:sz w:val="19"/>
                <w:szCs w:val="19"/>
                <w:color w:val="auto"/>
              </w:rPr>
            </w:pPr>
          </w:p>
        </w:tc>
        <w:tc>
          <w:tcPr>
            <w:tcW w:w="10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565</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42</w:t>
            </w:r>
          </w:p>
        </w:tc>
        <w:tc>
          <w:tcPr>
            <w:tcW w:w="8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3,668</w:t>
            </w:r>
          </w:p>
        </w:tc>
        <w:tc>
          <w:tcPr>
            <w:tcW w:w="240" w:type="dxa"/>
            <w:vAlign w:val="bottom"/>
            <w:shd w:val="clear" w:color="auto" w:fill="F0FFFF"/>
          </w:tcPr>
          <w:p>
            <w:pPr>
              <w:spacing w:after="0"/>
              <w:rPr>
                <w:sz w:val="19"/>
                <w:szCs w:val="19"/>
                <w:color w:val="auto"/>
              </w:rPr>
            </w:pPr>
          </w:p>
        </w:tc>
        <w:tc>
          <w:tcPr>
            <w:tcW w:w="8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2,820</w:t>
            </w:r>
          </w:p>
        </w:tc>
        <w:tc>
          <w:tcPr>
            <w:tcW w:w="120" w:type="dxa"/>
            <w:vAlign w:val="bottom"/>
            <w:shd w:val="clear" w:color="auto" w:fill="F0FFFF"/>
          </w:tcPr>
          <w:p>
            <w:pPr>
              <w:spacing w:after="0"/>
              <w:rPr>
                <w:sz w:val="19"/>
                <w:szCs w:val="19"/>
                <w:color w:val="auto"/>
              </w:rPr>
            </w:pPr>
          </w:p>
        </w:tc>
        <w:tc>
          <w:tcPr>
            <w:tcW w:w="10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848</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ind w:left="160"/>
              <w:spacing w:after="0" w:line="196" w:lineRule="exact"/>
              <w:rPr>
                <w:sz w:val="20"/>
                <w:szCs w:val="20"/>
                <w:color w:val="auto"/>
              </w:rPr>
            </w:pPr>
            <w:r>
              <w:rPr>
                <w:rFonts w:ascii="Arial" w:cs="Arial" w:eastAsia="Arial" w:hAnsi="Arial"/>
                <w:sz w:val="18"/>
                <w:szCs w:val="18"/>
                <w:color w:val="auto"/>
              </w:rPr>
              <w:t>Total fee revenue</w:t>
            </w: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17,266</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14,143</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3,123</w:t>
            </w:r>
          </w:p>
        </w:tc>
        <w:tc>
          <w:tcPr>
            <w:tcW w:w="220" w:type="dxa"/>
            <w:vAlign w:val="bottom"/>
          </w:tcPr>
          <w:p>
            <w:pPr>
              <w:spacing w:after="0"/>
              <w:rPr>
                <w:sz w:val="18"/>
                <w:szCs w:val="18"/>
                <w:color w:val="auto"/>
              </w:rPr>
            </w:pPr>
          </w:p>
        </w:tc>
        <w:tc>
          <w:tcPr>
            <w:tcW w:w="10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32,948</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26,319</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6,629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Overdraft fees of $2.73 million for the second quarter of 2015 were down $214,000, or 7%, from the second quarter of 2014. For the first six months of 2015, overdraft fees of $5.33 million were down $536,000, or 9%, from the same period in 2014. Overdraft fees continue to decline as customer utilization of our courtesy overdraft services decreases. ATM and debit card fees of $4.22 million in second quarter of 2015 and $7.86 million in the first half of 2015 increased from the comparable periods in 2014 due to volume.</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Mortgage loans and related fees for the second quarter and first six months of 2015 were up $1.83 million, or 97%, and $3.23 million, or 100%, respectively, from the same periods in 2014. The increase reflects United’s focus on growing the mortgage business by recruiting new mortgage lenders in key metropolitan markets and an increase in refinancing activity. In the second quarter of 2015, United closed 665 loans totaling $128 million compared with 421 loans totaling $68.5 million in the second quarter of 2014. Year-to-date mortgage production in 2015 amounted to 1,138 loans totaling $216 million, compared to 710 loans totaling $115 million for the same period in 2014. United had $69 million and $111 million, respectively, in home purchase mortgage originations in the second quarter and first six months of 2015, compared with $45.7 million and $75.9 million, respectively, for the same periods a year ago. The volume of new purchase money mortgages in the second quarter was 54% compared with 68% in the second quarter of 2014.</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Brokerage fees were approximately equal to the second quarter of 2014 and increased $361,000, or 15%, compared to the first six months of 2014. The year-to-date increase reflects United’s continuing efforts to grow this line of business.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second quarter and first six months of 2015, United realized $1.49 million and $2.64 million, respectively, in gains from the sales of the guaranteed portion of SBA and USDA loans. United has been actively growing its government guaranteed lending business with the hiring of new leadership and lenders who specialize in government guaranteed loan programs such as SBA and USDA loans. United’s SBA/USDA lending strategy includes selling a portion of the loan production each quarter. United began selling the guaranteed portion of loans in the second quarter of 2014. United retains the servicing rights on the sold loans and earns a fee for servicing the loans. In the second quarter and first six months of 2015, United sold the guaranteed portion of loans in the amount of $14.7 million and $27.7 million, respectively, at prices ranging from 105% to 119% of par.</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Customer derivative fees were up $119,000 from the second quarter of 2014 and $425,000 from the first six months of 2014 due to an increase in customer demand for this product as commercial customers sought to lock in low fixed rates on their loans.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United realized net securities gains of $13,000 in the second quarter of 2015 compared with securities gains of $4.44 million in the second quarter of 2014. For the first six months of 2015 and 2014, net securities gains totaled $1.55 million and $4.65 million, respectively. In the first six months of 2015, United also incurred $1.04 million in charges from the prepayment of $6 million in structured repurchase agreements that paid interest at a rate of 4% and $15 million in trust preferred securities that paid interest at an average rate in excess of 11%. The securities gains and prepayment charges in 2015 were mostly offsetting and were part of the same overall balance sheet management activities that were intended to lower the overall cost of wholesale borrowings going forward. Management expects annual interest savings of approximately $1.9 million from the repayment of the borrowings.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0" w:name="page61"/>
    <w:bookmarkEnd w:id="60"/>
    <w:p>
      <w:pPr>
        <w:jc w:val="both"/>
        <w:spacing w:after="0" w:line="259" w:lineRule="auto"/>
        <w:rPr>
          <w:sz w:val="20"/>
          <w:szCs w:val="20"/>
          <w:color w:val="auto"/>
        </w:rPr>
      </w:pPr>
      <w:r>
        <w:rPr>
          <w:rFonts w:ascii="Arial" w:cs="Arial" w:eastAsia="Arial" w:hAnsi="Arial"/>
          <w:sz w:val="18"/>
          <w:szCs w:val="18"/>
          <w:color w:val="auto"/>
        </w:rPr>
        <w:t>Other fee revenue of $1.91 million for the second quarter of 2015 was up $565,000, or 42%, from the second quarter of 2014, partially due to volume driven increases in income from bank owned life insurance and merchant services. For the first six months of 2015, other fee revenue of $3.67 million was up $848,000, or 30%, from the same period in 2014, primarily due to an incentive payment from United’s merchant services vendor, combined with the same factors mentioned for the quarterly increase.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operating expenses for the three and six months ended June 30, 2015 and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340" w:type="dxa"/>
            <w:vAlign w:val="bottom"/>
            <w:gridSpan w:val="2"/>
          </w:tcPr>
          <w:p>
            <w:pPr>
              <w:spacing w:after="0"/>
              <w:rPr>
                <w:sz w:val="20"/>
                <w:szCs w:val="20"/>
                <w:color w:val="auto"/>
              </w:rPr>
            </w:pPr>
            <w:r>
              <w:rPr>
                <w:rFonts w:ascii="Arial" w:cs="Arial" w:eastAsia="Arial" w:hAnsi="Arial"/>
                <w:sz w:val="18"/>
                <w:szCs w:val="18"/>
                <w:b w:val="1"/>
                <w:bCs w:val="1"/>
                <w:color w:val="auto"/>
                <w:w w:val="92"/>
              </w:rPr>
              <w:t>Table 6 - Operating Expenses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gridSpan w:val="6"/>
            <w:vMerge w:val="restart"/>
          </w:tcPr>
          <w:p>
            <w:pPr>
              <w:ind w:left="8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5"/>
            <w:vMerge w:val="restart"/>
          </w:tcPr>
          <w:p>
            <w:pPr>
              <w:ind w:left="12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6"/>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2014</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94"/>
              </w:rPr>
              <w:t>Amount</w:t>
            </w: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Percent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2014</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4"/>
              </w:rPr>
              <w:t>Amount</w:t>
            </w: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Percent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F0FFFF"/>
          </w:tcPr>
          <w:p>
            <w:pPr>
              <w:spacing w:after="0"/>
              <w:rPr>
                <w:sz w:val="20"/>
                <w:szCs w:val="20"/>
                <w:color w:val="auto"/>
              </w:rPr>
            </w:pPr>
            <w:r>
              <w:rPr>
                <w:rFonts w:ascii="Arial" w:cs="Arial" w:eastAsia="Arial" w:hAnsi="Arial"/>
                <w:sz w:val="18"/>
                <w:szCs w:val="18"/>
                <w:color w:val="auto"/>
                <w:w w:val="91"/>
              </w:rPr>
              <w:t>Salaries and employee benefits</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27,961</w:t>
            </w:r>
          </w:p>
        </w:tc>
        <w:tc>
          <w:tcPr>
            <w:tcW w:w="360" w:type="dxa"/>
            <w:vAlign w:val="bottom"/>
            <w:gridSpan w:val="2"/>
            <w:shd w:val="clear" w:color="auto" w:fill="F0FF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24,287</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3,674</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15</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54,407</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48,683</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5,724</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Pr>
          <w:p>
            <w:pPr>
              <w:spacing w:after="0" w:line="201" w:lineRule="exact"/>
              <w:rPr>
                <w:sz w:val="20"/>
                <w:szCs w:val="20"/>
                <w:color w:val="auto"/>
              </w:rPr>
            </w:pPr>
            <w:r>
              <w:rPr>
                <w:rFonts w:ascii="Arial" w:cs="Arial" w:eastAsia="Arial" w:hAnsi="Arial"/>
                <w:sz w:val="18"/>
                <w:szCs w:val="18"/>
                <w:color w:val="auto"/>
              </w:rPr>
              <w:t>Communications and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equipment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3,304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3,037</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267</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6,575</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6,276</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299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spacing w:after="0"/>
              <w:rPr>
                <w:sz w:val="20"/>
                <w:szCs w:val="20"/>
                <w:color w:val="auto"/>
              </w:rPr>
            </w:pPr>
            <w:r>
              <w:rPr>
                <w:rFonts w:ascii="Arial" w:cs="Arial" w:eastAsia="Arial" w:hAnsi="Arial"/>
                <w:sz w:val="18"/>
                <w:szCs w:val="18"/>
                <w:color w:val="auto"/>
              </w:rPr>
              <w:t>Occupancy</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3,415</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3,262</w:t>
            </w:r>
          </w:p>
        </w:tc>
        <w:tc>
          <w:tcPr>
            <w:tcW w:w="1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153</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6,693</w:t>
            </w:r>
          </w:p>
        </w:tc>
        <w:tc>
          <w:tcPr>
            <w:tcW w:w="24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6,640</w:t>
            </w: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53</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tcPr>
          <w:p>
            <w:pPr>
              <w:spacing w:after="0" w:line="201" w:lineRule="exact"/>
              <w:rPr>
                <w:sz w:val="20"/>
                <w:szCs w:val="20"/>
                <w:color w:val="auto"/>
              </w:rPr>
            </w:pPr>
            <w:r>
              <w:rPr>
                <w:rFonts w:ascii="Arial" w:cs="Arial" w:eastAsia="Arial" w:hAnsi="Arial"/>
                <w:sz w:val="18"/>
                <w:szCs w:val="18"/>
                <w:color w:val="auto"/>
              </w:rPr>
              <w:t>Advertising and public</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Pr>
          <w:p>
            <w:pPr>
              <w:ind w:left="160"/>
              <w:spacing w:after="0"/>
              <w:rPr>
                <w:sz w:val="20"/>
                <w:szCs w:val="20"/>
                <w:color w:val="auto"/>
              </w:rPr>
            </w:pPr>
            <w:r>
              <w:rPr>
                <w:rFonts w:ascii="Arial" w:cs="Arial" w:eastAsia="Arial" w:hAnsi="Arial"/>
                <w:sz w:val="18"/>
                <w:szCs w:val="18"/>
                <w:color w:val="auto"/>
              </w:rPr>
              <w:t>relations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1,139</w:t>
            </w:r>
          </w:p>
        </w:tc>
        <w:tc>
          <w:tcPr>
            <w:tcW w:w="1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1,877</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1,765</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spacing w:after="0"/>
              <w:rPr>
                <w:sz w:val="20"/>
                <w:szCs w:val="20"/>
                <w:color w:val="auto"/>
              </w:rPr>
            </w:pPr>
            <w:r>
              <w:rPr>
                <w:rFonts w:ascii="Arial" w:cs="Arial" w:eastAsia="Arial" w:hAnsi="Arial"/>
                <w:sz w:val="18"/>
                <w:szCs w:val="18"/>
                <w:color w:val="auto"/>
                <w:w w:val="95"/>
              </w:rPr>
              <w:t>Postage, printing and supplies</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993</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804</w:t>
            </w:r>
          </w:p>
        </w:tc>
        <w:tc>
          <w:tcPr>
            <w:tcW w:w="1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189</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24</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1,931</w:t>
            </w:r>
          </w:p>
        </w:tc>
        <w:tc>
          <w:tcPr>
            <w:tcW w:w="24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1,580</w:t>
            </w: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351</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Professional fees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2,257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2,172</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4,176</w:t>
            </w:r>
          </w:p>
        </w:tc>
        <w:tc>
          <w:tcPr>
            <w:tcW w:w="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3,599</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577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8"/>
              </w:rPr>
              <w:t>FDIC assessments and other</w:t>
            </w:r>
          </w:p>
        </w:tc>
        <w:tc>
          <w:tcPr>
            <w:tcW w:w="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regulatory charges</w:t>
            </w:r>
          </w:p>
        </w:tc>
        <w:tc>
          <w:tcPr>
            <w:tcW w:w="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9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1,298</w:t>
            </w:r>
          </w:p>
        </w:tc>
        <w:tc>
          <w:tcPr>
            <w:tcW w:w="12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9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1,425</w:t>
            </w:r>
          </w:p>
        </w:tc>
        <w:tc>
          <w:tcPr>
            <w:tcW w:w="120" w:type="dxa"/>
            <w:vAlign w:val="bottom"/>
            <w:shd w:val="clear" w:color="auto" w:fill="F0FFFF"/>
          </w:tcPr>
          <w:p>
            <w:pPr>
              <w:spacing w:after="0"/>
              <w:rPr>
                <w:sz w:val="20"/>
                <w:szCs w:val="20"/>
                <w:color w:val="auto"/>
              </w:rPr>
            </w:pP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(127)</w:t>
            </w: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2,507</w:t>
            </w:r>
          </w:p>
        </w:tc>
        <w:tc>
          <w:tcPr>
            <w:tcW w:w="240" w:type="dxa"/>
            <w:vAlign w:val="bottom"/>
            <w:shd w:val="clear" w:color="auto" w:fill="F0FFFF"/>
          </w:tcPr>
          <w:p>
            <w:pPr>
              <w:spacing w:after="0"/>
              <w:rPr>
                <w:sz w:val="20"/>
                <w:szCs w:val="20"/>
                <w:color w:val="auto"/>
              </w:rPr>
            </w:pPr>
          </w:p>
        </w:tc>
        <w:tc>
          <w:tcPr>
            <w:tcW w:w="8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2,778</w:t>
            </w:r>
          </w:p>
        </w:tc>
        <w:tc>
          <w:tcPr>
            <w:tcW w:w="12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(271)</w:t>
            </w: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689</w:t>
            </w:r>
          </w:p>
        </w:tc>
        <w:tc>
          <w:tcPr>
            <w:tcW w:w="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748</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F0FFFF"/>
          </w:tcPr>
          <w:p>
            <w:pPr>
              <w:spacing w:after="0"/>
              <w:rPr>
                <w:sz w:val="20"/>
                <w:szCs w:val="20"/>
                <w:color w:val="auto"/>
              </w:rPr>
            </w:pPr>
            <w:r>
              <w:rPr>
                <w:rFonts w:ascii="Arial" w:cs="Arial" w:eastAsia="Arial" w:hAnsi="Arial"/>
                <w:sz w:val="18"/>
                <w:szCs w:val="18"/>
                <w:color w:val="auto"/>
              </w:rPr>
              <w:t>Merger-related changes</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3,173</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3,173</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3,173</w:t>
            </w:r>
          </w:p>
        </w:tc>
        <w:tc>
          <w:tcPr>
            <w:tcW w:w="24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3,173</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4,445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4,045</w:t>
            </w: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400</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9,453</w:t>
            </w:r>
          </w:p>
        </w:tc>
        <w:tc>
          <w:tcPr>
            <w:tcW w:w="2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7,513</w:t>
            </w:r>
          </w:p>
        </w:tc>
        <w:tc>
          <w:tcPr>
            <w:tcW w:w="1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1,940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320" w:type="dxa"/>
            <w:vAlign w:val="bottom"/>
            <w:tcBorders>
              <w:top w:val="single" w:sz="8" w:color="F0FFFF"/>
              <w:bottom w:val="single" w:sz="8" w:color="F0FFFF"/>
            </w:tcBorders>
            <w:shd w:val="clear" w:color="auto" w:fill="F0FFFF"/>
          </w:tcPr>
          <w:p>
            <w:pPr>
              <w:ind w:left="160"/>
              <w:spacing w:after="0" w:line="196" w:lineRule="exact"/>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F0FFFF"/>
              <w:bottom w:val="single" w:sz="8" w:color="F0FFFF"/>
            </w:tcBorders>
            <w:shd w:val="clear" w:color="auto" w:fill="F0FFFF"/>
          </w:tcPr>
          <w:p>
            <w:pPr>
              <w:spacing w:after="0"/>
              <w:rPr>
                <w:sz w:val="22"/>
                <w:szCs w:val="22"/>
                <w:color w:val="auto"/>
              </w:rPr>
            </w:pPr>
          </w:p>
        </w:tc>
        <w:tc>
          <w:tcPr>
            <w:tcW w:w="160" w:type="dxa"/>
            <w:vAlign w:val="bottom"/>
            <w:tcBorders>
              <w:top w:val="single" w:sz="8" w:color="auto"/>
              <w:bottom w:val="single" w:sz="8" w:color="auto"/>
            </w:tcBorders>
            <w:shd w:val="clear" w:color="auto" w:fill="F0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F0FFFF"/>
          </w:tcPr>
          <w:p>
            <w:pPr>
              <w:jc w:val="right"/>
              <w:spacing w:after="0" w:line="196" w:lineRule="exact"/>
              <w:rPr>
                <w:sz w:val="20"/>
                <w:szCs w:val="20"/>
                <w:color w:val="auto"/>
              </w:rPr>
            </w:pPr>
            <w:r>
              <w:rPr>
                <w:rFonts w:ascii="Arial" w:cs="Arial" w:eastAsia="Arial" w:hAnsi="Arial"/>
                <w:sz w:val="18"/>
                <w:szCs w:val="18"/>
                <w:color w:val="auto"/>
              </w:rPr>
              <w:t>48,420</w:t>
            </w:r>
          </w:p>
        </w:tc>
        <w:tc>
          <w:tcPr>
            <w:tcW w:w="120" w:type="dxa"/>
            <w:vAlign w:val="bottom"/>
            <w:tcBorders>
              <w:top w:val="single" w:sz="8" w:color="F0FFFF"/>
              <w:bottom w:val="single" w:sz="8" w:color="F0FFFF"/>
            </w:tcBorders>
            <w:shd w:val="clear" w:color="auto" w:fill="F0FFFF"/>
          </w:tcPr>
          <w:p>
            <w:pPr>
              <w:spacing w:after="0"/>
              <w:rPr>
                <w:sz w:val="22"/>
                <w:szCs w:val="22"/>
                <w:color w:val="auto"/>
              </w:rPr>
            </w:pPr>
          </w:p>
        </w:tc>
        <w:tc>
          <w:tcPr>
            <w:tcW w:w="120" w:type="dxa"/>
            <w:vAlign w:val="bottom"/>
            <w:tcBorders>
              <w:top w:val="single" w:sz="8" w:color="F0FFFF"/>
              <w:bottom w:val="single" w:sz="8" w:color="F0FFFF"/>
            </w:tcBorders>
            <w:shd w:val="clear" w:color="auto" w:fill="F0FFFF"/>
          </w:tcPr>
          <w:p>
            <w:pPr>
              <w:spacing w:after="0"/>
              <w:rPr>
                <w:sz w:val="22"/>
                <w:szCs w:val="22"/>
                <w:color w:val="auto"/>
              </w:rPr>
            </w:pPr>
          </w:p>
        </w:tc>
        <w:tc>
          <w:tcPr>
            <w:tcW w:w="240" w:type="dxa"/>
            <w:vAlign w:val="bottom"/>
            <w:tcBorders>
              <w:top w:val="single" w:sz="8" w:color="auto"/>
              <w:bottom w:val="single" w:sz="8" w:color="auto"/>
            </w:tcBorders>
            <w:shd w:val="clear" w:color="auto" w:fill="F0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F0FFFF"/>
          </w:tcPr>
          <w:p>
            <w:pPr>
              <w:jc w:val="right"/>
              <w:spacing w:after="0" w:line="196" w:lineRule="exact"/>
              <w:rPr>
                <w:sz w:val="20"/>
                <w:szCs w:val="20"/>
                <w:color w:val="auto"/>
              </w:rPr>
            </w:pPr>
            <w:r>
              <w:rPr>
                <w:rFonts w:ascii="Arial" w:cs="Arial" w:eastAsia="Arial" w:hAnsi="Arial"/>
                <w:sz w:val="18"/>
                <w:szCs w:val="18"/>
                <w:color w:val="auto"/>
              </w:rPr>
              <w:t>40,532</w:t>
            </w:r>
          </w:p>
        </w:tc>
        <w:tc>
          <w:tcPr>
            <w:tcW w:w="240" w:type="dxa"/>
            <w:vAlign w:val="bottom"/>
            <w:tcBorders>
              <w:top w:val="single" w:sz="8" w:color="F0FFFF"/>
              <w:bottom w:val="single" w:sz="8" w:color="F0FFFF"/>
            </w:tcBorders>
            <w:shd w:val="clear" w:color="auto" w:fill="F0FFFF"/>
          </w:tcPr>
          <w:p>
            <w:pPr>
              <w:spacing w:after="0"/>
              <w:rPr>
                <w:sz w:val="22"/>
                <w:szCs w:val="22"/>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F0FFFF"/>
          </w:tcPr>
          <w:p>
            <w:pPr>
              <w:jc w:val="right"/>
              <w:spacing w:after="0" w:line="196" w:lineRule="exact"/>
              <w:rPr>
                <w:sz w:val="20"/>
                <w:szCs w:val="20"/>
                <w:color w:val="auto"/>
              </w:rPr>
            </w:pPr>
            <w:r>
              <w:rPr>
                <w:rFonts w:ascii="Arial" w:cs="Arial" w:eastAsia="Arial" w:hAnsi="Arial"/>
                <w:sz w:val="18"/>
                <w:szCs w:val="18"/>
                <w:color w:val="auto"/>
              </w:rPr>
              <w:t>7,888</w:t>
            </w:r>
          </w:p>
        </w:tc>
        <w:tc>
          <w:tcPr>
            <w:tcW w:w="220" w:type="dxa"/>
            <w:vAlign w:val="bottom"/>
            <w:tcBorders>
              <w:top w:val="single" w:sz="8" w:color="F0FFFF"/>
              <w:bottom w:val="single" w:sz="8" w:color="F0FFFF"/>
            </w:tcBorders>
            <w:shd w:val="clear" w:color="auto" w:fill="F0FFFF"/>
          </w:tcPr>
          <w:p>
            <w:pPr>
              <w:spacing w:after="0"/>
              <w:rPr>
                <w:sz w:val="22"/>
                <w:szCs w:val="22"/>
                <w:color w:val="auto"/>
              </w:rPr>
            </w:pPr>
          </w:p>
        </w:tc>
        <w:tc>
          <w:tcPr>
            <w:tcW w:w="1040" w:type="dxa"/>
            <w:vAlign w:val="bottom"/>
            <w:tcBorders>
              <w:top w:val="single" w:sz="8" w:color="F0FFFF"/>
              <w:bottom w:val="single" w:sz="8" w:color="F0FFFF"/>
            </w:tcBorders>
            <w:gridSpan w:val="2"/>
            <w:shd w:val="clear" w:color="auto" w:fill="F0FFFF"/>
          </w:tcPr>
          <w:p>
            <w:pPr>
              <w:jc w:val="right"/>
              <w:ind w:right="140"/>
              <w:spacing w:after="0" w:line="196" w:lineRule="exact"/>
              <w:rPr>
                <w:sz w:val="20"/>
                <w:szCs w:val="20"/>
                <w:color w:val="auto"/>
              </w:rPr>
            </w:pPr>
            <w:r>
              <w:rPr>
                <w:rFonts w:ascii="Arial" w:cs="Arial" w:eastAsia="Arial" w:hAnsi="Arial"/>
                <w:sz w:val="18"/>
                <w:szCs w:val="18"/>
                <w:color w:val="auto"/>
              </w:rPr>
              <w:t>19</w:t>
            </w:r>
          </w:p>
        </w:tc>
        <w:tc>
          <w:tcPr>
            <w:tcW w:w="80" w:type="dxa"/>
            <w:vAlign w:val="bottom"/>
            <w:tcBorders>
              <w:top w:val="single" w:sz="8" w:color="F0FFFF"/>
              <w:bottom w:val="single" w:sz="8" w:color="F0FFFF"/>
            </w:tcBorders>
            <w:shd w:val="clear" w:color="auto" w:fill="F0FFFF"/>
          </w:tcPr>
          <w:p>
            <w:pPr>
              <w:spacing w:after="0"/>
              <w:rPr>
                <w:sz w:val="22"/>
                <w:szCs w:val="22"/>
                <w:color w:val="auto"/>
              </w:rPr>
            </w:pPr>
          </w:p>
        </w:tc>
        <w:tc>
          <w:tcPr>
            <w:tcW w:w="180" w:type="dxa"/>
            <w:vAlign w:val="bottom"/>
            <w:tcBorders>
              <w:top w:val="single" w:sz="8" w:color="auto"/>
              <w:bottom w:val="single" w:sz="8" w:color="auto"/>
            </w:tcBorders>
            <w:shd w:val="clear" w:color="auto" w:fill="F0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F0FFFF"/>
          </w:tcPr>
          <w:p>
            <w:pPr>
              <w:jc w:val="right"/>
              <w:spacing w:after="0" w:line="196" w:lineRule="exact"/>
              <w:rPr>
                <w:sz w:val="20"/>
                <w:szCs w:val="20"/>
                <w:color w:val="auto"/>
              </w:rPr>
            </w:pPr>
            <w:r>
              <w:rPr>
                <w:rFonts w:ascii="Arial" w:cs="Arial" w:eastAsia="Arial" w:hAnsi="Arial"/>
                <w:sz w:val="18"/>
                <w:szCs w:val="18"/>
                <w:color w:val="auto"/>
              </w:rPr>
              <w:t>91,481</w:t>
            </w:r>
          </w:p>
        </w:tc>
        <w:tc>
          <w:tcPr>
            <w:tcW w:w="220" w:type="dxa"/>
            <w:vAlign w:val="bottom"/>
            <w:tcBorders>
              <w:top w:val="single" w:sz="8" w:color="F0FFFF"/>
              <w:bottom w:val="single" w:sz="8" w:color="F0FFFF"/>
            </w:tcBorders>
            <w:shd w:val="clear" w:color="auto" w:fill="F0FFFF"/>
          </w:tcPr>
          <w:p>
            <w:pPr>
              <w:spacing w:after="0"/>
              <w:rPr>
                <w:sz w:val="22"/>
                <w:szCs w:val="22"/>
                <w:color w:val="auto"/>
              </w:rPr>
            </w:pPr>
          </w:p>
        </w:tc>
        <w:tc>
          <w:tcPr>
            <w:tcW w:w="240" w:type="dxa"/>
            <w:vAlign w:val="bottom"/>
            <w:tcBorders>
              <w:top w:val="single" w:sz="8" w:color="auto"/>
              <w:bottom w:val="single" w:sz="8" w:color="auto"/>
            </w:tcBorders>
            <w:shd w:val="clear" w:color="auto" w:fill="F0FF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F0FFFF"/>
          </w:tcPr>
          <w:p>
            <w:pPr>
              <w:jc w:val="right"/>
              <w:spacing w:after="0" w:line="196" w:lineRule="exact"/>
              <w:rPr>
                <w:sz w:val="20"/>
                <w:szCs w:val="20"/>
                <w:color w:val="auto"/>
              </w:rPr>
            </w:pPr>
            <w:r>
              <w:rPr>
                <w:rFonts w:ascii="Arial" w:cs="Arial" w:eastAsia="Arial" w:hAnsi="Arial"/>
                <w:sz w:val="18"/>
                <w:szCs w:val="18"/>
                <w:color w:val="auto"/>
              </w:rPr>
              <w:t>79,582</w:t>
            </w:r>
          </w:p>
        </w:tc>
        <w:tc>
          <w:tcPr>
            <w:tcW w:w="200" w:type="dxa"/>
            <w:vAlign w:val="bottom"/>
            <w:tcBorders>
              <w:top w:val="single" w:sz="8" w:color="F0FFFF"/>
              <w:bottom w:val="single" w:sz="8" w:color="F0FFFF"/>
            </w:tcBorders>
            <w:shd w:val="clear" w:color="auto" w:fill="F0FFFF"/>
          </w:tcPr>
          <w:p>
            <w:pPr>
              <w:spacing w:after="0"/>
              <w:rPr>
                <w:sz w:val="22"/>
                <w:szCs w:val="22"/>
                <w:color w:val="auto"/>
              </w:rPr>
            </w:pPr>
          </w:p>
        </w:tc>
        <w:tc>
          <w:tcPr>
            <w:tcW w:w="120" w:type="dxa"/>
            <w:vAlign w:val="bottom"/>
            <w:tcBorders>
              <w:top w:val="single" w:sz="8" w:color="auto"/>
              <w:bottom w:val="single" w:sz="8" w:color="auto"/>
            </w:tcBorders>
            <w:shd w:val="clear" w:color="auto" w:fill="F0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F0FFFF"/>
          </w:tcPr>
          <w:p>
            <w:pPr>
              <w:jc w:val="right"/>
              <w:spacing w:after="0" w:line="196" w:lineRule="exact"/>
              <w:rPr>
                <w:sz w:val="20"/>
                <w:szCs w:val="20"/>
                <w:color w:val="auto"/>
              </w:rPr>
            </w:pPr>
            <w:r>
              <w:rPr>
                <w:rFonts w:ascii="Arial" w:cs="Arial" w:eastAsia="Arial" w:hAnsi="Arial"/>
                <w:sz w:val="18"/>
                <w:szCs w:val="18"/>
                <w:color w:val="auto"/>
              </w:rPr>
              <w:t>11,899</w:t>
            </w:r>
          </w:p>
        </w:tc>
        <w:tc>
          <w:tcPr>
            <w:tcW w:w="200" w:type="dxa"/>
            <w:vAlign w:val="bottom"/>
            <w:tcBorders>
              <w:top w:val="single" w:sz="8" w:color="F0FFFF"/>
              <w:bottom w:val="single" w:sz="8" w:color="F0FFFF"/>
            </w:tcBorders>
            <w:shd w:val="clear" w:color="auto" w:fill="F0FFFF"/>
          </w:tcPr>
          <w:p>
            <w:pPr>
              <w:spacing w:after="0"/>
              <w:rPr>
                <w:sz w:val="22"/>
                <w:szCs w:val="22"/>
                <w:color w:val="auto"/>
              </w:rPr>
            </w:pPr>
          </w:p>
        </w:tc>
        <w:tc>
          <w:tcPr>
            <w:tcW w:w="1020" w:type="dxa"/>
            <w:vAlign w:val="bottom"/>
            <w:tcBorders>
              <w:top w:val="single" w:sz="8" w:color="F0FFFF"/>
              <w:bottom w:val="single" w:sz="8" w:color="F0FFFF"/>
            </w:tcBorders>
            <w:gridSpan w:val="2"/>
            <w:shd w:val="clear" w:color="auto" w:fill="F0FFFF"/>
          </w:tcPr>
          <w:p>
            <w:pPr>
              <w:jc w:val="right"/>
              <w:ind w:right="10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Operating expenses for the second quarter of 2015 totaled $48.4 million, up $7.89 million, or 19%, from the second quarter of 2014. The increase mostly reflects higher salaries and employee benefits expense resulting from investing in specialized lending areas and other strategic hiring and merger-related charges related to the acquisition of MoneyTree. For the six months ended June 30, 2015, operating expenses totaled $91.5 million, an increase of $11.9 million, or 15%, from the same period in 2014, primarily due to higher salaries and employee benefits expense resulting from investing in specialized lending areas and other strategic hiring, merger-related charges, charges to terminate and settle the loss sharing agreements with the FDIC related to United’s 2009 acquisition of Southern Community Bank and a loss on a fraudulent home equity line of credit transaction.</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Salaries and employee benefits for the second quarter of 2015 were $28.0 million, up $3.67 million, or 15%, from the second quarter of 2014. The increase was due to a number of factors including investments in additional staff and new teams to expand specialized lending and new talent in other key areas, additional staff resulting from the MoneyTree acquisition, higher incentives due to increased loan production and obtaining higher earnings performance targets. For the first six months of 2015, salaries and employee benefits of $54.4 million were up $5.72 million, or 12%, from the first six months of 2014. Headcount totaled 1,644 at June 30, 2015, up 141 from 1,503 at June 30, 2014, with 77 coming from the MoneyTree acquisition.</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Professional fees for the second quarter of 2015 of $2.26 million were up $85,000, or 4%, from the second quarter of 2014. For the six months ended June 30, 2015, professional fees of $4.18 million, were up $577,000, or 16%. The increase was due primarily to higher legal and consulting fees relating to projects that are in process.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Merger-related charges of $3.17 million related to the MoneyTree acquisition and consisted primarily of severance, conversion costs, and legal and professional fees.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Other expense of $4.45 million for the second quarter of 2015 increased $400,000, or 10%, from the second quarter of 2014. Year-to-date, other expense of $9.45 million increased $1.94 million, or 26%, from the first six months of 2014. The increase from the second quarter of 2014 is due to higher lending support costs due to increased lending activity. The increase from the first six months of 2014 is mostly due to a $690,000 charge to terminate and settle the loss sharing agreements with the FDIC related to United’s 2009 acquisition of Southern Community Bank and a $420,000 loss on a fraudulent home equity line of credit transaction. As a result of the termination of the loss sharing agreements with the FDIC, United will no longer be required to share 95% of recoveries of previously charged off loans with the FDIC. In addition to the unusual first quarter charges, other expense in the first six months of 2015 was elevated due to higher travel and entertainment costs and lending support costs associated with the increase in lending activity.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income tax provision for the second quarter and first six months of 2015 was $11.1 million and $21.5 million, respectively, as compared with $9.63 million and $18.7 million, respectively, for the same periods in 2014. The income tax provision represents an effective tax rate of 38.4% and 37.7%, respectively, for each period of 2015 and 37.0% for each period of 2014. At June 30, 2015, December 31, 2014 and June 30, 2014, United maintained a valuation allowance on its net deferred tax asset of $4.43 million, $4.12 million and $4.10 million, respectively. Management assesses the valuation allowance recorded against its net deferred tax asset at each reporting period. The determination of whether a valuation allowance for its net deferred tax asset is appropriate is subject to considerable judgment and requires an evaluation of all the positive and negative evidence.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356" w:gutter="0" w:footer="0" w:header="0"/>
        </w:sectPr>
      </w:pPr>
    </w:p>
    <w:bookmarkStart w:id="61" w:name="page62"/>
    <w:bookmarkEnd w:id="61"/>
    <w:p>
      <w:pPr>
        <w:jc w:val="both"/>
        <w:spacing w:after="0" w:line="312" w:lineRule="auto"/>
        <w:rPr>
          <w:sz w:val="20"/>
          <w:szCs w:val="20"/>
          <w:color w:val="auto"/>
        </w:rPr>
      </w:pPr>
      <w:r>
        <w:rPr>
          <w:rFonts w:ascii="Arial" w:cs="Arial" w:eastAsia="Arial" w:hAnsi="Arial"/>
          <w:sz w:val="16"/>
          <w:szCs w:val="16"/>
          <w:color w:val="auto"/>
        </w:rPr>
        <w:t>United evaluated the need for a valuation allowance at June 30, 2015. Based on the assessment of all the positive and negative evidence, management concluded that it is more likely than not that nearly all of its net deferred tax asset will be realized based upon future taxable income. The remaining valuation allowance of $4.43 million is related to specific state income tax credits that have short carryforward periods and are expected to expire unused.</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valuation allowance could fluctuate in future periods based on the assessment of the positive and negative evidence. Management’s conclusion at June 30, 2015 that it was more likely than not that United’s net deferred tax asset of $196 million will be realized is based upon management’s estimate of future taxable income. Management’s estimate of future taxable income is based on internal forecasts that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the valuation allowance may need to be increased for some or all of its net deferred tax asset. Such an increase to the net deferred tax asset valuation allowance could have a material adverse effect on United’s financial condition and results of operations.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 is subject to income taxation in the United States and various state jurisdictions. United’s federal and state income tax returns are filed on a consolidated basis. Currently, no years for which United filed a federal income tax return are under examination by the IRS, and there are no state tax examinations currently in progress. United is no longer subject to income tax examinations from state and local income tax authorities for years before 2011. Although United is unable to determine the ultimate outcome of future examinations, United believes that the liability recorded for uncertain tax positions is appropriate.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 information regarding income taxes, including a reconciliation of the differences between the recorded income tax provision and the amount of income tax computed by applying the statutory federal income tax rate to income before income taxes, can be found in Note 16 to the consolidated financial statements filed with United’s Annual Report on Form 10-K for the year ended December 31,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Review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assets at June 30, 2015, December 31, 2014 and June 30, 2014 were $8.25 billion, $7.57 billion and $7.35 billion, respectively. Average total assets for the second quarter of 2015 were $8.02 billion, up from $7.42 billion in the second quarter of 2014.</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The following table presents a summary of the loan portfolio.</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320" w:type="dxa"/>
            <w:vAlign w:val="bottom"/>
            <w:gridSpan w:val="2"/>
          </w:tcPr>
          <w:p>
            <w:pPr>
              <w:ind w:left="580"/>
              <w:spacing w:after="0"/>
              <w:rPr>
                <w:sz w:val="20"/>
                <w:szCs w:val="20"/>
                <w:color w:val="auto"/>
              </w:rPr>
            </w:pPr>
            <w:r>
              <w:rPr>
                <w:rFonts w:ascii="Arial" w:cs="Arial" w:eastAsia="Arial" w:hAnsi="Arial"/>
                <w:sz w:val="18"/>
                <w:szCs w:val="18"/>
                <w:b w:val="1"/>
                <w:bCs w:val="1"/>
                <w:color w:val="auto"/>
              </w:rPr>
              <w:t>Table 7 - Loans Outstanding</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320" w:type="dxa"/>
            <w:vAlign w:val="bottom"/>
            <w:gridSpan w:val="2"/>
          </w:tcPr>
          <w:p>
            <w:pPr>
              <w:ind w:left="58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98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w w:val="88"/>
              </w:rPr>
              <w:t>June 30,</w:t>
            </w:r>
          </w:p>
        </w:tc>
        <w:tc>
          <w:tcPr>
            <w:tcW w:w="1300" w:type="dxa"/>
            <w:vAlign w:val="bottom"/>
            <w:gridSpan w:val="4"/>
            <w:vMerge w:val="restart"/>
          </w:tcPr>
          <w:p>
            <w:pPr>
              <w:ind w:left="60"/>
              <w:spacing w:after="0"/>
              <w:rPr>
                <w:sz w:val="20"/>
                <w:szCs w:val="20"/>
                <w:color w:val="auto"/>
              </w:rPr>
            </w:pPr>
            <w:r>
              <w:rPr>
                <w:rFonts w:ascii="Arial" w:cs="Arial" w:eastAsia="Arial" w:hAnsi="Arial"/>
                <w:sz w:val="18"/>
                <w:szCs w:val="18"/>
                <w:b w:val="1"/>
                <w:bCs w:val="1"/>
                <w:color w:val="auto"/>
              </w:rPr>
              <w:t>December 31,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300" w:type="dxa"/>
            <w:vAlign w:val="bottom"/>
            <w:gridSpan w:val="4"/>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By Loan Type</w:t>
            </w:r>
          </w:p>
        </w:tc>
        <w:tc>
          <w:tcPr>
            <w:tcW w:w="1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Owner occupied commercial real estate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1,265,783</w:t>
            </w:r>
          </w:p>
        </w:tc>
        <w:tc>
          <w:tcPr>
            <w:tcW w:w="180" w:type="dxa"/>
            <w:vAlign w:val="bottom"/>
          </w:tcPr>
          <w:p>
            <w:pPr>
              <w:spacing w:after="0"/>
              <w:rPr>
                <w:sz w:val="18"/>
                <w:szCs w:val="18"/>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1,163,480</w:t>
            </w:r>
          </w:p>
        </w:tc>
        <w:tc>
          <w:tcPr>
            <w:tcW w:w="2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1,163,327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40" w:type="dxa"/>
            <w:vAlign w:val="bottom"/>
            <w:shd w:val="clear" w:color="auto" w:fill="F0FFFF"/>
          </w:tcPr>
          <w:p>
            <w:pPr>
              <w:spacing w:after="0"/>
              <w:rPr>
                <w:sz w:val="20"/>
                <w:szCs w:val="20"/>
                <w:color w:val="auto"/>
              </w:rPr>
            </w:pPr>
            <w:r>
              <w:rPr>
                <w:rFonts w:ascii="Arial" w:cs="Arial" w:eastAsia="Arial" w:hAnsi="Arial"/>
                <w:sz w:val="18"/>
                <w:szCs w:val="18"/>
                <w:color w:val="auto"/>
              </w:rPr>
              <w:t>Income producing commercial real estate</w:t>
            </w:r>
          </w:p>
        </w:tc>
        <w:tc>
          <w:tcPr>
            <w:tcW w:w="12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688,768</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598,537</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598,318</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792,791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710,256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554,089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7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tcBorders>
              <w:bottom w:val="single" w:sz="8" w:color="auto"/>
            </w:tcBorders>
            <w:shd w:val="clear" w:color="auto" w:fill="F0FFFF"/>
          </w:tcPr>
          <w:p>
            <w:pPr>
              <w:spacing w:after="0"/>
              <w:rPr>
                <w:sz w:val="19"/>
                <w:szCs w:val="19"/>
                <w:color w:val="auto"/>
              </w:rPr>
            </w:pP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237,820</w:t>
            </w:r>
          </w:p>
        </w:tc>
        <w:tc>
          <w:tcPr>
            <w:tcW w:w="180" w:type="dxa"/>
            <w:vAlign w:val="bottom"/>
            <w:tcBorders>
              <w:bottom w:val="single" w:sz="8" w:color="F0FFFF"/>
            </w:tcBorders>
            <w:shd w:val="clear" w:color="auto" w:fill="F0FFFF"/>
          </w:tcPr>
          <w:p>
            <w:pPr>
              <w:spacing w:after="0"/>
              <w:rPr>
                <w:sz w:val="19"/>
                <w:szCs w:val="19"/>
                <w:color w:val="auto"/>
              </w:rPr>
            </w:pPr>
          </w:p>
        </w:tc>
        <w:tc>
          <w:tcPr>
            <w:tcW w:w="6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196,030</w:t>
            </w:r>
          </w:p>
        </w:tc>
        <w:tc>
          <w:tcPr>
            <w:tcW w:w="200" w:type="dxa"/>
            <w:vAlign w:val="bottom"/>
            <w:tcBorders>
              <w:bottom w:val="single" w:sz="8" w:color="F0FFFF"/>
            </w:tcBorders>
            <w:shd w:val="clear" w:color="auto" w:fill="F0FFFF"/>
          </w:tcPr>
          <w:p>
            <w:pPr>
              <w:spacing w:after="0"/>
              <w:rPr>
                <w:sz w:val="19"/>
                <w:szCs w:val="19"/>
                <w:color w:val="auto"/>
              </w:rPr>
            </w:pPr>
          </w:p>
        </w:tc>
        <w:tc>
          <w:tcPr>
            <w:tcW w:w="6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auto"/>
            </w:tcBorders>
            <w:shd w:val="clear" w:color="auto" w:fill="F0FFFF"/>
          </w:tcPr>
          <w:p>
            <w:pPr>
              <w:spacing w:after="0"/>
              <w:rPr>
                <w:sz w:val="19"/>
                <w:szCs w:val="19"/>
                <w:color w:val="auto"/>
              </w:rPr>
            </w:pP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159,755</w:t>
            </w:r>
          </w:p>
        </w:tc>
        <w:tc>
          <w:tcPr>
            <w:tcW w:w="16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40" w:type="dxa"/>
            <w:vAlign w:val="bottom"/>
          </w:tcPr>
          <w:p>
            <w:pPr>
              <w:ind w:left="320"/>
              <w:spacing w:after="0"/>
              <w:rPr>
                <w:sz w:val="20"/>
                <w:szCs w:val="20"/>
                <w:color w:val="auto"/>
              </w:rPr>
            </w:pPr>
            <w:r>
              <w:rPr>
                <w:rFonts w:ascii="Arial" w:cs="Arial" w:eastAsia="Arial" w:hAnsi="Arial"/>
                <w:sz w:val="18"/>
                <w:szCs w:val="18"/>
                <w:color w:val="auto"/>
              </w:rPr>
              <w:t>Total commercial</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2,985,162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2,668,303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2,475,489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40" w:type="dxa"/>
            <w:vAlign w:val="bottom"/>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935,646</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865,789</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860,525</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Home equity lines of credit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490,753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465,872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451,435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40" w:type="dxa"/>
            <w:vAlign w:val="bottom"/>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12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298,920</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298,627</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301,737</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Consumer installment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105,931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104,899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105,160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7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Indirect auto</w:t>
            </w:r>
          </w:p>
        </w:tc>
        <w:tc>
          <w:tcPr>
            <w:tcW w:w="120" w:type="dxa"/>
            <w:vAlign w:val="bottom"/>
            <w:tcBorders>
              <w:bottom w:val="single" w:sz="8" w:color="auto"/>
            </w:tcBorders>
            <w:shd w:val="clear" w:color="auto" w:fill="F0FFFF"/>
          </w:tcPr>
          <w:p>
            <w:pPr>
              <w:spacing w:after="0"/>
              <w:rPr>
                <w:sz w:val="19"/>
                <w:szCs w:val="19"/>
                <w:color w:val="auto"/>
              </w:rPr>
            </w:pP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357,105</w:t>
            </w:r>
          </w:p>
        </w:tc>
        <w:tc>
          <w:tcPr>
            <w:tcW w:w="180" w:type="dxa"/>
            <w:vAlign w:val="bottom"/>
            <w:tcBorders>
              <w:bottom w:val="single" w:sz="8" w:color="F0FFFF"/>
            </w:tcBorders>
            <w:shd w:val="clear" w:color="auto" w:fill="F0FFFF"/>
          </w:tcPr>
          <w:p>
            <w:pPr>
              <w:spacing w:after="0"/>
              <w:rPr>
                <w:sz w:val="19"/>
                <w:szCs w:val="19"/>
                <w:color w:val="auto"/>
              </w:rPr>
            </w:pPr>
          </w:p>
        </w:tc>
        <w:tc>
          <w:tcPr>
            <w:tcW w:w="6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268,629</w:t>
            </w:r>
          </w:p>
        </w:tc>
        <w:tc>
          <w:tcPr>
            <w:tcW w:w="200" w:type="dxa"/>
            <w:vAlign w:val="bottom"/>
            <w:tcBorders>
              <w:bottom w:val="single" w:sz="8" w:color="F0FFFF"/>
            </w:tcBorders>
            <w:shd w:val="clear" w:color="auto" w:fill="F0FFFF"/>
          </w:tcPr>
          <w:p>
            <w:pPr>
              <w:spacing w:after="0"/>
              <w:rPr>
                <w:sz w:val="19"/>
                <w:szCs w:val="19"/>
                <w:color w:val="auto"/>
              </w:rPr>
            </w:pPr>
          </w:p>
        </w:tc>
        <w:tc>
          <w:tcPr>
            <w:tcW w:w="6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auto"/>
            </w:tcBorders>
            <w:shd w:val="clear" w:color="auto" w:fill="F0FFFF"/>
          </w:tcPr>
          <w:p>
            <w:pPr>
              <w:spacing w:after="0"/>
              <w:rPr>
                <w:sz w:val="19"/>
                <w:szCs w:val="19"/>
                <w:color w:val="auto"/>
              </w:rPr>
            </w:pP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215,939</w:t>
            </w:r>
          </w:p>
        </w:tc>
        <w:tc>
          <w:tcPr>
            <w:tcW w:w="16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40" w:type="dxa"/>
            <w:vAlign w:val="bottom"/>
          </w:tcPr>
          <w:p>
            <w:pPr>
              <w:ind w:left="320"/>
              <w:spacing w:after="0"/>
              <w:rPr>
                <w:sz w:val="20"/>
                <w:szCs w:val="20"/>
                <w:color w:val="auto"/>
              </w:rPr>
            </w:pPr>
            <w:r>
              <w:rPr>
                <w:rFonts w:ascii="Arial" w:cs="Arial" w:eastAsia="Arial" w:hAnsi="Arial"/>
                <w:sz w:val="18"/>
                <w:szCs w:val="18"/>
                <w:color w:val="auto"/>
              </w:rPr>
              <w:t>Total loans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5,173,517</w:t>
            </w:r>
          </w:p>
        </w:tc>
        <w:tc>
          <w:tcPr>
            <w:tcW w:w="180" w:type="dxa"/>
            <w:vAlign w:val="bottom"/>
          </w:tcPr>
          <w:p>
            <w:pPr>
              <w:spacing w:after="0"/>
              <w:rPr>
                <w:sz w:val="18"/>
                <w:szCs w:val="18"/>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4,672,119</w:t>
            </w:r>
          </w:p>
        </w:tc>
        <w:tc>
          <w:tcPr>
            <w:tcW w:w="2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4,410,285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67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As a percentage of total loans: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Owner occupied commercial real estate</w:t>
            </w:r>
          </w:p>
        </w:tc>
        <w:tc>
          <w:tcPr>
            <w:tcW w:w="1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24%</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25%</w:t>
            </w: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Income producing commercial real estate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Commercial &amp; industrial</w:t>
            </w:r>
          </w:p>
        </w:tc>
        <w:tc>
          <w:tcPr>
            <w:tcW w:w="12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Total commercial</w:t>
            </w:r>
          </w:p>
        </w:tc>
        <w:tc>
          <w:tcPr>
            <w:tcW w:w="12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Residential mortgage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Home equity lines of credit</w:t>
            </w:r>
          </w:p>
        </w:tc>
        <w:tc>
          <w:tcPr>
            <w:tcW w:w="12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Residential construction</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Consumer installment</w:t>
            </w:r>
          </w:p>
        </w:tc>
        <w:tc>
          <w:tcPr>
            <w:tcW w:w="12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Indirect auto</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67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F0FFFF"/>
          </w:tcPr>
          <w:p>
            <w:pPr>
              <w:spacing w:after="0"/>
              <w:rPr>
                <w:sz w:val="22"/>
                <w:szCs w:val="22"/>
                <w:color w:val="auto"/>
              </w:rPr>
            </w:pPr>
          </w:p>
        </w:tc>
        <w:tc>
          <w:tcPr>
            <w:tcW w:w="9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F0FFFF"/>
          </w:tcPr>
          <w:p>
            <w:pPr>
              <w:spacing w:after="0"/>
              <w:rPr>
                <w:sz w:val="22"/>
                <w:szCs w:val="22"/>
                <w:color w:val="auto"/>
              </w:rPr>
            </w:pPr>
          </w:p>
        </w:tc>
        <w:tc>
          <w:tcPr>
            <w:tcW w:w="200" w:type="dxa"/>
            <w:vAlign w:val="bottom"/>
            <w:shd w:val="clear" w:color="auto" w:fill="F0FFFF"/>
          </w:tcPr>
          <w:p>
            <w:pPr>
              <w:spacing w:after="0"/>
              <w:rPr>
                <w:sz w:val="22"/>
                <w:szCs w:val="22"/>
                <w:color w:val="auto"/>
              </w:rPr>
            </w:pPr>
          </w:p>
        </w:tc>
        <w:tc>
          <w:tcPr>
            <w:tcW w:w="10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9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674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7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By Geographic Location</w:t>
            </w:r>
          </w:p>
        </w:tc>
        <w:tc>
          <w:tcPr>
            <w:tcW w:w="1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North Georgia</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1,154,558</w:t>
            </w:r>
          </w:p>
        </w:tc>
        <w:tc>
          <w:tcPr>
            <w:tcW w:w="180" w:type="dxa"/>
            <w:vAlign w:val="bottom"/>
          </w:tcPr>
          <w:p>
            <w:pPr>
              <w:spacing w:after="0"/>
              <w:rPr>
                <w:sz w:val="18"/>
                <w:szCs w:val="18"/>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1,163,479</w:t>
            </w:r>
          </w:p>
        </w:tc>
        <w:tc>
          <w:tcPr>
            <w:tcW w:w="2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1,174,998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40" w:type="dxa"/>
            <w:vAlign w:val="bottom"/>
            <w:shd w:val="clear" w:color="auto" w:fill="F0FFFF"/>
          </w:tcPr>
          <w:p>
            <w:pPr>
              <w:spacing w:after="0"/>
              <w:rPr>
                <w:sz w:val="20"/>
                <w:szCs w:val="20"/>
                <w:color w:val="auto"/>
              </w:rPr>
            </w:pPr>
            <w:r>
              <w:rPr>
                <w:rFonts w:ascii="Arial" w:cs="Arial" w:eastAsia="Arial" w:hAnsi="Arial"/>
                <w:sz w:val="18"/>
                <w:szCs w:val="18"/>
                <w:color w:val="auto"/>
              </w:rPr>
              <w:t>Atlanta MSA</w:t>
            </w:r>
          </w:p>
        </w:tc>
        <w:tc>
          <w:tcPr>
            <w:tcW w:w="12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4"/>
              </w:rPr>
              <w:t>1,316,832</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1,281,753</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4"/>
              </w:rPr>
              <w:t>1,305,401</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North Carolina</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533,384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552,766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555,273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40" w:type="dxa"/>
            <w:vAlign w:val="bottom"/>
            <w:shd w:val="clear" w:color="auto" w:fill="F0FFFF"/>
          </w:tcPr>
          <w:p>
            <w:pPr>
              <w:spacing w:after="0"/>
              <w:rPr>
                <w:sz w:val="20"/>
                <w:szCs w:val="20"/>
                <w:color w:val="auto"/>
              </w:rPr>
            </w:pPr>
            <w:r>
              <w:rPr>
                <w:rFonts w:ascii="Arial" w:cs="Arial" w:eastAsia="Arial" w:hAnsi="Arial"/>
                <w:sz w:val="18"/>
                <w:szCs w:val="18"/>
                <w:color w:val="auto"/>
              </w:rPr>
              <w:t>Coastal Georgia</w:t>
            </w:r>
          </w:p>
        </w:tc>
        <w:tc>
          <w:tcPr>
            <w:tcW w:w="12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499,079</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455,709</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426,393</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Gainesville MSA</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257,274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257,449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40" w:type="dxa"/>
            <w:vAlign w:val="bottom"/>
            <w:shd w:val="clear" w:color="auto" w:fill="F0FFFF"/>
          </w:tcPr>
          <w:p>
            <w:pPr>
              <w:spacing w:after="0"/>
              <w:rPr>
                <w:sz w:val="20"/>
                <w:szCs w:val="20"/>
                <w:color w:val="auto"/>
              </w:rPr>
            </w:pPr>
            <w:r>
              <w:rPr>
                <w:rFonts w:ascii="Arial" w:cs="Arial" w:eastAsia="Arial" w:hAnsi="Arial"/>
                <w:sz w:val="18"/>
                <w:szCs w:val="18"/>
                <w:color w:val="auto"/>
              </w:rPr>
              <w:t>East Tennessee</w:t>
            </w:r>
          </w:p>
        </w:tc>
        <w:tc>
          <w:tcPr>
            <w:tcW w:w="12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524,602</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280,312</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269,564</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South Carolina / Specialized Lending</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530,683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412,022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205,696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7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Other (Indirect Auto)</w:t>
            </w:r>
          </w:p>
        </w:tc>
        <w:tc>
          <w:tcPr>
            <w:tcW w:w="120" w:type="dxa"/>
            <w:vAlign w:val="bottom"/>
            <w:tcBorders>
              <w:bottom w:val="single" w:sz="8" w:color="auto"/>
            </w:tcBorders>
            <w:shd w:val="clear" w:color="auto" w:fill="F0FFFF"/>
          </w:tcPr>
          <w:p>
            <w:pPr>
              <w:spacing w:after="0"/>
              <w:rPr>
                <w:sz w:val="19"/>
                <w:szCs w:val="19"/>
                <w:color w:val="auto"/>
              </w:rPr>
            </w:pP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357,105</w:t>
            </w:r>
          </w:p>
        </w:tc>
        <w:tc>
          <w:tcPr>
            <w:tcW w:w="180" w:type="dxa"/>
            <w:vAlign w:val="bottom"/>
            <w:tcBorders>
              <w:bottom w:val="single" w:sz="8" w:color="F0FFFF"/>
            </w:tcBorders>
            <w:shd w:val="clear" w:color="auto" w:fill="F0FFFF"/>
          </w:tcPr>
          <w:p>
            <w:pPr>
              <w:spacing w:after="0"/>
              <w:rPr>
                <w:sz w:val="19"/>
                <w:szCs w:val="19"/>
                <w:color w:val="auto"/>
              </w:rPr>
            </w:pPr>
          </w:p>
        </w:tc>
        <w:tc>
          <w:tcPr>
            <w:tcW w:w="6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268,629</w:t>
            </w:r>
          </w:p>
        </w:tc>
        <w:tc>
          <w:tcPr>
            <w:tcW w:w="200" w:type="dxa"/>
            <w:vAlign w:val="bottom"/>
            <w:tcBorders>
              <w:bottom w:val="single" w:sz="8" w:color="F0FFFF"/>
            </w:tcBorders>
            <w:shd w:val="clear" w:color="auto" w:fill="F0FFFF"/>
          </w:tcPr>
          <w:p>
            <w:pPr>
              <w:spacing w:after="0"/>
              <w:rPr>
                <w:sz w:val="19"/>
                <w:szCs w:val="19"/>
                <w:color w:val="auto"/>
              </w:rPr>
            </w:pPr>
          </w:p>
        </w:tc>
        <w:tc>
          <w:tcPr>
            <w:tcW w:w="6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auto"/>
            </w:tcBorders>
            <w:shd w:val="clear" w:color="auto" w:fill="F0FFFF"/>
          </w:tcPr>
          <w:p>
            <w:pPr>
              <w:spacing w:after="0"/>
              <w:rPr>
                <w:sz w:val="19"/>
                <w:szCs w:val="19"/>
                <w:color w:val="auto"/>
              </w:rPr>
            </w:pP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215,939</w:t>
            </w:r>
          </w:p>
        </w:tc>
        <w:tc>
          <w:tcPr>
            <w:tcW w:w="16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740" w:type="dxa"/>
            <w:vAlign w:val="bottom"/>
          </w:tcPr>
          <w:p>
            <w:pPr>
              <w:ind w:left="320"/>
              <w:spacing w:after="0"/>
              <w:rPr>
                <w:sz w:val="20"/>
                <w:szCs w:val="20"/>
                <w:color w:val="auto"/>
              </w:rPr>
            </w:pPr>
            <w:r>
              <w:rPr>
                <w:rFonts w:ascii="Arial" w:cs="Arial" w:eastAsia="Arial" w:hAnsi="Arial"/>
                <w:sz w:val="18"/>
                <w:szCs w:val="18"/>
                <w:color w:val="auto"/>
              </w:rPr>
              <w:t>Total loans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5,173,517</w:t>
            </w:r>
          </w:p>
        </w:tc>
        <w:tc>
          <w:tcPr>
            <w:tcW w:w="180" w:type="dxa"/>
            <w:vAlign w:val="bottom"/>
          </w:tcPr>
          <w:p>
            <w:pPr>
              <w:spacing w:after="0"/>
              <w:rPr>
                <w:sz w:val="18"/>
                <w:szCs w:val="18"/>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4,672,119</w:t>
            </w:r>
          </w:p>
        </w:tc>
        <w:tc>
          <w:tcPr>
            <w:tcW w:w="2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4,410,285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Substantially all of United’s loans are to customers located in the immediate market areas of its community banks in Georgia, North Carolina, South Carolina and Tennessee, including customers who have a seasonal residence in United’s market areas. More than 76% of the loans are secured by real estate. In 2014, loan growth began to return to pre-crisis levels reflecting United’s specialized lending initiatives which resulted in increases in commercial lending. Consumer installment loans also increased due to purchases of indirect auto loans. Total loans averaged $5.02 billion in the second quarter of 2015, compared with $4.38 billion in the second quarter of 2014, an increase of 15%. At June 30, 2015, total loans were $5.17 billion, an increase of $763 million, or 17%, from June 30,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and Board of Directors approved portfolio limits, establishing credit policies and procedures and enforcing the consistent application of these policies and procedures among all of the community banks. Additional information on the credit administration function is included in Item 1 under the heading </w:t>
      </w:r>
      <w:r>
        <w:rPr>
          <w:rFonts w:ascii="Arial" w:cs="Arial" w:eastAsia="Arial" w:hAnsi="Arial"/>
          <w:sz w:val="17"/>
          <w:szCs w:val="17"/>
          <w:i w:val="1"/>
          <w:iCs w:val="1"/>
          <w:color w:val="auto"/>
        </w:rPr>
        <w:t>Loan Review and Nonperforming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Assets </w:t>
      </w:r>
      <w:r>
        <w:rPr>
          <w:rFonts w:ascii="Arial" w:cs="Arial" w:eastAsia="Arial" w:hAnsi="Arial"/>
          <w:sz w:val="17"/>
          <w:szCs w:val="17"/>
          <w:color w:val="auto"/>
        </w:rPr>
        <w:t>in United’s Annual Report on Form 10-K for the year ended December 31, 2014.</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jc w:val="both"/>
        <w:spacing w:after="0" w:line="277" w:lineRule="auto"/>
        <w:rPr>
          <w:sz w:val="20"/>
          <w:szCs w:val="20"/>
          <w:color w:val="auto"/>
        </w:rPr>
      </w:pPr>
      <w:r>
        <w:rPr>
          <w:rFonts w:ascii="Arial" w:cs="Arial" w:eastAsia="Arial" w:hAnsi="Arial"/>
          <w:sz w:val="18"/>
          <w:szCs w:val="18"/>
          <w:color w:val="auto"/>
        </w:rPr>
        <w:t>United classifies performing loans as “substandard” when there is a well-defined weakness or weaknesses that jeopardizes the repayment by the borrower and there is a distinct possibility that United could sustain some loss if the deficiency is not corrected.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home equity lines generally require the payment of interest only for a set period after origination. After this initial period, the outstanding balance begins amortizing and requires the payment of both principal and interest. At June 30, 2015, December 31, 2014 and June 30, 2014, the funded portion of home equity lines totaled $491 million, $466 million and $451 million, respectively. Approximately 3% of the home equity lines at June 30, 2015 were amortizing. Of the $491 million in balances outstanding at June 30, 2015, $308 million, or 63%, were secured by first liens. At June 30, 2015, 61% of the total available home equity lines were drawn upon.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monitors the performance of its home equity loans and lines secured by second liens similar to other consumer loans and utilizes assumptions specific to these loans in determining the necessary allowance. United also receives notification when the first lien holder is in the process of foreclosure and upon that notification, United obtains valuations to determine if any additional charge-offs or reserves are warranted.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performing substandard loans for the last five quarters.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Table 8 - Performing Substandard Loans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20"/>
                <w:szCs w:val="20"/>
                <w:color w:val="auto"/>
              </w:rPr>
            </w:pPr>
          </w:p>
        </w:tc>
        <w:tc>
          <w:tcPr>
            <w:tcW w:w="13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December 31,</w:t>
            </w:r>
          </w:p>
        </w:tc>
        <w:tc>
          <w:tcPr>
            <w:tcW w:w="12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7"/>
              </w:rPr>
              <w:t>September 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By Category</w:t>
            </w:r>
          </w:p>
        </w:tc>
        <w:tc>
          <w:tcPr>
            <w:tcW w:w="7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Owner occupied commercial real estate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39,618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43,887</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46,401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49,857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F0FFFF"/>
          </w:tcPr>
          <w:p>
            <w:pPr>
              <w:spacing w:after="0"/>
              <w:rPr>
                <w:sz w:val="20"/>
                <w:szCs w:val="20"/>
                <w:color w:val="auto"/>
              </w:rPr>
            </w:pPr>
            <w:r>
              <w:rPr>
                <w:rFonts w:ascii="Arial" w:cs="Arial" w:eastAsia="Arial" w:hAnsi="Arial"/>
                <w:sz w:val="18"/>
                <w:szCs w:val="18"/>
                <w:color w:val="auto"/>
              </w:rPr>
              <w:t>Income producing commercial real estate</w:t>
            </w:r>
          </w:p>
        </w:tc>
        <w:tc>
          <w:tcPr>
            <w:tcW w:w="7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18,775</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19,881</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20,560</w:t>
            </w: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22,215</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24,633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6,394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7,863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F0FFFF"/>
          </w:tcPr>
          <w:p>
            <w:pPr>
              <w:spacing w:after="0"/>
              <w:rPr>
                <w:sz w:val="20"/>
                <w:szCs w:val="20"/>
                <w:color w:val="auto"/>
              </w:rPr>
            </w:pPr>
            <w:r>
              <w:rPr>
                <w:rFonts w:ascii="Arial" w:cs="Arial" w:eastAsia="Arial" w:hAnsi="Arial"/>
                <w:sz w:val="18"/>
                <w:szCs w:val="18"/>
                <w:color w:val="auto"/>
              </w:rPr>
              <w:t>Commercial construction</w:t>
            </w:r>
          </w:p>
        </w:tc>
        <w:tc>
          <w:tcPr>
            <w:tcW w:w="7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3,255</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3,528</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3,566</w:t>
            </w: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3,847</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4,406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shd w:val="clear" w:color="auto" w:fill="F0FFFF"/>
          </w:tcPr>
          <w:p>
            <w:pPr>
              <w:spacing w:after="0"/>
              <w:rPr>
                <w:sz w:val="2"/>
                <w:szCs w:val="2"/>
                <w:color w:val="auto"/>
              </w:rPr>
            </w:pPr>
          </w:p>
        </w:tc>
        <w:tc>
          <w:tcPr>
            <w:tcW w:w="76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Total commercial</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68,042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74,000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78,390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83,417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7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30,579</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30,382</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31,831</w:t>
            </w: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42,981</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41,856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Home equity</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5,591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5,734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5,296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7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9,686</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9,504</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10,920</w:t>
            </w: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11,755</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Consumer installment</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1,382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F0FFFF"/>
          </w:tcPr>
          <w:p>
            <w:pPr>
              <w:spacing w:after="0"/>
              <w:rPr>
                <w:sz w:val="20"/>
                <w:szCs w:val="20"/>
                <w:color w:val="auto"/>
              </w:rPr>
            </w:pPr>
            <w:r>
              <w:rPr>
                <w:rFonts w:ascii="Arial" w:cs="Arial" w:eastAsia="Arial" w:hAnsi="Arial"/>
                <w:sz w:val="18"/>
                <w:szCs w:val="18"/>
                <w:color w:val="auto"/>
              </w:rPr>
              <w:t>Indirect auto</w:t>
            </w:r>
          </w:p>
        </w:tc>
        <w:tc>
          <w:tcPr>
            <w:tcW w:w="7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961</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796</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574</w:t>
            </w: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684</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shd w:val="clear" w:color="auto" w:fill="F0FFFF"/>
          </w:tcPr>
          <w:p>
            <w:pPr>
              <w:spacing w:after="0"/>
              <w:rPr>
                <w:sz w:val="2"/>
                <w:szCs w:val="2"/>
                <w:color w:val="auto"/>
              </w:rPr>
            </w:pPr>
          </w:p>
        </w:tc>
        <w:tc>
          <w:tcPr>
            <w:tcW w:w="76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115,701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121,717</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128,393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148,972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147,536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2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By Market</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F0FFFF"/>
          </w:tcPr>
          <w:p>
            <w:pPr>
              <w:spacing w:after="0"/>
              <w:rPr>
                <w:sz w:val="20"/>
                <w:szCs w:val="20"/>
                <w:color w:val="auto"/>
              </w:rPr>
            </w:pPr>
            <w:r>
              <w:rPr>
                <w:rFonts w:ascii="Arial" w:cs="Arial" w:eastAsia="Arial" w:hAnsi="Arial"/>
                <w:sz w:val="18"/>
                <w:szCs w:val="18"/>
                <w:color w:val="auto"/>
              </w:rPr>
              <w:t>North Georgia</w:t>
            </w:r>
          </w:p>
        </w:tc>
        <w:tc>
          <w:tcPr>
            <w:tcW w:w="9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51,938</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52,652</w:t>
            </w:r>
          </w:p>
        </w:tc>
        <w:tc>
          <w:tcPr>
            <w:tcW w:w="36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55,821</w:t>
            </w:r>
          </w:p>
        </w:tc>
        <w:tc>
          <w:tcPr>
            <w:tcW w:w="24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66,780</w:t>
            </w:r>
          </w:p>
        </w:tc>
        <w:tc>
          <w:tcPr>
            <w:tcW w:w="2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66,709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Atlanta MSA</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32,003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32,281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31,596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34,699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F0FFFF"/>
          </w:tcPr>
          <w:p>
            <w:pPr>
              <w:spacing w:after="0"/>
              <w:rPr>
                <w:sz w:val="20"/>
                <w:szCs w:val="20"/>
                <w:color w:val="auto"/>
              </w:rPr>
            </w:pPr>
            <w:r>
              <w:rPr>
                <w:rFonts w:ascii="Arial" w:cs="Arial" w:eastAsia="Arial" w:hAnsi="Arial"/>
                <w:sz w:val="18"/>
                <w:szCs w:val="18"/>
                <w:color w:val="auto"/>
              </w:rPr>
              <w:t>North Carolina</w:t>
            </w:r>
          </w:p>
        </w:tc>
        <w:tc>
          <w:tcPr>
            <w:tcW w:w="7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15,514</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13,871</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16,479</w:t>
            </w: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18,465</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Coastal Georgia</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5,886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14,355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15,642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17,368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F0FFFF"/>
          </w:tcPr>
          <w:p>
            <w:pPr>
              <w:spacing w:after="0"/>
              <w:rPr>
                <w:sz w:val="20"/>
                <w:szCs w:val="20"/>
                <w:color w:val="auto"/>
              </w:rPr>
            </w:pPr>
            <w:r>
              <w:rPr>
                <w:rFonts w:ascii="Arial" w:cs="Arial" w:eastAsia="Arial" w:hAnsi="Arial"/>
                <w:sz w:val="18"/>
                <w:szCs w:val="18"/>
                <w:color w:val="auto"/>
              </w:rPr>
              <w:t>Gainesville MSA</w:t>
            </w:r>
          </w:p>
        </w:tc>
        <w:tc>
          <w:tcPr>
            <w:tcW w:w="7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897</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1,109</w:t>
            </w: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East Tennessee</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7,688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5,936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5,933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F0FFFF"/>
          </w:tcPr>
          <w:p>
            <w:pPr>
              <w:spacing w:after="0"/>
              <w:rPr>
                <w:sz w:val="20"/>
                <w:szCs w:val="20"/>
                <w:color w:val="auto"/>
              </w:rPr>
            </w:pPr>
            <w:r>
              <w:rPr>
                <w:rFonts w:ascii="Arial" w:cs="Arial" w:eastAsia="Arial" w:hAnsi="Arial"/>
                <w:sz w:val="18"/>
                <w:szCs w:val="18"/>
                <w:color w:val="auto"/>
              </w:rPr>
              <w:t>South Carolina / Specialized Lending</w:t>
            </w:r>
          </w:p>
        </w:tc>
        <w:tc>
          <w:tcPr>
            <w:tcW w:w="7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814</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817</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1,239</w:t>
            </w: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1,317</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Indirect auto</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574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Total loans</w:t>
            </w:r>
          </w:p>
        </w:tc>
        <w:tc>
          <w:tcPr>
            <w:tcW w:w="760" w:type="dxa"/>
            <w:vAlign w:val="bottom"/>
            <w:shd w:val="clear" w:color="auto" w:fill="F0FFFF"/>
          </w:tcPr>
          <w:p>
            <w:pPr>
              <w:spacing w:after="0"/>
              <w:rPr>
                <w:sz w:val="20"/>
                <w:szCs w:val="20"/>
                <w:color w:val="auto"/>
              </w:rPr>
            </w:pP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115,701</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121,717</w:t>
            </w:r>
          </w:p>
        </w:tc>
        <w:tc>
          <w:tcPr>
            <w:tcW w:w="36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128,393</w:t>
            </w:r>
          </w:p>
        </w:tc>
        <w:tc>
          <w:tcPr>
            <w:tcW w:w="24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148,972</w:t>
            </w:r>
          </w:p>
        </w:tc>
        <w:tc>
          <w:tcPr>
            <w:tcW w:w="2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147,536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F0FFFF"/>
            </w:tcBorders>
            <w:shd w:val="clear" w:color="auto" w:fill="F0FFFF"/>
          </w:tcPr>
          <w:p>
            <w:pPr>
              <w:spacing w:after="0" w:line="20" w:lineRule="exact"/>
              <w:rPr>
                <w:sz w:val="1"/>
                <w:szCs w:val="1"/>
                <w:color w:val="auto"/>
              </w:rPr>
            </w:pPr>
          </w:p>
        </w:tc>
        <w:tc>
          <w:tcPr>
            <w:tcW w:w="76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2015, performing substandard loans totaled $116 million and decreased $6.02 million from the prior quarter-end, and decreased $31.8 million from a year ago. Performing substandard loans have been on a downward trend as credit conditions have continued to improve and problem credits are resolved.</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Reviews of substandard performing and non-performing loans, TDRs, past due loans and larger credits are conducted on a regular basis and are designed to identify risk migration and potential charges to the allowance for loan losses. These reviews are presented by the responsible lending officers and specific action plans are discussed along with the financial strength of borrowers, the value of the applicable collateral, past loan loss experience, anticipated loan losses, changes in risk profile, the effect of prevailing economic conditions on the borrower and other factors specific to the borrower and its industry. In addition to United’s internal loan review, United also uses external loan review to ensure the independence of the loan review process.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64" w:name="page65"/>
    <w:bookmarkEnd w:id="64"/>
    <w:p>
      <w:pPr>
        <w:spacing w:after="0"/>
        <w:rPr>
          <w:sz w:val="20"/>
          <w:szCs w:val="20"/>
          <w:color w:val="auto"/>
        </w:rPr>
      </w:pPr>
      <w:r>
        <w:rPr>
          <w:rFonts w:ascii="Arial" w:cs="Arial" w:eastAsia="Arial" w:hAnsi="Arial"/>
          <w:sz w:val="17"/>
          <w:szCs w:val="17"/>
          <w:color w:val="auto"/>
        </w:rPr>
        <w:t>The following table presents a summary of the changes in the allowance for credit losses for the three and six months ended June 30, 2015 and 2014.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Table 9 - Allowance for Credit Losses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gridSpan w:val="5"/>
            <w:vMerge w:val="restart"/>
          </w:tcPr>
          <w:p>
            <w:pPr>
              <w:jc w:val="right"/>
              <w:ind w:right="380"/>
              <w:spacing w:after="0"/>
              <w:rPr>
                <w:sz w:val="20"/>
                <w:szCs w:val="20"/>
                <w:color w:val="auto"/>
              </w:rPr>
            </w:pPr>
            <w:r>
              <w:rPr>
                <w:rFonts w:ascii="Arial" w:cs="Arial" w:eastAsia="Arial" w:hAnsi="Arial"/>
                <w:sz w:val="18"/>
                <w:szCs w:val="18"/>
                <w:b w:val="1"/>
                <w:bCs w:val="1"/>
                <w:color w:val="auto"/>
                <w:w w:val="90"/>
              </w:rPr>
              <w:t>Three Months Ended June 30,</w:t>
            </w:r>
          </w:p>
        </w:tc>
        <w:tc>
          <w:tcPr>
            <w:tcW w:w="160" w:type="dxa"/>
            <w:vAlign w:val="bottom"/>
          </w:tcPr>
          <w:p>
            <w:pPr>
              <w:spacing w:after="0"/>
              <w:rPr>
                <w:sz w:val="20"/>
                <w:szCs w:val="20"/>
                <w:color w:val="auto"/>
              </w:rPr>
            </w:pPr>
          </w:p>
        </w:tc>
        <w:tc>
          <w:tcPr>
            <w:tcW w:w="2540" w:type="dxa"/>
            <w:vAlign w:val="bottom"/>
            <w:gridSpan w:val="5"/>
            <w:vMerge w:val="restart"/>
          </w:tcPr>
          <w:p>
            <w:pPr>
              <w:jc w:val="right"/>
              <w:ind w:right="38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5"/>
            <w:vMerge w:val="continue"/>
          </w:tcPr>
          <w:p>
            <w:pPr>
              <w:spacing w:after="0"/>
              <w:rPr>
                <w:sz w:val="19"/>
                <w:szCs w:val="19"/>
                <w:color w:val="auto"/>
              </w:rPr>
            </w:pPr>
          </w:p>
        </w:tc>
        <w:tc>
          <w:tcPr>
            <w:tcW w:w="160" w:type="dxa"/>
            <w:vAlign w:val="bottom"/>
          </w:tcPr>
          <w:p>
            <w:pPr>
              <w:spacing w:after="0"/>
              <w:rPr>
                <w:sz w:val="19"/>
                <w:szCs w:val="19"/>
                <w:color w:val="auto"/>
              </w:rPr>
            </w:pPr>
          </w:p>
        </w:tc>
        <w:tc>
          <w:tcPr>
            <w:tcW w:w="254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F0FFFF"/>
          </w:tcPr>
          <w:p>
            <w:pPr>
              <w:spacing w:after="0"/>
              <w:rPr>
                <w:sz w:val="20"/>
                <w:szCs w:val="20"/>
                <w:color w:val="auto"/>
              </w:rPr>
            </w:pPr>
            <w:r>
              <w:rPr>
                <w:rFonts w:ascii="Arial" w:cs="Arial" w:eastAsia="Arial" w:hAnsi="Arial"/>
                <w:sz w:val="18"/>
                <w:szCs w:val="18"/>
                <w:color w:val="auto"/>
              </w:rPr>
              <w:t>Allowance for loan losses at beginning of period</w:t>
            </w:r>
          </w:p>
        </w:tc>
        <w:tc>
          <w:tcPr>
            <w:tcW w:w="8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70,007</w:t>
            </w: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75,223</w:t>
            </w: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71,619</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76,762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Charge-offs: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Owner occupied commercial real estate</w:t>
            </w:r>
          </w:p>
        </w:tc>
        <w:tc>
          <w:tcPr>
            <w:tcW w:w="7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363</w:t>
            </w:r>
          </w:p>
        </w:tc>
        <w:tc>
          <w:tcPr>
            <w:tcW w:w="2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918</w:t>
            </w:r>
          </w:p>
        </w:tc>
        <w:tc>
          <w:tcPr>
            <w:tcW w:w="160" w:type="dxa"/>
            <w:vAlign w:val="bottom"/>
            <w:shd w:val="clear" w:color="auto" w:fill="F0FFFF"/>
          </w:tcPr>
          <w:p>
            <w:pPr>
              <w:spacing w:after="0"/>
              <w:rPr>
                <w:sz w:val="18"/>
                <w:szCs w:val="18"/>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731</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Income producing commercial real estate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632</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Commercial &amp; industrial</w:t>
            </w:r>
          </w:p>
        </w:tc>
        <w:tc>
          <w:tcPr>
            <w:tcW w:w="7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162</w:t>
            </w: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1,012</w:t>
            </w:r>
          </w:p>
        </w:tc>
        <w:tc>
          <w:tcPr>
            <w:tcW w:w="2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631</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Residential mortgage</w:t>
            </w:r>
          </w:p>
        </w:tc>
        <w:tc>
          <w:tcPr>
            <w:tcW w:w="7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1,109</w:t>
            </w: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2,800</w:t>
            </w:r>
          </w:p>
        </w:tc>
        <w:tc>
          <w:tcPr>
            <w:tcW w:w="2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1,687</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Home equity lines of credit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348</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624</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421</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Residential construction</w:t>
            </w:r>
          </w:p>
        </w:tc>
        <w:tc>
          <w:tcPr>
            <w:tcW w:w="7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499</w:t>
            </w: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1,946</w:t>
            </w:r>
          </w:p>
        </w:tc>
        <w:tc>
          <w:tcPr>
            <w:tcW w:w="2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1,639</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Consumer installment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349</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455</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675</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Indirect auto</w:t>
            </w:r>
          </w:p>
        </w:tc>
        <w:tc>
          <w:tcPr>
            <w:tcW w:w="7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89</w:t>
            </w:r>
          </w:p>
        </w:tc>
        <w:tc>
          <w:tcPr>
            <w:tcW w:w="2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258</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60" w:type="dxa"/>
            <w:vAlign w:val="bottom"/>
            <w:shd w:val="clear" w:color="auto" w:fill="F0FFFF"/>
          </w:tcPr>
          <w:p>
            <w:pPr>
              <w:spacing w:after="0"/>
              <w:rPr>
                <w:sz w:val="2"/>
                <w:szCs w:val="2"/>
                <w:color w:val="auto"/>
              </w:rPr>
            </w:pPr>
          </w:p>
        </w:tc>
        <w:tc>
          <w:tcPr>
            <w:tcW w:w="7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Total loans charged-off</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3,181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8,607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6,533</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F0FFFF"/>
          </w:tcPr>
          <w:p>
            <w:pPr>
              <w:spacing w:after="0"/>
              <w:rPr>
                <w:sz w:val="20"/>
                <w:szCs w:val="20"/>
                <w:color w:val="auto"/>
              </w:rPr>
            </w:pPr>
            <w:r>
              <w:rPr>
                <w:rFonts w:ascii="Arial" w:cs="Arial" w:eastAsia="Arial" w:hAnsi="Arial"/>
                <w:sz w:val="18"/>
                <w:szCs w:val="18"/>
                <w:color w:val="auto"/>
              </w:rPr>
              <w:t>Recoveries:</w:t>
            </w:r>
          </w:p>
        </w:tc>
        <w:tc>
          <w:tcPr>
            <w:tcW w:w="72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Owner occupied commercial real estate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2,753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Income producing commercial real estate</w:t>
            </w:r>
          </w:p>
        </w:tc>
        <w:tc>
          <w:tcPr>
            <w:tcW w:w="7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197</w:t>
            </w:r>
          </w:p>
        </w:tc>
        <w:tc>
          <w:tcPr>
            <w:tcW w:w="160" w:type="dxa"/>
            <w:vAlign w:val="bottom"/>
            <w:shd w:val="clear" w:color="auto" w:fill="F0FFFF"/>
          </w:tcPr>
          <w:p>
            <w:pPr>
              <w:spacing w:after="0"/>
              <w:rPr>
                <w:sz w:val="18"/>
                <w:szCs w:val="18"/>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357</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Commercial &amp; industrial</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789</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350</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917</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Commercial construction</w:t>
            </w:r>
          </w:p>
        </w:tc>
        <w:tc>
          <w:tcPr>
            <w:tcW w:w="7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51</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Residential mortgage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292</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484</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Home equity lines of credit</w:t>
            </w:r>
          </w:p>
        </w:tc>
        <w:tc>
          <w:tcPr>
            <w:tcW w:w="7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158</w:t>
            </w:r>
          </w:p>
        </w:tc>
        <w:tc>
          <w:tcPr>
            <w:tcW w:w="160" w:type="dxa"/>
            <w:vAlign w:val="bottom"/>
            <w:shd w:val="clear" w:color="auto" w:fill="F0FFFF"/>
          </w:tcPr>
          <w:p>
            <w:pPr>
              <w:spacing w:after="0"/>
              <w:rPr>
                <w:sz w:val="18"/>
                <w:szCs w:val="18"/>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40</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Residential construction</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392</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471</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Consumer installment</w:t>
            </w:r>
          </w:p>
        </w:tc>
        <w:tc>
          <w:tcPr>
            <w:tcW w:w="7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187</w:t>
            </w:r>
          </w:p>
        </w:tc>
        <w:tc>
          <w:tcPr>
            <w:tcW w:w="2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391</w:t>
            </w:r>
          </w:p>
        </w:tc>
        <w:tc>
          <w:tcPr>
            <w:tcW w:w="160" w:type="dxa"/>
            <w:vAlign w:val="bottom"/>
            <w:shd w:val="clear" w:color="auto" w:fill="F0FFFF"/>
          </w:tcPr>
          <w:p>
            <w:pPr>
              <w:spacing w:after="0"/>
              <w:rPr>
                <w:sz w:val="18"/>
                <w:szCs w:val="18"/>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563</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Indirect auto</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F0FFFF"/>
          </w:tcPr>
          <w:p>
            <w:pPr>
              <w:ind w:left="340"/>
              <w:spacing w:after="0"/>
              <w:rPr>
                <w:sz w:val="20"/>
                <w:szCs w:val="20"/>
                <w:color w:val="auto"/>
              </w:rPr>
            </w:pPr>
            <w:r>
              <w:rPr>
                <w:rFonts w:ascii="Arial" w:cs="Arial" w:eastAsia="Arial" w:hAnsi="Arial"/>
                <w:sz w:val="18"/>
                <w:szCs w:val="18"/>
                <w:color w:val="auto"/>
              </w:rPr>
              <w:t>Total recoveries</w:t>
            </w:r>
          </w:p>
        </w:tc>
        <w:tc>
          <w:tcPr>
            <w:tcW w:w="7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2,203</w:t>
            </w: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4,432</w:t>
            </w:r>
          </w:p>
        </w:tc>
        <w:tc>
          <w:tcPr>
            <w:tcW w:w="2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2,993</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5,570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60" w:type="dxa"/>
            <w:vAlign w:val="bottom"/>
            <w:shd w:val="clear" w:color="auto" w:fill="F0FFFF"/>
          </w:tcPr>
          <w:p>
            <w:pPr>
              <w:spacing w:after="0"/>
              <w:rPr>
                <w:sz w:val="2"/>
                <w:szCs w:val="2"/>
                <w:color w:val="auto"/>
              </w:rPr>
            </w:pPr>
          </w:p>
        </w:tc>
        <w:tc>
          <w:tcPr>
            <w:tcW w:w="7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Net charge-offs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978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4,175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3,540</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8,214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F0FFFF"/>
          </w:tcPr>
          <w:p>
            <w:pPr>
              <w:spacing w:after="0"/>
              <w:rPr>
                <w:sz w:val="20"/>
                <w:szCs w:val="20"/>
                <w:color w:val="auto"/>
              </w:rPr>
            </w:pPr>
            <w:r>
              <w:rPr>
                <w:rFonts w:ascii="Arial" w:cs="Arial" w:eastAsia="Arial" w:hAnsi="Arial"/>
                <w:sz w:val="18"/>
                <w:szCs w:val="18"/>
                <w:color w:val="auto"/>
              </w:rPr>
              <w:t>Provision for loan losses</w:t>
            </w:r>
          </w:p>
        </w:tc>
        <w:tc>
          <w:tcPr>
            <w:tcW w:w="7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1,100</w:t>
            </w: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2,200</w:t>
            </w:r>
          </w:p>
        </w:tc>
        <w:tc>
          <w:tcPr>
            <w:tcW w:w="2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2,050</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shd w:val="clear" w:color="auto" w:fill="F0FFFF"/>
          </w:tcPr>
          <w:p>
            <w:pPr>
              <w:spacing w:after="0"/>
              <w:rPr>
                <w:sz w:val="2"/>
                <w:szCs w:val="2"/>
                <w:color w:val="auto"/>
              </w:rPr>
            </w:pPr>
          </w:p>
        </w:tc>
        <w:tc>
          <w:tcPr>
            <w:tcW w:w="7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Allowance for loan losses at end of period</w:t>
            </w:r>
          </w:p>
        </w:tc>
        <w:tc>
          <w:tcPr>
            <w:tcW w:w="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70,129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73,248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70,129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73,248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Allowance for unfunded commitments at beginning of period</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2,780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2,165</w:t>
            </w:r>
          </w:p>
        </w:tc>
        <w:tc>
          <w:tcPr>
            <w:tcW w:w="2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1,930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F0FFFF"/>
          </w:tcPr>
          <w:p>
            <w:pPr>
              <w:ind w:left="220"/>
              <w:spacing w:after="0"/>
              <w:rPr>
                <w:sz w:val="20"/>
                <w:szCs w:val="20"/>
                <w:color w:val="auto"/>
              </w:rPr>
            </w:pPr>
            <w:r>
              <w:rPr>
                <w:rFonts w:ascii="Arial" w:cs="Arial" w:eastAsia="Arial" w:hAnsi="Arial"/>
                <w:sz w:val="18"/>
                <w:szCs w:val="18"/>
                <w:color w:val="auto"/>
              </w:rPr>
              <w:t>Provision for losses on unfunded commitments</w:t>
            </w:r>
          </w:p>
        </w:tc>
        <w:tc>
          <w:tcPr>
            <w:tcW w:w="7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650</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shd w:val="clear" w:color="auto" w:fill="F0FFFF"/>
          </w:tcPr>
          <w:p>
            <w:pPr>
              <w:spacing w:after="0"/>
              <w:rPr>
                <w:sz w:val="2"/>
                <w:szCs w:val="2"/>
                <w:color w:val="auto"/>
              </w:rPr>
            </w:pPr>
          </w:p>
        </w:tc>
        <w:tc>
          <w:tcPr>
            <w:tcW w:w="7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Allowance for unfunded commitments at end of period</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2,580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2,580</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160" w:type="dxa"/>
            <w:vAlign w:val="bottom"/>
            <w:shd w:val="clear" w:color="auto" w:fill="F0FFFF"/>
          </w:tcPr>
          <w:p>
            <w:pPr>
              <w:spacing w:after="0"/>
              <w:rPr>
                <w:sz w:val="20"/>
                <w:szCs w:val="20"/>
                <w:color w:val="auto"/>
              </w:rPr>
            </w:pPr>
            <w:r>
              <w:rPr>
                <w:rFonts w:ascii="Arial" w:cs="Arial" w:eastAsia="Arial" w:hAnsi="Arial"/>
                <w:sz w:val="18"/>
                <w:szCs w:val="18"/>
                <w:color w:val="auto"/>
              </w:rPr>
              <w:t>Allowance for credit losses</w:t>
            </w:r>
          </w:p>
        </w:tc>
        <w:tc>
          <w:tcPr>
            <w:tcW w:w="720" w:type="dxa"/>
            <w:vAlign w:val="bottom"/>
            <w:shd w:val="clear" w:color="auto" w:fill="F0FFFF"/>
          </w:tcPr>
          <w:p>
            <w:pPr>
              <w:spacing w:after="0"/>
              <w:rPr>
                <w:sz w:val="22"/>
                <w:szCs w:val="22"/>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72,709</w:t>
            </w: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75,413</w:t>
            </w: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72,709</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75,413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tcBorders>
              <w:top w:val="single" w:sz="8" w:color="F0FFFF"/>
            </w:tcBorders>
          </w:tcPr>
          <w:p>
            <w:pPr>
              <w:spacing w:after="0"/>
              <w:rPr>
                <w:sz w:val="18"/>
                <w:szCs w:val="18"/>
                <w:color w:val="auto"/>
              </w:rPr>
            </w:pPr>
          </w:p>
        </w:tc>
        <w:tc>
          <w:tcPr>
            <w:tcW w:w="72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F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F0FFFF"/>
          </w:tcPr>
          <w:p>
            <w:pPr>
              <w:spacing w:after="0"/>
              <w:rPr>
                <w:sz w:val="20"/>
                <w:szCs w:val="20"/>
                <w:color w:val="auto"/>
              </w:rPr>
            </w:pPr>
            <w:r>
              <w:rPr>
                <w:rFonts w:ascii="Arial" w:cs="Arial" w:eastAsia="Arial" w:hAnsi="Arial"/>
                <w:sz w:val="18"/>
                <w:szCs w:val="18"/>
                <w:color w:val="auto"/>
              </w:rPr>
              <w:t>Total loans:</w:t>
            </w:r>
          </w:p>
        </w:tc>
        <w:tc>
          <w:tcPr>
            <w:tcW w:w="7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20"/>
              <w:spacing w:after="0"/>
              <w:rPr>
                <w:sz w:val="20"/>
                <w:szCs w:val="20"/>
                <w:color w:val="auto"/>
              </w:rPr>
            </w:pPr>
            <w:r>
              <w:rPr>
                <w:rFonts w:ascii="Arial" w:cs="Arial" w:eastAsia="Arial" w:hAnsi="Arial"/>
                <w:sz w:val="18"/>
                <w:szCs w:val="18"/>
                <w:color w:val="auto"/>
              </w:rPr>
              <w:t>At period-end</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5,173,517</w:t>
            </w:r>
          </w:p>
        </w:tc>
        <w:tc>
          <w:tcPr>
            <w:tcW w:w="2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4,410,285</w:t>
            </w:r>
          </w:p>
        </w:tc>
        <w:tc>
          <w:tcPr>
            <w:tcW w:w="2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5,173,517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4,410,285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F0FFFF"/>
          </w:tcPr>
          <w:p>
            <w:pPr>
              <w:ind w:left="120"/>
              <w:spacing w:after="0"/>
              <w:rPr>
                <w:sz w:val="20"/>
                <w:szCs w:val="20"/>
                <w:color w:val="auto"/>
              </w:rPr>
            </w:pPr>
            <w:r>
              <w:rPr>
                <w:rFonts w:ascii="Arial" w:cs="Arial" w:eastAsia="Arial" w:hAnsi="Arial"/>
                <w:sz w:val="18"/>
                <w:szCs w:val="18"/>
                <w:color w:val="auto"/>
              </w:rPr>
              <w:t>Average</w:t>
            </w:r>
          </w:p>
        </w:tc>
        <w:tc>
          <w:tcPr>
            <w:tcW w:w="7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5,017,306</w:t>
            </w:r>
          </w:p>
        </w:tc>
        <w:tc>
          <w:tcPr>
            <w:tcW w:w="2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4,358,101</w:t>
            </w:r>
          </w:p>
        </w:tc>
        <w:tc>
          <w:tcPr>
            <w:tcW w:w="2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4,872,112</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4,346,974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F0FFFF"/>
          </w:tcPr>
          <w:p>
            <w:pPr>
              <w:spacing w:after="0"/>
              <w:rPr>
                <w:sz w:val="20"/>
                <w:szCs w:val="20"/>
                <w:color w:val="auto"/>
              </w:rPr>
            </w:pPr>
            <w:r>
              <w:rPr>
                <w:rFonts w:ascii="Arial" w:cs="Arial" w:eastAsia="Arial" w:hAnsi="Arial"/>
                <w:sz w:val="18"/>
                <w:szCs w:val="18"/>
                <w:color w:val="auto"/>
              </w:rPr>
              <w:t>Allowance for loan losses as a percentage of period-end loans</w:t>
            </w:r>
          </w:p>
        </w:tc>
        <w:tc>
          <w:tcPr>
            <w:tcW w:w="7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F0FFFF"/>
          </w:tcPr>
          <w:p>
            <w:pPr>
              <w:spacing w:after="0"/>
              <w:rPr>
                <w:sz w:val="18"/>
                <w:szCs w:val="18"/>
                <w:color w:val="auto"/>
              </w:rPr>
            </w:pPr>
          </w:p>
        </w:tc>
        <w:tc>
          <w:tcPr>
            <w:tcW w:w="124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F0FFFF"/>
          </w:tcPr>
          <w:p>
            <w:pPr>
              <w:spacing w:after="0"/>
              <w:rPr>
                <w:sz w:val="20"/>
                <w:szCs w:val="20"/>
                <w:color w:val="auto"/>
              </w:rPr>
            </w:pPr>
            <w:r>
              <w:rPr>
                <w:rFonts w:ascii="Arial" w:cs="Arial" w:eastAsia="Arial" w:hAnsi="Arial"/>
                <w:sz w:val="18"/>
                <w:szCs w:val="18"/>
                <w:color w:val="auto"/>
              </w:rPr>
              <w:t>As a percentage of average loans (annualized):</w:t>
            </w:r>
          </w:p>
        </w:tc>
        <w:tc>
          <w:tcPr>
            <w:tcW w:w="7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20"/>
              <w:spacing w:after="0"/>
              <w:rPr>
                <w:sz w:val="20"/>
                <w:szCs w:val="20"/>
                <w:color w:val="auto"/>
              </w:rPr>
            </w:pPr>
            <w:r>
              <w:rPr>
                <w:rFonts w:ascii="Arial" w:cs="Arial" w:eastAsia="Arial" w:hAnsi="Arial"/>
                <w:sz w:val="18"/>
                <w:szCs w:val="18"/>
                <w:color w:val="auto"/>
              </w:rPr>
              <w:t>Net charge-offs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F0FFFF"/>
          </w:tcPr>
          <w:p>
            <w:pPr>
              <w:ind w:left="120"/>
              <w:spacing w:after="0"/>
              <w:rPr>
                <w:sz w:val="20"/>
                <w:szCs w:val="20"/>
                <w:color w:val="auto"/>
              </w:rPr>
            </w:pPr>
            <w:r>
              <w:rPr>
                <w:rFonts w:ascii="Arial" w:cs="Arial" w:eastAsia="Arial" w:hAnsi="Arial"/>
                <w:sz w:val="18"/>
                <w:szCs w:val="18"/>
                <w:color w:val="auto"/>
              </w:rPr>
              <w:t>Provision for loan losses</w:t>
            </w:r>
          </w:p>
        </w:tc>
        <w:tc>
          <w:tcPr>
            <w:tcW w:w="7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.09</w:t>
            </w: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provision for credit losses charged to earnings is based upon management’s judgment of the amount necessary to maintain the allowance at a level appropriate to absorb probable incurred losses in the loan portfolio at the balance sheet date. The amount each quarter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 The decreases in the provision and the declining level of the allowance for loan losses compared to the previous periods reflects stabilizing trends in substandard and nonperforming loans as well as charge-off levels. Further, the declining balance of the allowance for loan losses over the last several quarters reflects an overall improving trend in the credit quality of the loan portfolio. A general improvement in economic conditions in United’s market also contributed to the lower level of provision and allowance for loan losses.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5" w:name="page66"/>
    <w:bookmarkEnd w:id="65"/>
    <w:p>
      <w:pPr>
        <w:jc w:val="both"/>
        <w:ind w:right="20"/>
        <w:spacing w:after="0" w:line="286" w:lineRule="auto"/>
        <w:rPr>
          <w:sz w:val="20"/>
          <w:szCs w:val="20"/>
          <w:color w:val="auto"/>
        </w:rPr>
      </w:pPr>
      <w:r>
        <w:rPr>
          <w:rFonts w:ascii="Arial" w:cs="Arial" w:eastAsia="Arial" w:hAnsi="Arial"/>
          <w:sz w:val="17"/>
          <w:szCs w:val="17"/>
          <w:color w:val="auto"/>
        </w:rPr>
        <w:t>The allowance for credit losses, which includes a portion related to unfunded commitments, totaled $72.7 million at June 30, 2015, compared with $73.5 million at December 31, 2014, and $75.4 million at June 30, 2014. At June 30, 2015, the allowance for loan losses was $70.1 million, or 1.36% of loans, compared with $71.6 million, or 1.53% of total loans, at December 31, 2014 and $73.2 million, or 1.66% of loans, at June 30, 2014.</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the accounting guidance for business combinations, there was no allowance for loan losses brought forward on loans acquired from MoneyTree, as credit deterioration was included in the determination of fair value at acquisition date. At June 30, 2015, United recorded no allowance for loan losses on loans acquired from FNB as there was no evidence of credit deterioration beyond that which was incorporated into the determination of fair value at acquisition date. At June 30, 2015, for acquired loans that had no evidence of credit deterioration at the time of acquisition, the remaining unaccreted fair value discount was $2.60 million.</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believes that the allowance for credit losses at June 30, 2015 reflects the probable incurred losses in the loan portfolio and unfunded loan commitments. This assessment involves uncertainty and judgment; therefore, the adequacy of the allowance for credit losses cannot be determined with certainty and may be subject to change in future periods. The amount of any changes could be significant if management’s assessment of loan quality or collateral values change substantially with respect to one or more loan relationships or portfolios. In addition, bank regulatory authorities, as part of their periodic examination of the Bank, may require adjustments to the provision for credit losses in future periods if, in their opinion, the results of their review warrant such additions. See the “Critical Accounting Policies” section for additional information on the allowance for loan losses.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b w:val="1"/>
                <w:bCs w:val="1"/>
                <w:i w:val="1"/>
                <w:iCs w:val="1"/>
                <w:color w:val="auto"/>
              </w:rPr>
              <w:t>Nonperforming Assets</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60" w:type="dxa"/>
            <w:vAlign w:val="bottom"/>
          </w:tcPr>
          <w:p>
            <w:pPr>
              <w:spacing w:after="0"/>
              <w:rPr>
                <w:sz w:val="20"/>
                <w:szCs w:val="20"/>
                <w:color w:val="auto"/>
              </w:rPr>
            </w:pPr>
            <w:r>
              <w:rPr>
                <w:rFonts w:ascii="Arial" w:cs="Arial" w:eastAsia="Arial" w:hAnsi="Arial"/>
                <w:sz w:val="18"/>
                <w:szCs w:val="18"/>
                <w:color w:val="auto"/>
              </w:rPr>
              <w:t>The table below summarizes nonperforming assets.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660" w:type="dxa"/>
            <w:vAlign w:val="bottom"/>
          </w:tcPr>
          <w:p>
            <w:pPr>
              <w:spacing w:after="0"/>
              <w:rPr>
                <w:sz w:val="20"/>
                <w:szCs w:val="20"/>
                <w:color w:val="auto"/>
              </w:rPr>
            </w:pPr>
            <w:r>
              <w:rPr>
                <w:rFonts w:ascii="Arial" w:cs="Arial" w:eastAsia="Arial" w:hAnsi="Arial"/>
                <w:sz w:val="18"/>
                <w:szCs w:val="18"/>
                <w:b w:val="1"/>
                <w:bCs w:val="1"/>
                <w:color w:val="auto"/>
              </w:rPr>
              <w:t>Table 10 - Nonperforming Assets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6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1140" w:type="dxa"/>
            <w:vAlign w:val="bottom"/>
            <w:gridSpan w:val="2"/>
            <w:vMerge w:val="restart"/>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1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December 31,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w w:val="94"/>
              </w:rPr>
              <w:t>June 30,</w:t>
            </w:r>
          </w:p>
        </w:tc>
        <w:tc>
          <w:tcPr>
            <w:tcW w:w="0" w:type="dxa"/>
            <w:vAlign w:val="bottom"/>
          </w:tcPr>
          <w:p>
            <w:pPr>
              <w:spacing w:after="0"/>
              <w:rPr>
                <w:sz w:val="1"/>
                <w:szCs w:val="1"/>
                <w:color w:val="auto"/>
              </w:rPr>
            </w:pPr>
          </w:p>
        </w:tc>
      </w:tr>
      <w:tr>
        <w:trPr>
          <w:trHeight w:val="198"/>
        </w:trPr>
        <w:tc>
          <w:tcPr>
            <w:tcW w:w="7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F0FFFF"/>
          </w:tcPr>
          <w:p>
            <w:pPr>
              <w:ind w:left="60"/>
              <w:spacing w:after="0"/>
              <w:rPr>
                <w:sz w:val="20"/>
                <w:szCs w:val="20"/>
                <w:color w:val="auto"/>
              </w:rPr>
            </w:pPr>
            <w:r>
              <w:rPr>
                <w:rFonts w:ascii="Arial" w:cs="Arial" w:eastAsia="Arial" w:hAnsi="Arial"/>
                <w:sz w:val="18"/>
                <w:szCs w:val="18"/>
                <w:color w:val="auto"/>
              </w:rPr>
              <w:t>Nonperforming loans</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18,805</w:t>
            </w:r>
          </w:p>
        </w:tc>
        <w:tc>
          <w:tcPr>
            <w:tcW w:w="22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17,881</w:t>
            </w:r>
          </w:p>
        </w:tc>
        <w:tc>
          <w:tcPr>
            <w:tcW w:w="2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20,724</w:t>
            </w:r>
          </w:p>
        </w:tc>
        <w:tc>
          <w:tcPr>
            <w:tcW w:w="0" w:type="dxa"/>
            <w:vAlign w:val="bottom"/>
          </w:tcPr>
          <w:p>
            <w:pPr>
              <w:spacing w:after="0"/>
              <w:rPr>
                <w:sz w:val="1"/>
                <w:szCs w:val="1"/>
                <w:color w:val="auto"/>
              </w:rPr>
            </w:pPr>
          </w:p>
        </w:tc>
      </w:tr>
      <w:tr>
        <w:trPr>
          <w:trHeight w:val="223"/>
        </w:trPr>
        <w:tc>
          <w:tcPr>
            <w:tcW w:w="7660" w:type="dxa"/>
            <w:vAlign w:val="bottom"/>
          </w:tcPr>
          <w:p>
            <w:pPr>
              <w:ind w:left="60"/>
              <w:spacing w:after="0"/>
              <w:rPr>
                <w:sz w:val="20"/>
                <w:szCs w:val="20"/>
                <w:color w:val="auto"/>
              </w:rPr>
            </w:pPr>
            <w:r>
              <w:rPr>
                <w:rFonts w:ascii="Arial" w:cs="Arial" w:eastAsia="Arial" w:hAnsi="Arial"/>
                <w:sz w:val="18"/>
                <w:szCs w:val="18"/>
                <w:color w:val="auto"/>
              </w:rPr>
              <w:t>Foreclosed properties (OREO)</w:t>
            </w:r>
          </w:p>
        </w:tc>
        <w:tc>
          <w:tcPr>
            <w:tcW w:w="14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2,356</w:t>
            </w:r>
          </w:p>
        </w:tc>
        <w:tc>
          <w:tcPr>
            <w:tcW w:w="2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1,726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2,969</w:t>
            </w:r>
          </w:p>
        </w:tc>
        <w:tc>
          <w:tcPr>
            <w:tcW w:w="0" w:type="dxa"/>
            <w:vAlign w:val="bottom"/>
          </w:tcPr>
          <w:p>
            <w:pPr>
              <w:spacing w:after="0"/>
              <w:rPr>
                <w:sz w:val="1"/>
                <w:szCs w:val="1"/>
                <w:color w:val="auto"/>
              </w:rPr>
            </w:pPr>
          </w:p>
        </w:tc>
      </w:tr>
      <w:tr>
        <w:trPr>
          <w:trHeight w:val="216"/>
        </w:trPr>
        <w:tc>
          <w:tcPr>
            <w:tcW w:w="7660" w:type="dxa"/>
            <w:vAlign w:val="bottom"/>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Arial" w:cs="Arial" w:eastAsia="Arial" w:hAnsi="Arial"/>
                <w:sz w:val="18"/>
                <w:szCs w:val="18"/>
                <w:color w:val="auto"/>
              </w:rPr>
              <w:t>Total nonperforming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21,161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19,607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23,693</w:t>
            </w:r>
          </w:p>
        </w:tc>
        <w:tc>
          <w:tcPr>
            <w:tcW w:w="0" w:type="dxa"/>
            <w:vAlign w:val="bottom"/>
          </w:tcPr>
          <w:p>
            <w:pPr>
              <w:spacing w:after="0"/>
              <w:rPr>
                <w:sz w:val="1"/>
                <w:szCs w:val="1"/>
                <w:color w:val="auto"/>
              </w:rPr>
            </w:pPr>
          </w:p>
        </w:tc>
      </w:tr>
      <w:tr>
        <w:trPr>
          <w:trHeight w:val="21"/>
        </w:trPr>
        <w:tc>
          <w:tcPr>
            <w:tcW w:w="7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6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60"/>
              <w:spacing w:after="0"/>
              <w:rPr>
                <w:sz w:val="20"/>
                <w:szCs w:val="20"/>
                <w:color w:val="auto"/>
              </w:rPr>
            </w:pPr>
            <w:r>
              <w:rPr>
                <w:rFonts w:ascii="Arial" w:cs="Arial" w:eastAsia="Arial" w:hAnsi="Arial"/>
                <w:sz w:val="18"/>
                <w:szCs w:val="18"/>
                <w:color w:val="auto"/>
              </w:rPr>
              <w:t>Nonperforming loans as a percentage of total loans</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7660" w:type="dxa"/>
            <w:vAlign w:val="bottom"/>
            <w:shd w:val="clear" w:color="auto" w:fill="F0FFFF"/>
          </w:tcPr>
          <w:p>
            <w:pPr>
              <w:ind w:left="60"/>
              <w:spacing w:after="0"/>
              <w:rPr>
                <w:sz w:val="20"/>
                <w:szCs w:val="20"/>
                <w:color w:val="auto"/>
              </w:rPr>
            </w:pPr>
            <w:r>
              <w:rPr>
                <w:rFonts w:ascii="Arial" w:cs="Arial" w:eastAsia="Arial" w:hAnsi="Arial"/>
                <w:sz w:val="18"/>
                <w:szCs w:val="18"/>
                <w:color w:val="auto"/>
              </w:rPr>
              <w:t>Nonperforming assets as a percentage of total loans and OREO</w:t>
            </w:r>
          </w:p>
        </w:tc>
        <w:tc>
          <w:tcPr>
            <w:tcW w:w="1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.41</w:t>
            </w: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.42</w:t>
            </w: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7660" w:type="dxa"/>
            <w:vAlign w:val="bottom"/>
          </w:tcPr>
          <w:p>
            <w:pPr>
              <w:ind w:left="60"/>
              <w:spacing w:after="0"/>
              <w:rPr>
                <w:sz w:val="20"/>
                <w:szCs w:val="20"/>
                <w:color w:val="auto"/>
              </w:rPr>
            </w:pPr>
            <w:r>
              <w:rPr>
                <w:rFonts w:ascii="Arial" w:cs="Arial" w:eastAsia="Arial" w:hAnsi="Arial"/>
                <w:sz w:val="18"/>
                <w:szCs w:val="18"/>
                <w:color w:val="auto"/>
              </w:rPr>
              <w:t>Nonperforming assets as a percentage of total assets</w:t>
            </w:r>
          </w:p>
        </w:tc>
        <w:tc>
          <w:tcPr>
            <w:tcW w:w="14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2015, nonperforming loans were $18.8 million compared to $17.9 million at December 31, 2014 and $20.7 million at June 30, 2014. Nonperforming assets, which include nonperforming loans and foreclosed real estate, totaled $21.2 million at June 30, 2015 compared with $19.6 million at December 31, 2014 and $23.7 million at June 30, 2014. United sold $895,000 of foreclosed properties and added $1.07 million in new foreclosures during the second quarter of 2015.</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United’s policy is to place loans on nonaccrual status when, in the opinion of management, the principal and interest on a loan is not likely to be repaid in accordance with the loan terms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applied to reduce outstanding principal.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The following table summarizes nonperforming assets by category and market.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11 - Nonperforming Assets by Quarter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w w:val="97"/>
              </w:rPr>
              <w:t>June 30, 2015</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rPr>
              <w:t>December 31, 2014</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8"/>
                <w:szCs w:val="18"/>
                <w:b w:val="1"/>
                <w:bCs w:val="1"/>
                <w:color w:val="auto"/>
                <w:w w:val="99"/>
              </w:rPr>
              <w:t>June 30, 2014</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14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Nonaccrual</w:t>
            </w:r>
          </w:p>
        </w:tc>
        <w:tc>
          <w:tcPr>
            <w:tcW w:w="1080" w:type="dxa"/>
            <w:vAlign w:val="bottom"/>
            <w:tcBorders>
              <w:right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rPr>
              <w:t>Foreclosed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right w:val="single" w:sz="8" w:color="auto"/>
            </w:tcBorders>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92"/>
              </w:rPr>
              <w:t>Total</w:t>
            </w:r>
          </w:p>
        </w:tc>
        <w:tc>
          <w:tcPr>
            <w:tcW w:w="80" w:type="dxa"/>
            <w:vAlign w:val="bottom"/>
          </w:tcPr>
          <w:p>
            <w:pPr>
              <w:spacing w:after="0"/>
              <w:rPr>
                <w:sz w:val="17"/>
                <w:szCs w:val="17"/>
                <w:color w:val="auto"/>
              </w:rPr>
            </w:pPr>
          </w:p>
        </w:tc>
        <w:tc>
          <w:tcPr>
            <w:tcW w:w="11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Nonaccrual</w:t>
            </w:r>
          </w:p>
        </w:tc>
        <w:tc>
          <w:tcPr>
            <w:tcW w:w="1160" w:type="dxa"/>
            <w:vAlign w:val="bottom"/>
            <w:tcBorders>
              <w:right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rPr>
              <w:t>Foreclosed</w:t>
            </w:r>
          </w:p>
        </w:tc>
        <w:tc>
          <w:tcPr>
            <w:tcW w:w="100" w:type="dxa"/>
            <w:vAlign w:val="bottom"/>
          </w:tcPr>
          <w:p>
            <w:pPr>
              <w:spacing w:after="0"/>
              <w:rPr>
                <w:sz w:val="17"/>
                <w:szCs w:val="17"/>
                <w:color w:val="auto"/>
              </w:rPr>
            </w:pPr>
          </w:p>
        </w:tc>
        <w:tc>
          <w:tcPr>
            <w:tcW w:w="700" w:type="dxa"/>
            <w:vAlign w:val="bottom"/>
            <w:tcBorders>
              <w:right w:val="single" w:sz="8" w:color="auto"/>
            </w:tcBorders>
            <w:gridSpan w:val="2"/>
          </w:tcPr>
          <w:p>
            <w:pPr>
              <w:jc w:val="right"/>
              <w:ind w:right="280"/>
              <w:spacing w:after="0" w:line="198" w:lineRule="exact"/>
              <w:rPr>
                <w:sz w:val="20"/>
                <w:szCs w:val="20"/>
                <w:color w:val="auto"/>
              </w:rPr>
            </w:pPr>
            <w:r>
              <w:rPr>
                <w:rFonts w:ascii="Arial" w:cs="Arial" w:eastAsia="Arial" w:hAnsi="Arial"/>
                <w:sz w:val="18"/>
                <w:szCs w:val="18"/>
                <w:b w:val="1"/>
                <w:bCs w:val="1"/>
                <w:color w:val="auto"/>
                <w:w w:val="92"/>
              </w:rPr>
              <w:t>Total</w:t>
            </w:r>
          </w:p>
        </w:tc>
        <w:tc>
          <w:tcPr>
            <w:tcW w:w="80" w:type="dxa"/>
            <w:vAlign w:val="bottom"/>
          </w:tcPr>
          <w:p>
            <w:pPr>
              <w:spacing w:after="0"/>
              <w:rPr>
                <w:sz w:val="17"/>
                <w:szCs w:val="17"/>
                <w:color w:val="auto"/>
              </w:rPr>
            </w:pPr>
          </w:p>
        </w:tc>
        <w:tc>
          <w:tcPr>
            <w:tcW w:w="114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Nonaccrual</w:t>
            </w:r>
          </w:p>
        </w:tc>
        <w:tc>
          <w:tcPr>
            <w:tcW w:w="1160" w:type="dxa"/>
            <w:vAlign w:val="bottom"/>
            <w:tcBorders>
              <w:right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rPr>
              <w:t>Foreclosed</w:t>
            </w:r>
          </w:p>
        </w:tc>
        <w:tc>
          <w:tcPr>
            <w:tcW w:w="100" w:type="dxa"/>
            <w:vAlign w:val="bottom"/>
          </w:tcPr>
          <w:p>
            <w:pPr>
              <w:spacing w:after="0"/>
              <w:rPr>
                <w:sz w:val="17"/>
                <w:szCs w:val="17"/>
                <w:color w:val="auto"/>
              </w:rPr>
            </w:pPr>
          </w:p>
        </w:tc>
        <w:tc>
          <w:tcPr>
            <w:tcW w:w="700" w:type="dxa"/>
            <w:vAlign w:val="bottom"/>
            <w:tcBorders>
              <w:right w:val="single" w:sz="8" w:color="auto"/>
            </w:tcBorders>
            <w:gridSpan w:val="2"/>
          </w:tcPr>
          <w:p>
            <w:pPr>
              <w:jc w:val="right"/>
              <w:ind w:right="300"/>
              <w:spacing w:after="0" w:line="198" w:lineRule="exact"/>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94"/>
              </w:rPr>
              <w:t>Loans</w:t>
            </w:r>
          </w:p>
        </w:tc>
        <w:tc>
          <w:tcPr>
            <w:tcW w:w="108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Properties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87"/>
              </w:rPr>
              <w:t>NPAs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Loans</w:t>
            </w:r>
          </w:p>
        </w:tc>
        <w:tc>
          <w:tcPr>
            <w:tcW w:w="11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Properties</w:t>
            </w:r>
          </w:p>
        </w:tc>
        <w:tc>
          <w:tcPr>
            <w:tcW w:w="100" w:type="dxa"/>
            <w:vAlign w:val="bottom"/>
          </w:tcPr>
          <w:p>
            <w:pPr>
              <w:spacing w:after="0"/>
              <w:rPr>
                <w:sz w:val="20"/>
                <w:szCs w:val="20"/>
                <w:color w:val="auto"/>
              </w:rPr>
            </w:pPr>
          </w:p>
        </w:tc>
        <w:tc>
          <w:tcPr>
            <w:tcW w:w="7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83"/>
              </w:rPr>
              <w:t>NPAs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94"/>
              </w:rPr>
              <w:t>Loans</w:t>
            </w:r>
          </w:p>
        </w:tc>
        <w:tc>
          <w:tcPr>
            <w:tcW w:w="116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Properties</w:t>
            </w:r>
          </w:p>
        </w:tc>
        <w:tc>
          <w:tcPr>
            <w:tcW w:w="100" w:type="dxa"/>
            <w:vAlign w:val="bottom"/>
          </w:tcPr>
          <w:p>
            <w:pPr>
              <w:spacing w:after="0"/>
              <w:rPr>
                <w:sz w:val="20"/>
                <w:szCs w:val="20"/>
                <w:color w:val="auto"/>
              </w:rPr>
            </w:pPr>
          </w:p>
        </w:tc>
        <w:tc>
          <w:tcPr>
            <w:tcW w:w="7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83"/>
              </w:rPr>
              <w:t>NPAs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BY CATEGORY</w:t>
            </w:r>
          </w:p>
        </w:tc>
        <w:tc>
          <w:tcPr>
            <w:tcW w:w="160" w:type="dxa"/>
            <w:vAlign w:val="bottom"/>
            <w:tcBorders>
              <w:top w:val="single" w:sz="8" w:color="auto"/>
            </w:tcBorders>
            <w:shd w:val="clear" w:color="auto" w:fill="F0FFFF"/>
          </w:tcPr>
          <w:p>
            <w:pPr>
              <w:spacing w:after="0"/>
              <w:rPr>
                <w:sz w:val="18"/>
                <w:szCs w:val="18"/>
                <w:color w:val="auto"/>
              </w:rPr>
            </w:pPr>
          </w:p>
        </w:tc>
        <w:tc>
          <w:tcPr>
            <w:tcW w:w="740" w:type="dxa"/>
            <w:vAlign w:val="bottom"/>
            <w:tcBorders>
              <w:top w:val="single" w:sz="8" w:color="auto"/>
            </w:tcBorders>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580" w:type="dxa"/>
            <w:vAlign w:val="bottom"/>
            <w:tcBorders>
              <w:top w:val="single" w:sz="8" w:color="auto"/>
            </w:tcBorders>
            <w:shd w:val="clear" w:color="auto" w:fill="F0FFFF"/>
          </w:tcPr>
          <w:p>
            <w:pPr>
              <w:spacing w:after="0"/>
              <w:rPr>
                <w:sz w:val="18"/>
                <w:szCs w:val="18"/>
                <w:color w:val="auto"/>
              </w:rPr>
            </w:pPr>
          </w:p>
        </w:tc>
        <w:tc>
          <w:tcPr>
            <w:tcW w:w="26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520" w:type="dxa"/>
            <w:vAlign w:val="bottom"/>
            <w:tcBorders>
              <w:top w:val="single" w:sz="8" w:color="auto"/>
            </w:tcBorders>
            <w:shd w:val="clear" w:color="auto" w:fill="F0FFFF"/>
          </w:tcPr>
          <w:p>
            <w:pPr>
              <w:spacing w:after="0"/>
              <w:rPr>
                <w:sz w:val="18"/>
                <w:szCs w:val="18"/>
                <w:color w:val="auto"/>
              </w:rPr>
            </w:pPr>
          </w:p>
        </w:tc>
        <w:tc>
          <w:tcPr>
            <w:tcW w:w="20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740" w:type="dxa"/>
            <w:vAlign w:val="bottom"/>
            <w:tcBorders>
              <w:top w:val="single" w:sz="8" w:color="auto"/>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580" w:type="dxa"/>
            <w:vAlign w:val="bottom"/>
            <w:tcBorders>
              <w:top w:val="single" w:sz="8" w:color="auto"/>
            </w:tcBorders>
            <w:shd w:val="clear" w:color="auto" w:fill="F0FFFF"/>
          </w:tcPr>
          <w:p>
            <w:pPr>
              <w:spacing w:after="0"/>
              <w:rPr>
                <w:sz w:val="18"/>
                <w:szCs w:val="18"/>
                <w:color w:val="auto"/>
              </w:rPr>
            </w:pPr>
          </w:p>
        </w:tc>
        <w:tc>
          <w:tcPr>
            <w:tcW w:w="320" w:type="dxa"/>
            <w:vAlign w:val="bottom"/>
            <w:tcBorders>
              <w:right w:val="single" w:sz="8" w:color="auto"/>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520" w:type="dxa"/>
            <w:vAlign w:val="bottom"/>
            <w:tcBorders>
              <w:top w:val="single" w:sz="8" w:color="auto"/>
            </w:tcBorders>
            <w:shd w:val="clear" w:color="auto" w:fill="F0FFFF"/>
          </w:tcPr>
          <w:p>
            <w:pPr>
              <w:spacing w:after="0"/>
              <w:rPr>
                <w:sz w:val="18"/>
                <w:szCs w:val="18"/>
                <w:color w:val="auto"/>
              </w:rPr>
            </w:pPr>
          </w:p>
        </w:tc>
        <w:tc>
          <w:tcPr>
            <w:tcW w:w="18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740" w:type="dxa"/>
            <w:vAlign w:val="bottom"/>
            <w:tcBorders>
              <w:top w:val="single" w:sz="8" w:color="auto"/>
            </w:tcBorders>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560" w:type="dxa"/>
            <w:vAlign w:val="bottom"/>
            <w:tcBorders>
              <w:top w:val="single" w:sz="8" w:color="auto"/>
            </w:tcBorders>
            <w:shd w:val="clear" w:color="auto" w:fill="F0FFFF"/>
          </w:tcPr>
          <w:p>
            <w:pPr>
              <w:spacing w:after="0"/>
              <w:rPr>
                <w:sz w:val="18"/>
                <w:szCs w:val="18"/>
                <w:color w:val="auto"/>
              </w:rPr>
            </w:pPr>
          </w:p>
        </w:tc>
        <w:tc>
          <w:tcPr>
            <w:tcW w:w="340" w:type="dxa"/>
            <w:vAlign w:val="bottom"/>
            <w:tcBorders>
              <w:right w:val="single" w:sz="8" w:color="auto"/>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520" w:type="dxa"/>
            <w:vAlign w:val="bottom"/>
            <w:tcBorders>
              <w:top w:val="single" w:sz="8" w:color="auto"/>
            </w:tcBorders>
            <w:shd w:val="clear" w:color="auto" w:fill="F0FFFF"/>
          </w:tcPr>
          <w:p>
            <w:pPr>
              <w:spacing w:after="0"/>
              <w:rPr>
                <w:sz w:val="18"/>
                <w:szCs w:val="18"/>
                <w:color w:val="auto"/>
              </w:rPr>
            </w:pPr>
          </w:p>
        </w:tc>
        <w:tc>
          <w:tcPr>
            <w:tcW w:w="180" w:type="dxa"/>
            <w:vAlign w:val="bottom"/>
            <w:tcBorders>
              <w:right w:val="single" w:sz="8" w:color="auto"/>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rPr>
              <w:t>Owner occupied</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ind w:left="320"/>
              <w:spacing w:after="0"/>
              <w:rPr>
                <w:sz w:val="20"/>
                <w:szCs w:val="20"/>
                <w:color w:val="auto"/>
              </w:rPr>
            </w:pPr>
            <w:r>
              <w:rPr>
                <w:rFonts w:ascii="Arial" w:cs="Arial" w:eastAsia="Arial" w:hAnsi="Arial"/>
                <w:sz w:val="18"/>
                <w:szCs w:val="18"/>
                <w:color w:val="auto"/>
              </w:rPr>
              <w:t>commercial real</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tcPr>
          <w:p>
            <w:pPr>
              <w:ind w:left="320"/>
              <w:spacing w:after="0"/>
              <w:rPr>
                <w:sz w:val="20"/>
                <w:szCs w:val="20"/>
                <w:color w:val="auto"/>
              </w:rPr>
            </w:pPr>
            <w:r>
              <w:rPr>
                <w:rFonts w:ascii="Arial" w:cs="Arial" w:eastAsia="Arial" w:hAnsi="Arial"/>
                <w:sz w:val="18"/>
                <w:szCs w:val="18"/>
                <w:color w:val="auto"/>
              </w:rPr>
              <w:t>estate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4,878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360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5,238</w:t>
            </w:r>
          </w:p>
        </w:tc>
        <w:tc>
          <w:tcPr>
            <w:tcW w:w="200" w:type="dxa"/>
            <w:vAlign w:val="bottom"/>
            <w:tcBorders>
              <w:right w:val="single" w:sz="8" w:color="auto"/>
            </w:tcBorders>
          </w:tcPr>
          <w:p>
            <w:pPr>
              <w:spacing w:after="0"/>
              <w:rPr>
                <w:sz w:val="20"/>
                <w:szCs w:val="20"/>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4,133</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355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4,488</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2,975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653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3,628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Income producing</w:t>
            </w:r>
          </w:p>
        </w:tc>
        <w:tc>
          <w:tcPr>
            <w:tcW w:w="16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240" w:type="dxa"/>
            <w:vAlign w:val="bottom"/>
            <w:tcBorders>
              <w:right w:val="single" w:sz="8" w:color="F0FFFF"/>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260" w:type="dxa"/>
            <w:vAlign w:val="bottom"/>
            <w:tcBorders>
              <w:right w:val="single" w:sz="8" w:color="auto"/>
            </w:tcBorders>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520" w:type="dxa"/>
            <w:vAlign w:val="bottom"/>
            <w:shd w:val="clear" w:color="auto" w:fill="F0FFFF"/>
          </w:tcPr>
          <w:p>
            <w:pPr>
              <w:spacing w:after="0"/>
              <w:rPr>
                <w:sz w:val="17"/>
                <w:szCs w:val="17"/>
                <w:color w:val="auto"/>
              </w:rPr>
            </w:pPr>
          </w:p>
        </w:tc>
        <w:tc>
          <w:tcPr>
            <w:tcW w:w="200" w:type="dxa"/>
            <w:vAlign w:val="bottom"/>
            <w:tcBorders>
              <w:right w:val="single" w:sz="8" w:color="auto"/>
            </w:tcBorders>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320" w:type="dxa"/>
            <w:vAlign w:val="bottom"/>
            <w:tcBorders>
              <w:right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520" w:type="dxa"/>
            <w:vAlign w:val="bottom"/>
            <w:shd w:val="clear" w:color="auto" w:fill="F0FFFF"/>
          </w:tcPr>
          <w:p>
            <w:pPr>
              <w:spacing w:after="0"/>
              <w:rPr>
                <w:sz w:val="17"/>
                <w:szCs w:val="17"/>
                <w:color w:val="auto"/>
              </w:rPr>
            </w:pPr>
          </w:p>
        </w:tc>
        <w:tc>
          <w:tcPr>
            <w:tcW w:w="180" w:type="dxa"/>
            <w:vAlign w:val="bottom"/>
            <w:tcBorders>
              <w:right w:val="single" w:sz="8" w:color="auto"/>
            </w:tcBorders>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240" w:type="dxa"/>
            <w:vAlign w:val="bottom"/>
            <w:tcBorders>
              <w:right w:val="single" w:sz="8" w:color="F0FFFF"/>
            </w:tcBorders>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560" w:type="dxa"/>
            <w:vAlign w:val="bottom"/>
            <w:shd w:val="clear" w:color="auto" w:fill="F0FFFF"/>
          </w:tcPr>
          <w:p>
            <w:pPr>
              <w:spacing w:after="0"/>
              <w:rPr>
                <w:sz w:val="17"/>
                <w:szCs w:val="17"/>
                <w:color w:val="auto"/>
              </w:rPr>
            </w:pPr>
          </w:p>
        </w:tc>
        <w:tc>
          <w:tcPr>
            <w:tcW w:w="340" w:type="dxa"/>
            <w:vAlign w:val="bottom"/>
            <w:tcBorders>
              <w:right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520" w:type="dxa"/>
            <w:vAlign w:val="bottom"/>
            <w:shd w:val="clear" w:color="auto" w:fill="F0FFFF"/>
          </w:tcPr>
          <w:p>
            <w:pPr>
              <w:spacing w:after="0"/>
              <w:rPr>
                <w:sz w:val="17"/>
                <w:szCs w:val="17"/>
                <w:color w:val="auto"/>
              </w:rPr>
            </w:pPr>
          </w:p>
        </w:tc>
        <w:tc>
          <w:tcPr>
            <w:tcW w:w="180" w:type="dxa"/>
            <w:vAlign w:val="bottom"/>
            <w:tcBorders>
              <w:right w:val="single" w:sz="8" w:color="auto"/>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shd w:val="clear" w:color="auto" w:fill="F0FFFF"/>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F0FFFF"/>
          </w:tcPr>
          <w:p>
            <w:pPr>
              <w:spacing w:after="0"/>
              <w:rPr>
                <w:sz w:val="20"/>
                <w:szCs w:val="20"/>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883</w:t>
            </w:r>
          </w:p>
        </w:tc>
        <w:tc>
          <w:tcPr>
            <w:tcW w:w="240" w:type="dxa"/>
            <w:vAlign w:val="bottom"/>
            <w:tcBorders>
              <w:right w:val="single" w:sz="8" w:color="F0FFFF"/>
            </w:tcBorders>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720" w:type="dxa"/>
            <w:vAlign w:val="bottom"/>
            <w:tcBorders>
              <w:right w:val="single" w:sz="8" w:color="auto"/>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883</w:t>
            </w:r>
          </w:p>
        </w:tc>
        <w:tc>
          <w:tcPr>
            <w:tcW w:w="8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9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717</w:t>
            </w:r>
          </w:p>
        </w:tc>
        <w:tc>
          <w:tcPr>
            <w:tcW w:w="260" w:type="dxa"/>
            <w:vAlign w:val="bottom"/>
            <w:shd w:val="clear" w:color="auto" w:fill="F0FFFF"/>
          </w:tcPr>
          <w:p>
            <w:pPr>
              <w:spacing w:after="0"/>
              <w:rPr>
                <w:sz w:val="20"/>
                <w:szCs w:val="20"/>
                <w:color w:val="auto"/>
              </w:rPr>
            </w:pPr>
          </w:p>
        </w:tc>
        <w:tc>
          <w:tcPr>
            <w:tcW w:w="900" w:type="dxa"/>
            <w:vAlign w:val="bottom"/>
            <w:tcBorders>
              <w:right w:val="single" w:sz="8" w:color="auto"/>
            </w:tcBorders>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0"/>
                <w:szCs w:val="20"/>
                <w:color w:val="auto"/>
              </w:rPr>
            </w:pPr>
          </w:p>
        </w:tc>
        <w:tc>
          <w:tcPr>
            <w:tcW w:w="70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717</w:t>
            </w:r>
          </w:p>
        </w:tc>
        <w:tc>
          <w:tcPr>
            <w:tcW w:w="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1,032</w:t>
            </w:r>
          </w:p>
        </w:tc>
        <w:tc>
          <w:tcPr>
            <w:tcW w:w="240" w:type="dxa"/>
            <w:vAlign w:val="bottom"/>
            <w:tcBorders>
              <w:right w:val="single" w:sz="8" w:color="F0FFFF"/>
            </w:tcBorders>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900" w:type="dxa"/>
            <w:vAlign w:val="bottom"/>
            <w:tcBorders>
              <w:right w:val="single" w:sz="8" w:color="auto"/>
            </w:tcBorders>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F0FFFF"/>
          </w:tcPr>
          <w:p>
            <w:pPr>
              <w:spacing w:after="0"/>
              <w:rPr>
                <w:sz w:val="20"/>
                <w:szCs w:val="20"/>
                <w:color w:val="auto"/>
              </w:rPr>
            </w:pPr>
          </w:p>
        </w:tc>
        <w:tc>
          <w:tcPr>
            <w:tcW w:w="70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1,389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1,389</w:t>
            </w: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1,571</w:t>
            </w:r>
          </w:p>
        </w:tc>
        <w:tc>
          <w:tcPr>
            <w:tcW w:w="26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1,571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F0FFFF"/>
          </w:tcPr>
          <w:p>
            <w:pPr>
              <w:spacing w:after="0"/>
              <w:rPr>
                <w:sz w:val="20"/>
                <w:szCs w:val="20"/>
                <w:color w:val="auto"/>
              </w:rPr>
            </w:pPr>
            <w:r>
              <w:rPr>
                <w:rFonts w:ascii="Arial" w:cs="Arial" w:eastAsia="Arial" w:hAnsi="Arial"/>
                <w:sz w:val="18"/>
                <w:szCs w:val="18"/>
                <w:color w:val="auto"/>
                <w:w w:val="97"/>
              </w:rPr>
              <w:t>Commercial construction</w:t>
            </w:r>
          </w:p>
        </w:tc>
        <w:tc>
          <w:tcPr>
            <w:tcW w:w="160" w:type="dxa"/>
            <w:vAlign w:val="bottom"/>
            <w:shd w:val="clear" w:color="auto" w:fill="F0FFFF"/>
          </w:tcPr>
          <w:p>
            <w:pPr>
              <w:spacing w:after="0"/>
              <w:rPr>
                <w:sz w:val="18"/>
                <w:szCs w:val="18"/>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59</w:t>
            </w:r>
          </w:p>
        </w:tc>
        <w:tc>
          <w:tcPr>
            <w:tcW w:w="24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382</w:t>
            </w:r>
          </w:p>
        </w:tc>
        <w:tc>
          <w:tcPr>
            <w:tcW w:w="26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20" w:type="dxa"/>
            <w:vAlign w:val="bottom"/>
            <w:tcBorders>
              <w:right w:val="single" w:sz="8" w:color="auto"/>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441</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83</w:t>
            </w:r>
          </w:p>
        </w:tc>
        <w:tc>
          <w:tcPr>
            <w:tcW w:w="2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tcBorders>
              <w:right w:val="single" w:sz="8" w:color="auto"/>
            </w:tcBorders>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F0FFFF"/>
          </w:tcPr>
          <w:p>
            <w:pPr>
              <w:spacing w:after="0"/>
              <w:rPr>
                <w:sz w:val="18"/>
                <w:szCs w:val="18"/>
                <w:color w:val="auto"/>
              </w:rPr>
            </w:pPr>
          </w:p>
        </w:tc>
        <w:tc>
          <w:tcPr>
            <w:tcW w:w="70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98</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95</w:t>
            </w:r>
          </w:p>
        </w:tc>
        <w:tc>
          <w:tcPr>
            <w:tcW w:w="240" w:type="dxa"/>
            <w:vAlign w:val="bottom"/>
            <w:tcBorders>
              <w:right w:val="single" w:sz="8" w:color="F0FFFF"/>
            </w:tcBorders>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tcBorders>
              <w:right w:val="single" w:sz="8" w:color="auto"/>
            </w:tcBorders>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5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95</w:t>
            </w:r>
          </w:p>
        </w:tc>
        <w:tc>
          <w:tcPr>
            <w:tcW w:w="180" w:type="dxa"/>
            <w:vAlign w:val="bottom"/>
            <w:tcBorders>
              <w:right w:val="single" w:sz="8" w:color="auto"/>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6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ind w:left="200"/>
              <w:spacing w:after="0"/>
              <w:rPr>
                <w:sz w:val="20"/>
                <w:szCs w:val="20"/>
                <w:color w:val="auto"/>
              </w:rPr>
            </w:pPr>
            <w:r>
              <w:rPr>
                <w:rFonts w:ascii="Arial" w:cs="Arial" w:eastAsia="Arial" w:hAnsi="Arial"/>
                <w:sz w:val="18"/>
                <w:szCs w:val="18"/>
                <w:color w:val="auto"/>
              </w:rPr>
              <w:t>Total commercial</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7,209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742</w:t>
            </w: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7,951</w:t>
            </w: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6,504</w:t>
            </w:r>
          </w:p>
        </w:tc>
        <w:tc>
          <w:tcPr>
            <w:tcW w:w="26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6,874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5,204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6,099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160" w:type="dxa"/>
            <w:vAlign w:val="bottom"/>
            <w:shd w:val="clear" w:color="auto" w:fill="F0FFFF"/>
          </w:tcPr>
          <w:p>
            <w:pPr>
              <w:spacing w:after="0"/>
              <w:rPr>
                <w:sz w:val="18"/>
                <w:szCs w:val="18"/>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8,599</w:t>
            </w:r>
          </w:p>
        </w:tc>
        <w:tc>
          <w:tcPr>
            <w:tcW w:w="24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40" w:type="dxa"/>
            <w:vAlign w:val="bottom"/>
            <w:tcBorders>
              <w:right w:val="single" w:sz="8" w:color="auto"/>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1,373</w:t>
            </w: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5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9,972</w:t>
            </w:r>
          </w:p>
        </w:tc>
        <w:tc>
          <w:tcPr>
            <w:tcW w:w="20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8,196</w:t>
            </w:r>
          </w:p>
        </w:tc>
        <w:tc>
          <w:tcPr>
            <w:tcW w:w="260" w:type="dxa"/>
            <w:vAlign w:val="bottom"/>
            <w:shd w:val="clear" w:color="auto" w:fill="F0FFFF"/>
          </w:tcPr>
          <w:p>
            <w:pPr>
              <w:spacing w:after="0"/>
              <w:rPr>
                <w:sz w:val="18"/>
                <w:szCs w:val="18"/>
                <w:color w:val="auto"/>
              </w:rPr>
            </w:pPr>
          </w:p>
        </w:tc>
        <w:tc>
          <w:tcPr>
            <w:tcW w:w="900" w:type="dxa"/>
            <w:vAlign w:val="bottom"/>
            <w:tcBorders>
              <w:right w:val="single" w:sz="8" w:color="auto"/>
            </w:tcBorders>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F0FFFF"/>
          </w:tcPr>
          <w:p>
            <w:pPr>
              <w:spacing w:after="0"/>
              <w:rPr>
                <w:sz w:val="18"/>
                <w:szCs w:val="18"/>
                <w:color w:val="auto"/>
              </w:rPr>
            </w:pPr>
          </w:p>
        </w:tc>
        <w:tc>
          <w:tcPr>
            <w:tcW w:w="70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9,379</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tcBorders>
              <w:right w:val="single" w:sz="8" w:color="F0FFFF"/>
            </w:tcBorders>
            <w:gridSpan w:val="2"/>
            <w:shd w:val="clear" w:color="auto" w:fill="F0FFFF"/>
          </w:tcPr>
          <w:p>
            <w:pPr>
              <w:jc w:val="right"/>
              <w:ind w:right="150"/>
              <w:spacing w:after="0"/>
              <w:rPr>
                <w:sz w:val="20"/>
                <w:szCs w:val="20"/>
                <w:color w:val="auto"/>
              </w:rPr>
            </w:pPr>
            <w:r>
              <w:rPr>
                <w:rFonts w:ascii="Arial" w:cs="Arial" w:eastAsia="Arial" w:hAnsi="Arial"/>
                <w:sz w:val="18"/>
                <w:szCs w:val="18"/>
                <w:color w:val="auto"/>
              </w:rPr>
              <w:t>10,201</w:t>
            </w:r>
          </w:p>
        </w:tc>
        <w:tc>
          <w:tcPr>
            <w:tcW w:w="260" w:type="dxa"/>
            <w:vAlign w:val="bottom"/>
            <w:shd w:val="clear" w:color="auto" w:fill="F0FFFF"/>
          </w:tcPr>
          <w:p>
            <w:pPr>
              <w:spacing w:after="0"/>
              <w:rPr>
                <w:sz w:val="18"/>
                <w:szCs w:val="18"/>
                <w:color w:val="auto"/>
              </w:rPr>
            </w:pPr>
          </w:p>
        </w:tc>
        <w:tc>
          <w:tcPr>
            <w:tcW w:w="900" w:type="dxa"/>
            <w:vAlign w:val="bottom"/>
            <w:tcBorders>
              <w:right w:val="single" w:sz="8" w:color="auto"/>
            </w:tcBorders>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1,426</w:t>
            </w:r>
          </w:p>
        </w:tc>
        <w:tc>
          <w:tcPr>
            <w:tcW w:w="100" w:type="dxa"/>
            <w:vAlign w:val="bottom"/>
            <w:shd w:val="clear" w:color="auto" w:fill="F0FFFF"/>
          </w:tcPr>
          <w:p>
            <w:pPr>
              <w:spacing w:after="0"/>
              <w:rPr>
                <w:sz w:val="18"/>
                <w:szCs w:val="18"/>
                <w:color w:val="auto"/>
              </w:rPr>
            </w:pPr>
          </w:p>
        </w:tc>
        <w:tc>
          <w:tcPr>
            <w:tcW w:w="70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8"/>
                <w:szCs w:val="18"/>
                <w:color w:val="auto"/>
                <w:w w:val="90"/>
              </w:rPr>
              <w:t>11,627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Home equity</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w:t>
            </w: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994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695</w:t>
            </w:r>
          </w:p>
        </w:tc>
        <w:tc>
          <w:tcPr>
            <w:tcW w:w="26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735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rPr>
              <w:t>510</w:t>
            </w:r>
          </w:p>
        </w:tc>
        <w:tc>
          <w:tcPr>
            <w:tcW w:w="26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160" w:type="dxa"/>
            <w:vAlign w:val="bottom"/>
            <w:shd w:val="clear" w:color="auto" w:fill="F0FFFF"/>
          </w:tcPr>
          <w:p>
            <w:pPr>
              <w:spacing w:after="0"/>
              <w:rPr>
                <w:sz w:val="18"/>
                <w:szCs w:val="18"/>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1,358</w:t>
            </w:r>
          </w:p>
        </w:tc>
        <w:tc>
          <w:tcPr>
            <w:tcW w:w="24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40" w:type="dxa"/>
            <w:vAlign w:val="bottom"/>
            <w:tcBorders>
              <w:right w:val="single" w:sz="8" w:color="auto"/>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5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1,545</w:t>
            </w:r>
          </w:p>
        </w:tc>
        <w:tc>
          <w:tcPr>
            <w:tcW w:w="20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2,006</w:t>
            </w:r>
          </w:p>
        </w:tc>
        <w:tc>
          <w:tcPr>
            <w:tcW w:w="260" w:type="dxa"/>
            <w:vAlign w:val="bottom"/>
            <w:shd w:val="clear" w:color="auto" w:fill="F0FFFF"/>
          </w:tcPr>
          <w:p>
            <w:pPr>
              <w:spacing w:after="0"/>
              <w:rPr>
                <w:sz w:val="18"/>
                <w:szCs w:val="18"/>
                <w:color w:val="auto"/>
              </w:rPr>
            </w:pPr>
          </w:p>
        </w:tc>
        <w:tc>
          <w:tcPr>
            <w:tcW w:w="900" w:type="dxa"/>
            <w:vAlign w:val="bottom"/>
            <w:tcBorders>
              <w:right w:val="single" w:sz="8" w:color="auto"/>
            </w:tcBorders>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F0FFFF"/>
          </w:tcPr>
          <w:p>
            <w:pPr>
              <w:spacing w:after="0"/>
              <w:rPr>
                <w:sz w:val="18"/>
                <w:szCs w:val="18"/>
                <w:color w:val="auto"/>
              </w:rPr>
            </w:pPr>
          </w:p>
        </w:tc>
        <w:tc>
          <w:tcPr>
            <w:tcW w:w="70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2,139</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4,248</w:t>
            </w:r>
          </w:p>
        </w:tc>
        <w:tc>
          <w:tcPr>
            <w:tcW w:w="240" w:type="dxa"/>
            <w:vAlign w:val="bottom"/>
            <w:tcBorders>
              <w:right w:val="single" w:sz="8" w:color="F0FFFF"/>
            </w:tcBorders>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tcBorders>
              <w:right w:val="single" w:sz="8" w:color="auto"/>
            </w:tcBorders>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F0FFFF"/>
          </w:tcPr>
          <w:p>
            <w:pPr>
              <w:spacing w:after="0"/>
              <w:rPr>
                <w:sz w:val="18"/>
                <w:szCs w:val="18"/>
                <w:color w:val="auto"/>
              </w:rPr>
            </w:pPr>
          </w:p>
        </w:tc>
        <w:tc>
          <w:tcPr>
            <w:tcW w:w="70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4,768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Consumer installment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134</w:t>
            </w:r>
          </w:p>
        </w:tc>
        <w:tc>
          <w:tcPr>
            <w:tcW w:w="26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rPr>
              <w:t>171</w:t>
            </w:r>
          </w:p>
        </w:tc>
        <w:tc>
          <w:tcPr>
            <w:tcW w:w="26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F0FFFF"/>
          </w:tcPr>
          <w:p>
            <w:pPr>
              <w:spacing w:after="0"/>
              <w:rPr>
                <w:sz w:val="20"/>
                <w:szCs w:val="20"/>
                <w:color w:val="auto"/>
              </w:rPr>
            </w:pPr>
            <w:r>
              <w:rPr>
                <w:rFonts w:ascii="Arial" w:cs="Arial" w:eastAsia="Arial" w:hAnsi="Arial"/>
                <w:sz w:val="18"/>
                <w:szCs w:val="18"/>
                <w:color w:val="auto"/>
              </w:rPr>
              <w:t>Indirect auto</w:t>
            </w:r>
          </w:p>
        </w:tc>
        <w:tc>
          <w:tcPr>
            <w:tcW w:w="160" w:type="dxa"/>
            <w:vAlign w:val="bottom"/>
            <w:shd w:val="clear" w:color="auto" w:fill="F0FFFF"/>
          </w:tcPr>
          <w:p>
            <w:pPr>
              <w:spacing w:after="0"/>
              <w:rPr>
                <w:sz w:val="18"/>
                <w:szCs w:val="18"/>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568</w:t>
            </w:r>
          </w:p>
        </w:tc>
        <w:tc>
          <w:tcPr>
            <w:tcW w:w="24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20" w:type="dxa"/>
            <w:vAlign w:val="bottom"/>
            <w:tcBorders>
              <w:right w:val="single" w:sz="8" w:color="auto"/>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568</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346</w:t>
            </w:r>
          </w:p>
        </w:tc>
        <w:tc>
          <w:tcPr>
            <w:tcW w:w="260" w:type="dxa"/>
            <w:vAlign w:val="bottom"/>
            <w:shd w:val="clear" w:color="auto" w:fill="F0FFFF"/>
          </w:tcPr>
          <w:p>
            <w:pPr>
              <w:spacing w:after="0"/>
              <w:rPr>
                <w:sz w:val="18"/>
                <w:szCs w:val="18"/>
                <w:color w:val="auto"/>
              </w:rPr>
            </w:pPr>
          </w:p>
        </w:tc>
        <w:tc>
          <w:tcPr>
            <w:tcW w:w="900" w:type="dxa"/>
            <w:vAlign w:val="bottom"/>
            <w:tcBorders>
              <w:right w:val="single" w:sz="8" w:color="auto"/>
            </w:tcBorders>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70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346</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tcBorders>
              <w:right w:val="single" w:sz="8" w:color="F0FFFF"/>
            </w:tcBorders>
            <w:gridSpan w:val="2"/>
            <w:shd w:val="clear" w:color="auto" w:fill="F0FFFF"/>
          </w:tcPr>
          <w:p>
            <w:pPr>
              <w:jc w:val="right"/>
              <w:ind w:right="150"/>
              <w:spacing w:after="0"/>
              <w:rPr>
                <w:sz w:val="20"/>
                <w:szCs w:val="20"/>
                <w:color w:val="auto"/>
              </w:rPr>
            </w:pPr>
            <w:r>
              <w:rPr>
                <w:rFonts w:ascii="Arial" w:cs="Arial" w:eastAsia="Arial" w:hAnsi="Arial"/>
                <w:sz w:val="18"/>
                <w:szCs w:val="18"/>
                <w:color w:val="auto"/>
              </w:rPr>
              <w:t>390</w:t>
            </w:r>
          </w:p>
        </w:tc>
        <w:tc>
          <w:tcPr>
            <w:tcW w:w="260" w:type="dxa"/>
            <w:vAlign w:val="bottom"/>
            <w:shd w:val="clear" w:color="auto" w:fill="F0FFFF"/>
          </w:tcPr>
          <w:p>
            <w:pPr>
              <w:spacing w:after="0"/>
              <w:rPr>
                <w:sz w:val="18"/>
                <w:szCs w:val="18"/>
                <w:color w:val="auto"/>
              </w:rPr>
            </w:pPr>
          </w:p>
        </w:tc>
        <w:tc>
          <w:tcPr>
            <w:tcW w:w="900" w:type="dxa"/>
            <w:vAlign w:val="bottom"/>
            <w:tcBorders>
              <w:right w:val="single" w:sz="8" w:color="auto"/>
            </w:tcBorders>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70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6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ind w:left="200"/>
              <w:spacing w:after="0"/>
              <w:rPr>
                <w:sz w:val="20"/>
                <w:szCs w:val="20"/>
                <w:color w:val="auto"/>
              </w:rPr>
            </w:pPr>
            <w:r>
              <w:rPr>
                <w:rFonts w:ascii="Arial" w:cs="Arial" w:eastAsia="Arial" w:hAnsi="Arial"/>
                <w:sz w:val="18"/>
                <w:szCs w:val="18"/>
                <w:b w:val="1"/>
                <w:bCs w:val="1"/>
                <w:color w:val="auto"/>
              </w:rPr>
              <w:t>Total NPAs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18,805</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2,356</w:t>
            </w: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0"/>
              </w:rPr>
              <w:t>21,161</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17,881</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1,726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90"/>
              </w:rPr>
              <w:t>19,607</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rPr>
              <w:t>20,724</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2,969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90"/>
              </w:rPr>
              <w:t>23,693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960" w:type="dxa"/>
            <w:vAlign w:val="bottom"/>
            <w:shd w:val="clear" w:color="auto" w:fill="F0FFFF"/>
          </w:tcPr>
          <w:p>
            <w:pPr>
              <w:ind w:left="140"/>
              <w:spacing w:after="0"/>
              <w:rPr>
                <w:sz w:val="20"/>
                <w:szCs w:val="20"/>
                <w:color w:val="auto"/>
              </w:rPr>
            </w:pPr>
            <w:r>
              <w:rPr>
                <w:rFonts w:ascii="Arial" w:cs="Arial" w:eastAsia="Arial" w:hAnsi="Arial"/>
                <w:sz w:val="18"/>
                <w:szCs w:val="18"/>
                <w:b w:val="1"/>
                <w:bCs w:val="1"/>
                <w:color w:val="auto"/>
              </w:rPr>
              <w:t>Balance as a % of</w:t>
            </w:r>
          </w:p>
        </w:tc>
        <w:tc>
          <w:tcPr>
            <w:tcW w:w="16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26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520" w:type="dxa"/>
            <w:vAlign w:val="bottom"/>
            <w:shd w:val="clear" w:color="auto" w:fill="F0FFFF"/>
          </w:tcPr>
          <w:p>
            <w:pPr>
              <w:spacing w:after="0"/>
              <w:rPr>
                <w:sz w:val="18"/>
                <w:szCs w:val="18"/>
                <w:color w:val="auto"/>
              </w:rPr>
            </w:pPr>
          </w:p>
        </w:tc>
        <w:tc>
          <w:tcPr>
            <w:tcW w:w="20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320" w:type="dxa"/>
            <w:vAlign w:val="bottom"/>
            <w:tcBorders>
              <w:right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520" w:type="dxa"/>
            <w:vAlign w:val="bottom"/>
            <w:shd w:val="clear" w:color="auto" w:fill="F0FFFF"/>
          </w:tcPr>
          <w:p>
            <w:pPr>
              <w:spacing w:after="0"/>
              <w:rPr>
                <w:sz w:val="18"/>
                <w:szCs w:val="18"/>
                <w:color w:val="auto"/>
              </w:rPr>
            </w:pPr>
          </w:p>
        </w:tc>
        <w:tc>
          <w:tcPr>
            <w:tcW w:w="18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340" w:type="dxa"/>
            <w:vAlign w:val="bottom"/>
            <w:tcBorders>
              <w:right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520" w:type="dxa"/>
            <w:vAlign w:val="bottom"/>
            <w:shd w:val="clear" w:color="auto" w:fill="F0FFFF"/>
          </w:tcPr>
          <w:p>
            <w:pPr>
              <w:spacing w:after="0"/>
              <w:rPr>
                <w:sz w:val="18"/>
                <w:szCs w:val="18"/>
                <w:color w:val="auto"/>
              </w:rPr>
            </w:pPr>
          </w:p>
        </w:tc>
        <w:tc>
          <w:tcPr>
            <w:tcW w:w="180" w:type="dxa"/>
            <w:vAlign w:val="bottom"/>
            <w:tcBorders>
              <w:right w:val="single" w:sz="8" w:color="auto"/>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60" w:type="dxa"/>
            <w:vAlign w:val="bottom"/>
            <w:shd w:val="clear" w:color="auto" w:fill="F0FFFF"/>
          </w:tcPr>
          <w:p>
            <w:pPr>
              <w:ind w:left="300"/>
              <w:spacing w:after="0"/>
              <w:rPr>
                <w:sz w:val="20"/>
                <w:szCs w:val="20"/>
                <w:color w:val="auto"/>
              </w:rPr>
            </w:pPr>
            <w:r>
              <w:rPr>
                <w:rFonts w:ascii="Arial" w:cs="Arial" w:eastAsia="Arial" w:hAnsi="Arial"/>
                <w:sz w:val="18"/>
                <w:szCs w:val="18"/>
                <w:b w:val="1"/>
                <w:bCs w:val="1"/>
                <w:color w:val="auto"/>
              </w:rPr>
              <w:t>Unpaid Principal</w:t>
            </w:r>
          </w:p>
        </w:tc>
        <w:tc>
          <w:tcPr>
            <w:tcW w:w="160" w:type="dxa"/>
            <w:vAlign w:val="bottom"/>
            <w:shd w:val="clear" w:color="auto" w:fill="F0FFFF"/>
          </w:tcPr>
          <w:p>
            <w:pPr>
              <w:spacing w:after="0"/>
              <w:rPr>
                <w:sz w:val="20"/>
                <w:szCs w:val="20"/>
                <w:color w:val="auto"/>
              </w:rPr>
            </w:pPr>
          </w:p>
        </w:tc>
        <w:tc>
          <w:tcPr>
            <w:tcW w:w="980" w:type="dxa"/>
            <w:vAlign w:val="bottom"/>
            <w:tcBorders>
              <w:right w:val="single" w:sz="8" w:color="F0FFFF"/>
            </w:tcBorders>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64.9%</w:t>
            </w:r>
          </w:p>
        </w:tc>
        <w:tc>
          <w:tcPr>
            <w:tcW w:w="240" w:type="dxa"/>
            <w:vAlign w:val="bottom"/>
            <w:shd w:val="clear" w:color="auto" w:fill="F0FFFF"/>
          </w:tcPr>
          <w:p>
            <w:pPr>
              <w:spacing w:after="0"/>
              <w:rPr>
                <w:sz w:val="20"/>
                <w:szCs w:val="20"/>
                <w:color w:val="auto"/>
              </w:rPr>
            </w:pPr>
          </w:p>
        </w:tc>
        <w:tc>
          <w:tcPr>
            <w:tcW w:w="840" w:type="dxa"/>
            <w:vAlign w:val="bottom"/>
            <w:tcBorders>
              <w:right w:val="single" w:sz="8" w:color="auto"/>
            </w:tcBorders>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46.6%</w:t>
            </w:r>
          </w:p>
        </w:tc>
        <w:tc>
          <w:tcPr>
            <w:tcW w:w="8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720" w:type="dxa"/>
            <w:vAlign w:val="bottom"/>
            <w:tcBorders>
              <w:right w:val="single" w:sz="8" w:color="auto"/>
            </w:tcBorders>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62.2%</w:t>
            </w:r>
          </w:p>
        </w:tc>
        <w:tc>
          <w:tcPr>
            <w:tcW w:w="8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9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69.9%</w:t>
            </w:r>
          </w:p>
        </w:tc>
        <w:tc>
          <w:tcPr>
            <w:tcW w:w="260" w:type="dxa"/>
            <w:vAlign w:val="bottom"/>
            <w:shd w:val="clear" w:color="auto" w:fill="F0FFFF"/>
          </w:tcPr>
          <w:p>
            <w:pPr>
              <w:spacing w:after="0"/>
              <w:rPr>
                <w:sz w:val="20"/>
                <w:szCs w:val="20"/>
                <w:color w:val="auto"/>
              </w:rPr>
            </w:pPr>
          </w:p>
        </w:tc>
        <w:tc>
          <w:tcPr>
            <w:tcW w:w="90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F0FFFF"/>
          </w:tcPr>
          <w:p>
            <w:pPr>
              <w:spacing w:after="0"/>
              <w:rPr>
                <w:sz w:val="20"/>
                <w:szCs w:val="20"/>
                <w:color w:val="auto"/>
              </w:rPr>
            </w:pPr>
          </w:p>
        </w:tc>
        <w:tc>
          <w:tcPr>
            <w:tcW w:w="700" w:type="dxa"/>
            <w:vAlign w:val="bottom"/>
            <w:tcBorders>
              <w:right w:val="single" w:sz="8" w:color="auto"/>
            </w:tcBorders>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68.1%</w:t>
            </w:r>
          </w:p>
        </w:tc>
        <w:tc>
          <w:tcPr>
            <w:tcW w:w="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980" w:type="dxa"/>
            <w:vAlign w:val="bottom"/>
            <w:tcBorders>
              <w:right w:val="single" w:sz="8" w:color="F0FFFF"/>
            </w:tcBorders>
            <w:gridSpan w:val="2"/>
            <w:shd w:val="clear" w:color="auto" w:fill="F0FFFF"/>
          </w:tcPr>
          <w:p>
            <w:pPr>
              <w:jc w:val="right"/>
              <w:ind w:right="10"/>
              <w:spacing w:after="0"/>
              <w:rPr>
                <w:sz w:val="20"/>
                <w:szCs w:val="20"/>
                <w:color w:val="auto"/>
              </w:rPr>
            </w:pPr>
            <w:r>
              <w:rPr>
                <w:rFonts w:ascii="Arial" w:cs="Arial" w:eastAsia="Arial" w:hAnsi="Arial"/>
                <w:sz w:val="18"/>
                <w:szCs w:val="18"/>
                <w:color w:val="auto"/>
              </w:rPr>
              <w:t>66.5%</w:t>
            </w:r>
          </w:p>
        </w:tc>
        <w:tc>
          <w:tcPr>
            <w:tcW w:w="260" w:type="dxa"/>
            <w:vAlign w:val="bottom"/>
            <w:shd w:val="clear" w:color="auto" w:fill="F0FFFF"/>
          </w:tcPr>
          <w:p>
            <w:pPr>
              <w:spacing w:after="0"/>
              <w:rPr>
                <w:sz w:val="20"/>
                <w:szCs w:val="20"/>
                <w:color w:val="auto"/>
              </w:rPr>
            </w:pPr>
          </w:p>
        </w:tc>
        <w:tc>
          <w:tcPr>
            <w:tcW w:w="90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F0FFFF"/>
          </w:tcPr>
          <w:p>
            <w:pPr>
              <w:spacing w:after="0"/>
              <w:rPr>
                <w:sz w:val="20"/>
                <w:szCs w:val="20"/>
                <w:color w:val="auto"/>
              </w:rPr>
            </w:pPr>
          </w:p>
        </w:tc>
        <w:tc>
          <w:tcPr>
            <w:tcW w:w="700" w:type="dxa"/>
            <w:vAlign w:val="bottom"/>
            <w:tcBorders>
              <w:right w:val="single" w:sz="8" w:color="auto"/>
            </w:tcBorders>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BY MARKET</w:t>
            </w:r>
          </w:p>
        </w:tc>
        <w:tc>
          <w:tcPr>
            <w:tcW w:w="16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26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520" w:type="dxa"/>
            <w:vAlign w:val="bottom"/>
            <w:shd w:val="clear" w:color="auto" w:fill="F0FFFF"/>
          </w:tcPr>
          <w:p>
            <w:pPr>
              <w:spacing w:after="0"/>
              <w:rPr>
                <w:sz w:val="18"/>
                <w:szCs w:val="18"/>
                <w:color w:val="auto"/>
              </w:rPr>
            </w:pPr>
          </w:p>
        </w:tc>
        <w:tc>
          <w:tcPr>
            <w:tcW w:w="20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320" w:type="dxa"/>
            <w:vAlign w:val="bottom"/>
            <w:tcBorders>
              <w:right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520" w:type="dxa"/>
            <w:vAlign w:val="bottom"/>
            <w:shd w:val="clear" w:color="auto" w:fill="F0FFFF"/>
          </w:tcPr>
          <w:p>
            <w:pPr>
              <w:spacing w:after="0"/>
              <w:rPr>
                <w:sz w:val="18"/>
                <w:szCs w:val="18"/>
                <w:color w:val="auto"/>
              </w:rPr>
            </w:pPr>
          </w:p>
        </w:tc>
        <w:tc>
          <w:tcPr>
            <w:tcW w:w="18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340" w:type="dxa"/>
            <w:vAlign w:val="bottom"/>
            <w:tcBorders>
              <w:right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520" w:type="dxa"/>
            <w:vAlign w:val="bottom"/>
            <w:shd w:val="clear" w:color="auto" w:fill="F0FFFF"/>
          </w:tcPr>
          <w:p>
            <w:pPr>
              <w:spacing w:after="0"/>
              <w:rPr>
                <w:sz w:val="18"/>
                <w:szCs w:val="18"/>
                <w:color w:val="auto"/>
              </w:rPr>
            </w:pPr>
          </w:p>
        </w:tc>
        <w:tc>
          <w:tcPr>
            <w:tcW w:w="180" w:type="dxa"/>
            <w:vAlign w:val="bottom"/>
            <w:tcBorders>
              <w:right w:val="single" w:sz="8" w:color="auto"/>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North Georgia</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6,157</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657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6,814</w:t>
            </w:r>
          </w:p>
        </w:tc>
        <w:tc>
          <w:tcPr>
            <w:tcW w:w="200" w:type="dxa"/>
            <w:vAlign w:val="bottom"/>
            <w:tcBorders>
              <w:right w:val="single" w:sz="8" w:color="auto"/>
            </w:tcBorders>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5,669</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711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6,380</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8,216</w:t>
            </w:r>
          </w:p>
        </w:tc>
        <w:tc>
          <w:tcPr>
            <w:tcW w:w="2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1,392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9,608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F0FFFF"/>
          </w:tcPr>
          <w:p>
            <w:pPr>
              <w:spacing w:after="0"/>
              <w:rPr>
                <w:sz w:val="20"/>
                <w:szCs w:val="20"/>
                <w:color w:val="auto"/>
              </w:rPr>
            </w:pPr>
            <w:r>
              <w:rPr>
                <w:rFonts w:ascii="Arial" w:cs="Arial" w:eastAsia="Arial" w:hAnsi="Arial"/>
                <w:sz w:val="18"/>
                <w:szCs w:val="18"/>
                <w:color w:val="auto"/>
              </w:rPr>
              <w:t>Atlanta MSA</w:t>
            </w:r>
          </w:p>
        </w:tc>
        <w:tc>
          <w:tcPr>
            <w:tcW w:w="160" w:type="dxa"/>
            <w:vAlign w:val="bottom"/>
            <w:shd w:val="clear" w:color="auto" w:fill="F0FFFF"/>
          </w:tcPr>
          <w:p>
            <w:pPr>
              <w:spacing w:after="0"/>
              <w:rPr>
                <w:sz w:val="18"/>
                <w:szCs w:val="18"/>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2,361</w:t>
            </w:r>
          </w:p>
        </w:tc>
        <w:tc>
          <w:tcPr>
            <w:tcW w:w="24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40" w:type="dxa"/>
            <w:vAlign w:val="bottom"/>
            <w:tcBorders>
              <w:right w:val="single" w:sz="8" w:color="auto"/>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5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2,496</w:t>
            </w:r>
          </w:p>
        </w:tc>
        <w:tc>
          <w:tcPr>
            <w:tcW w:w="20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1,837</w:t>
            </w:r>
          </w:p>
        </w:tc>
        <w:tc>
          <w:tcPr>
            <w:tcW w:w="260" w:type="dxa"/>
            <w:vAlign w:val="bottom"/>
            <w:shd w:val="clear" w:color="auto" w:fill="F0FFFF"/>
          </w:tcPr>
          <w:p>
            <w:pPr>
              <w:spacing w:after="0"/>
              <w:rPr>
                <w:sz w:val="18"/>
                <w:szCs w:val="18"/>
                <w:color w:val="auto"/>
              </w:rPr>
            </w:pPr>
          </w:p>
        </w:tc>
        <w:tc>
          <w:tcPr>
            <w:tcW w:w="900" w:type="dxa"/>
            <w:vAlign w:val="bottom"/>
            <w:tcBorders>
              <w:right w:val="single" w:sz="8" w:color="auto"/>
            </w:tcBorders>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F0FFFF"/>
          </w:tcPr>
          <w:p>
            <w:pPr>
              <w:spacing w:after="0"/>
              <w:rPr>
                <w:sz w:val="18"/>
                <w:szCs w:val="18"/>
                <w:color w:val="auto"/>
              </w:rPr>
            </w:pPr>
          </w:p>
        </w:tc>
        <w:tc>
          <w:tcPr>
            <w:tcW w:w="70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2,209</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3,883</w:t>
            </w:r>
          </w:p>
        </w:tc>
        <w:tc>
          <w:tcPr>
            <w:tcW w:w="240" w:type="dxa"/>
            <w:vAlign w:val="bottom"/>
            <w:tcBorders>
              <w:right w:val="single" w:sz="8" w:color="F0FFFF"/>
            </w:tcBorders>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tcBorders>
              <w:right w:val="single" w:sz="8" w:color="auto"/>
            </w:tcBorders>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F0FFFF"/>
          </w:tcPr>
          <w:p>
            <w:pPr>
              <w:spacing w:after="0"/>
              <w:rPr>
                <w:sz w:val="18"/>
                <w:szCs w:val="18"/>
                <w:color w:val="auto"/>
              </w:rPr>
            </w:pPr>
          </w:p>
        </w:tc>
        <w:tc>
          <w:tcPr>
            <w:tcW w:w="70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4,393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North Carolina</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4,746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690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5,436</w:t>
            </w: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5,221</w:t>
            </w:r>
          </w:p>
        </w:tc>
        <w:tc>
          <w:tcPr>
            <w:tcW w:w="26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5,455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5,314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5,929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F0FFFF"/>
          </w:tcPr>
          <w:p>
            <w:pPr>
              <w:spacing w:after="0"/>
              <w:rPr>
                <w:sz w:val="20"/>
                <w:szCs w:val="20"/>
                <w:color w:val="auto"/>
              </w:rPr>
            </w:pPr>
            <w:r>
              <w:rPr>
                <w:rFonts w:ascii="Arial" w:cs="Arial" w:eastAsia="Arial" w:hAnsi="Arial"/>
                <w:sz w:val="18"/>
                <w:szCs w:val="18"/>
                <w:color w:val="auto"/>
              </w:rPr>
              <w:t>Coastal Georgia</w:t>
            </w:r>
          </w:p>
        </w:tc>
        <w:tc>
          <w:tcPr>
            <w:tcW w:w="160" w:type="dxa"/>
            <w:vAlign w:val="bottom"/>
            <w:shd w:val="clear" w:color="auto" w:fill="F0FFFF"/>
          </w:tcPr>
          <w:p>
            <w:pPr>
              <w:spacing w:after="0"/>
              <w:rPr>
                <w:sz w:val="18"/>
                <w:szCs w:val="18"/>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659</w:t>
            </w:r>
          </w:p>
        </w:tc>
        <w:tc>
          <w:tcPr>
            <w:tcW w:w="24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20" w:type="dxa"/>
            <w:vAlign w:val="bottom"/>
            <w:tcBorders>
              <w:right w:val="single" w:sz="8" w:color="auto"/>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659</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799</w:t>
            </w:r>
          </w:p>
        </w:tc>
        <w:tc>
          <w:tcPr>
            <w:tcW w:w="260" w:type="dxa"/>
            <w:vAlign w:val="bottom"/>
            <w:shd w:val="clear" w:color="auto" w:fill="F0FFFF"/>
          </w:tcPr>
          <w:p>
            <w:pPr>
              <w:spacing w:after="0"/>
              <w:rPr>
                <w:sz w:val="18"/>
                <w:szCs w:val="18"/>
                <w:color w:val="auto"/>
              </w:rPr>
            </w:pPr>
          </w:p>
        </w:tc>
        <w:tc>
          <w:tcPr>
            <w:tcW w:w="900" w:type="dxa"/>
            <w:vAlign w:val="bottom"/>
            <w:tcBorders>
              <w:right w:val="single" w:sz="8" w:color="auto"/>
            </w:tcBorders>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F0FFFF"/>
          </w:tcPr>
          <w:p>
            <w:pPr>
              <w:spacing w:after="0"/>
              <w:rPr>
                <w:sz w:val="18"/>
                <w:szCs w:val="18"/>
                <w:color w:val="auto"/>
              </w:rPr>
            </w:pPr>
          </w:p>
        </w:tc>
        <w:tc>
          <w:tcPr>
            <w:tcW w:w="70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904</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tcBorders>
              <w:right w:val="single" w:sz="8" w:color="F0FFFF"/>
            </w:tcBorders>
            <w:gridSpan w:val="2"/>
            <w:shd w:val="clear" w:color="auto" w:fill="F0FFFF"/>
          </w:tcPr>
          <w:p>
            <w:pPr>
              <w:jc w:val="right"/>
              <w:ind w:right="150"/>
              <w:spacing w:after="0"/>
              <w:rPr>
                <w:sz w:val="20"/>
                <w:szCs w:val="20"/>
                <w:color w:val="auto"/>
              </w:rPr>
            </w:pPr>
            <w:r>
              <w:rPr>
                <w:rFonts w:ascii="Arial" w:cs="Arial" w:eastAsia="Arial" w:hAnsi="Arial"/>
                <w:sz w:val="18"/>
                <w:szCs w:val="18"/>
                <w:color w:val="auto"/>
              </w:rPr>
              <w:t>782</w:t>
            </w:r>
          </w:p>
        </w:tc>
        <w:tc>
          <w:tcPr>
            <w:tcW w:w="260" w:type="dxa"/>
            <w:vAlign w:val="bottom"/>
            <w:shd w:val="clear" w:color="auto" w:fill="F0FFFF"/>
          </w:tcPr>
          <w:p>
            <w:pPr>
              <w:spacing w:after="0"/>
              <w:rPr>
                <w:sz w:val="18"/>
                <w:szCs w:val="18"/>
                <w:color w:val="auto"/>
              </w:rPr>
            </w:pPr>
          </w:p>
        </w:tc>
        <w:tc>
          <w:tcPr>
            <w:tcW w:w="900" w:type="dxa"/>
            <w:vAlign w:val="bottom"/>
            <w:tcBorders>
              <w:right w:val="single" w:sz="8" w:color="auto"/>
            </w:tcBorders>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F0FFFF"/>
          </w:tcPr>
          <w:p>
            <w:pPr>
              <w:spacing w:after="0"/>
              <w:rPr>
                <w:sz w:val="18"/>
                <w:szCs w:val="18"/>
                <w:color w:val="auto"/>
              </w:rPr>
            </w:pPr>
          </w:p>
        </w:tc>
        <w:tc>
          <w:tcPr>
            <w:tcW w:w="70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Gainesville MSA</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886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1,310</w:t>
            </w:r>
          </w:p>
        </w:tc>
        <w:tc>
          <w:tcPr>
            <w:tcW w:w="26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1,391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rPr>
              <w:t>921</w:t>
            </w:r>
          </w:p>
        </w:tc>
        <w:tc>
          <w:tcPr>
            <w:tcW w:w="26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7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F0FFFF"/>
          </w:tcPr>
          <w:p>
            <w:pPr>
              <w:spacing w:after="0"/>
              <w:rPr>
                <w:sz w:val="20"/>
                <w:szCs w:val="20"/>
                <w:color w:val="auto"/>
              </w:rPr>
            </w:pPr>
            <w:r>
              <w:rPr>
                <w:rFonts w:ascii="Arial" w:cs="Arial" w:eastAsia="Arial" w:hAnsi="Arial"/>
                <w:sz w:val="18"/>
                <w:szCs w:val="18"/>
                <w:color w:val="auto"/>
              </w:rPr>
              <w:t>East Tennessee</w:t>
            </w:r>
          </w:p>
        </w:tc>
        <w:tc>
          <w:tcPr>
            <w:tcW w:w="160" w:type="dxa"/>
            <w:vAlign w:val="bottom"/>
            <w:shd w:val="clear" w:color="auto" w:fill="F0FFFF"/>
          </w:tcPr>
          <w:p>
            <w:pPr>
              <w:spacing w:after="0"/>
              <w:rPr>
                <w:sz w:val="18"/>
                <w:szCs w:val="18"/>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1,885</w:t>
            </w:r>
          </w:p>
        </w:tc>
        <w:tc>
          <w:tcPr>
            <w:tcW w:w="24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40" w:type="dxa"/>
            <w:vAlign w:val="bottom"/>
            <w:tcBorders>
              <w:right w:val="single" w:sz="8" w:color="auto"/>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852</w:t>
            </w: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5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2,737</w:t>
            </w:r>
          </w:p>
        </w:tc>
        <w:tc>
          <w:tcPr>
            <w:tcW w:w="20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1,414</w:t>
            </w:r>
          </w:p>
        </w:tc>
        <w:tc>
          <w:tcPr>
            <w:tcW w:w="260" w:type="dxa"/>
            <w:vAlign w:val="bottom"/>
            <w:shd w:val="clear" w:color="auto" w:fill="F0FFFF"/>
          </w:tcPr>
          <w:p>
            <w:pPr>
              <w:spacing w:after="0"/>
              <w:rPr>
                <w:sz w:val="18"/>
                <w:szCs w:val="18"/>
                <w:color w:val="auto"/>
              </w:rPr>
            </w:pPr>
          </w:p>
        </w:tc>
        <w:tc>
          <w:tcPr>
            <w:tcW w:w="900" w:type="dxa"/>
            <w:vAlign w:val="bottom"/>
            <w:tcBorders>
              <w:right w:val="single" w:sz="8" w:color="auto"/>
            </w:tcBorders>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F0FFFF"/>
          </w:tcPr>
          <w:p>
            <w:pPr>
              <w:spacing w:after="0"/>
              <w:rPr>
                <w:sz w:val="18"/>
                <w:szCs w:val="18"/>
                <w:color w:val="auto"/>
              </w:rPr>
            </w:pPr>
          </w:p>
        </w:tc>
        <w:tc>
          <w:tcPr>
            <w:tcW w:w="70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1,615</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1,218</w:t>
            </w:r>
          </w:p>
        </w:tc>
        <w:tc>
          <w:tcPr>
            <w:tcW w:w="240" w:type="dxa"/>
            <w:vAlign w:val="bottom"/>
            <w:tcBorders>
              <w:right w:val="single" w:sz="8" w:color="F0FFFF"/>
            </w:tcBorders>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tcBorders>
              <w:right w:val="single" w:sz="8" w:color="auto"/>
            </w:tcBorders>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F0FFFF"/>
          </w:tcPr>
          <w:p>
            <w:pPr>
              <w:spacing w:after="0"/>
              <w:rPr>
                <w:sz w:val="18"/>
                <w:szCs w:val="18"/>
                <w:color w:val="auto"/>
              </w:rPr>
            </w:pPr>
          </w:p>
        </w:tc>
        <w:tc>
          <w:tcPr>
            <w:tcW w:w="70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rPr>
              <w:t>South Carolina /</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80" w:type="dxa"/>
            <w:vAlign w:val="bottom"/>
            <w:gridSpan w:val="2"/>
          </w:tcPr>
          <w:p>
            <w:pPr>
              <w:spacing w:after="0"/>
              <w:rPr>
                <w:sz w:val="20"/>
                <w:szCs w:val="20"/>
                <w:color w:val="auto"/>
              </w:rPr>
            </w:pPr>
            <w:r>
              <w:rPr>
                <w:rFonts w:ascii="Arial" w:cs="Arial" w:eastAsia="Arial" w:hAnsi="Arial"/>
                <w:sz w:val="18"/>
                <w:szCs w:val="18"/>
                <w:color w:val="auto"/>
              </w:rPr>
              <w:t>Specialized Lending</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1,565</w:t>
            </w:r>
          </w:p>
        </w:tc>
        <w:tc>
          <w:tcPr>
            <w:tcW w:w="2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1,285</w:t>
            </w:r>
          </w:p>
        </w:tc>
        <w:tc>
          <w:tcPr>
            <w:tcW w:w="260" w:type="dxa"/>
            <w:vAlign w:val="bottom"/>
          </w:tcPr>
          <w:p>
            <w:pPr>
              <w:spacing w:after="0"/>
              <w:rPr>
                <w:sz w:val="20"/>
                <w:szCs w:val="20"/>
                <w:color w:val="auto"/>
              </w:rPr>
            </w:pPr>
          </w:p>
        </w:tc>
        <w:tc>
          <w:tcPr>
            <w:tcW w:w="9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7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1,307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F0FFFF"/>
          </w:tcPr>
          <w:p>
            <w:pPr>
              <w:spacing w:after="0"/>
              <w:rPr>
                <w:sz w:val="20"/>
                <w:szCs w:val="20"/>
                <w:color w:val="auto"/>
              </w:rPr>
            </w:pPr>
            <w:r>
              <w:rPr>
                <w:rFonts w:ascii="Arial" w:cs="Arial" w:eastAsia="Arial" w:hAnsi="Arial"/>
                <w:sz w:val="18"/>
                <w:szCs w:val="18"/>
                <w:color w:val="auto"/>
              </w:rPr>
              <w:t>Indirect auto</w:t>
            </w:r>
          </w:p>
        </w:tc>
        <w:tc>
          <w:tcPr>
            <w:tcW w:w="160" w:type="dxa"/>
            <w:vAlign w:val="bottom"/>
            <w:shd w:val="clear" w:color="auto" w:fill="F0FFFF"/>
          </w:tcPr>
          <w:p>
            <w:pPr>
              <w:spacing w:after="0"/>
              <w:rPr>
                <w:sz w:val="18"/>
                <w:szCs w:val="18"/>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568</w:t>
            </w:r>
          </w:p>
        </w:tc>
        <w:tc>
          <w:tcPr>
            <w:tcW w:w="24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720" w:type="dxa"/>
            <w:vAlign w:val="bottom"/>
            <w:tcBorders>
              <w:right w:val="single" w:sz="8" w:color="auto"/>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568</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346</w:t>
            </w:r>
          </w:p>
        </w:tc>
        <w:tc>
          <w:tcPr>
            <w:tcW w:w="260" w:type="dxa"/>
            <w:vAlign w:val="bottom"/>
            <w:shd w:val="clear" w:color="auto" w:fill="F0FFFF"/>
          </w:tcPr>
          <w:p>
            <w:pPr>
              <w:spacing w:after="0"/>
              <w:rPr>
                <w:sz w:val="18"/>
                <w:szCs w:val="18"/>
                <w:color w:val="auto"/>
              </w:rPr>
            </w:pPr>
          </w:p>
        </w:tc>
        <w:tc>
          <w:tcPr>
            <w:tcW w:w="900" w:type="dxa"/>
            <w:vAlign w:val="bottom"/>
            <w:tcBorders>
              <w:right w:val="single" w:sz="8" w:color="auto"/>
            </w:tcBorders>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70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346</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tcBorders>
              <w:right w:val="single" w:sz="8" w:color="F0FFFF"/>
            </w:tcBorders>
            <w:gridSpan w:val="2"/>
            <w:shd w:val="clear" w:color="auto" w:fill="F0FFFF"/>
          </w:tcPr>
          <w:p>
            <w:pPr>
              <w:jc w:val="right"/>
              <w:ind w:right="150"/>
              <w:spacing w:after="0"/>
              <w:rPr>
                <w:sz w:val="20"/>
                <w:szCs w:val="20"/>
                <w:color w:val="auto"/>
              </w:rPr>
            </w:pPr>
            <w:r>
              <w:rPr>
                <w:rFonts w:ascii="Arial" w:cs="Arial" w:eastAsia="Arial" w:hAnsi="Arial"/>
                <w:sz w:val="18"/>
                <w:szCs w:val="18"/>
                <w:color w:val="auto"/>
              </w:rPr>
              <w:t>390</w:t>
            </w:r>
          </w:p>
        </w:tc>
        <w:tc>
          <w:tcPr>
            <w:tcW w:w="260" w:type="dxa"/>
            <w:vAlign w:val="bottom"/>
            <w:shd w:val="clear" w:color="auto" w:fill="F0FFFF"/>
          </w:tcPr>
          <w:p>
            <w:pPr>
              <w:spacing w:after="0"/>
              <w:rPr>
                <w:sz w:val="18"/>
                <w:szCs w:val="18"/>
                <w:color w:val="auto"/>
              </w:rPr>
            </w:pPr>
          </w:p>
        </w:tc>
        <w:tc>
          <w:tcPr>
            <w:tcW w:w="900" w:type="dxa"/>
            <w:vAlign w:val="bottom"/>
            <w:tcBorders>
              <w:right w:val="single" w:sz="8" w:color="auto"/>
            </w:tcBorders>
            <w:gridSpan w:val="2"/>
            <w:shd w:val="clear" w:color="auto" w:fill="F0FF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70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6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ind w:left="200"/>
              <w:spacing w:after="0"/>
              <w:rPr>
                <w:sz w:val="20"/>
                <w:szCs w:val="20"/>
                <w:color w:val="auto"/>
              </w:rPr>
            </w:pPr>
            <w:r>
              <w:rPr>
                <w:rFonts w:ascii="Arial" w:cs="Arial" w:eastAsia="Arial" w:hAnsi="Arial"/>
                <w:sz w:val="18"/>
                <w:szCs w:val="18"/>
                <w:b w:val="1"/>
                <w:bCs w:val="1"/>
                <w:color w:val="auto"/>
              </w:rPr>
              <w:t>Total NPAs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18,805</w:t>
            </w:r>
          </w:p>
        </w:tc>
        <w:tc>
          <w:tcPr>
            <w:tcW w:w="2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2,356</w:t>
            </w: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0"/>
              </w:rPr>
              <w:t>21,161</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17,881</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1,726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90"/>
              </w:rPr>
              <w:t>19,607</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rPr>
              <w:t>20,724</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2,969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90"/>
              </w:rPr>
              <w:t>23,693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June 30, 2015, December 31, 2014, and June 30, 2014, United had $89.9 million, $85.1 million and $91.0 million, respectively, in loans with terms that have been modified in TDRs. Included therein were $3.83 million, $3.78 million and $6.23 million, respectively, of TDRs that were not performing in accordance with their modified terms and were included in nonperforming loans. The remaining TDRs with an aggregate balance of $86.1 million, $81.3 million and $84.8 million, respectively, were performing according to their modified terms and are therefore not considered to be nonperforming assets.</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At June 30, 2015, December 31, 2014 and June 30, 2014, there were $106 million, $106 million and $107 million, respectively, of loans classified as impaired under the definition outlined in the Accounting Standards Codification, including TDRs which are by definition considered impaired. Included in impaired loans at June 30, 2015, December 31, 2014 and June 30, 2014 was $28.7 million, $25.5 million and $35.0 million, respectively, that did not require specific reserves or had previously been charged down to net realizable value. The balance of impaired loans at June 30, 2015, December 31, 2014 and June 30, 2014 of $77.7 million, $81.0 million and $72.5 million, respectively, had specific reserves that totaled $6.69 million, $9.88 million and $9.02 million, respectively. The average recorded investment in impaired loans for the second quarters of 2015 and 2014 was $107 million and $108 million, respectively. For the six months ended June 30, 2015 and 2014, the average recorded investment in impaired loans was $108 million and $108 million, respectively. For the three and six months ended June 30, 2015, United recognized $1.24 million and $2.47 million, respectively, in interest revenue on impaired loans compared to $1.28 million and $2.50 million, respectively, for the same periods of the prior year. United’s policy is to discontinue the recognition of interest revenue for loans classified as impaired under ASC 310-10-35, </w:t>
      </w:r>
      <w:r>
        <w:rPr>
          <w:rFonts w:ascii="Arial" w:cs="Arial" w:eastAsia="Arial" w:hAnsi="Arial"/>
          <w:sz w:val="16"/>
          <w:szCs w:val="16"/>
          <w:i w:val="1"/>
          <w:iCs w:val="1"/>
          <w:color w:val="auto"/>
        </w:rPr>
        <w:t>Receivables,</w:t>
      </w:r>
      <w:r>
        <w:rPr>
          <w:rFonts w:ascii="Arial" w:cs="Arial" w:eastAsia="Arial" w:hAnsi="Arial"/>
          <w:sz w:val="16"/>
          <w:szCs w:val="16"/>
          <w:color w:val="auto"/>
        </w:rPr>
        <w:t xml:space="preserve"> when a loan meets the criteria for nonaccrual status.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The table below summarizes activity in nonperforming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14605</wp:posOffset>
            </wp:positionV>
            <wp:extent cx="360045" cy="28644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0045" cy="2864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368935" cy="45021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8935" cy="450215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ind w:left="600"/>
              <w:spacing w:after="0"/>
              <w:rPr>
                <w:sz w:val="20"/>
                <w:szCs w:val="20"/>
                <w:color w:val="auto"/>
              </w:rPr>
            </w:pPr>
            <w:r>
              <w:rPr>
                <w:rFonts w:ascii="Arial" w:cs="Arial" w:eastAsia="Arial" w:hAnsi="Arial"/>
                <w:sz w:val="18"/>
                <w:szCs w:val="18"/>
                <w:b w:val="1"/>
                <w:bCs w:val="1"/>
                <w:color w:val="auto"/>
                <w:w w:val="94"/>
              </w:rPr>
              <w:t>Table 12 - Activity in Nonperforming Assets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60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2300" w:type="dxa"/>
            <w:vAlign w:val="bottom"/>
            <w:gridSpan w:val="6"/>
            <w:vMerge w:val="restart"/>
          </w:tcPr>
          <w:p>
            <w:pPr>
              <w:jc w:val="center"/>
              <w:ind w:left="510"/>
              <w:spacing w:after="0"/>
              <w:rPr>
                <w:sz w:val="20"/>
                <w:szCs w:val="20"/>
                <w:color w:val="auto"/>
              </w:rPr>
            </w:pPr>
            <w:r>
              <w:rPr>
                <w:rFonts w:ascii="Arial" w:cs="Arial" w:eastAsia="Arial" w:hAnsi="Arial"/>
                <w:sz w:val="18"/>
                <w:szCs w:val="18"/>
                <w:b w:val="1"/>
                <w:bCs w:val="1"/>
                <w:color w:val="auto"/>
                <w:w w:val="89"/>
              </w:rPr>
              <w:t>Second Quarter 2015</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6"/>
            <w:vMerge w:val="restart"/>
          </w:tcPr>
          <w:p>
            <w:pPr>
              <w:ind w:left="640"/>
              <w:spacing w:after="0"/>
              <w:rPr>
                <w:sz w:val="20"/>
                <w:szCs w:val="20"/>
                <w:color w:val="auto"/>
              </w:rPr>
            </w:pPr>
            <w:r>
              <w:rPr>
                <w:rFonts w:ascii="Arial" w:cs="Arial" w:eastAsia="Arial" w:hAnsi="Arial"/>
                <w:sz w:val="18"/>
                <w:szCs w:val="18"/>
                <w:b w:val="1"/>
                <w:bCs w:val="1"/>
                <w:color w:val="auto"/>
                <w:w w:val="89"/>
              </w:rPr>
              <w:t>Second Quarter 2014</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140" w:type="dxa"/>
            <w:vAlign w:val="bottom"/>
          </w:tcPr>
          <w:p>
            <w:pPr>
              <w:spacing w:after="0"/>
              <w:rPr>
                <w:sz w:val="19"/>
                <w:szCs w:val="19"/>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Nonaccrual</w:t>
            </w:r>
          </w:p>
        </w:tc>
        <w:tc>
          <w:tcPr>
            <w:tcW w:w="11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Foreclosed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Nonaccrual</w:t>
            </w:r>
          </w:p>
        </w:tc>
        <w:tc>
          <w:tcPr>
            <w:tcW w:w="11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Foreclosed</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Loans</w:t>
            </w:r>
          </w:p>
        </w:tc>
        <w:tc>
          <w:tcPr>
            <w:tcW w:w="100" w:type="dxa"/>
            <w:vAlign w:val="bottom"/>
          </w:tcPr>
          <w:p>
            <w:pPr>
              <w:spacing w:after="0"/>
              <w:rPr>
                <w:sz w:val="20"/>
                <w:szCs w:val="20"/>
                <w:color w:val="auto"/>
              </w:rPr>
            </w:pPr>
          </w:p>
        </w:tc>
        <w:tc>
          <w:tcPr>
            <w:tcW w:w="10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Properties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NPAs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Loans</w:t>
            </w:r>
          </w:p>
        </w:tc>
        <w:tc>
          <w:tcPr>
            <w:tcW w:w="120" w:type="dxa"/>
            <w:vAlign w:val="bottom"/>
          </w:tcPr>
          <w:p>
            <w:pPr>
              <w:spacing w:after="0"/>
              <w:rPr>
                <w:sz w:val="20"/>
                <w:szCs w:val="20"/>
                <w:color w:val="auto"/>
              </w:rPr>
            </w:pPr>
          </w:p>
        </w:tc>
        <w:tc>
          <w:tcPr>
            <w:tcW w:w="104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Properties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NPAs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40" w:type="dxa"/>
            <w:vAlign w:val="bottom"/>
            <w:tcBorders>
              <w:top w:val="single" w:sz="8" w:color="F0FFFF"/>
            </w:tcBorders>
            <w:shd w:val="clear" w:color="auto" w:fill="F0FFFF"/>
          </w:tcPr>
          <w:p>
            <w:pPr>
              <w:ind w:left="600"/>
              <w:spacing w:after="0"/>
              <w:rPr>
                <w:sz w:val="20"/>
                <w:szCs w:val="20"/>
                <w:color w:val="auto"/>
              </w:rPr>
            </w:pPr>
            <w:r>
              <w:rPr>
                <w:rFonts w:ascii="Arial" w:cs="Arial" w:eastAsia="Arial" w:hAnsi="Arial"/>
                <w:sz w:val="18"/>
                <w:szCs w:val="18"/>
                <w:b w:val="1"/>
                <w:bCs w:val="1"/>
                <w:color w:val="auto"/>
              </w:rPr>
              <w:t>Beginning Balance</w:t>
            </w:r>
          </w:p>
        </w:tc>
        <w:tc>
          <w:tcPr>
            <w:tcW w:w="200" w:type="dxa"/>
            <w:vAlign w:val="bottom"/>
            <w:tcBorders>
              <w:top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19,015</w:t>
            </w:r>
          </w:p>
        </w:tc>
        <w:tc>
          <w:tcPr>
            <w:tcW w:w="220" w:type="dxa"/>
            <w:vAlign w:val="bottom"/>
            <w:tcBorders>
              <w:top w:val="single" w:sz="8" w:color="F0FFFF"/>
            </w:tcBorders>
            <w:shd w:val="clear" w:color="auto" w:fill="F0FFFF"/>
          </w:tcPr>
          <w:p>
            <w:pPr>
              <w:spacing w:after="0"/>
              <w:rPr>
                <w:sz w:val="19"/>
                <w:szCs w:val="19"/>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1,158</w:t>
            </w:r>
          </w:p>
        </w:tc>
        <w:tc>
          <w:tcPr>
            <w:tcW w:w="120" w:type="dxa"/>
            <w:vAlign w:val="bottom"/>
            <w:tcBorders>
              <w:top w:val="single" w:sz="8" w:color="F0FFFF"/>
              <w:right w:val="single" w:sz="8" w:color="auto"/>
            </w:tcBorders>
            <w:shd w:val="clear" w:color="auto" w:fill="F0FFFF"/>
          </w:tcPr>
          <w:p>
            <w:pPr>
              <w:spacing w:after="0"/>
              <w:rPr>
                <w:sz w:val="19"/>
                <w:szCs w:val="19"/>
                <w:color w:val="auto"/>
              </w:rPr>
            </w:pPr>
          </w:p>
        </w:tc>
        <w:tc>
          <w:tcPr>
            <w:tcW w:w="100" w:type="dxa"/>
            <w:vAlign w:val="bottom"/>
            <w:tcBorders>
              <w:top w:val="single" w:sz="8" w:color="F0FFFF"/>
            </w:tcBorders>
            <w:shd w:val="clear" w:color="auto" w:fill="F0FFFF"/>
          </w:tcPr>
          <w:p>
            <w:pPr>
              <w:spacing w:after="0"/>
              <w:rPr>
                <w:sz w:val="19"/>
                <w:szCs w:val="19"/>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8"/>
              </w:rPr>
              <w:t>20,173</w:t>
            </w:r>
          </w:p>
        </w:tc>
        <w:tc>
          <w:tcPr>
            <w:tcW w:w="120" w:type="dxa"/>
            <w:vAlign w:val="bottom"/>
            <w:tcBorders>
              <w:top w:val="single" w:sz="8" w:color="F0FFFF"/>
              <w:right w:val="single" w:sz="8" w:color="auto"/>
            </w:tcBorders>
            <w:shd w:val="clear" w:color="auto" w:fill="F0FFFF"/>
          </w:tcPr>
          <w:p>
            <w:pPr>
              <w:spacing w:after="0"/>
              <w:rPr>
                <w:sz w:val="19"/>
                <w:szCs w:val="19"/>
                <w:color w:val="auto"/>
              </w:rPr>
            </w:pPr>
          </w:p>
        </w:tc>
        <w:tc>
          <w:tcPr>
            <w:tcW w:w="100" w:type="dxa"/>
            <w:vAlign w:val="bottom"/>
            <w:tcBorders>
              <w:top w:val="single" w:sz="8" w:color="F0FFFF"/>
            </w:tcBorders>
            <w:shd w:val="clear" w:color="auto" w:fill="F0FFFF"/>
          </w:tcPr>
          <w:p>
            <w:pPr>
              <w:spacing w:after="0"/>
              <w:rPr>
                <w:sz w:val="19"/>
                <w:szCs w:val="19"/>
                <w:color w:val="auto"/>
              </w:rPr>
            </w:pPr>
          </w:p>
        </w:tc>
        <w:tc>
          <w:tcPr>
            <w:tcW w:w="200" w:type="dxa"/>
            <w:vAlign w:val="bottom"/>
            <w:tcBorders>
              <w:top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25,250</w:t>
            </w:r>
          </w:p>
        </w:tc>
        <w:tc>
          <w:tcPr>
            <w:tcW w:w="200" w:type="dxa"/>
            <w:vAlign w:val="bottom"/>
            <w:tcBorders>
              <w:top w:val="single" w:sz="8" w:color="F0FFFF"/>
            </w:tcBorders>
            <w:shd w:val="clear" w:color="auto" w:fill="F0FFFF"/>
          </w:tcPr>
          <w:p>
            <w:pPr>
              <w:spacing w:after="0"/>
              <w:rPr>
                <w:sz w:val="19"/>
                <w:szCs w:val="19"/>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5,594</w:t>
            </w:r>
          </w:p>
        </w:tc>
        <w:tc>
          <w:tcPr>
            <w:tcW w:w="120" w:type="dxa"/>
            <w:vAlign w:val="bottom"/>
            <w:tcBorders>
              <w:top w:val="single" w:sz="8" w:color="F0FFFF"/>
              <w:right w:val="single" w:sz="8" w:color="auto"/>
            </w:tcBorders>
            <w:shd w:val="clear" w:color="auto" w:fill="F0FFFF"/>
          </w:tcPr>
          <w:p>
            <w:pPr>
              <w:spacing w:after="0"/>
              <w:rPr>
                <w:sz w:val="19"/>
                <w:szCs w:val="19"/>
                <w:color w:val="auto"/>
              </w:rPr>
            </w:pPr>
          </w:p>
        </w:tc>
        <w:tc>
          <w:tcPr>
            <w:tcW w:w="80" w:type="dxa"/>
            <w:vAlign w:val="bottom"/>
            <w:tcBorders>
              <w:top w:val="single" w:sz="8" w:color="F0FFFF"/>
            </w:tcBorders>
            <w:shd w:val="clear" w:color="auto" w:fill="F0FFFF"/>
          </w:tcPr>
          <w:p>
            <w:pPr>
              <w:spacing w:after="0"/>
              <w:rPr>
                <w:sz w:val="19"/>
                <w:szCs w:val="19"/>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30,844</w:t>
            </w:r>
          </w:p>
        </w:tc>
        <w:tc>
          <w:tcPr>
            <w:tcW w:w="120" w:type="dxa"/>
            <w:vAlign w:val="bottom"/>
            <w:tcBorders>
              <w:top w:val="single" w:sz="8" w:color="F0FFFF"/>
              <w:right w:val="single" w:sz="8" w:color="auto"/>
            </w:tcBorders>
            <w:shd w:val="clear" w:color="auto" w:fill="F0FFFF"/>
          </w:tcPr>
          <w:p>
            <w:pPr>
              <w:spacing w:after="0"/>
              <w:rPr>
                <w:sz w:val="19"/>
                <w:szCs w:val="19"/>
                <w:color w:val="auto"/>
              </w:rPr>
            </w:pPr>
          </w:p>
        </w:tc>
        <w:tc>
          <w:tcPr>
            <w:tcW w:w="560" w:type="dxa"/>
            <w:vAlign w:val="bottom"/>
            <w:tcBorders>
              <w:top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600"/>
              <w:spacing w:after="0"/>
              <w:rPr>
                <w:sz w:val="20"/>
                <w:szCs w:val="20"/>
                <w:color w:val="auto"/>
              </w:rPr>
            </w:pPr>
            <w:r>
              <w:rPr>
                <w:rFonts w:ascii="Arial" w:cs="Arial" w:eastAsia="Arial" w:hAnsi="Arial"/>
                <w:sz w:val="18"/>
                <w:szCs w:val="18"/>
                <w:color w:val="auto"/>
              </w:rPr>
              <w:t>Acquisitions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F0FFFF"/>
          </w:tcPr>
          <w:p>
            <w:pPr>
              <w:ind w:left="600"/>
              <w:spacing w:after="0"/>
              <w:rPr>
                <w:sz w:val="20"/>
                <w:szCs w:val="20"/>
                <w:color w:val="auto"/>
              </w:rPr>
            </w:pPr>
            <w:r>
              <w:rPr>
                <w:rFonts w:ascii="Arial" w:cs="Arial" w:eastAsia="Arial" w:hAnsi="Arial"/>
                <w:sz w:val="18"/>
                <w:szCs w:val="18"/>
                <w:color w:val="auto"/>
              </w:rPr>
              <w:t>Loans placed on non-accrual</w:t>
            </w:r>
          </w:p>
        </w:tc>
        <w:tc>
          <w:tcPr>
            <w:tcW w:w="200" w:type="dxa"/>
            <w:vAlign w:val="bottom"/>
            <w:shd w:val="clear" w:color="auto" w:fill="F0FFFF"/>
          </w:tcPr>
          <w:p>
            <w:pPr>
              <w:spacing w:after="0"/>
              <w:rPr>
                <w:sz w:val="19"/>
                <w:szCs w:val="19"/>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6,552</w:t>
            </w:r>
          </w:p>
        </w:tc>
        <w:tc>
          <w:tcPr>
            <w:tcW w:w="2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6,552</w:t>
            </w:r>
          </w:p>
        </w:tc>
        <w:tc>
          <w:tcPr>
            <w:tcW w:w="120" w:type="dxa"/>
            <w:vAlign w:val="bottom"/>
            <w:tcBorders>
              <w:right w:val="single" w:sz="8" w:color="auto"/>
            </w:tcBorders>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9,529</w:t>
            </w:r>
          </w:p>
        </w:tc>
        <w:tc>
          <w:tcPr>
            <w:tcW w:w="2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9,529</w:t>
            </w:r>
          </w:p>
        </w:tc>
        <w:tc>
          <w:tcPr>
            <w:tcW w:w="120" w:type="dxa"/>
            <w:vAlign w:val="bottom"/>
            <w:tcBorders>
              <w:right w:val="single" w:sz="8" w:color="auto"/>
            </w:tcBorders>
            <w:shd w:val="clear" w:color="auto" w:fill="F0FFFF"/>
          </w:tcPr>
          <w:p>
            <w:pPr>
              <w:spacing w:after="0"/>
              <w:rPr>
                <w:sz w:val="19"/>
                <w:szCs w:val="19"/>
                <w:color w:val="auto"/>
              </w:rPr>
            </w:pPr>
          </w:p>
        </w:tc>
        <w:tc>
          <w:tcPr>
            <w:tcW w:w="56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600"/>
              <w:spacing w:after="0"/>
              <w:rPr>
                <w:sz w:val="20"/>
                <w:szCs w:val="20"/>
                <w:color w:val="auto"/>
              </w:rPr>
            </w:pPr>
            <w:r>
              <w:rPr>
                <w:rFonts w:ascii="Arial" w:cs="Arial" w:eastAsia="Arial" w:hAnsi="Arial"/>
                <w:sz w:val="18"/>
                <w:szCs w:val="18"/>
                <w:color w:val="auto"/>
              </w:rPr>
              <w:t>Payments received</w:t>
            </w:r>
          </w:p>
        </w:tc>
        <w:tc>
          <w:tcPr>
            <w:tcW w:w="2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(3,839 )</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(3,839 )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(4,027 )</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(4,027 )</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F0FFFF"/>
          </w:tcPr>
          <w:p>
            <w:pPr>
              <w:ind w:left="600"/>
              <w:spacing w:after="0"/>
              <w:rPr>
                <w:sz w:val="20"/>
                <w:szCs w:val="20"/>
                <w:color w:val="auto"/>
              </w:rPr>
            </w:pPr>
            <w:r>
              <w:rPr>
                <w:rFonts w:ascii="Arial" w:cs="Arial" w:eastAsia="Arial" w:hAnsi="Arial"/>
                <w:sz w:val="18"/>
                <w:szCs w:val="18"/>
                <w:color w:val="auto"/>
              </w:rPr>
              <w:t>Loan charge-offs</w:t>
            </w:r>
          </w:p>
        </w:tc>
        <w:tc>
          <w:tcPr>
            <w:tcW w:w="200" w:type="dxa"/>
            <w:vAlign w:val="bottom"/>
            <w:shd w:val="clear" w:color="auto" w:fill="F0FFFF"/>
          </w:tcPr>
          <w:p>
            <w:pPr>
              <w:spacing w:after="0"/>
              <w:rPr>
                <w:sz w:val="19"/>
                <w:szCs w:val="19"/>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(1,854 )</w:t>
            </w:r>
          </w:p>
        </w:tc>
        <w:tc>
          <w:tcPr>
            <w:tcW w:w="100" w:type="dxa"/>
            <w:vAlign w:val="bottom"/>
            <w:shd w:val="clear" w:color="auto" w:fill="F0FFFF"/>
          </w:tcPr>
          <w:p>
            <w:pPr>
              <w:spacing w:after="0"/>
              <w:rPr>
                <w:sz w:val="19"/>
                <w:szCs w:val="19"/>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680" w:type="dxa"/>
            <w:vAlign w:val="bottom"/>
            <w:tcBorders>
              <w:right w:val="single" w:sz="8" w:color="auto"/>
            </w:tcBorders>
            <w:gridSpan w:val="2"/>
            <w:shd w:val="clear" w:color="auto" w:fill="F0FFFF"/>
          </w:tcPr>
          <w:p>
            <w:pPr>
              <w:jc w:val="right"/>
              <w:ind w:right="40"/>
              <w:spacing w:after="0"/>
              <w:rPr>
                <w:sz w:val="20"/>
                <w:szCs w:val="20"/>
                <w:color w:val="auto"/>
              </w:rPr>
            </w:pPr>
            <w:r>
              <w:rPr>
                <w:rFonts w:ascii="Arial" w:cs="Arial" w:eastAsia="Arial" w:hAnsi="Arial"/>
                <w:sz w:val="18"/>
                <w:szCs w:val="18"/>
                <w:color w:val="auto"/>
                <w:w w:val="99"/>
              </w:rPr>
              <w:t>(1,854 )</w:t>
            </w:r>
          </w:p>
        </w:tc>
        <w:tc>
          <w:tcPr>
            <w:tcW w:w="10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(8,341 )</w:t>
            </w:r>
          </w:p>
        </w:tc>
        <w:tc>
          <w:tcPr>
            <w:tcW w:w="120" w:type="dxa"/>
            <w:vAlign w:val="bottom"/>
            <w:shd w:val="clear" w:color="auto" w:fill="F0FFFF"/>
          </w:tcPr>
          <w:p>
            <w:pPr>
              <w:spacing w:after="0"/>
              <w:rPr>
                <w:sz w:val="19"/>
                <w:szCs w:val="19"/>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700" w:type="dxa"/>
            <w:vAlign w:val="bottom"/>
            <w:tcBorders>
              <w:right w:val="single" w:sz="8" w:color="auto"/>
            </w:tcBorders>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(8,341 )</w:t>
            </w:r>
          </w:p>
        </w:tc>
        <w:tc>
          <w:tcPr>
            <w:tcW w:w="56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600"/>
              <w:spacing w:after="0"/>
              <w:rPr>
                <w:sz w:val="20"/>
                <w:szCs w:val="20"/>
                <w:color w:val="auto"/>
              </w:rPr>
            </w:pPr>
            <w:r>
              <w:rPr>
                <w:rFonts w:ascii="Arial" w:cs="Arial" w:eastAsia="Arial" w:hAnsi="Arial"/>
                <w:sz w:val="18"/>
                <w:szCs w:val="18"/>
                <w:color w:val="auto"/>
              </w:rPr>
              <w:t>Foreclosures</w:t>
            </w:r>
          </w:p>
        </w:tc>
        <w:tc>
          <w:tcPr>
            <w:tcW w:w="2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(1,069 )</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(1,687 )</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1,687</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F0FFFF"/>
          </w:tcPr>
          <w:p>
            <w:pPr>
              <w:ind w:left="600"/>
              <w:spacing w:after="0"/>
              <w:rPr>
                <w:sz w:val="20"/>
                <w:szCs w:val="20"/>
                <w:color w:val="auto"/>
              </w:rPr>
            </w:pPr>
            <w:r>
              <w:rPr>
                <w:rFonts w:ascii="Arial" w:cs="Arial" w:eastAsia="Arial" w:hAnsi="Arial"/>
                <w:sz w:val="18"/>
                <w:szCs w:val="18"/>
                <w:color w:val="auto"/>
              </w:rPr>
              <w:t>Property sales</w:t>
            </w:r>
          </w:p>
        </w:tc>
        <w:tc>
          <w:tcPr>
            <w:tcW w:w="200" w:type="dxa"/>
            <w:vAlign w:val="bottom"/>
            <w:shd w:val="clear" w:color="auto" w:fill="F0FFFF"/>
          </w:tcPr>
          <w:p>
            <w:pPr>
              <w:spacing w:after="0"/>
              <w:rPr>
                <w:sz w:val="19"/>
                <w:szCs w:val="19"/>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040" w:type="dxa"/>
            <w:vAlign w:val="bottom"/>
            <w:tcBorders>
              <w:right w:val="single" w:sz="8" w:color="auto"/>
            </w:tcBorders>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(895 )</w:t>
            </w: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680" w:type="dxa"/>
            <w:vAlign w:val="bottom"/>
            <w:tcBorders>
              <w:right w:val="single" w:sz="8" w:color="auto"/>
            </w:tcBorders>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(895 )</w:t>
            </w:r>
          </w:p>
        </w:tc>
        <w:tc>
          <w:tcPr>
            <w:tcW w:w="10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040" w:type="dxa"/>
            <w:vAlign w:val="bottom"/>
            <w:tcBorders>
              <w:right w:val="single" w:sz="8" w:color="auto"/>
            </w:tcBorders>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(4,430 )</w:t>
            </w:r>
          </w:p>
        </w:tc>
        <w:tc>
          <w:tcPr>
            <w:tcW w:w="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700" w:type="dxa"/>
            <w:vAlign w:val="bottom"/>
            <w:tcBorders>
              <w:right w:val="single" w:sz="8" w:color="auto"/>
            </w:tcBorders>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(4,430 )</w:t>
            </w:r>
          </w:p>
        </w:tc>
        <w:tc>
          <w:tcPr>
            <w:tcW w:w="56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600"/>
              <w:spacing w:after="0"/>
              <w:rPr>
                <w:sz w:val="20"/>
                <w:szCs w:val="20"/>
                <w:color w:val="auto"/>
              </w:rPr>
            </w:pPr>
            <w:r>
              <w:rPr>
                <w:rFonts w:ascii="Arial" w:cs="Arial" w:eastAsia="Arial" w:hAnsi="Arial"/>
                <w:sz w:val="18"/>
                <w:szCs w:val="18"/>
                <w:color w:val="auto"/>
              </w:rPr>
              <w:t>Write downs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(305 )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(305 )</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40" w:type="dxa"/>
            <w:vAlign w:val="bottom"/>
            <w:tcBorders>
              <w:bottom w:val="single" w:sz="8" w:color="F0FFFF"/>
            </w:tcBorders>
            <w:shd w:val="clear" w:color="auto" w:fill="F0FFFF"/>
          </w:tcPr>
          <w:p>
            <w:pPr>
              <w:ind w:left="600"/>
              <w:spacing w:after="0"/>
              <w:rPr>
                <w:sz w:val="20"/>
                <w:szCs w:val="20"/>
                <w:color w:val="auto"/>
              </w:rPr>
            </w:pPr>
            <w:r>
              <w:rPr>
                <w:rFonts w:ascii="Arial" w:cs="Arial" w:eastAsia="Arial" w:hAnsi="Arial"/>
                <w:sz w:val="18"/>
                <w:szCs w:val="18"/>
                <w:color w:val="auto"/>
              </w:rPr>
              <w:t>Net gains on sales</w:t>
            </w:r>
          </w:p>
        </w:tc>
        <w:tc>
          <w:tcPr>
            <w:tcW w:w="200" w:type="dxa"/>
            <w:vAlign w:val="bottom"/>
            <w:tcBorders>
              <w:bottom w:val="single" w:sz="8" w:color="auto"/>
            </w:tcBorders>
            <w:shd w:val="clear" w:color="auto" w:fill="F0FFFF"/>
          </w:tcPr>
          <w:p>
            <w:pPr>
              <w:spacing w:after="0"/>
              <w:rPr>
                <w:sz w:val="21"/>
                <w:szCs w:val="21"/>
                <w:color w:val="auto"/>
              </w:rPr>
            </w:pP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spacing w:after="0"/>
              <w:rPr>
                <w:sz w:val="21"/>
                <w:szCs w:val="21"/>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F0FFFF"/>
              <w:right w:val="single" w:sz="8" w:color="auto"/>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spacing w:after="0"/>
              <w:rPr>
                <w:sz w:val="21"/>
                <w:szCs w:val="21"/>
                <w:color w:val="auto"/>
              </w:rPr>
            </w:pPr>
          </w:p>
        </w:tc>
        <w:tc>
          <w:tcPr>
            <w:tcW w:w="5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F0FFFF"/>
              <w:right w:val="single" w:sz="8" w:color="auto"/>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auto"/>
            </w:tcBorders>
            <w:shd w:val="clear" w:color="auto" w:fill="F0FFFF"/>
          </w:tcPr>
          <w:p>
            <w:pPr>
              <w:spacing w:after="0"/>
              <w:rPr>
                <w:sz w:val="21"/>
                <w:szCs w:val="21"/>
                <w:color w:val="auto"/>
              </w:rPr>
            </w:pP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auto"/>
            </w:tcBorders>
            <w:shd w:val="clear" w:color="auto" w:fill="F0FFFF"/>
          </w:tcPr>
          <w:p>
            <w:pPr>
              <w:spacing w:after="0"/>
              <w:rPr>
                <w:sz w:val="21"/>
                <w:szCs w:val="21"/>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F0FFFF"/>
              <w:right w:val="single" w:sz="8" w:color="auto"/>
            </w:tcBorders>
            <w:shd w:val="clear" w:color="auto" w:fill="F0FFFF"/>
          </w:tcPr>
          <w:p>
            <w:pPr>
              <w:spacing w:after="0"/>
              <w:rPr>
                <w:sz w:val="21"/>
                <w:szCs w:val="21"/>
                <w:color w:val="auto"/>
              </w:rPr>
            </w:pPr>
          </w:p>
        </w:tc>
        <w:tc>
          <w:tcPr>
            <w:tcW w:w="8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spacing w:after="0"/>
              <w:rPr>
                <w:sz w:val="21"/>
                <w:szCs w:val="21"/>
                <w:color w:val="auto"/>
              </w:rPr>
            </w:pPr>
          </w:p>
        </w:tc>
        <w:tc>
          <w:tcPr>
            <w:tcW w:w="5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F0FFFF"/>
              <w:right w:val="single" w:sz="8" w:color="auto"/>
            </w:tcBorders>
            <w:shd w:val="clear" w:color="auto" w:fill="F0FFFF"/>
          </w:tcPr>
          <w:p>
            <w:pPr>
              <w:spacing w:after="0"/>
              <w:rPr>
                <w:sz w:val="21"/>
                <w:szCs w:val="21"/>
                <w:color w:val="auto"/>
              </w:rPr>
            </w:pPr>
          </w:p>
        </w:tc>
        <w:tc>
          <w:tcPr>
            <w:tcW w:w="56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140" w:type="dxa"/>
            <w:vAlign w:val="bottom"/>
          </w:tcPr>
          <w:p>
            <w:pPr>
              <w:ind w:left="780"/>
              <w:spacing w:after="0"/>
              <w:rPr>
                <w:sz w:val="20"/>
                <w:szCs w:val="20"/>
                <w:color w:val="auto"/>
              </w:rPr>
            </w:pPr>
            <w:r>
              <w:rPr>
                <w:rFonts w:ascii="Arial" w:cs="Arial" w:eastAsia="Arial" w:hAnsi="Arial"/>
                <w:sz w:val="18"/>
                <w:szCs w:val="18"/>
                <w:b w:val="1"/>
                <w:bCs w:val="1"/>
                <w:color w:val="auto"/>
              </w:rPr>
              <w:t>Ending Balance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18,805</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2,356</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21,161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20,724</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23,693</w:t>
            </w:r>
          </w:p>
        </w:tc>
        <w:tc>
          <w:tcPr>
            <w:tcW w:w="12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center"/>
              <w:ind w:left="510"/>
              <w:spacing w:after="0"/>
              <w:rPr>
                <w:sz w:val="20"/>
                <w:szCs w:val="20"/>
                <w:color w:val="auto"/>
              </w:rPr>
            </w:pPr>
            <w:r>
              <w:rPr>
                <w:rFonts w:ascii="Arial" w:cs="Arial" w:eastAsia="Arial" w:hAnsi="Arial"/>
                <w:sz w:val="18"/>
                <w:szCs w:val="18"/>
                <w:b w:val="1"/>
                <w:bCs w:val="1"/>
                <w:color w:val="auto"/>
                <w:w w:val="91"/>
              </w:rPr>
              <w:t>First Six Months 2015</w:t>
            </w: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b w:val="1"/>
                <w:bCs w:val="1"/>
                <w:color w:val="auto"/>
              </w:rPr>
              <w:t>First Six Months 2014</w:t>
            </w: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140" w:type="dxa"/>
            <w:vAlign w:val="bottom"/>
          </w:tcPr>
          <w:p>
            <w:pPr>
              <w:spacing w:after="0"/>
              <w:rPr>
                <w:sz w:val="18"/>
                <w:szCs w:val="18"/>
                <w:color w:val="auto"/>
              </w:rPr>
            </w:pPr>
          </w:p>
        </w:tc>
        <w:tc>
          <w:tcPr>
            <w:tcW w:w="12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Nonaccrual</w:t>
            </w:r>
          </w:p>
        </w:tc>
        <w:tc>
          <w:tcPr>
            <w:tcW w:w="114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Foreclosed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Nonaccrual</w:t>
            </w:r>
          </w:p>
        </w:tc>
        <w:tc>
          <w:tcPr>
            <w:tcW w:w="11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Foreclosed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Loans</w:t>
            </w:r>
          </w:p>
        </w:tc>
        <w:tc>
          <w:tcPr>
            <w:tcW w:w="100" w:type="dxa"/>
            <w:vAlign w:val="bottom"/>
          </w:tcPr>
          <w:p>
            <w:pPr>
              <w:spacing w:after="0"/>
              <w:rPr>
                <w:sz w:val="20"/>
                <w:szCs w:val="20"/>
                <w:color w:val="auto"/>
              </w:rPr>
            </w:pPr>
          </w:p>
        </w:tc>
        <w:tc>
          <w:tcPr>
            <w:tcW w:w="10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Properties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NPAs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Loans</w:t>
            </w:r>
          </w:p>
        </w:tc>
        <w:tc>
          <w:tcPr>
            <w:tcW w:w="120" w:type="dxa"/>
            <w:vAlign w:val="bottom"/>
          </w:tcPr>
          <w:p>
            <w:pPr>
              <w:spacing w:after="0"/>
              <w:rPr>
                <w:sz w:val="20"/>
                <w:szCs w:val="20"/>
                <w:color w:val="auto"/>
              </w:rPr>
            </w:pPr>
          </w:p>
        </w:tc>
        <w:tc>
          <w:tcPr>
            <w:tcW w:w="104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Properties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NPAs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40" w:type="dxa"/>
            <w:vAlign w:val="bottom"/>
            <w:tcBorders>
              <w:top w:val="single" w:sz="8" w:color="F0FFFF"/>
            </w:tcBorders>
            <w:shd w:val="clear" w:color="auto" w:fill="F0FFFF"/>
          </w:tcPr>
          <w:p>
            <w:pPr>
              <w:ind w:left="600"/>
              <w:spacing w:after="0"/>
              <w:rPr>
                <w:sz w:val="20"/>
                <w:szCs w:val="20"/>
                <w:color w:val="auto"/>
              </w:rPr>
            </w:pPr>
            <w:r>
              <w:rPr>
                <w:rFonts w:ascii="Arial" w:cs="Arial" w:eastAsia="Arial" w:hAnsi="Arial"/>
                <w:sz w:val="18"/>
                <w:szCs w:val="18"/>
                <w:b w:val="1"/>
                <w:bCs w:val="1"/>
                <w:color w:val="auto"/>
              </w:rPr>
              <w:t>Beginning Balance</w:t>
            </w:r>
          </w:p>
        </w:tc>
        <w:tc>
          <w:tcPr>
            <w:tcW w:w="200" w:type="dxa"/>
            <w:vAlign w:val="bottom"/>
            <w:tcBorders>
              <w:top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17,881</w:t>
            </w:r>
          </w:p>
        </w:tc>
        <w:tc>
          <w:tcPr>
            <w:tcW w:w="220" w:type="dxa"/>
            <w:vAlign w:val="bottom"/>
            <w:tcBorders>
              <w:top w:val="single" w:sz="8" w:color="F0FFFF"/>
            </w:tcBorders>
            <w:shd w:val="clear" w:color="auto" w:fill="F0FFFF"/>
          </w:tcPr>
          <w:p>
            <w:pPr>
              <w:spacing w:after="0"/>
              <w:rPr>
                <w:sz w:val="19"/>
                <w:szCs w:val="19"/>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1,726</w:t>
            </w:r>
          </w:p>
        </w:tc>
        <w:tc>
          <w:tcPr>
            <w:tcW w:w="120" w:type="dxa"/>
            <w:vAlign w:val="bottom"/>
            <w:tcBorders>
              <w:top w:val="single" w:sz="8" w:color="F0FFFF"/>
              <w:right w:val="single" w:sz="8" w:color="auto"/>
            </w:tcBorders>
            <w:shd w:val="clear" w:color="auto" w:fill="F0FFFF"/>
          </w:tcPr>
          <w:p>
            <w:pPr>
              <w:spacing w:after="0"/>
              <w:rPr>
                <w:sz w:val="19"/>
                <w:szCs w:val="19"/>
                <w:color w:val="auto"/>
              </w:rPr>
            </w:pPr>
          </w:p>
        </w:tc>
        <w:tc>
          <w:tcPr>
            <w:tcW w:w="100" w:type="dxa"/>
            <w:vAlign w:val="bottom"/>
            <w:tcBorders>
              <w:top w:val="single" w:sz="8" w:color="F0FFFF"/>
            </w:tcBorders>
            <w:shd w:val="clear" w:color="auto" w:fill="F0FFFF"/>
          </w:tcPr>
          <w:p>
            <w:pPr>
              <w:spacing w:after="0"/>
              <w:rPr>
                <w:sz w:val="19"/>
                <w:szCs w:val="19"/>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8"/>
              </w:rPr>
              <w:t>19,607</w:t>
            </w:r>
          </w:p>
        </w:tc>
        <w:tc>
          <w:tcPr>
            <w:tcW w:w="120" w:type="dxa"/>
            <w:vAlign w:val="bottom"/>
            <w:tcBorders>
              <w:top w:val="single" w:sz="8" w:color="F0FFFF"/>
              <w:right w:val="single" w:sz="8" w:color="auto"/>
            </w:tcBorders>
            <w:shd w:val="clear" w:color="auto" w:fill="F0FFFF"/>
          </w:tcPr>
          <w:p>
            <w:pPr>
              <w:spacing w:after="0"/>
              <w:rPr>
                <w:sz w:val="19"/>
                <w:szCs w:val="19"/>
                <w:color w:val="auto"/>
              </w:rPr>
            </w:pPr>
          </w:p>
        </w:tc>
        <w:tc>
          <w:tcPr>
            <w:tcW w:w="100" w:type="dxa"/>
            <w:vAlign w:val="bottom"/>
            <w:tcBorders>
              <w:top w:val="single" w:sz="8" w:color="F0FFFF"/>
            </w:tcBorders>
            <w:shd w:val="clear" w:color="auto" w:fill="F0FFFF"/>
          </w:tcPr>
          <w:p>
            <w:pPr>
              <w:spacing w:after="0"/>
              <w:rPr>
                <w:sz w:val="19"/>
                <w:szCs w:val="19"/>
                <w:color w:val="auto"/>
              </w:rPr>
            </w:pPr>
          </w:p>
        </w:tc>
        <w:tc>
          <w:tcPr>
            <w:tcW w:w="200" w:type="dxa"/>
            <w:vAlign w:val="bottom"/>
            <w:tcBorders>
              <w:top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26,819</w:t>
            </w:r>
          </w:p>
        </w:tc>
        <w:tc>
          <w:tcPr>
            <w:tcW w:w="200" w:type="dxa"/>
            <w:vAlign w:val="bottom"/>
            <w:tcBorders>
              <w:top w:val="single" w:sz="8" w:color="F0FFFF"/>
            </w:tcBorders>
            <w:shd w:val="clear" w:color="auto" w:fill="F0FFFF"/>
          </w:tcPr>
          <w:p>
            <w:pPr>
              <w:spacing w:after="0"/>
              <w:rPr>
                <w:sz w:val="19"/>
                <w:szCs w:val="19"/>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4,221</w:t>
            </w:r>
          </w:p>
        </w:tc>
        <w:tc>
          <w:tcPr>
            <w:tcW w:w="120" w:type="dxa"/>
            <w:vAlign w:val="bottom"/>
            <w:tcBorders>
              <w:top w:val="single" w:sz="8" w:color="F0FFFF"/>
              <w:right w:val="single" w:sz="8" w:color="auto"/>
            </w:tcBorders>
            <w:shd w:val="clear" w:color="auto" w:fill="F0FFFF"/>
          </w:tcPr>
          <w:p>
            <w:pPr>
              <w:spacing w:after="0"/>
              <w:rPr>
                <w:sz w:val="19"/>
                <w:szCs w:val="19"/>
                <w:color w:val="auto"/>
              </w:rPr>
            </w:pPr>
          </w:p>
        </w:tc>
        <w:tc>
          <w:tcPr>
            <w:tcW w:w="80" w:type="dxa"/>
            <w:vAlign w:val="bottom"/>
            <w:tcBorders>
              <w:top w:val="single" w:sz="8" w:color="F0FFFF"/>
            </w:tcBorders>
            <w:shd w:val="clear" w:color="auto" w:fill="F0FFFF"/>
          </w:tcPr>
          <w:p>
            <w:pPr>
              <w:spacing w:after="0"/>
              <w:rPr>
                <w:sz w:val="19"/>
                <w:szCs w:val="19"/>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31,040</w:t>
            </w:r>
          </w:p>
        </w:tc>
        <w:tc>
          <w:tcPr>
            <w:tcW w:w="120" w:type="dxa"/>
            <w:vAlign w:val="bottom"/>
            <w:tcBorders>
              <w:top w:val="single" w:sz="8" w:color="F0FFFF"/>
              <w:right w:val="single" w:sz="8" w:color="auto"/>
            </w:tcBorders>
            <w:shd w:val="clear" w:color="auto" w:fill="F0FFFF"/>
          </w:tcPr>
          <w:p>
            <w:pPr>
              <w:spacing w:after="0"/>
              <w:rPr>
                <w:sz w:val="19"/>
                <w:szCs w:val="19"/>
                <w:color w:val="auto"/>
              </w:rPr>
            </w:pPr>
          </w:p>
        </w:tc>
        <w:tc>
          <w:tcPr>
            <w:tcW w:w="560" w:type="dxa"/>
            <w:vAlign w:val="bottom"/>
            <w:tcBorders>
              <w:top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600"/>
              <w:spacing w:after="0"/>
              <w:rPr>
                <w:sz w:val="20"/>
                <w:szCs w:val="20"/>
                <w:color w:val="auto"/>
              </w:rPr>
            </w:pPr>
            <w:r>
              <w:rPr>
                <w:rFonts w:ascii="Arial" w:cs="Arial" w:eastAsia="Arial" w:hAnsi="Arial"/>
                <w:sz w:val="18"/>
                <w:szCs w:val="18"/>
                <w:color w:val="auto"/>
              </w:rPr>
              <w:t>Acquisitions</w:t>
            </w:r>
          </w:p>
        </w:tc>
        <w:tc>
          <w:tcPr>
            <w:tcW w:w="2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F0FFFF"/>
          </w:tcPr>
          <w:p>
            <w:pPr>
              <w:ind w:left="600"/>
              <w:spacing w:after="0"/>
              <w:rPr>
                <w:sz w:val="20"/>
                <w:szCs w:val="20"/>
                <w:color w:val="auto"/>
              </w:rPr>
            </w:pPr>
            <w:r>
              <w:rPr>
                <w:rFonts w:ascii="Arial" w:cs="Arial" w:eastAsia="Arial" w:hAnsi="Arial"/>
                <w:sz w:val="18"/>
                <w:szCs w:val="18"/>
                <w:color w:val="auto"/>
              </w:rPr>
              <w:t>Loans placed on non-accrual</w:t>
            </w:r>
          </w:p>
        </w:tc>
        <w:tc>
          <w:tcPr>
            <w:tcW w:w="200" w:type="dxa"/>
            <w:vAlign w:val="bottom"/>
            <w:shd w:val="clear" w:color="auto" w:fill="F0FFFF"/>
          </w:tcPr>
          <w:p>
            <w:pPr>
              <w:spacing w:after="0"/>
              <w:rPr>
                <w:sz w:val="19"/>
                <w:szCs w:val="19"/>
                <w:color w:val="auto"/>
              </w:rPr>
            </w:pP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12,496</w:t>
            </w:r>
          </w:p>
        </w:tc>
        <w:tc>
          <w:tcPr>
            <w:tcW w:w="100" w:type="dxa"/>
            <w:vAlign w:val="bottom"/>
            <w:shd w:val="clear" w:color="auto" w:fill="F0FFFF"/>
          </w:tcPr>
          <w:p>
            <w:pPr>
              <w:spacing w:after="0"/>
              <w:rPr>
                <w:sz w:val="19"/>
                <w:szCs w:val="19"/>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680" w:type="dxa"/>
            <w:vAlign w:val="bottom"/>
            <w:tcBorders>
              <w:right w:val="single" w:sz="8" w:color="auto"/>
            </w:tcBorders>
            <w:gridSpan w:val="2"/>
            <w:shd w:val="clear" w:color="auto" w:fill="F0FFFF"/>
          </w:tcPr>
          <w:p>
            <w:pPr>
              <w:jc w:val="right"/>
              <w:ind w:right="120"/>
              <w:spacing w:after="0"/>
              <w:rPr>
                <w:sz w:val="20"/>
                <w:szCs w:val="20"/>
                <w:color w:val="auto"/>
              </w:rPr>
            </w:pPr>
            <w:r>
              <w:rPr>
                <w:rFonts w:ascii="Arial" w:cs="Arial" w:eastAsia="Arial" w:hAnsi="Arial"/>
                <w:sz w:val="18"/>
                <w:szCs w:val="18"/>
                <w:color w:val="auto"/>
                <w:w w:val="98"/>
              </w:rPr>
              <w:t>12,496</w:t>
            </w:r>
          </w:p>
        </w:tc>
        <w:tc>
          <w:tcPr>
            <w:tcW w:w="10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18,832</w:t>
            </w:r>
          </w:p>
        </w:tc>
        <w:tc>
          <w:tcPr>
            <w:tcW w:w="120" w:type="dxa"/>
            <w:vAlign w:val="bottom"/>
            <w:shd w:val="clear" w:color="auto" w:fill="F0FFFF"/>
          </w:tcPr>
          <w:p>
            <w:pPr>
              <w:spacing w:after="0"/>
              <w:rPr>
                <w:sz w:val="19"/>
                <w:szCs w:val="19"/>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18,832</w:t>
            </w:r>
          </w:p>
        </w:tc>
        <w:tc>
          <w:tcPr>
            <w:tcW w:w="120" w:type="dxa"/>
            <w:vAlign w:val="bottom"/>
            <w:tcBorders>
              <w:right w:val="single" w:sz="8" w:color="auto"/>
            </w:tcBorders>
            <w:shd w:val="clear" w:color="auto" w:fill="F0FFFF"/>
          </w:tcPr>
          <w:p>
            <w:pPr>
              <w:spacing w:after="0"/>
              <w:rPr>
                <w:sz w:val="19"/>
                <w:szCs w:val="19"/>
                <w:color w:val="auto"/>
              </w:rPr>
            </w:pPr>
          </w:p>
        </w:tc>
        <w:tc>
          <w:tcPr>
            <w:tcW w:w="56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600"/>
              <w:spacing w:after="0"/>
              <w:rPr>
                <w:sz w:val="20"/>
                <w:szCs w:val="20"/>
                <w:color w:val="auto"/>
              </w:rPr>
            </w:pPr>
            <w:r>
              <w:rPr>
                <w:rFonts w:ascii="Arial" w:cs="Arial" w:eastAsia="Arial" w:hAnsi="Arial"/>
                <w:sz w:val="18"/>
                <w:szCs w:val="18"/>
                <w:color w:val="auto"/>
              </w:rPr>
              <w:t>Payments received</w:t>
            </w: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(5,352)</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(5,352)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(5,693)</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(5,693 )</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F0FFFF"/>
          </w:tcPr>
          <w:p>
            <w:pPr>
              <w:ind w:left="600"/>
              <w:spacing w:after="0"/>
              <w:rPr>
                <w:sz w:val="20"/>
                <w:szCs w:val="20"/>
                <w:color w:val="auto"/>
              </w:rPr>
            </w:pPr>
            <w:r>
              <w:rPr>
                <w:rFonts w:ascii="Arial" w:cs="Arial" w:eastAsia="Arial" w:hAnsi="Arial"/>
                <w:sz w:val="18"/>
                <w:szCs w:val="18"/>
                <w:color w:val="auto"/>
              </w:rPr>
              <w:t>Loan charge-offs</w:t>
            </w:r>
          </w:p>
        </w:tc>
        <w:tc>
          <w:tcPr>
            <w:tcW w:w="200" w:type="dxa"/>
            <w:vAlign w:val="bottom"/>
            <w:shd w:val="clear" w:color="auto" w:fill="F0FFFF"/>
          </w:tcPr>
          <w:p>
            <w:pPr>
              <w:spacing w:after="0"/>
              <w:rPr>
                <w:sz w:val="19"/>
                <w:szCs w:val="19"/>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(4,692)</w:t>
            </w:r>
          </w:p>
        </w:tc>
        <w:tc>
          <w:tcPr>
            <w:tcW w:w="100" w:type="dxa"/>
            <w:vAlign w:val="bottom"/>
            <w:shd w:val="clear" w:color="auto" w:fill="F0FFFF"/>
          </w:tcPr>
          <w:p>
            <w:pPr>
              <w:spacing w:after="0"/>
              <w:rPr>
                <w:sz w:val="19"/>
                <w:szCs w:val="19"/>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680" w:type="dxa"/>
            <w:vAlign w:val="bottom"/>
            <w:tcBorders>
              <w:right w:val="single" w:sz="8" w:color="auto"/>
            </w:tcBorders>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(4,692)</w:t>
            </w:r>
          </w:p>
        </w:tc>
        <w:tc>
          <w:tcPr>
            <w:tcW w:w="10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(13,180)</w:t>
            </w:r>
          </w:p>
        </w:tc>
        <w:tc>
          <w:tcPr>
            <w:tcW w:w="120" w:type="dxa"/>
            <w:vAlign w:val="bottom"/>
            <w:shd w:val="clear" w:color="auto" w:fill="F0FFFF"/>
          </w:tcPr>
          <w:p>
            <w:pPr>
              <w:spacing w:after="0"/>
              <w:rPr>
                <w:sz w:val="19"/>
                <w:szCs w:val="19"/>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700" w:type="dxa"/>
            <w:vAlign w:val="bottom"/>
            <w:tcBorders>
              <w:right w:val="single" w:sz="8" w:color="auto"/>
            </w:tcBorders>
            <w:gridSpan w:val="2"/>
            <w:shd w:val="clear" w:color="auto" w:fill="F0FFFF"/>
          </w:tcPr>
          <w:p>
            <w:pPr>
              <w:jc w:val="right"/>
              <w:ind w:right="40"/>
              <w:spacing w:after="0"/>
              <w:rPr>
                <w:sz w:val="20"/>
                <w:szCs w:val="20"/>
                <w:color w:val="auto"/>
              </w:rPr>
            </w:pPr>
            <w:r>
              <w:rPr>
                <w:rFonts w:ascii="Arial" w:cs="Arial" w:eastAsia="Arial" w:hAnsi="Arial"/>
                <w:sz w:val="18"/>
                <w:szCs w:val="18"/>
                <w:color w:val="auto"/>
                <w:w w:val="88"/>
              </w:rPr>
              <w:t>(13,180 )</w:t>
            </w:r>
          </w:p>
        </w:tc>
        <w:tc>
          <w:tcPr>
            <w:tcW w:w="56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600"/>
              <w:spacing w:after="0"/>
              <w:rPr>
                <w:sz w:val="20"/>
                <w:szCs w:val="20"/>
                <w:color w:val="auto"/>
              </w:rPr>
            </w:pPr>
            <w:r>
              <w:rPr>
                <w:rFonts w:ascii="Arial" w:cs="Arial" w:eastAsia="Arial" w:hAnsi="Arial"/>
                <w:sz w:val="18"/>
                <w:szCs w:val="18"/>
                <w:color w:val="auto"/>
              </w:rPr>
              <w:t>Foreclosures</w:t>
            </w: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(6,054)</w:t>
            </w:r>
          </w:p>
        </w:tc>
        <w:tc>
          <w:tcPr>
            <w:tcW w:w="12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6,054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F0FFFF"/>
          </w:tcPr>
          <w:p>
            <w:pPr>
              <w:ind w:left="600"/>
              <w:spacing w:after="0"/>
              <w:rPr>
                <w:sz w:val="20"/>
                <w:szCs w:val="20"/>
                <w:color w:val="auto"/>
              </w:rPr>
            </w:pPr>
            <w:r>
              <w:rPr>
                <w:rFonts w:ascii="Arial" w:cs="Arial" w:eastAsia="Arial" w:hAnsi="Arial"/>
                <w:sz w:val="18"/>
                <w:szCs w:val="18"/>
                <w:color w:val="auto"/>
              </w:rPr>
              <w:t>Note / property sales</w:t>
            </w:r>
          </w:p>
        </w:tc>
        <w:tc>
          <w:tcPr>
            <w:tcW w:w="200" w:type="dxa"/>
            <w:vAlign w:val="bottom"/>
            <w:shd w:val="clear" w:color="auto" w:fill="F0FFFF"/>
          </w:tcPr>
          <w:p>
            <w:pPr>
              <w:spacing w:after="0"/>
              <w:rPr>
                <w:sz w:val="19"/>
                <w:szCs w:val="19"/>
                <w:color w:val="auto"/>
              </w:rPr>
            </w:pP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9"/>
                <w:szCs w:val="19"/>
                <w:color w:val="auto"/>
              </w:rPr>
            </w:pPr>
          </w:p>
        </w:tc>
        <w:tc>
          <w:tcPr>
            <w:tcW w:w="1040" w:type="dxa"/>
            <w:vAlign w:val="bottom"/>
            <w:tcBorders>
              <w:right w:val="single" w:sz="8" w:color="auto"/>
            </w:tcBorders>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(2,003)</w:t>
            </w: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680" w:type="dxa"/>
            <w:vAlign w:val="bottom"/>
            <w:tcBorders>
              <w:right w:val="single" w:sz="8" w:color="auto"/>
            </w:tcBorders>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(2,003)</w:t>
            </w:r>
          </w:p>
        </w:tc>
        <w:tc>
          <w:tcPr>
            <w:tcW w:w="10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9"/>
                <w:szCs w:val="19"/>
                <w:color w:val="auto"/>
              </w:rPr>
            </w:pPr>
          </w:p>
        </w:tc>
        <w:tc>
          <w:tcPr>
            <w:tcW w:w="1040" w:type="dxa"/>
            <w:vAlign w:val="bottom"/>
            <w:tcBorders>
              <w:right w:val="single" w:sz="8" w:color="auto"/>
            </w:tcBorders>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(7,668)</w:t>
            </w:r>
          </w:p>
        </w:tc>
        <w:tc>
          <w:tcPr>
            <w:tcW w:w="80" w:type="dxa"/>
            <w:vAlign w:val="bottom"/>
            <w:shd w:val="clear" w:color="auto" w:fill="F0FFFF"/>
          </w:tcPr>
          <w:p>
            <w:pPr>
              <w:spacing w:after="0"/>
              <w:rPr>
                <w:sz w:val="19"/>
                <w:szCs w:val="19"/>
                <w:color w:val="auto"/>
              </w:rPr>
            </w:pPr>
          </w:p>
        </w:tc>
        <w:tc>
          <w:tcPr>
            <w:tcW w:w="140" w:type="dxa"/>
            <w:vAlign w:val="bottom"/>
            <w:shd w:val="clear" w:color="auto" w:fill="F0FFFF"/>
          </w:tcPr>
          <w:p>
            <w:pPr>
              <w:spacing w:after="0"/>
              <w:rPr>
                <w:sz w:val="19"/>
                <w:szCs w:val="19"/>
                <w:color w:val="auto"/>
              </w:rPr>
            </w:pPr>
          </w:p>
        </w:tc>
        <w:tc>
          <w:tcPr>
            <w:tcW w:w="700" w:type="dxa"/>
            <w:vAlign w:val="bottom"/>
            <w:tcBorders>
              <w:right w:val="single" w:sz="8" w:color="auto"/>
            </w:tcBorders>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(7,668 )</w:t>
            </w:r>
          </w:p>
        </w:tc>
        <w:tc>
          <w:tcPr>
            <w:tcW w:w="56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600"/>
              <w:spacing w:after="0"/>
              <w:rPr>
                <w:sz w:val="20"/>
                <w:szCs w:val="20"/>
                <w:color w:val="auto"/>
              </w:rPr>
            </w:pPr>
            <w:r>
              <w:rPr>
                <w:rFonts w:ascii="Arial" w:cs="Arial" w:eastAsia="Arial" w:hAnsi="Arial"/>
                <w:sz w:val="18"/>
                <w:szCs w:val="18"/>
                <w:color w:val="auto"/>
              </w:rPr>
              <w:t>Write downs</w:t>
            </w:r>
          </w:p>
        </w:tc>
        <w:tc>
          <w:tcPr>
            <w:tcW w:w="2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(582)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(582 )</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40" w:type="dxa"/>
            <w:vAlign w:val="bottom"/>
            <w:shd w:val="clear" w:color="auto" w:fill="F0FFFF"/>
          </w:tcPr>
          <w:p>
            <w:pPr>
              <w:ind w:left="600"/>
              <w:spacing w:after="0"/>
              <w:rPr>
                <w:sz w:val="20"/>
                <w:szCs w:val="20"/>
                <w:color w:val="auto"/>
              </w:rPr>
            </w:pPr>
            <w:r>
              <w:rPr>
                <w:rFonts w:ascii="Arial" w:cs="Arial" w:eastAsia="Arial" w:hAnsi="Arial"/>
                <w:sz w:val="18"/>
                <w:szCs w:val="18"/>
                <w:color w:val="auto"/>
              </w:rPr>
              <w:t>Net gains on sales</w:t>
            </w:r>
          </w:p>
        </w:tc>
        <w:tc>
          <w:tcPr>
            <w:tcW w:w="2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1"/>
                <w:szCs w:val="21"/>
                <w:color w:val="auto"/>
              </w:rPr>
            </w:pPr>
          </w:p>
        </w:tc>
        <w:tc>
          <w:tcPr>
            <w:tcW w:w="1040" w:type="dxa"/>
            <w:vAlign w:val="bottom"/>
            <w:tcBorders>
              <w:right w:val="single" w:sz="8" w:color="auto"/>
            </w:tcBorders>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680" w:type="dxa"/>
            <w:vAlign w:val="bottom"/>
            <w:tcBorders>
              <w:right w:val="single" w:sz="8" w:color="auto"/>
            </w:tcBorders>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1"/>
                <w:szCs w:val="21"/>
                <w:color w:val="auto"/>
              </w:rPr>
            </w:pPr>
          </w:p>
        </w:tc>
        <w:tc>
          <w:tcPr>
            <w:tcW w:w="1040" w:type="dxa"/>
            <w:vAlign w:val="bottom"/>
            <w:tcBorders>
              <w:right w:val="single" w:sz="8" w:color="auto"/>
            </w:tcBorders>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944</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Borders>
              <w:right w:val="single" w:sz="8" w:color="auto"/>
            </w:tcBorders>
            <w:shd w:val="clear" w:color="auto" w:fill="F0FFFF"/>
          </w:tcPr>
          <w:p>
            <w:pPr>
              <w:spacing w:after="0"/>
              <w:rPr>
                <w:sz w:val="21"/>
                <w:szCs w:val="21"/>
                <w:color w:val="auto"/>
              </w:rPr>
            </w:pPr>
          </w:p>
        </w:tc>
        <w:tc>
          <w:tcPr>
            <w:tcW w:w="56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140" w:type="dxa"/>
            <w:vAlign w:val="bottom"/>
            <w:tcBorders>
              <w:top w:val="single" w:sz="8" w:color="F0FFFF"/>
            </w:tcBorders>
          </w:tcPr>
          <w:p>
            <w:pPr>
              <w:ind w:left="780"/>
              <w:spacing w:after="0"/>
              <w:rPr>
                <w:sz w:val="20"/>
                <w:szCs w:val="20"/>
                <w:color w:val="auto"/>
              </w:rPr>
            </w:pPr>
            <w:r>
              <w:rPr>
                <w:rFonts w:ascii="Arial" w:cs="Arial" w:eastAsia="Arial" w:hAnsi="Arial"/>
                <w:sz w:val="18"/>
                <w:szCs w:val="18"/>
                <w:b w:val="1"/>
                <w:bCs w:val="1"/>
                <w:color w:val="auto"/>
              </w:rPr>
              <w:t>Ending Balance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18,805</w:t>
            </w:r>
          </w:p>
        </w:tc>
        <w:tc>
          <w:tcPr>
            <w:tcW w:w="220" w:type="dxa"/>
            <w:vAlign w:val="bottom"/>
            <w:tcBorders>
              <w:top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2,356</w:t>
            </w:r>
          </w:p>
        </w:tc>
        <w:tc>
          <w:tcPr>
            <w:tcW w:w="120" w:type="dxa"/>
            <w:vAlign w:val="bottom"/>
            <w:tcBorders>
              <w:top w:val="single" w:sz="8" w:color="F0FFFF"/>
              <w:right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21,161</w:t>
            </w:r>
          </w:p>
        </w:tc>
        <w:tc>
          <w:tcPr>
            <w:tcW w:w="120" w:type="dxa"/>
            <w:vAlign w:val="bottom"/>
            <w:tcBorders>
              <w:top w:val="single" w:sz="8" w:color="F0FFFF"/>
              <w:right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20,724</w:t>
            </w:r>
          </w:p>
        </w:tc>
        <w:tc>
          <w:tcPr>
            <w:tcW w:w="20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2,969</w:t>
            </w:r>
          </w:p>
        </w:tc>
        <w:tc>
          <w:tcPr>
            <w:tcW w:w="120" w:type="dxa"/>
            <w:vAlign w:val="bottom"/>
            <w:tcBorders>
              <w:top w:val="single" w:sz="8" w:color="F0FFFF"/>
              <w:right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23,693</w:t>
            </w:r>
          </w:p>
        </w:tc>
        <w:tc>
          <w:tcPr>
            <w:tcW w:w="120" w:type="dxa"/>
            <w:vAlign w:val="bottom"/>
            <w:tcBorders>
              <w:top w:val="single" w:sz="8" w:color="F0FFFF"/>
              <w:right w:val="single" w:sz="8" w:color="auto"/>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-1508760</wp:posOffset>
            </wp:positionV>
            <wp:extent cx="360045" cy="14922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0045" cy="1492250"/>
                    </a:xfrm>
                    <a:prstGeom prst="rect">
                      <a:avLst/>
                    </a:prstGeom>
                    <a:noFill/>
                  </pic:spPr>
                </pic:pic>
              </a:graphicData>
            </a:graphic>
          </wp:anchor>
        </w:drawing>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Foreclosed property is initially recorded at fair value, less estimated costs to sell. If the fair value, less estimated costs to sell at the time of foreclosure, is less than the loan balance, the deficiency is charged against the allowance for loan losses. If the lesser of fair value, less estimated costs to sell or the listed selling price, less the costs to sell, of the foreclosed property decreases during the holding period, a valuation allowance is established with a charge to foreclosed property expense. When the foreclosed property is sold, a gain or loss is recognized on the sale for the difference between the sales proceeds and the carrying amount of the property. Financed sales of foreclosed property are accounted for in accordance with ASC 360-20, </w:t>
      </w:r>
      <w:r>
        <w:rPr>
          <w:rFonts w:ascii="Arial" w:cs="Arial" w:eastAsia="Arial" w:hAnsi="Arial"/>
          <w:sz w:val="17"/>
          <w:szCs w:val="17"/>
          <w:i w:val="1"/>
          <w:iCs w:val="1"/>
          <w:color w:val="auto"/>
        </w:rPr>
        <w:t>Real Estate Sales</w:t>
      </w:r>
      <w:r>
        <w:rPr>
          <w:rFonts w:ascii="Arial" w:cs="Arial" w:eastAsia="Arial" w:hAnsi="Arial"/>
          <w:sz w:val="17"/>
          <w:szCs w:val="17"/>
          <w:color w:val="auto"/>
        </w:rPr>
        <w:t>. For the second quarter of 2015, United transferred $1.07 million of loans into foreclosed property through foreclosures. During the same period, proceeds from sales of foreclosed property were $895,000, which includes $268,000 in sales that were financed by United.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 including repurchase agreements. Total investment securities at June 30, 2015 increased $132 million from a year ago.</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June 30, 2015, December 31, 2014 and June 30, 2014, United had securities held-to-maturity with a carrying amount of $380 million, $415 million, and $449 million, respectively, and securities available-for-sale totaling $1.94 billion, $1.78 billion, and $1.74 billion, respectively. At June 30, 2015, December 31, 2014 and June 30, 2014, the securities portfolio represented approximately 28%, 29% and 30%, respectively, of total assets.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investment securities portfolio primarily consists of U.S. Treasury securities, U.S. government agency securities, U.S. government sponsored agency mortgage-backed securities, non-agency mortgage-backed securities, corporate securities, municipal securities and asset-backed securities. Mortgage-backed securities rely on the underlying pools of mortgage loans to provide a cash flow of principal and interest. The actual maturities of these securities will usually differ from contractual maturities because loans underlying the securities can prepay. Decreases in interest rates will generally cause an acceleration of prepayment levels. In a declining or prolonged low interest rate environment, United may not be able to reinvest the proceeds from these prepayments in assets that have comparable yields. In a rising rate environment, the opposite occurs - prepayments tend to slow and the weighted average life extends. This is referred to as extension risk which can lead to lower levels of liquidity due to the delay of cash receipts and can result in the holding of a below market yielding asset for a longer period of time. United’s asset-backed securities include securities that are backed by student loans and collateralized loan obligations.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153" w:gutter="0" w:footer="0" w:header="0"/>
        </w:sectPr>
      </w:pPr>
    </w:p>
    <w:bookmarkStart w:id="68" w:name="page69"/>
    <w:bookmarkEnd w:id="68"/>
    <w:p>
      <w:pPr>
        <w:jc w:val="both"/>
        <w:spacing w:after="0" w:line="259" w:lineRule="auto"/>
        <w:rPr>
          <w:sz w:val="20"/>
          <w:szCs w:val="20"/>
          <w:color w:val="auto"/>
        </w:rPr>
      </w:pPr>
      <w:r>
        <w:rPr>
          <w:rFonts w:ascii="Arial" w:cs="Arial" w:eastAsia="Arial" w:hAnsi="Arial"/>
          <w:sz w:val="18"/>
          <w:szCs w:val="18"/>
          <w:color w:val="auto"/>
        </w:rPr>
        <w:t>Management evaluates its securities portfolio each quarter to determine if any security is considered to be other than temporarily impaired. In making this evaluation, management considers its ability and intent to hold securities to recover current market losses. Losses on United’s fixed income securities at June 30, 2015 primarily reflect the effect of changes in interest rates. United did not recognize any other than temporary impairment losses on its investment securities during the second quarter or first six months of 2015 or 2014.</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2015, December 31, 2014 and June 30, 2014, 29%, 31% and 31%, respectively, of the securities portfolio was invested in floating-rate securities or fixed-rate securities that were swapped to floating rates in order to manage exposure to rising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Core Deposit Intangibles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Goodwill represents the premium paid for acquired companies above the fair value of the assets acquired and liabilities assumed, including separately identifiable intangible assets.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United’s core deposit intangibles, representing the value of United’s acquired deposit relationships, are amortizing intangible assets that are required to be tested for impairment only when events or circumstances indicate that impairment may exist. There were no events or circumstances that led management to believe that any impairment exists in United’s goodwill or other intangible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 has initiated several programs to improve core earnings by growing customer transaction deposit accounts and lowering overall pricing on deposit accounts to improve its net interest margin and increase net interest revenue. The programs were successful in increasing core transaction deposit accounts and allowing for the reduction of more costly time deposit balances as United’s funding needs decreased due to lower loan demand. United’s high level of service, as evidenced by its strong customer satisfaction scores, has been instrumental in attracting and retaining deposits.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customer deposits, excluding brokered deposits, as of June 30, 2015 were $6.28 billion, an increase of $539 million from June 30, 2014, of which $351 million was attributable to the MoneyTree acquisition. Total core deposits (demand, NOW, money market and savings deposits, excluding public funds deposits) of $5.81 billion at June 30, 2015 increased $628 million, or 12%, from a year ago, due to the acquisition of MoneyTree, as well as the success of core deposit programs and general industry trends.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time deposits, excluding brokered deposits, as of June 30, 2015 were $1.26 billion, down $102 million from June 30, 2014. Time deposits less than $100,000 totaled $792 million at June 30, 2015, a decrease of $13.0 million, or 2%, from a year ago. Time deposits of $100,000 and greater totaled $465 million as of June 30, 2015, a decrease of $89.0 million, or 16%, from June 30, 2014. United continued to offer low rates on certificates of deposit, allowing balances to decline as United’s funding needs were met by growth in lower cost transaction account deposits and other sources.</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Brokered deposits totaled $530 million as of June 30, 2015, an increase of $106 million from a year ago. United has actively added long-term deposits to diversify our funding base. These are typically swapped to LIBOR minus a spread, which achieves low cost funding within our interest rate risk parameters.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Funding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 is a shareholder in the Federal Home Loan Bank of Atlanta (“FHLB”). Through this affiliation, FHLB secured advances totaled $385 million, $270 million and $175 million, respectively, as of June 30, 2015, December 31, 2014 and June 30, 2014. United anticipates continued use of this short and long-term source of funds. Additional information regarding FHLB advances is provided in Note 12 to the consolidated financial statements included in United’s Annual Report on Form 10-K for the year ended December 31, 2014.</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At December 31, 2014 and June 30, 2014, United had $6.0 million and $11.3 million, respectively, in structured repurchase agreements outstanding. United repaid the remaining $6.0 million outstanding balance in the first quarter of 2015, incurring a charge of $540,000. United takes advantage of these additional sources of liquidity when rates are favorable compared to other forms of short-term borrowings, such as FHLB advances and brokered deposits.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have not been any material changes to United’s contractual obligations since December 31, 2014.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United is a party to financial instruments with off-balance sheet risk in the normal course of business to meet the financing needs of customers. These financial instruments include commitments to extend credit, letters of credit and financial guarantees.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exposure to credit loss in the event of nonperformance by the other party to the commitments to extend credit, letters of credit and financial guarantees is represented by the contractual amount of these instruments. United uses the same credit underwriting procedures for making commitments, letters of credit and financial guarantees, as it uses for underwriting on-balance sheet instruments. United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 United is not involved in off-balance sheet contractual relationships, other than those disclosed in this report, that could result in liquidity needs or other commitments, or that could significantly affect earnings. See Note 15 to the consolidated financial statements for additional information on off-balance sheet arrangements.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absolute level and volatility of interest rates can have a significant effect on United’s profitability. The objective of interest rate risk management is to identify and manage the sensitivity of net interest revenue to changing interest rates, in order to achieve United’s overall financial goals. Based on economic conditions, asset quality and various other considerations, management establishes tolerance ranges for interest rate sensitivity and manages within these ranges.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United’s net interest revenue, and the fair value of its financial instruments, are influenced by changes in the level of interest rates. United limits its exposure to fluctuations in interest rates through policies developed by the Asset/Liability Management Committee (“ALCO”) and approved by the Board of Directors. ALCO meets periodically and has responsibility for formulating and recommending asset/liability management policies to the Board of Directors, formulating and implementing strategies to improve balance sheet positioning and/or earnings, and reviewing United’s interest rate sensitivity.</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One of the tools management uses to estimate and manage the sensitivity of net interest revenue to changes in interest rates is an asset/liability simulation model. Resulting estimates are based upon a number of assumptions for each scenario, including loan and deposit re-pricing characteristics and the rate of prepayments. ALCO periodically reviews the assumptions for accuracy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immediate rate shock scenarios, as well as gradually rising and falling rate scenarios, which are all compared to the base scenario. Another commonly analyzed scenario is a most-likely scenario that projects the expected change in rates based on the slope of the forward yield curve. Other scenarios analyzed may include delayed rate shocks, yield curve steepening or flattening, or other variations in rate movements. While the primary policy scenarios focus on a twelve month time frame, longer time horizons are also modeled.</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United’s policy is based on the 12-month impact on net interest revenue of interest rate shocks and ramps that increase or decrease from 100 to 400 basis points from the base scenario. In the shock scenarios, rates immediately change the full amount at the scenario onset. In the ramp scenarios, rates change by 25 basis points per month. United’s policy limits the projected change in net interest revenue over the first 12 months to a 5% decrease for each 100 basis point change in the increasing and decreasing rate ramp and shock scenarios. Historically low rates on June 30, 2015 and 2014 made use of the down scenarios irrelevant. The following table presents United’s interest sensitivity position at June 30, 2015 and 2014.</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0" w:name="page71"/>
    <w:bookmarkEnd w:id="70"/>
    <w:tbl>
      <w:tblPr>
        <w:tblLayout w:type="fixed"/>
        <w:tblInd w:w="58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r>
              <w:rPr>
                <w:rFonts w:ascii="Arial" w:cs="Arial" w:eastAsia="Arial" w:hAnsi="Arial"/>
                <w:sz w:val="18"/>
                <w:szCs w:val="18"/>
                <w:b w:val="1"/>
                <w:bCs w:val="1"/>
                <w:color w:val="auto"/>
              </w:rPr>
              <w:t>Table 13 - Interest Sensitivity</w:t>
            </w: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4300" w:type="dxa"/>
            <w:vAlign w:val="bottom"/>
          </w:tcPr>
          <w:p>
            <w:pPr>
              <w:spacing w:after="0"/>
              <w:rPr>
                <w:sz w:val="24"/>
                <w:szCs w:val="24"/>
                <w:color w:val="auto"/>
              </w:rPr>
            </w:pPr>
          </w:p>
        </w:tc>
        <w:tc>
          <w:tcPr>
            <w:tcW w:w="5980" w:type="dxa"/>
            <w:vAlign w:val="bottom"/>
            <w:gridSpan w:val="9"/>
          </w:tcPr>
          <w:p>
            <w:pPr>
              <w:jc w:val="center"/>
              <w:ind w:right="80"/>
              <w:spacing w:after="0"/>
              <w:rPr>
                <w:sz w:val="20"/>
                <w:szCs w:val="20"/>
                <w:color w:val="auto"/>
              </w:rPr>
            </w:pPr>
            <w:r>
              <w:rPr>
                <w:rFonts w:ascii="Arial" w:cs="Arial" w:eastAsia="Arial" w:hAnsi="Arial"/>
                <w:sz w:val="18"/>
                <w:szCs w:val="18"/>
                <w:b w:val="1"/>
                <w:bCs w:val="1"/>
                <w:color w:val="auto"/>
                <w:w w:val="89"/>
              </w:rPr>
              <w:t>Increase (Decrease) in Net Interest Revenue from Base Scenario at</w:t>
            </w:r>
          </w:p>
        </w:tc>
      </w:tr>
      <w:tr>
        <w:trPr>
          <w:trHeight w:val="241"/>
        </w:trPr>
        <w:tc>
          <w:tcPr>
            <w:tcW w:w="43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88"/>
              </w:rPr>
              <w:t>June 30,</w:t>
            </w:r>
          </w:p>
        </w:tc>
        <w:tc>
          <w:tcPr>
            <w:tcW w:w="7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300" w:type="dxa"/>
            <w:vAlign w:val="bottom"/>
          </w:tcPr>
          <w:p>
            <w:pPr>
              <w:spacing w:after="0"/>
              <w:rPr>
                <w:sz w:val="19"/>
                <w:szCs w:val="19"/>
                <w:color w:val="auto"/>
              </w:rPr>
            </w:pPr>
          </w:p>
        </w:tc>
        <w:tc>
          <w:tcPr>
            <w:tcW w:w="1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2015</w:t>
            </w:r>
          </w:p>
        </w:tc>
        <w:tc>
          <w:tcPr>
            <w:tcW w:w="110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2014</w:t>
            </w:r>
          </w:p>
        </w:tc>
        <w:tc>
          <w:tcPr>
            <w:tcW w:w="11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4300" w:type="dxa"/>
            <w:vAlign w:val="bottom"/>
            <w:tcBorders>
              <w:bottom w:val="single" w:sz="8" w:color="F0FFFF"/>
            </w:tcBorders>
          </w:tcPr>
          <w:p>
            <w:pPr>
              <w:ind w:left="1400"/>
              <w:spacing w:after="0"/>
              <w:rPr>
                <w:sz w:val="20"/>
                <w:szCs w:val="20"/>
                <w:color w:val="auto"/>
              </w:rPr>
            </w:pPr>
            <w:r>
              <w:rPr>
                <w:rFonts w:ascii="Arial" w:cs="Arial" w:eastAsia="Arial" w:hAnsi="Arial"/>
                <w:sz w:val="18"/>
                <w:szCs w:val="18"/>
                <w:b w:val="1"/>
                <w:bCs w:val="1"/>
                <w:color w:val="auto"/>
              </w:rPr>
              <w:t>Change in Rates</w:t>
            </w:r>
          </w:p>
        </w:tc>
        <w:tc>
          <w:tcPr>
            <w:tcW w:w="112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w w:val="85"/>
              </w:rPr>
              <w:t>Shock</w:t>
            </w:r>
          </w:p>
        </w:tc>
        <w:tc>
          <w:tcPr>
            <w:tcW w:w="460" w:type="dxa"/>
            <w:vAlign w:val="bottom"/>
            <w:tcBorders>
              <w:bottom w:val="single" w:sz="8" w:color="F0FFFF"/>
            </w:tcBorders>
          </w:tcPr>
          <w:p>
            <w:pPr>
              <w:spacing w:after="0"/>
              <w:rPr>
                <w:sz w:val="19"/>
                <w:szCs w:val="19"/>
                <w:color w:val="auto"/>
              </w:rPr>
            </w:pPr>
          </w:p>
        </w:tc>
        <w:tc>
          <w:tcPr>
            <w:tcW w:w="110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w w:val="91"/>
              </w:rPr>
              <w:t>Ramp</w:t>
            </w:r>
          </w:p>
        </w:tc>
        <w:tc>
          <w:tcPr>
            <w:tcW w:w="460" w:type="dxa"/>
            <w:vAlign w:val="bottom"/>
            <w:tcBorders>
              <w:bottom w:val="single" w:sz="8" w:color="F0FF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w w:val="85"/>
              </w:rPr>
              <w:t>Shock</w:t>
            </w:r>
          </w:p>
        </w:tc>
        <w:tc>
          <w:tcPr>
            <w:tcW w:w="460" w:type="dxa"/>
            <w:vAlign w:val="bottom"/>
            <w:tcBorders>
              <w:bottom w:val="single" w:sz="8" w:color="F0FFFF"/>
            </w:tcBorders>
          </w:tcPr>
          <w:p>
            <w:pPr>
              <w:spacing w:after="0"/>
              <w:rPr>
                <w:sz w:val="19"/>
                <w:szCs w:val="19"/>
                <w:color w:val="auto"/>
              </w:rPr>
            </w:pPr>
          </w:p>
        </w:tc>
        <w:tc>
          <w:tcPr>
            <w:tcW w:w="112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w w:val="91"/>
              </w:rPr>
              <w:t>Ramp</w:t>
            </w:r>
          </w:p>
        </w:tc>
        <w:tc>
          <w:tcPr>
            <w:tcW w:w="160" w:type="dxa"/>
            <w:vAlign w:val="bottom"/>
            <w:tcBorders>
              <w:bottom w:val="single" w:sz="8" w:color="F0FFFF"/>
            </w:tcBorders>
          </w:tcPr>
          <w:p>
            <w:pPr>
              <w:spacing w:after="0"/>
              <w:rPr>
                <w:sz w:val="19"/>
                <w:szCs w:val="19"/>
                <w:color w:val="auto"/>
              </w:rPr>
            </w:pPr>
          </w:p>
        </w:tc>
      </w:tr>
      <w:tr>
        <w:trPr>
          <w:trHeight w:val="216"/>
        </w:trPr>
        <w:tc>
          <w:tcPr>
            <w:tcW w:w="4300" w:type="dxa"/>
            <w:vAlign w:val="bottom"/>
            <w:shd w:val="clear" w:color="auto" w:fill="F0FFFF"/>
          </w:tcPr>
          <w:p>
            <w:pPr>
              <w:ind w:left="40"/>
              <w:spacing w:after="0"/>
              <w:rPr>
                <w:sz w:val="20"/>
                <w:szCs w:val="20"/>
                <w:color w:val="auto"/>
              </w:rPr>
            </w:pPr>
            <w:r>
              <w:rPr>
                <w:rFonts w:ascii="Arial" w:cs="Arial" w:eastAsia="Arial" w:hAnsi="Arial"/>
                <w:sz w:val="18"/>
                <w:szCs w:val="18"/>
                <w:color w:val="auto"/>
              </w:rPr>
              <w:t>200 basis point increase</w:t>
            </w:r>
          </w:p>
        </w:tc>
        <w:tc>
          <w:tcPr>
            <w:tcW w:w="158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1.6%</w:t>
            </w:r>
          </w:p>
        </w:tc>
        <w:tc>
          <w:tcPr>
            <w:tcW w:w="156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1.6%</w:t>
            </w:r>
          </w:p>
        </w:tc>
        <w:tc>
          <w:tcPr>
            <w:tcW w:w="3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320"/>
              <w:spacing w:after="0"/>
              <w:rPr>
                <w:sz w:val="20"/>
                <w:szCs w:val="20"/>
                <w:color w:val="auto"/>
              </w:rPr>
            </w:pPr>
            <w:r>
              <w:rPr>
                <w:rFonts w:ascii="Arial" w:cs="Arial" w:eastAsia="Arial" w:hAnsi="Arial"/>
                <w:sz w:val="18"/>
                <w:szCs w:val="18"/>
                <w:color w:val="auto"/>
              </w:rPr>
              <w:t>2.1%</w:t>
            </w:r>
          </w:p>
        </w:tc>
        <w:tc>
          <w:tcPr>
            <w:tcW w:w="12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2.3%</w:t>
            </w: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during the life of the instruments.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on a net basis within an acceptable timeframe, thereby minimizing the adverse effect of interest rate changes on net interest revenue.</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United may have some discretion in the extent and timing of deposit re-pricing depending upon the competitive pressures in the markets in which it operates.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manage interest rate sensitivity, United periodically enters into off-balance sheet contracts that are considered derivative financial instruments. Derivative financial instruments can be a cost-effective and capital-effective means of modifying the re-pricing characteristics of on-balance sheet assets and liabilities. These contracts generally consist of interest rate swaps under which United pays a variable rate (or fixed rate, as the case may be) and receives a fixed rate (or variable rate, as the case may be).</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United’s derivative financial instruments that are designated as accounting hedges are classified as either cash flow or fair value hedges. The change in fair value of cash flow hedges is recognized in other comprehensive income. Fair value hedges recognize in earnings both the effect of the change in the fair value of the derivative financial instrument and the offsetting effect of the change in fair value of the hedged asset or liability associated with the particular risk of that asset or liability being hedged. United has other derivative financial instruments that are not designated as accounting hedges but are used for interest rate risk management purposes and as an effective economic hedge. Derivative financial instruments that are not accounted for as an accounting hedge are recorded at fair value, with subsequent changes in value recorded through earnings.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derivative instruments, United uses a variety of balance sheet instruments to manage interest rate risk such as Investment Portfolio holdings, wholesale funding, and bank-issued deposits.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United will terminate derivative positions when conditions change and the position is no longer necessary to manage United’s overall sensitivity to changes in interest rates. In those situations where the terminated contract was in an effective hedging relationship at the time of termination and the hedging relationship is expected to remain effective throughout the original term of the contract, the resulting gain or loss is amortized over the remaining life of the original contract. For swap contracts, the gain or loss is amortized over the remaining original contract term using the straight line method of amortization. United expects that $1.83 million will be reclassified as an increase to interest expense from other comprehensive income over the next twelve months related to these terminated cash flow hedges.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policy requires all non-customer facing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minimal and should not have any material effect on our financial condition or results of operations. In order to mitigate potential credit risk, from time to time United may require the counterparties to derivative contracts to pledge securities as collateral to cover the net exposure.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Management</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objective of liquidity management is to ensure that sufficient funding is available, at a reasonable cost, to meet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To assist in determining the adequacy of its liquidity, United performs a variety of liquidity stress tests including idiosyncratic, systemic and combined scenarios for both moderate and severe events. Liquidity is defined as the ability to convert assets into cash or cash equivalents without significant loss and to raise additional funds by increasing liabilities. Liquidity management involves maintaining the ability to meet the daily cash flow requirements of customers, both depositors and borrowers.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1" w:name="page72"/>
    <w:bookmarkEnd w:id="71"/>
    <w:p>
      <w:pPr>
        <w:jc w:val="both"/>
        <w:ind w:right="20"/>
        <w:spacing w:after="0" w:line="277" w:lineRule="auto"/>
        <w:rPr>
          <w:sz w:val="20"/>
          <w:szCs w:val="20"/>
          <w:color w:val="auto"/>
        </w:rPr>
      </w:pPr>
      <w:r>
        <w:rPr>
          <w:rFonts w:ascii="Arial" w:cs="Arial" w:eastAsia="Arial" w:hAnsi="Arial"/>
          <w:sz w:val="18"/>
          <w:szCs w:val="18"/>
          <w:color w:val="auto"/>
        </w:rPr>
        <w:t>United maintains an unencumbered liquid asset reserve to ensure its ability to meet its obligations. The size of the reserve is determined through severe liquidity stress testing and covers a 30 day period.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asset portion of the balance sheet provides liquidity primarily through loan principal repayments and the maturities and sales of securities, as well as the ability to use these as collateral for borrowings on a secured basis. We also maintain excess funds in short-term interest-bearing assets that provide additional liquidity. Mortgage loans held for sale totaled $22.0 million at June 30, 2015, and typically turn over every 45 days as the closed loans are sold to investors in the secondary market.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liability section of the balance sheet provides liquidity through interest-bearing and noninterest-bearing deposit accounts. Federal funds purchased, Federal Reserve short-term borrowings, FHLB advances and securities sold under agreements to repurchase are additional sources of liquidity and represent United’s incremental borrowing capacity. These sources of liquidity are generally short-term in nature and are used as necessary to fund asset growth and meet other short-term liquidity needs.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June 30, 2015, United had cash and cash equivalent balances of $205 million and had sufficient qualifying collateral to increase FHLB advances by $1.03 billion and Federal Reserve discount window borrowing capacity of $818 million. United also has the ability to raise substantial funds through brokered deposits. In addition to these wholesale sources, United has the ability to attract retail deposits by competing more aggressively on pricing.</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disclosed in United’s consolidated statement of cash flows, net cash provided by operating activities was $56.5 million for the six months ended June 30, 2015. The net income of $35.5 million for the six month period included the deferred income tax expense of $18.5 million, and non-cash expenses for the following: provision for credit losses of $2.70 million, depreciation, amortization and accretion of $10.9 million and stock-based compensation expense of $2.18 million. These sources of cash from operating activities were offset by the following uses of cash: decrease in accrued expenses and other liabilities of $3.0 million and increase in mortgage loans held for sale of $6.92 million. Net cash used in investing activities of $230 million consisted primarily of a $265 million net increase in loans and purchases of investment securities totaling $312 million. These uses of cash were partially offset by $35.5 million in proceeds from maturities and calls of investment securities held-to-maturity, $137 million in proceeds from the sale of investment securities available-for-sale, $135 million in proceeds from maturities and calls of investment securities available-for-sale and $44.6 million in net cash received in the MoneyTree acquisition. Net cash provided by financing activities of $186 million consisted primarily of a net increase in deposits of $112 million and a net increase in FHLB advances of $92.9 million partially offset by $16.0 million in payments to redeem trust preferred securities and $6.19 million in dividends to common shareholders. In the opinion of management, United’s liquidity position at June 30, 2015, was sufficient to meet its expected cash flow requirements.</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because United’s holding company is a separate entity and apart from the Bank, it must provide for its own liquidity. United’s holding company is responsible for the payment of dividends declared for its common and preferred shareholders, and interest and principal on any outstanding debt or trust preferred securities. United’s holding company currently has internal capital resources to meet these obligations. Substantially all of United’s holding company’s liquidity is obtained from subsidiary service fees and dividends from the Bank, which are limited by applicable law.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Shareholders’ equity at June 30, 2015 was $827 million, an increase of $87.7 million from December 31, 2014 due to the issuance of stock for the acquisition of MoneyTree, year-to-date earnings less common dividends declared, and an increase in the value of available for sale securities. Accumulated other comprehensive loss, which includes unrealized gains and losses on securities available-for-sale, the unrealized gains and losses on derivatives qualifying as cash flow hedges and unamortized prior service cost and actuarial gains and losses on United’s modified retirement plan, is excluded in the calculation of regulatory capital adequacy ratios.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Board of Governors of the Federal Reserve System and the FDIC have approved final rules implementing the Basel III Capital Rules establishing a new comprehensive capital framework applicable to all depository institutions, bank holding companies with total consolidated assets of $500 million of more and all savings and loan holding companies except for those that are substantially engaged in insurance underwriting or commercial activities. Under the Basel III Capital Rules, minimum requirements have increased for both the quantity and quality of capital held by United. The Basel III Capital Rules include a new common equity Tier 1 capital to risk-weighted assets minimum ratio of 4.5% and, for prompt corrective action purposes, a “well capitalized” ratio of 6.5%, raise the minimum ratio of Tier 1 capital to risk-weighted assets from 4.0% to 6.0%, require a minimum ratio of Total Capital to risk-weighted assets of 8.0%, and require a minimum Tier 1 leverage ratio of 4.0%. A new capital conservation buffer, comprised of common equity Tier 1 capital, is also established above the regulatory minimum capital requirements. This capital conservation buffer will be phased in beginning January 1, 2016 at 0.625% of risk-weighted assets and increase each subsequent year by an additional 0.625% until reaching its final level of 2.5% on January 1, 2019. Strict eligibility criteria for regulatory capital instruments were also implemented under the Basel III Capital Rules. The Basel III Capital Rules also revise the definition and calculation of Tier 1 capital, Total Capital, and risk-weighted assets.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72" w:name="page73"/>
    <w:bookmarkEnd w:id="72"/>
    <w:p>
      <w:pPr>
        <w:jc w:val="both"/>
        <w:spacing w:after="0" w:line="286" w:lineRule="auto"/>
        <w:rPr>
          <w:sz w:val="20"/>
          <w:szCs w:val="20"/>
          <w:color w:val="auto"/>
        </w:rPr>
      </w:pPr>
      <w:r>
        <w:rPr>
          <w:rFonts w:ascii="Arial" w:cs="Arial" w:eastAsia="Arial" w:hAnsi="Arial"/>
          <w:sz w:val="17"/>
          <w:szCs w:val="17"/>
          <w:color w:val="auto"/>
        </w:rPr>
        <w:t>The Basel III Capital Rules became effective for United on January 1, 2015 subject to a phase in period. The following table shows United’s capital ratios, as calculated under applicable regulatory guidelines, at June 30, 2015, December 31, 2014 and June 30, 2014. As of June 30, 2015, United’s capital levels remained characterized as “well-capitalized” under the Basel III Capital Rules based on the rules in effect at the time.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14 - Capital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6779895</wp:posOffset>
            </wp:positionH>
            <wp:positionV relativeFrom="paragraph">
              <wp:posOffset>-119380</wp:posOffset>
            </wp:positionV>
            <wp:extent cx="471805" cy="128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71805" cy="128651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5"/>
          </w:tcPr>
          <w:p>
            <w:pPr>
              <w:ind w:left="1120"/>
              <w:spacing w:after="0"/>
              <w:rPr>
                <w:sz w:val="20"/>
                <w:szCs w:val="20"/>
                <w:color w:val="auto"/>
              </w:rPr>
            </w:pPr>
            <w:r>
              <w:rPr>
                <w:rFonts w:ascii="Arial" w:cs="Arial" w:eastAsia="Arial" w:hAnsi="Arial"/>
                <w:sz w:val="18"/>
                <w:szCs w:val="18"/>
                <w:b w:val="1"/>
                <w:bCs w:val="1"/>
                <w:color w:val="auto"/>
              </w:rPr>
              <w:t>June 30, 2015</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3140" w:type="dxa"/>
            <w:vAlign w:val="bottom"/>
            <w:gridSpan w:val="4"/>
          </w:tcPr>
          <w:p>
            <w:pPr>
              <w:ind w:left="740"/>
              <w:spacing w:after="0"/>
              <w:rPr>
                <w:sz w:val="20"/>
                <w:szCs w:val="20"/>
                <w:color w:val="auto"/>
              </w:rPr>
            </w:pPr>
            <w:r>
              <w:rPr>
                <w:rFonts w:ascii="Arial" w:cs="Arial" w:eastAsia="Arial" w:hAnsi="Arial"/>
                <w:sz w:val="18"/>
                <w:szCs w:val="18"/>
                <w:b w:val="1"/>
                <w:bCs w:val="1"/>
                <w:color w:val="auto"/>
              </w:rPr>
              <w:t>Basel III Guidelines</w:t>
            </w:r>
          </w:p>
        </w:tc>
        <w:tc>
          <w:tcPr>
            <w:tcW w:w="200" w:type="dxa"/>
            <w:vAlign w:val="bottom"/>
          </w:tcPr>
          <w:p>
            <w:pPr>
              <w:spacing w:after="0"/>
              <w:rPr>
                <w:sz w:val="19"/>
                <w:szCs w:val="19"/>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United</w:t>
            </w:r>
          </w:p>
        </w:tc>
        <w:tc>
          <w:tcPr>
            <w:tcW w:w="220" w:type="dxa"/>
            <w:vAlign w:val="bottom"/>
          </w:tcPr>
          <w:p>
            <w:pPr>
              <w:spacing w:after="0"/>
              <w:rPr>
                <w:sz w:val="19"/>
                <w:szCs w:val="19"/>
                <w:color w:val="auto"/>
              </w:rPr>
            </w:pPr>
          </w:p>
        </w:tc>
        <w:tc>
          <w:tcPr>
            <w:tcW w:w="138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United</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7"/>
              </w:rPr>
              <w:t>Well</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2"/>
              </w:rPr>
              <w:t>Community</w:t>
            </w:r>
          </w:p>
        </w:tc>
        <w:tc>
          <w:tcPr>
            <w:tcW w:w="220" w:type="dxa"/>
            <w:vAlign w:val="bottom"/>
          </w:tcPr>
          <w:p>
            <w:pPr>
              <w:spacing w:after="0"/>
              <w:rPr>
                <w:sz w:val="17"/>
                <w:szCs w:val="17"/>
                <w:color w:val="auto"/>
              </w:rPr>
            </w:pPr>
          </w:p>
        </w:tc>
        <w:tc>
          <w:tcPr>
            <w:tcW w:w="2120" w:type="dxa"/>
            <w:vAlign w:val="bottom"/>
            <w:gridSpan w:val="2"/>
          </w:tcPr>
          <w:p>
            <w:pPr>
              <w:jc w:val="center"/>
              <w:ind w:right="960"/>
              <w:spacing w:after="0" w:line="198" w:lineRule="exact"/>
              <w:rPr>
                <w:sz w:val="20"/>
                <w:szCs w:val="20"/>
                <w:color w:val="auto"/>
              </w:rPr>
            </w:pPr>
            <w:r>
              <w:rPr>
                <w:rFonts w:ascii="Arial" w:cs="Arial" w:eastAsia="Arial" w:hAnsi="Arial"/>
                <w:sz w:val="18"/>
                <w:szCs w:val="18"/>
                <w:b w:val="1"/>
                <w:bCs w:val="1"/>
                <w:color w:val="auto"/>
                <w:w w:val="92"/>
              </w:rPr>
              <w:t>Community</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560" w:type="dxa"/>
            <w:vAlign w:val="bottom"/>
            <w:gridSpan w:val="2"/>
          </w:tcPr>
          <w:p>
            <w:pPr>
              <w:ind w:left="340"/>
              <w:spacing w:after="0"/>
              <w:rPr>
                <w:sz w:val="20"/>
                <w:szCs w:val="20"/>
                <w:color w:val="auto"/>
              </w:rPr>
            </w:pPr>
            <w:r>
              <w:rPr>
                <w:rFonts w:ascii="Arial" w:cs="Arial" w:eastAsia="Arial" w:hAnsi="Arial"/>
                <w:sz w:val="18"/>
                <w:szCs w:val="18"/>
                <w:b w:val="1"/>
                <w:bCs w:val="1"/>
                <w:color w:val="auto"/>
              </w:rPr>
              <w:t>Minimum</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Capitalized</w:t>
            </w:r>
          </w:p>
        </w:tc>
        <w:tc>
          <w:tcPr>
            <w:tcW w:w="20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Banks, Inc.</w:t>
            </w:r>
          </w:p>
        </w:tc>
        <w:tc>
          <w:tcPr>
            <w:tcW w:w="220" w:type="dxa"/>
            <w:vAlign w:val="bottom"/>
          </w:tcPr>
          <w:p>
            <w:pPr>
              <w:spacing w:after="0"/>
              <w:rPr>
                <w:sz w:val="20"/>
                <w:szCs w:val="20"/>
                <w:color w:val="auto"/>
              </w:rPr>
            </w:pPr>
          </w:p>
        </w:tc>
        <w:tc>
          <w:tcPr>
            <w:tcW w:w="212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0"/>
              </w:rPr>
              <w:t>Bank</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F0FFFF"/>
          </w:tcPr>
          <w:p>
            <w:pPr>
              <w:spacing w:after="0"/>
              <w:rPr>
                <w:sz w:val="20"/>
                <w:szCs w:val="20"/>
                <w:color w:val="auto"/>
              </w:rPr>
            </w:pPr>
            <w:r>
              <w:rPr>
                <w:rFonts w:ascii="Arial" w:cs="Arial" w:eastAsia="Arial" w:hAnsi="Arial"/>
                <w:sz w:val="18"/>
                <w:szCs w:val="18"/>
                <w:color w:val="auto"/>
              </w:rPr>
              <w:t>Risk-based ratios:</w:t>
            </w:r>
          </w:p>
        </w:tc>
        <w:tc>
          <w:tcPr>
            <w:tcW w:w="14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3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3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Common equity tier 1 capital</w:t>
            </w:r>
          </w:p>
        </w:tc>
        <w:tc>
          <w:tcPr>
            <w:tcW w:w="1460" w:type="dxa"/>
            <w:vAlign w:val="bottom"/>
          </w:tcPr>
          <w:p>
            <w:pPr>
              <w:ind w:left="1080"/>
              <w:spacing w:after="0"/>
              <w:rPr>
                <w:sz w:val="20"/>
                <w:szCs w:val="20"/>
                <w:color w:val="auto"/>
              </w:rPr>
            </w:pPr>
            <w:r>
              <w:rPr>
                <w:rFonts w:ascii="Arial" w:cs="Arial" w:eastAsia="Arial" w:hAnsi="Arial"/>
                <w:sz w:val="18"/>
                <w:szCs w:val="18"/>
                <w:color w:val="auto"/>
                <w:w w:val="87"/>
              </w:rPr>
              <w:t>4.5%</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11.99%</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Tier I capital</w:t>
            </w:r>
          </w:p>
        </w:tc>
        <w:tc>
          <w:tcPr>
            <w:tcW w:w="1460" w:type="dxa"/>
            <w:vAlign w:val="bottom"/>
            <w:shd w:val="clear" w:color="auto" w:fill="F0FFFF"/>
          </w:tcPr>
          <w:p>
            <w:pPr>
              <w:ind w:left="108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F0FFFF"/>
          </w:tcPr>
          <w:p>
            <w:pPr>
              <w:spacing w:after="0"/>
              <w:rPr>
                <w:sz w:val="18"/>
                <w:szCs w:val="18"/>
                <w:color w:val="auto"/>
              </w:rPr>
            </w:pPr>
          </w:p>
        </w:tc>
        <w:tc>
          <w:tcPr>
            <w:tcW w:w="14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38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38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11.99</w:t>
            </w:r>
          </w:p>
        </w:tc>
        <w:tc>
          <w:tcPr>
            <w:tcW w:w="7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Total capital</w:t>
            </w:r>
          </w:p>
        </w:tc>
        <w:tc>
          <w:tcPr>
            <w:tcW w:w="1460" w:type="dxa"/>
            <w:vAlign w:val="bottom"/>
          </w:tcPr>
          <w:p>
            <w:pPr>
              <w:ind w:left="108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13.07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13.24</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F0FFFF"/>
          </w:tcPr>
          <w:p>
            <w:pPr>
              <w:spacing w:after="0"/>
              <w:rPr>
                <w:sz w:val="20"/>
                <w:szCs w:val="20"/>
                <w:color w:val="auto"/>
              </w:rPr>
            </w:pPr>
            <w:r>
              <w:rPr>
                <w:rFonts w:ascii="Arial" w:cs="Arial" w:eastAsia="Arial" w:hAnsi="Arial"/>
                <w:sz w:val="18"/>
                <w:szCs w:val="18"/>
                <w:color w:val="auto"/>
              </w:rPr>
              <w:t>Tier 1 leverage ratio</w:t>
            </w:r>
          </w:p>
        </w:tc>
        <w:tc>
          <w:tcPr>
            <w:tcW w:w="1460" w:type="dxa"/>
            <w:vAlign w:val="bottom"/>
            <w:shd w:val="clear" w:color="auto" w:fill="F0FFFF"/>
          </w:tcPr>
          <w:p>
            <w:pPr>
              <w:ind w:left="108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F0FFFF"/>
          </w:tcPr>
          <w:p>
            <w:pPr>
              <w:spacing w:after="0"/>
              <w:rPr>
                <w:sz w:val="18"/>
                <w:szCs w:val="18"/>
                <w:color w:val="auto"/>
              </w:rPr>
            </w:pPr>
          </w:p>
        </w:tc>
        <w:tc>
          <w:tcPr>
            <w:tcW w:w="14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38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38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9.09</w:t>
            </w:r>
          </w:p>
        </w:tc>
        <w:tc>
          <w:tcPr>
            <w:tcW w:w="7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F0FFFF"/>
          </w:tcPr>
          <w:p>
            <w:pPr>
              <w:spacing w:after="0"/>
              <w:rPr>
                <w:sz w:val="20"/>
                <w:szCs w:val="20"/>
                <w:color w:val="auto"/>
              </w:rPr>
            </w:pPr>
            <w:r>
              <w:rPr>
                <w:rFonts w:ascii="Arial" w:cs="Arial" w:eastAsia="Arial" w:hAnsi="Arial"/>
                <w:sz w:val="18"/>
                <w:szCs w:val="18"/>
                <w:color w:val="auto"/>
              </w:rPr>
              <w:t>Common equity tier 1 capital</w:t>
            </w:r>
          </w:p>
        </w:tc>
        <w:tc>
          <w:tcPr>
            <w:tcW w:w="14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713,490</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690,533</w:t>
            </w:r>
          </w:p>
        </w:tc>
        <w:tc>
          <w:tcPr>
            <w:tcW w:w="7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Tier I capital</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713,490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690,533</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Total capital</w:t>
            </w:r>
          </w:p>
        </w:tc>
        <w:tc>
          <w:tcPr>
            <w:tcW w:w="14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38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786,199</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38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762,538</w:t>
            </w:r>
          </w:p>
        </w:tc>
        <w:tc>
          <w:tcPr>
            <w:tcW w:w="7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F0FFFF"/>
          </w:tcPr>
          <w:p>
            <w:pPr>
              <w:ind w:left="220"/>
              <w:spacing w:after="0"/>
              <w:rPr>
                <w:sz w:val="20"/>
                <w:szCs w:val="20"/>
                <w:color w:val="auto"/>
              </w:rPr>
            </w:pPr>
            <w:r>
              <w:rPr>
                <w:rFonts w:ascii="Arial" w:cs="Arial" w:eastAsia="Arial" w:hAnsi="Arial"/>
                <w:sz w:val="18"/>
                <w:szCs w:val="18"/>
                <w:color w:val="auto"/>
              </w:rPr>
              <w:t>Risk-weighted assets</w:t>
            </w:r>
          </w:p>
        </w:tc>
        <w:tc>
          <w:tcPr>
            <w:tcW w:w="14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38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6,014,899</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38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5,759,700</w:t>
            </w:r>
          </w:p>
        </w:tc>
        <w:tc>
          <w:tcPr>
            <w:tcW w:w="74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Average total assets</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7,848,168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7,592,902</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6779895</wp:posOffset>
            </wp:positionH>
            <wp:positionV relativeFrom="paragraph">
              <wp:posOffset>-1380490</wp:posOffset>
            </wp:positionV>
            <wp:extent cx="47180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71805" cy="137160"/>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-1106170</wp:posOffset>
            </wp:positionV>
            <wp:extent cx="471805"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71805" cy="137160"/>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-831850</wp:posOffset>
            </wp:positionV>
            <wp:extent cx="471805"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71805" cy="137160"/>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-557530</wp:posOffset>
            </wp:positionV>
            <wp:extent cx="471805"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71805" cy="137160"/>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-282575</wp:posOffset>
            </wp:positionV>
            <wp:extent cx="471805"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71805" cy="137160"/>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6"/>
              </w:rPr>
              <w:t>United Community Banks, Inc.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46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Basel I Guidelines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(Consolidated)</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United Community Bank</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330"/>
              <w:spacing w:after="0" w:line="198" w:lineRule="exact"/>
              <w:rPr>
                <w:sz w:val="20"/>
                <w:szCs w:val="20"/>
                <w:color w:val="auto"/>
              </w:rPr>
            </w:pPr>
            <w:r>
              <w:rPr>
                <w:rFonts w:ascii="Arial" w:cs="Arial" w:eastAsia="Arial" w:hAnsi="Arial"/>
                <w:sz w:val="18"/>
                <w:szCs w:val="18"/>
                <w:b w:val="1"/>
                <w:bCs w:val="1"/>
                <w:color w:val="auto"/>
              </w:rPr>
              <w:t>Well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ind w:left="40"/>
              <w:spacing w:after="0" w:line="198" w:lineRule="exact"/>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7"/>
                <w:szCs w:val="17"/>
                <w:color w:val="auto"/>
              </w:rPr>
            </w:pPr>
          </w:p>
        </w:tc>
        <w:tc>
          <w:tcPr>
            <w:tcW w:w="1160" w:type="dxa"/>
            <w:vAlign w:val="bottom"/>
          </w:tcPr>
          <w:p>
            <w:pPr>
              <w:jc w:val="right"/>
              <w:ind w:right="290"/>
              <w:spacing w:after="0" w:line="198" w:lineRule="exact"/>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230"/>
              <w:spacing w:after="0" w:line="198"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80" w:type="dxa"/>
            <w:vAlign w:val="bottom"/>
            <w:gridSpan w:val="2"/>
          </w:tcPr>
          <w:p>
            <w:pPr>
              <w:ind w:left="200"/>
              <w:spacing w:after="0"/>
              <w:rPr>
                <w:sz w:val="20"/>
                <w:szCs w:val="20"/>
                <w:color w:val="auto"/>
              </w:rPr>
            </w:pPr>
            <w:r>
              <w:rPr>
                <w:rFonts w:ascii="Arial" w:cs="Arial" w:eastAsia="Arial" w:hAnsi="Arial"/>
                <w:sz w:val="18"/>
                <w:szCs w:val="18"/>
                <w:b w:val="1"/>
                <w:bCs w:val="1"/>
                <w:color w:val="auto"/>
              </w:rPr>
              <w:t>Minimum</w:t>
            </w:r>
          </w:p>
        </w:tc>
        <w:tc>
          <w:tcPr>
            <w:tcW w:w="1180" w:type="dxa"/>
            <w:vAlign w:val="bottom"/>
          </w:tcPr>
          <w:p>
            <w:pPr>
              <w:jc w:val="right"/>
              <w:ind w:right="50"/>
              <w:spacing w:after="0"/>
              <w:rPr>
                <w:sz w:val="20"/>
                <w:szCs w:val="20"/>
                <w:color w:val="auto"/>
              </w:rPr>
            </w:pPr>
            <w:r>
              <w:rPr>
                <w:rFonts w:ascii="Arial" w:cs="Arial" w:eastAsia="Arial" w:hAnsi="Arial"/>
                <w:sz w:val="18"/>
                <w:szCs w:val="18"/>
                <w:b w:val="1"/>
                <w:bCs w:val="1"/>
                <w:color w:val="auto"/>
              </w:rPr>
              <w:t>Capitalized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F0FFFF"/>
          </w:tcPr>
          <w:p>
            <w:pPr>
              <w:spacing w:after="0"/>
              <w:rPr>
                <w:sz w:val="20"/>
                <w:szCs w:val="20"/>
                <w:color w:val="auto"/>
              </w:rPr>
            </w:pPr>
            <w:r>
              <w:rPr>
                <w:rFonts w:ascii="Arial" w:cs="Arial" w:eastAsia="Arial" w:hAnsi="Arial"/>
                <w:sz w:val="18"/>
                <w:szCs w:val="18"/>
                <w:color w:val="auto"/>
              </w:rPr>
              <w:t>Risk-based ratios:</w:t>
            </w:r>
          </w:p>
        </w:tc>
        <w:tc>
          <w:tcPr>
            <w:tcW w:w="11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jc w:val="center"/>
              <w:ind w:right="1490"/>
              <w:spacing w:after="0"/>
              <w:rPr>
                <w:sz w:val="20"/>
                <w:szCs w:val="20"/>
                <w:color w:val="auto"/>
              </w:rPr>
            </w:pPr>
            <w:r>
              <w:rPr>
                <w:rFonts w:ascii="Arial" w:cs="Arial" w:eastAsia="Arial" w:hAnsi="Arial"/>
                <w:sz w:val="18"/>
                <w:szCs w:val="18"/>
                <w:color w:val="auto"/>
                <w:w w:val="93"/>
              </w:rPr>
              <w:t>Tier I capital</w:t>
            </w:r>
          </w:p>
        </w:tc>
        <w:tc>
          <w:tcPr>
            <w:tcW w:w="1160" w:type="dxa"/>
            <w:vAlign w:val="bottom"/>
          </w:tcPr>
          <w:p>
            <w:pPr>
              <w:ind w:left="780"/>
              <w:spacing w:after="0"/>
              <w:rPr>
                <w:sz w:val="20"/>
                <w:szCs w:val="20"/>
                <w:color w:val="auto"/>
              </w:rPr>
            </w:pPr>
            <w:r>
              <w:rPr>
                <w:rFonts w:ascii="Arial" w:cs="Arial" w:eastAsia="Arial" w:hAnsi="Arial"/>
                <w:sz w:val="18"/>
                <w:szCs w:val="18"/>
                <w:color w:val="auto"/>
                <w:w w:val="87"/>
              </w:rPr>
              <w:t>4.0%</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F0FFFF"/>
          </w:tcPr>
          <w:p>
            <w:pPr>
              <w:jc w:val="center"/>
              <w:ind w:right="1530"/>
              <w:spacing w:after="0"/>
              <w:rPr>
                <w:sz w:val="20"/>
                <w:szCs w:val="20"/>
                <w:color w:val="auto"/>
              </w:rPr>
            </w:pPr>
            <w:r>
              <w:rPr>
                <w:rFonts w:ascii="Arial" w:cs="Arial" w:eastAsia="Arial" w:hAnsi="Arial"/>
                <w:sz w:val="18"/>
                <w:szCs w:val="18"/>
                <w:color w:val="auto"/>
                <w:w w:val="90"/>
              </w:rPr>
              <w:t>Total capital</w:t>
            </w:r>
          </w:p>
        </w:tc>
        <w:tc>
          <w:tcPr>
            <w:tcW w:w="1160" w:type="dxa"/>
            <w:vAlign w:val="bottom"/>
            <w:shd w:val="clear" w:color="auto" w:fill="F0FFFF"/>
          </w:tcPr>
          <w:p>
            <w:pPr>
              <w:ind w:left="78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F0FFFF"/>
          </w:tcPr>
          <w:p>
            <w:pPr>
              <w:spacing w:after="0"/>
              <w:rPr>
                <w:sz w:val="18"/>
                <w:szCs w:val="18"/>
                <w:color w:val="auto"/>
              </w:rPr>
            </w:pPr>
          </w:p>
        </w:tc>
        <w:tc>
          <w:tcPr>
            <w:tcW w:w="118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13.30</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13.05</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14.09</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Leverage ratio</w:t>
            </w:r>
          </w:p>
        </w:tc>
        <w:tc>
          <w:tcPr>
            <w:tcW w:w="1160" w:type="dxa"/>
            <w:vAlign w:val="bottom"/>
          </w:tcPr>
          <w:p>
            <w:pPr>
              <w:ind w:left="78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Tier I capital</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642,663</w:t>
            </w:r>
          </w:p>
        </w:tc>
        <w:tc>
          <w:tcPr>
            <w:tcW w:w="12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598,673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683,332</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680,172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F0FFFF"/>
          </w:tcPr>
          <w:p>
            <w:pPr>
              <w:spacing w:after="0"/>
              <w:rPr>
                <w:sz w:val="20"/>
                <w:szCs w:val="20"/>
                <w:color w:val="auto"/>
              </w:rPr>
            </w:pPr>
            <w:r>
              <w:rPr>
                <w:rFonts w:ascii="Arial" w:cs="Arial" w:eastAsia="Arial" w:hAnsi="Arial"/>
                <w:sz w:val="18"/>
                <w:szCs w:val="18"/>
                <w:color w:val="auto"/>
              </w:rPr>
              <w:t>Total capital</w:t>
            </w:r>
          </w:p>
        </w:tc>
        <w:tc>
          <w:tcPr>
            <w:tcW w:w="11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709,408</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662,277</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749,927</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743,665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F0FFFF"/>
          </w:tcPr>
          <w:p>
            <w:pPr>
              <w:jc w:val="center"/>
              <w:ind w:right="1470"/>
              <w:spacing w:after="0"/>
              <w:rPr>
                <w:sz w:val="20"/>
                <w:szCs w:val="20"/>
                <w:color w:val="auto"/>
              </w:rPr>
            </w:pPr>
            <w:r>
              <w:rPr>
                <w:rFonts w:ascii="Arial" w:cs="Arial" w:eastAsia="Arial" w:hAnsi="Arial"/>
                <w:sz w:val="18"/>
                <w:szCs w:val="18"/>
                <w:color w:val="auto"/>
                <w:w w:val="88"/>
              </w:rPr>
              <w:t>Risk-weighted assets</w:t>
            </w:r>
          </w:p>
        </w:tc>
        <w:tc>
          <w:tcPr>
            <w:tcW w:w="11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5,332,822</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5,076,522</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5,320,615</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8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5,067,512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Average total assets</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7,396,450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7,225,333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7,385,048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7,225,922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Basel III guidelines for risk-based capital became effective January 1, 2015. The capital ratios shown above as of June 30, 2015 were calculated under the Basel III guidelines. Capital ratios for all other periods were calculated using the existing Basel I guidelines that were in effect at the time.</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United’s common stock trades on the Nasdaq Global Select Market under the symbol “UCBI”. Below is a quarterly schedule of high, low and closing stock prices and average daily volume for 2015 and 2014.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Table 15 - Stock Price Information</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2014</w:t>
            </w: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Avg Daily</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Avg Daily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840" w:type="dxa"/>
            <w:vAlign w:val="bottom"/>
            <w:gridSpan w:val="2"/>
          </w:tcPr>
          <w:p>
            <w:pPr>
              <w:ind w:left="180"/>
              <w:spacing w:after="0"/>
              <w:rPr>
                <w:sz w:val="20"/>
                <w:szCs w:val="20"/>
                <w:color w:val="auto"/>
              </w:rPr>
            </w:pPr>
            <w:r>
              <w:rPr>
                <w:rFonts w:ascii="Arial" w:cs="Arial" w:eastAsia="Arial" w:hAnsi="Arial"/>
                <w:sz w:val="18"/>
                <w:szCs w:val="18"/>
                <w:b w:val="1"/>
                <w:bCs w:val="1"/>
                <w:color w:val="auto"/>
              </w:rPr>
              <w:t>High</w:t>
            </w:r>
          </w:p>
        </w:tc>
        <w:tc>
          <w:tcPr>
            <w:tcW w:w="820" w:type="dxa"/>
            <w:vAlign w:val="bottom"/>
            <w:gridSpan w:val="2"/>
          </w:tcPr>
          <w:p>
            <w:pPr>
              <w:ind w:left="180"/>
              <w:spacing w:after="0"/>
              <w:rPr>
                <w:sz w:val="20"/>
                <w:szCs w:val="20"/>
                <w:color w:val="auto"/>
              </w:rPr>
            </w:pPr>
            <w:r>
              <w:rPr>
                <w:rFonts w:ascii="Arial" w:cs="Arial" w:eastAsia="Arial" w:hAnsi="Arial"/>
                <w:sz w:val="18"/>
                <w:szCs w:val="18"/>
                <w:b w:val="1"/>
                <w:bCs w:val="1"/>
                <w:color w:val="auto"/>
              </w:rPr>
              <w:t>Low</w:t>
            </w:r>
          </w:p>
        </w:tc>
        <w:tc>
          <w:tcPr>
            <w:tcW w:w="800" w:type="dxa"/>
            <w:vAlign w:val="bottom"/>
            <w:gridSpan w:val="2"/>
          </w:tcPr>
          <w:p>
            <w:pPr>
              <w:ind w:left="140"/>
              <w:spacing w:after="0"/>
              <w:rPr>
                <w:sz w:val="20"/>
                <w:szCs w:val="20"/>
                <w:color w:val="auto"/>
              </w:rPr>
            </w:pPr>
            <w:r>
              <w:rPr>
                <w:rFonts w:ascii="Arial" w:cs="Arial" w:eastAsia="Arial" w:hAnsi="Arial"/>
                <w:sz w:val="18"/>
                <w:szCs w:val="18"/>
                <w:b w:val="1"/>
                <w:bCs w:val="1"/>
                <w:color w:val="auto"/>
              </w:rPr>
              <w:t>Close</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Volume</w:t>
            </w:r>
          </w:p>
        </w:tc>
        <w:tc>
          <w:tcPr>
            <w:tcW w:w="800" w:type="dxa"/>
            <w:vAlign w:val="bottom"/>
            <w:gridSpan w:val="2"/>
          </w:tcPr>
          <w:p>
            <w:pPr>
              <w:ind w:left="160"/>
              <w:spacing w:after="0"/>
              <w:rPr>
                <w:sz w:val="20"/>
                <w:szCs w:val="20"/>
                <w:color w:val="auto"/>
              </w:rPr>
            </w:pPr>
            <w:r>
              <w:rPr>
                <w:rFonts w:ascii="Arial" w:cs="Arial" w:eastAsia="Arial" w:hAnsi="Arial"/>
                <w:sz w:val="18"/>
                <w:szCs w:val="18"/>
                <w:b w:val="1"/>
                <w:bCs w:val="1"/>
                <w:color w:val="auto"/>
              </w:rPr>
              <w:t>High</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Low</w:t>
            </w:r>
          </w:p>
        </w:tc>
        <w:tc>
          <w:tcPr>
            <w:tcW w:w="780" w:type="dxa"/>
            <w:vAlign w:val="bottom"/>
            <w:gridSpan w:val="2"/>
          </w:tcPr>
          <w:p>
            <w:pPr>
              <w:ind w:left="120"/>
              <w:spacing w:after="0"/>
              <w:rPr>
                <w:sz w:val="20"/>
                <w:szCs w:val="20"/>
                <w:color w:val="auto"/>
              </w:rPr>
            </w:pPr>
            <w:r>
              <w:rPr>
                <w:rFonts w:ascii="Arial" w:cs="Arial" w:eastAsia="Arial" w:hAnsi="Arial"/>
                <w:sz w:val="18"/>
                <w:szCs w:val="18"/>
                <w:b w:val="1"/>
                <w:bCs w:val="1"/>
                <w:color w:val="auto"/>
              </w:rPr>
              <w:t>Close</w:t>
            </w:r>
          </w:p>
        </w:tc>
        <w:tc>
          <w:tcPr>
            <w:tcW w:w="12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Volume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F0FFFF"/>
          </w:tcPr>
          <w:p>
            <w:pPr>
              <w:spacing w:after="0"/>
              <w:rPr>
                <w:sz w:val="20"/>
                <w:szCs w:val="20"/>
                <w:color w:val="auto"/>
              </w:rPr>
            </w:pPr>
            <w:r>
              <w:rPr>
                <w:rFonts w:ascii="Arial" w:cs="Arial" w:eastAsia="Arial" w:hAnsi="Arial"/>
                <w:sz w:val="18"/>
                <w:szCs w:val="18"/>
                <w:color w:val="auto"/>
              </w:rPr>
              <w:t>First quarter</w:t>
            </w: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  19.53</w:t>
            </w:r>
          </w:p>
        </w:tc>
        <w:tc>
          <w:tcPr>
            <w:tcW w:w="8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  16.48</w:t>
            </w:r>
          </w:p>
        </w:tc>
        <w:tc>
          <w:tcPr>
            <w:tcW w:w="7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  18.88</w:t>
            </w:r>
          </w:p>
        </w:tc>
        <w:tc>
          <w:tcPr>
            <w:tcW w:w="100" w:type="dxa"/>
            <w:vAlign w:val="bottom"/>
            <w:shd w:val="clear" w:color="auto" w:fill="F0FFFF"/>
          </w:tcPr>
          <w:p>
            <w:pPr>
              <w:spacing w:after="0"/>
              <w:rPr>
                <w:sz w:val="18"/>
                <w:szCs w:val="18"/>
                <w:color w:val="auto"/>
              </w:rPr>
            </w:pPr>
          </w:p>
        </w:tc>
        <w:tc>
          <w:tcPr>
            <w:tcW w:w="15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234,966</w:t>
            </w: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  20.28</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w w:val="98"/>
              </w:rPr>
              <w:t>$  15.74</w:t>
            </w:r>
          </w:p>
        </w:tc>
        <w:tc>
          <w:tcPr>
            <w:tcW w:w="6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8"/>
              </w:rPr>
              <w:t>$  19.41</w:t>
            </w:r>
          </w:p>
        </w:tc>
        <w:tc>
          <w:tcPr>
            <w:tcW w:w="12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494,205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Second quarter</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21.23</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17.91</w:t>
            </w:r>
          </w:p>
        </w:tc>
        <w:tc>
          <w:tcPr>
            <w:tcW w:w="700" w:type="dxa"/>
            <w:vAlign w:val="bottom"/>
          </w:tcPr>
          <w:p>
            <w:pPr>
              <w:jc w:val="right"/>
              <w:spacing w:after="0"/>
              <w:rPr>
                <w:sz w:val="20"/>
                <w:szCs w:val="20"/>
                <w:color w:val="auto"/>
              </w:rPr>
            </w:pPr>
            <w:r>
              <w:rPr>
                <w:rFonts w:ascii="Arial" w:cs="Arial" w:eastAsia="Arial" w:hAnsi="Arial"/>
                <w:sz w:val="18"/>
                <w:szCs w:val="18"/>
                <w:color w:val="auto"/>
              </w:rPr>
              <w:t>20.87</w:t>
            </w: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328,887</w:t>
            </w:r>
          </w:p>
        </w:tc>
        <w:tc>
          <w:tcPr>
            <w:tcW w:w="680" w:type="dxa"/>
            <w:vAlign w:val="bottom"/>
          </w:tcPr>
          <w:p>
            <w:pPr>
              <w:jc w:val="right"/>
              <w:spacing w:after="0"/>
              <w:rPr>
                <w:sz w:val="20"/>
                <w:szCs w:val="20"/>
                <w:color w:val="auto"/>
              </w:rPr>
            </w:pPr>
            <w:r>
              <w:rPr>
                <w:rFonts w:ascii="Arial" w:cs="Arial" w:eastAsia="Arial" w:hAnsi="Arial"/>
                <w:sz w:val="18"/>
                <w:szCs w:val="18"/>
                <w:color w:val="auto"/>
              </w:rPr>
              <w:t>19.87</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14.86</w:t>
            </w:r>
          </w:p>
        </w:tc>
        <w:tc>
          <w:tcPr>
            <w:tcW w:w="660" w:type="dxa"/>
            <w:vAlign w:val="bottom"/>
          </w:tcPr>
          <w:p>
            <w:pPr>
              <w:jc w:val="right"/>
              <w:spacing w:after="0"/>
              <w:rPr>
                <w:sz w:val="20"/>
                <w:szCs w:val="20"/>
                <w:color w:val="auto"/>
              </w:rPr>
            </w:pPr>
            <w:r>
              <w:rPr>
                <w:rFonts w:ascii="Arial" w:cs="Arial" w:eastAsia="Arial" w:hAnsi="Arial"/>
                <w:sz w:val="18"/>
                <w:szCs w:val="18"/>
                <w:color w:val="auto"/>
              </w:rPr>
              <w:t>16.37</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308,486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F0FFFF"/>
          </w:tcPr>
          <w:p>
            <w:pPr>
              <w:spacing w:after="0"/>
              <w:rPr>
                <w:sz w:val="20"/>
                <w:szCs w:val="20"/>
                <w:color w:val="auto"/>
              </w:rPr>
            </w:pPr>
            <w:r>
              <w:rPr>
                <w:rFonts w:ascii="Arial" w:cs="Arial" w:eastAsia="Arial" w:hAnsi="Arial"/>
                <w:sz w:val="18"/>
                <w:szCs w:val="18"/>
                <w:color w:val="auto"/>
              </w:rPr>
              <w:t>Third quarter</w:t>
            </w:r>
          </w:p>
        </w:tc>
        <w:tc>
          <w:tcPr>
            <w:tcW w:w="7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18.42</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15.42</w:t>
            </w:r>
          </w:p>
        </w:tc>
        <w:tc>
          <w:tcPr>
            <w:tcW w:w="6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16.46</w:t>
            </w:r>
          </w:p>
        </w:tc>
        <w:tc>
          <w:tcPr>
            <w:tcW w:w="12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331,109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Fourth quarter</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19.50</w:t>
            </w:r>
          </w:p>
        </w:tc>
        <w:tc>
          <w:tcPr>
            <w:tcW w:w="1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15.16</w:t>
            </w:r>
          </w:p>
        </w:tc>
        <w:tc>
          <w:tcPr>
            <w:tcW w:w="660" w:type="dxa"/>
            <w:vAlign w:val="bottom"/>
          </w:tcPr>
          <w:p>
            <w:pPr>
              <w:jc w:val="right"/>
              <w:spacing w:after="0"/>
              <w:rPr>
                <w:sz w:val="20"/>
                <w:szCs w:val="20"/>
                <w:color w:val="auto"/>
              </w:rPr>
            </w:pPr>
            <w:r>
              <w:rPr>
                <w:rFonts w:ascii="Arial" w:cs="Arial" w:eastAsia="Arial" w:hAnsi="Arial"/>
                <w:sz w:val="18"/>
                <w:szCs w:val="18"/>
                <w:color w:val="auto"/>
              </w:rPr>
              <w:t>18.94</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262,598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3760" w:type="dxa"/>
            <w:vAlign w:val="bottom"/>
            <w:tcBorders>
              <w:bottom w:val="single" w:sz="8" w:color="DCDCDC"/>
            </w:tcBorders>
          </w:tcPr>
          <w:p>
            <w:pPr>
              <w:spacing w:after="0"/>
              <w:rPr>
                <w:sz w:val="24"/>
                <w:szCs w:val="24"/>
                <w:color w:val="auto"/>
              </w:rPr>
            </w:pPr>
          </w:p>
        </w:tc>
        <w:tc>
          <w:tcPr>
            <w:tcW w:w="7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7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700" w:type="dxa"/>
            <w:vAlign w:val="bottom"/>
            <w:tcBorders>
              <w:bottom w:val="single" w:sz="8" w:color="DCDCDC"/>
            </w:tcBorders>
          </w:tcPr>
          <w:p>
            <w:pPr>
              <w:jc w:val="right"/>
              <w:ind w:right="25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DCDCDC"/>
            </w:tcBorders>
          </w:tcPr>
          <w:p>
            <w:pPr>
              <w:spacing w:after="0"/>
              <w:rPr>
                <w:sz w:val="24"/>
                <w:szCs w:val="24"/>
                <w:color w:val="auto"/>
              </w:rPr>
            </w:pPr>
          </w:p>
        </w:tc>
        <w:tc>
          <w:tcPr>
            <w:tcW w:w="14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6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6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6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40" w:type="dxa"/>
            <w:vAlign w:val="bottom"/>
            <w:tcBorders>
              <w:bottom w:val="single" w:sz="8" w:color="DCDCD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management believes the effect of inflation on financial results depends on United's ability to react to changes in interest rates, and by such reaction, reduce the inflationary effect on performance. United has an asset/liability management program to manage interest rate sensitivity. In addition, periodic reviews of banking services and products are conducted to adjust pricing in view of current and expected costs.</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material changes in United’s quantitative and qualitative disclosures about market risk as of June 30, 2015 from that presented in the Annual Report on Form 10-K for the year ended December 31, 2014. The interest rate sensitivity position at June 30, 2015 is included in management’s discussion and analysis on page 63 of this report.</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United’s management, including the Chief Executive Officer and Chief Financial Officer, supervised and participated in an evaluation of United’s disclosure controls and procedures as of June 30, 2015. Based on, and as of the date of that evaluation, United’s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required disclosures of that information under the SEC’s rules and forms and that the disclosure controls and procedures are designed to ensure that the information required to be disclosed in reports that are filed or submitted by United under the Exchange Act is recorded, processed, summarized and reported within the time periods specified in the SEC’s rules and forms.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significant changes in the internal controls or in other factors that could significantly affect these controls subsequent to the date of their evaluation.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 2015, United completed the acquisition of MoneyTree Corporation (“MoneyTree”) and its wholly-owned bank subsidiary, First National Bank (“FNB”). As permitted by the guidelines established by the SEC, management excluded it from the assessment of the effectiveness of internal control over financial reporting. The acquired assets and total revenue represented 5% of United’s total consolidated assets and 2% of consolidated total revenue, respectively, as of and for the period end covered by this report.</w:t>
      </w:r>
    </w:p>
    <w:p>
      <w:pPr>
        <w:spacing w:after="0" w:line="1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operations, United and the Bank are defendants in various legal proceedings. Additionally, in the ordinary course of business, United and the Bank are subject to regulatory examinations and investigations. Based on our current knowledge and advice of counsel, in the opinion of management there is no such pending or threatened legal matter which would result in a material adverse change in the consolidated financial condition or results of operations of United.</w:t>
      </w:r>
    </w:p>
    <w:p>
      <w:pPr>
        <w:spacing w:after="0" w:line="18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United’s Annual Report on Form 10-K for the year ended December 31, 2014.</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4" w:name="page75"/>
    <w:bookmarkEnd w:id="74"/>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 – None</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 – None</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 – None</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 – None</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78" w:right="1440"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2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1380" w:type="dxa"/>
            <w:vAlign w:val="bottom"/>
            <w:gridSpan w:val="2"/>
          </w:tcPr>
          <w:p>
            <w:pPr>
              <w:ind w:left="280"/>
              <w:spacing w:after="0"/>
              <w:rPr>
                <w:sz w:val="20"/>
                <w:szCs w:val="20"/>
                <w:color w:val="auto"/>
              </w:rPr>
            </w:pPr>
            <w:r>
              <w:rPr>
                <w:rFonts w:ascii="Arial" w:cs="Arial" w:eastAsia="Arial" w:hAnsi="Arial"/>
                <w:sz w:val="18"/>
                <w:szCs w:val="18"/>
                <w:color w:val="auto"/>
              </w:rPr>
              <w:t>Exhibit No.</w:t>
            </w:r>
          </w:p>
        </w:tc>
        <w:tc>
          <w:tcPr>
            <w:tcW w:w="10040" w:type="dxa"/>
            <w:vAlign w:val="bottom"/>
          </w:tcPr>
          <w:p>
            <w:pPr>
              <w:ind w:left="240"/>
              <w:spacing w:after="0"/>
              <w:rPr>
                <w:sz w:val="20"/>
                <w:szCs w:val="20"/>
                <w:color w:val="auto"/>
              </w:rPr>
            </w:pPr>
            <w:r>
              <w:rPr>
                <w:rFonts w:ascii="Arial" w:cs="Arial" w:eastAsia="Arial" w:hAnsi="Arial"/>
                <w:sz w:val="18"/>
                <w:szCs w:val="18"/>
                <w:color w:val="auto"/>
              </w:rPr>
              <w:t>Description</w:t>
            </w:r>
          </w:p>
        </w:tc>
      </w:tr>
      <w:tr>
        <w:trPr>
          <w:trHeight w:val="445"/>
        </w:trPr>
        <w:tc>
          <w:tcPr>
            <w:tcW w:w="900" w:type="dxa"/>
            <w:vAlign w:val="bottom"/>
          </w:tcPr>
          <w:p>
            <w:pPr>
              <w:ind w:left="460"/>
              <w:spacing w:after="0"/>
              <w:rPr>
                <w:sz w:val="20"/>
                <w:szCs w:val="20"/>
                <w:color w:val="auto"/>
              </w:rPr>
            </w:pPr>
            <w:r>
              <w:rPr>
                <w:rFonts w:ascii="Arial" w:cs="Arial" w:eastAsia="Arial" w:hAnsi="Arial"/>
                <w:sz w:val="18"/>
                <w:szCs w:val="18"/>
                <w:color w:val="auto"/>
              </w:rPr>
              <w:t>2.1</w:t>
            </w:r>
          </w:p>
        </w:tc>
        <w:tc>
          <w:tcPr>
            <w:tcW w:w="4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3"/>
              </w:rPr>
              <w:t>Agreement and Plan of Merger, dated April 22, 2015, by and between United Community Banks, Inc. and Palmetto Bancshares, Inc.</w:t>
            </w:r>
          </w:p>
        </w:tc>
      </w:tr>
      <w:tr>
        <w:trPr>
          <w:trHeight w:val="230"/>
        </w:trPr>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7"/>
              </w:rPr>
              <w:t>(incorporated herein by reference to Exhibit 2.1 to United’s Current Report on Form 8-K, filed with the SEC on April 22, 2015).</w:t>
            </w:r>
          </w:p>
        </w:tc>
      </w:tr>
      <w:tr>
        <w:trPr>
          <w:trHeight w:val="445"/>
        </w:trPr>
        <w:tc>
          <w:tcPr>
            <w:tcW w:w="900" w:type="dxa"/>
            <w:vAlign w:val="bottom"/>
          </w:tcPr>
          <w:p>
            <w:pPr>
              <w:ind w:left="460"/>
              <w:spacing w:after="0"/>
              <w:rPr>
                <w:sz w:val="20"/>
                <w:szCs w:val="20"/>
                <w:color w:val="auto"/>
              </w:rPr>
            </w:pPr>
            <w:r>
              <w:rPr>
                <w:rFonts w:ascii="Arial" w:cs="Arial" w:eastAsia="Arial" w:hAnsi="Arial"/>
                <w:sz w:val="18"/>
                <w:szCs w:val="18"/>
                <w:color w:val="auto"/>
              </w:rPr>
              <w:t>31.1</w:t>
            </w:r>
          </w:p>
        </w:tc>
        <w:tc>
          <w:tcPr>
            <w:tcW w:w="4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4"/>
              </w:rPr>
              <w:t>Certification by Jimmy C. Tallent, Chairman and Chief Executive Officer of United Community Banks, Inc., as adopted pursuant to</w:t>
            </w:r>
          </w:p>
        </w:tc>
      </w:tr>
      <w:tr>
        <w:trPr>
          <w:trHeight w:val="230"/>
        </w:trPr>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Section 302 of the Sarbanes-Oxley Act of 2002.</w:t>
            </w:r>
          </w:p>
        </w:tc>
      </w:tr>
      <w:tr>
        <w:trPr>
          <w:trHeight w:val="445"/>
        </w:trPr>
        <w:tc>
          <w:tcPr>
            <w:tcW w:w="900" w:type="dxa"/>
            <w:vAlign w:val="bottom"/>
          </w:tcPr>
          <w:p>
            <w:pPr>
              <w:ind w:left="460"/>
              <w:spacing w:after="0"/>
              <w:rPr>
                <w:sz w:val="20"/>
                <w:szCs w:val="20"/>
                <w:color w:val="auto"/>
              </w:rPr>
            </w:pPr>
            <w:r>
              <w:rPr>
                <w:rFonts w:ascii="Arial" w:cs="Arial" w:eastAsia="Arial" w:hAnsi="Arial"/>
                <w:sz w:val="18"/>
                <w:szCs w:val="18"/>
                <w:color w:val="auto"/>
              </w:rPr>
              <w:t>31.2</w:t>
            </w:r>
          </w:p>
        </w:tc>
        <w:tc>
          <w:tcPr>
            <w:tcW w:w="4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w w:val="93"/>
              </w:rPr>
              <w:t>Certification by Rex S. Schuette, Executive Vice President and Chief Financial Officer of United Community Banks, Inc., as adopted</w:t>
            </w:r>
          </w:p>
        </w:tc>
      </w:tr>
      <w:tr>
        <w:trPr>
          <w:trHeight w:val="230"/>
        </w:trPr>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459"/>
        </w:trPr>
        <w:tc>
          <w:tcPr>
            <w:tcW w:w="900" w:type="dxa"/>
            <w:vAlign w:val="bottom"/>
          </w:tcPr>
          <w:p>
            <w:pPr>
              <w:ind w:left="460"/>
              <w:spacing w:after="0"/>
              <w:rPr>
                <w:sz w:val="20"/>
                <w:szCs w:val="20"/>
                <w:color w:val="auto"/>
              </w:rPr>
            </w:pPr>
            <w:r>
              <w:rPr>
                <w:rFonts w:ascii="Arial" w:cs="Arial" w:eastAsia="Arial" w:hAnsi="Arial"/>
                <w:sz w:val="18"/>
                <w:szCs w:val="18"/>
                <w:color w:val="auto"/>
              </w:rPr>
              <w:t>32</w:t>
            </w:r>
          </w:p>
        </w:tc>
        <w:tc>
          <w:tcPr>
            <w:tcW w:w="480" w:type="dxa"/>
            <w:vAlign w:val="bottom"/>
          </w:tcPr>
          <w:p>
            <w:pPr>
              <w:spacing w:after="0"/>
              <w:rPr>
                <w:sz w:val="24"/>
                <w:szCs w:val="24"/>
                <w:color w:val="auto"/>
              </w:rPr>
            </w:pPr>
          </w:p>
        </w:tc>
        <w:tc>
          <w:tcPr>
            <w:tcW w:w="10040" w:type="dxa"/>
            <w:vAlign w:val="bottom"/>
          </w:tcPr>
          <w:p>
            <w:pPr>
              <w:ind w:left="2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86"/>
        </w:trPr>
        <w:tc>
          <w:tcPr>
            <w:tcW w:w="1380" w:type="dxa"/>
            <w:vAlign w:val="bottom"/>
            <w:gridSpan w:val="2"/>
          </w:tcPr>
          <w:p>
            <w:pPr>
              <w:ind w:left="460"/>
              <w:spacing w:after="0"/>
              <w:rPr>
                <w:sz w:val="20"/>
                <w:szCs w:val="20"/>
                <w:color w:val="auto"/>
              </w:rPr>
            </w:pPr>
            <w:r>
              <w:rPr>
                <w:rFonts w:ascii="Arial" w:cs="Arial" w:eastAsia="Arial" w:hAnsi="Arial"/>
                <w:sz w:val="18"/>
                <w:szCs w:val="18"/>
                <w:color w:val="auto"/>
              </w:rPr>
              <w:t>101.INS</w:t>
            </w:r>
          </w:p>
        </w:tc>
        <w:tc>
          <w:tcPr>
            <w:tcW w:w="100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486"/>
        </w:trPr>
        <w:tc>
          <w:tcPr>
            <w:tcW w:w="1380" w:type="dxa"/>
            <w:vAlign w:val="bottom"/>
            <w:gridSpan w:val="2"/>
          </w:tcPr>
          <w:p>
            <w:pPr>
              <w:ind w:left="460"/>
              <w:spacing w:after="0"/>
              <w:rPr>
                <w:sz w:val="20"/>
                <w:szCs w:val="20"/>
                <w:color w:val="auto"/>
              </w:rPr>
            </w:pPr>
            <w:r>
              <w:rPr>
                <w:rFonts w:ascii="Arial" w:cs="Arial" w:eastAsia="Arial" w:hAnsi="Arial"/>
                <w:sz w:val="18"/>
                <w:szCs w:val="18"/>
                <w:color w:val="auto"/>
              </w:rPr>
              <w:t>101.SCH</w:t>
            </w:r>
          </w:p>
        </w:tc>
        <w:tc>
          <w:tcPr>
            <w:tcW w:w="1004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486"/>
        </w:trPr>
        <w:tc>
          <w:tcPr>
            <w:tcW w:w="1380" w:type="dxa"/>
            <w:vAlign w:val="bottom"/>
            <w:gridSpan w:val="2"/>
          </w:tcPr>
          <w:p>
            <w:pPr>
              <w:ind w:left="460"/>
              <w:spacing w:after="0"/>
              <w:rPr>
                <w:sz w:val="20"/>
                <w:szCs w:val="20"/>
                <w:color w:val="auto"/>
              </w:rPr>
            </w:pPr>
            <w:r>
              <w:rPr>
                <w:rFonts w:ascii="Arial" w:cs="Arial" w:eastAsia="Arial" w:hAnsi="Arial"/>
                <w:sz w:val="18"/>
                <w:szCs w:val="18"/>
                <w:color w:val="auto"/>
              </w:rPr>
              <w:t>101.CAL</w:t>
            </w:r>
          </w:p>
        </w:tc>
        <w:tc>
          <w:tcPr>
            <w:tcW w:w="1004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86"/>
        </w:trPr>
        <w:tc>
          <w:tcPr>
            <w:tcW w:w="1380" w:type="dxa"/>
            <w:vAlign w:val="bottom"/>
            <w:gridSpan w:val="2"/>
          </w:tcPr>
          <w:p>
            <w:pPr>
              <w:ind w:left="460"/>
              <w:spacing w:after="0"/>
              <w:rPr>
                <w:sz w:val="20"/>
                <w:szCs w:val="20"/>
                <w:color w:val="auto"/>
              </w:rPr>
            </w:pPr>
            <w:r>
              <w:rPr>
                <w:rFonts w:ascii="Arial" w:cs="Arial" w:eastAsia="Arial" w:hAnsi="Arial"/>
                <w:sz w:val="18"/>
                <w:szCs w:val="18"/>
                <w:color w:val="auto"/>
              </w:rPr>
              <w:t>101.DEF</w:t>
            </w:r>
          </w:p>
        </w:tc>
        <w:tc>
          <w:tcPr>
            <w:tcW w:w="1004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486"/>
        </w:trPr>
        <w:tc>
          <w:tcPr>
            <w:tcW w:w="1380" w:type="dxa"/>
            <w:vAlign w:val="bottom"/>
            <w:gridSpan w:val="2"/>
          </w:tcPr>
          <w:p>
            <w:pPr>
              <w:ind w:left="460"/>
              <w:spacing w:after="0"/>
              <w:rPr>
                <w:sz w:val="20"/>
                <w:szCs w:val="20"/>
                <w:color w:val="auto"/>
              </w:rPr>
            </w:pPr>
            <w:r>
              <w:rPr>
                <w:rFonts w:ascii="Arial" w:cs="Arial" w:eastAsia="Arial" w:hAnsi="Arial"/>
                <w:sz w:val="18"/>
                <w:szCs w:val="18"/>
                <w:color w:val="auto"/>
              </w:rPr>
              <w:t>101.LAB</w:t>
            </w:r>
          </w:p>
        </w:tc>
        <w:tc>
          <w:tcPr>
            <w:tcW w:w="1004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486"/>
        </w:trPr>
        <w:tc>
          <w:tcPr>
            <w:tcW w:w="1380" w:type="dxa"/>
            <w:vAlign w:val="bottom"/>
            <w:gridSpan w:val="2"/>
          </w:tcPr>
          <w:p>
            <w:pPr>
              <w:ind w:left="460"/>
              <w:spacing w:after="0"/>
              <w:rPr>
                <w:sz w:val="20"/>
                <w:szCs w:val="20"/>
                <w:color w:val="auto"/>
              </w:rPr>
            </w:pPr>
            <w:r>
              <w:rPr>
                <w:rFonts w:ascii="Arial" w:cs="Arial" w:eastAsia="Arial" w:hAnsi="Arial"/>
                <w:sz w:val="18"/>
                <w:szCs w:val="18"/>
                <w:color w:val="auto"/>
              </w:rPr>
              <w:t>101.PRE</w:t>
            </w:r>
          </w:p>
        </w:tc>
        <w:tc>
          <w:tcPr>
            <w:tcW w:w="1004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75"/>
        </w:trPr>
        <w:tc>
          <w:tcPr>
            <w:tcW w:w="900" w:type="dxa"/>
            <w:vAlign w:val="bottom"/>
            <w:tcBorders>
              <w:bottom w:val="single" w:sz="8" w:color="DCDCDC"/>
            </w:tcBorders>
          </w:tcPr>
          <w:p>
            <w:pPr>
              <w:spacing w:after="0"/>
              <w:rPr>
                <w:sz w:val="24"/>
                <w:szCs w:val="24"/>
                <w:color w:val="auto"/>
              </w:rPr>
            </w:pPr>
          </w:p>
        </w:tc>
        <w:tc>
          <w:tcPr>
            <w:tcW w:w="480" w:type="dxa"/>
            <w:vAlign w:val="bottom"/>
            <w:tcBorders>
              <w:bottom w:val="single" w:sz="8" w:color="DCDCDC"/>
            </w:tcBorders>
          </w:tcPr>
          <w:p>
            <w:pPr>
              <w:spacing w:after="0"/>
              <w:rPr>
                <w:sz w:val="24"/>
                <w:szCs w:val="24"/>
                <w:color w:val="auto"/>
              </w:rPr>
            </w:pPr>
          </w:p>
        </w:tc>
        <w:tc>
          <w:tcPr>
            <w:tcW w:w="10040" w:type="dxa"/>
            <w:vAlign w:val="bottom"/>
            <w:tcBorders>
              <w:bottom w:val="single" w:sz="8" w:color="DCDCDC"/>
            </w:tcBorders>
          </w:tcPr>
          <w:p>
            <w:pPr>
              <w:ind w:left="4240"/>
              <w:spacing w:after="0"/>
              <w:rPr>
                <w:sz w:val="20"/>
                <w:szCs w:val="20"/>
                <w:color w:val="auto"/>
              </w:rPr>
            </w:pPr>
            <w:r>
              <w:rPr>
                <w:rFonts w:ascii="Arial" w:cs="Arial" w:eastAsia="Arial" w:hAnsi="Arial"/>
                <w:sz w:val="18"/>
                <w:szCs w:val="18"/>
                <w:color w:val="auto"/>
              </w:rPr>
              <w:t>69</w:t>
            </w:r>
          </w:p>
        </w:tc>
      </w:tr>
    </w:tbl>
    <w:p>
      <w:pPr>
        <w:sectPr>
          <w:pgSz w:w="11900" w:h="16838" w:orient="portrait"/>
          <w:cols w:equalWidth="0" w:num="1">
            <w:col w:w="11420"/>
          </w:cols>
          <w:pgMar w:left="240" w:top="878" w:right="2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b w:val="1"/>
          <w:bCs w:val="1"/>
          <w:i w:val="1"/>
          <w:iCs w:val="1"/>
          <w:color w:val="auto"/>
        </w:rPr>
        <w:t>/s/ Rex S. Schuette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b w:val="1"/>
          <w:bCs w:val="1"/>
          <w:i w:val="1"/>
          <w:iCs w:val="1"/>
          <w:color w:val="auto"/>
        </w:rPr>
        <w:t>/s/ Alan H. Kumler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Accounting Officer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August 7, 2015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7" w:name="page78"/>
    <w:bookmarkEnd w:id="77"/>
    <w:p>
      <w:pPr>
        <w:ind w:left="10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Jimmy C. Tallent, certify that:</w:t>
      </w:r>
    </w:p>
    <w:p>
      <w:pPr>
        <w:spacing w:after="0" w:line="225"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660" w:hanging="4"/>
        <w:spacing w:after="0" w:line="277" w:lineRule="auto"/>
        <w:tabs>
          <w:tab w:leader="none" w:pos="84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0" w:hanging="4"/>
        <w:spacing w:after="0" w:line="277" w:lineRule="auto"/>
        <w:tabs>
          <w:tab w:leader="none" w:pos="85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40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-130810</wp:posOffset>
            </wp:positionV>
            <wp:extent cx="28816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of the Registrant</w:t>
      </w:r>
    </w:p>
    <w:p>
      <w:pPr>
        <w:spacing w:after="0" w:line="211"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Date: August 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78" w:name="page79"/>
    <w:bookmarkEnd w:id="78"/>
    <w:p>
      <w:pPr>
        <w:ind w:left="10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Rex S. Schuette, certify that:</w:t>
      </w:r>
    </w:p>
    <w:p>
      <w:pPr>
        <w:spacing w:after="0" w:line="225"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660" w:hanging="4"/>
        <w:spacing w:after="0" w:line="277" w:lineRule="auto"/>
        <w:tabs>
          <w:tab w:leader="none" w:pos="84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0" w:hanging="4"/>
        <w:spacing w:after="0" w:line="277" w:lineRule="auto"/>
        <w:tabs>
          <w:tab w:leader="none" w:pos="85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120"/>
        <w:spacing w:after="0"/>
        <w:tabs>
          <w:tab w:leader="none" w:pos="5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Rex S. Schuette</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-130810</wp:posOffset>
            </wp:positionV>
            <wp:extent cx="29927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of the Registrant</w:t>
      </w:r>
    </w:p>
    <w:p>
      <w:pPr>
        <w:spacing w:after="0" w:line="211"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Date: August 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79" w:name="page80"/>
    <w:bookmarkEnd w:id="79"/>
    <w:p>
      <w:pPr>
        <w:ind w:left="105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United Community Banks, Inc. (“United”) on Form 10-Q for the period ending June 30, 2015 filed with the Securities and Exchange Commission on the date hereof (the “Report”), I, Jimmy C. Tallent, Chairman and Chief Executive Officer of United, and I, Rex S. Schuette, Executive Vice President and Chief Financial Officer of United, certify, pursuant to 18 U.S.C. Section 1350, as adopted pursuant to Section 906 of the Sarbanes-Oxley Act of 2002, that:</w:t>
      </w:r>
    </w:p>
    <w:p>
      <w:pPr>
        <w:spacing w:after="0" w:line="187" w:lineRule="exact"/>
        <w:rPr>
          <w:sz w:val="20"/>
          <w:szCs w:val="20"/>
          <w:color w:val="auto"/>
        </w:rPr>
      </w:pPr>
    </w:p>
    <w:p>
      <w:pPr>
        <w:ind w:left="1000" w:hanging="344"/>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United.</w:t>
      </w:r>
    </w:p>
    <w:p>
      <w:pPr>
        <w:spacing w:after="0" w:line="23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28987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28987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Date: August 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2019-12-29T16:33:38Z</dcterms:created>
  <dcterms:modified xsi:type="dcterms:W3CDTF">2019-12-29T16:33:38Z</dcterms:modified>
</cp:coreProperties>
</file>