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FORM 10-K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6320" w:type="dxa"/>
            <w:vAlign w:val="bottom"/>
            <w:gridSpan w:val="3"/>
          </w:tcPr>
          <w:p>
            <w:pPr>
              <w:jc w:val="center"/>
              <w:ind w:left="1475"/>
              <w:spacing w:after="0"/>
              <w:rPr>
                <w:sz w:val="20"/>
                <w:szCs w:val="20"/>
                <w:color w:val="auto"/>
              </w:rPr>
            </w:pPr>
            <w:r>
              <w:rPr>
                <w:rFonts w:ascii="Arial" w:cs="Arial" w:eastAsia="Arial" w:hAnsi="Arial"/>
                <w:sz w:val="16"/>
                <w:szCs w:val="16"/>
                <w:b w:val="1"/>
                <w:bCs w:val="1"/>
                <w:color w:val="auto"/>
                <w:w w:val="91"/>
              </w:rPr>
              <w:t>For the Fiscal Year Ended December 31, 2018</w:t>
            </w:r>
          </w:p>
        </w:tc>
        <w:tc>
          <w:tcPr>
            <w:tcW w:w="16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92"/>
        </w:trPr>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w w:val="91"/>
              </w:rPr>
              <w:t>Commission File Number 001-35095</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2"/>
        </w:trPr>
        <w:tc>
          <w:tcPr>
            <w:tcW w:w="1720" w:type="dxa"/>
            <w:vAlign w:val="bottom"/>
          </w:tcPr>
          <w:p>
            <w:pPr>
              <w:spacing w:after="0"/>
              <w:rPr>
                <w:sz w:val="24"/>
                <w:szCs w:val="24"/>
                <w:color w:val="auto"/>
              </w:rPr>
            </w:pPr>
          </w:p>
        </w:tc>
        <w:tc>
          <w:tcPr>
            <w:tcW w:w="6320" w:type="dxa"/>
            <w:vAlign w:val="bottom"/>
            <w:gridSpan w:val="3"/>
          </w:tcPr>
          <w:p>
            <w:pPr>
              <w:jc w:val="center"/>
              <w:ind w:left="1595"/>
              <w:spacing w:after="0"/>
              <w:rPr>
                <w:sz w:val="20"/>
                <w:szCs w:val="20"/>
                <w:color w:val="auto"/>
              </w:rPr>
            </w:pPr>
            <w:r>
              <w:rPr>
                <w:rFonts w:ascii="Arial" w:cs="Arial" w:eastAsia="Arial" w:hAnsi="Arial"/>
                <w:sz w:val="20"/>
                <w:szCs w:val="20"/>
                <w:b w:val="1"/>
                <w:bCs w:val="1"/>
                <w:color w:val="auto"/>
              </w:rPr>
              <w:t>UNITED COMMUNITY BANKS, INC.</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
        </w:trPr>
        <w:tc>
          <w:tcPr>
            <w:tcW w:w="17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6320" w:type="dxa"/>
            <w:vAlign w:val="bottom"/>
            <w:gridSpan w:val="3"/>
          </w:tcPr>
          <w:p>
            <w:pPr>
              <w:jc w:val="center"/>
              <w:ind w:left="1495"/>
              <w:spacing w:after="0"/>
              <w:rPr>
                <w:sz w:val="20"/>
                <w:szCs w:val="20"/>
                <w:color w:val="auto"/>
              </w:rPr>
            </w:pPr>
            <w:r>
              <w:rPr>
                <w:rFonts w:ascii="Arial" w:cs="Arial" w:eastAsia="Arial" w:hAnsi="Arial"/>
                <w:sz w:val="16"/>
                <w:szCs w:val="16"/>
                <w:color w:val="auto"/>
                <w:w w:val="91"/>
              </w:rPr>
              <w:t>(Exact name of registrant as specified in its charter)</w:t>
            </w:r>
          </w:p>
        </w:tc>
        <w:tc>
          <w:tcPr>
            <w:tcW w:w="16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05"/>
        </w:trPr>
        <w:tc>
          <w:tcPr>
            <w:tcW w:w="1720" w:type="dxa"/>
            <w:vAlign w:val="bottom"/>
          </w:tcPr>
          <w:p>
            <w:pPr>
              <w:spacing w:after="0"/>
              <w:rPr>
                <w:sz w:val="24"/>
                <w:szCs w:val="24"/>
                <w:color w:val="auto"/>
              </w:rPr>
            </w:pPr>
          </w:p>
        </w:tc>
        <w:tc>
          <w:tcPr>
            <w:tcW w:w="6320" w:type="dxa"/>
            <w:vAlign w:val="bottom"/>
            <w:gridSpan w:val="3"/>
          </w:tcPr>
          <w:p>
            <w:pPr>
              <w:jc w:val="center"/>
              <w:ind w:right="5520"/>
              <w:spacing w:after="0"/>
              <w:rPr>
                <w:sz w:val="20"/>
                <w:szCs w:val="20"/>
                <w:color w:val="auto"/>
              </w:rPr>
            </w:pPr>
            <w:r>
              <w:rPr>
                <w:rFonts w:ascii="Arial" w:cs="Arial" w:eastAsia="Arial" w:hAnsi="Arial"/>
                <w:sz w:val="16"/>
                <w:szCs w:val="16"/>
                <w:b w:val="1"/>
                <w:bCs w:val="1"/>
                <w:color w:val="auto"/>
                <w:w w:val="92"/>
              </w:rPr>
              <w:t>Georgia</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58-1807304</w:t>
            </w:r>
          </w:p>
        </w:tc>
        <w:tc>
          <w:tcPr>
            <w:tcW w:w="1700" w:type="dxa"/>
            <w:vAlign w:val="bottom"/>
          </w:tcPr>
          <w:p>
            <w:pPr>
              <w:spacing w:after="0"/>
              <w:rPr>
                <w:sz w:val="24"/>
                <w:szCs w:val="24"/>
                <w:color w:val="auto"/>
              </w:rPr>
            </w:pPr>
          </w:p>
        </w:tc>
      </w:tr>
      <w:tr>
        <w:trPr>
          <w:trHeight w:val="33"/>
        </w:trPr>
        <w:tc>
          <w:tcPr>
            <w:tcW w:w="4240" w:type="dxa"/>
            <w:vAlign w:val="bottom"/>
            <w:tcBorders>
              <w:bottom w:val="single" w:sz="8" w:color="auto"/>
            </w:tcBorders>
            <w:gridSpan w:val="2"/>
          </w:tcPr>
          <w:p>
            <w:pPr>
              <w:spacing w:after="0"/>
              <w:rPr>
                <w:sz w:val="2"/>
                <w:szCs w:val="2"/>
                <w:color w:val="auto"/>
              </w:rPr>
            </w:pPr>
          </w:p>
        </w:tc>
        <w:tc>
          <w:tcPr>
            <w:tcW w:w="29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r>
      <w:tr>
        <w:trPr>
          <w:trHeight w:val="217"/>
        </w:trPr>
        <w:tc>
          <w:tcPr>
            <w:tcW w:w="8040" w:type="dxa"/>
            <w:vAlign w:val="bottom"/>
            <w:gridSpan w:val="4"/>
          </w:tcPr>
          <w:p>
            <w:pPr>
              <w:jc w:val="center"/>
              <w:ind w:right="38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380" w:type="dxa"/>
            <w:vAlign w:val="bottom"/>
            <w:gridSpan w:val="2"/>
          </w:tcPr>
          <w:p>
            <w:pPr>
              <w:jc w:val="center"/>
              <w:ind w:right="820"/>
              <w:spacing w:after="0"/>
              <w:rPr>
                <w:sz w:val="20"/>
                <w:szCs w:val="20"/>
                <w:color w:val="auto"/>
              </w:rPr>
            </w:pPr>
            <w:r>
              <w:rPr>
                <w:rFonts w:ascii="Arial" w:cs="Arial" w:eastAsia="Arial" w:hAnsi="Arial"/>
                <w:sz w:val="16"/>
                <w:szCs w:val="16"/>
                <w:color w:val="auto"/>
                <w:w w:val="95"/>
              </w:rPr>
              <w:t>(I.R.S. Employer Identification No.)</w:t>
            </w:r>
          </w:p>
        </w:tc>
      </w:tr>
      <w:tr>
        <w:trPr>
          <w:trHeight w:val="405"/>
        </w:trPr>
        <w:tc>
          <w:tcPr>
            <w:tcW w:w="8040" w:type="dxa"/>
            <w:vAlign w:val="bottom"/>
            <w:gridSpan w:val="4"/>
          </w:tcPr>
          <w:p>
            <w:pPr>
              <w:jc w:val="center"/>
              <w:ind w:right="3800"/>
              <w:spacing w:after="0"/>
              <w:rPr>
                <w:sz w:val="20"/>
                <w:szCs w:val="20"/>
                <w:color w:val="auto"/>
              </w:rPr>
            </w:pPr>
            <w:r>
              <w:rPr>
                <w:rFonts w:ascii="Arial" w:cs="Arial" w:eastAsia="Arial" w:hAnsi="Arial"/>
                <w:sz w:val="16"/>
                <w:szCs w:val="16"/>
                <w:b w:val="1"/>
                <w:bCs w:val="1"/>
                <w:color w:val="auto"/>
                <w:w w:val="92"/>
              </w:rPr>
              <w:t>125 Highway 515 East, Blairsville, Georgia</w:t>
            </w: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auto"/>
              </w:rPr>
              <w:t>30512</w:t>
            </w:r>
          </w:p>
        </w:tc>
        <w:tc>
          <w:tcPr>
            <w:tcW w:w="1700" w:type="dxa"/>
            <w:vAlign w:val="bottom"/>
          </w:tcPr>
          <w:p>
            <w:pPr>
              <w:spacing w:after="0"/>
              <w:rPr>
                <w:sz w:val="24"/>
                <w:szCs w:val="24"/>
                <w:color w:val="auto"/>
              </w:rPr>
            </w:pPr>
          </w:p>
        </w:tc>
      </w:tr>
      <w:tr>
        <w:trPr>
          <w:trHeight w:val="33"/>
        </w:trPr>
        <w:tc>
          <w:tcPr>
            <w:tcW w:w="4240" w:type="dxa"/>
            <w:vAlign w:val="bottom"/>
            <w:tcBorders>
              <w:bottom w:val="single" w:sz="8" w:color="auto"/>
            </w:tcBorders>
            <w:gridSpan w:val="2"/>
          </w:tcPr>
          <w:p>
            <w:pPr>
              <w:spacing w:after="0"/>
              <w:rPr>
                <w:sz w:val="2"/>
                <w:szCs w:val="2"/>
                <w:color w:val="auto"/>
              </w:rPr>
            </w:pPr>
          </w:p>
        </w:tc>
        <w:tc>
          <w:tcPr>
            <w:tcW w:w="29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r>
      <w:tr>
        <w:trPr>
          <w:trHeight w:val="217"/>
        </w:trPr>
        <w:tc>
          <w:tcPr>
            <w:tcW w:w="8040" w:type="dxa"/>
            <w:vAlign w:val="bottom"/>
            <w:gridSpan w:val="4"/>
          </w:tcPr>
          <w:p>
            <w:pPr>
              <w:jc w:val="center"/>
              <w:ind w:right="3800"/>
              <w:spacing w:after="0"/>
              <w:rPr>
                <w:sz w:val="20"/>
                <w:szCs w:val="20"/>
                <w:color w:val="auto"/>
              </w:rPr>
            </w:pPr>
            <w:r>
              <w:rPr>
                <w:rFonts w:ascii="Arial" w:cs="Arial" w:eastAsia="Arial" w:hAnsi="Arial"/>
                <w:sz w:val="16"/>
                <w:szCs w:val="16"/>
                <w:color w:val="auto"/>
                <w:w w:val="93"/>
              </w:rPr>
              <w:t>Address of Principal Executive Offices</w:t>
            </w:r>
          </w:p>
        </w:tc>
        <w:tc>
          <w:tcPr>
            <w:tcW w:w="3380" w:type="dxa"/>
            <w:vAlign w:val="bottom"/>
            <w:gridSpan w:val="2"/>
          </w:tcPr>
          <w:p>
            <w:pPr>
              <w:jc w:val="center"/>
              <w:ind w:right="820"/>
              <w:spacing w:after="0"/>
              <w:rPr>
                <w:sz w:val="20"/>
                <w:szCs w:val="20"/>
                <w:color w:val="auto"/>
              </w:rPr>
            </w:pPr>
            <w:r>
              <w:rPr>
                <w:rFonts w:ascii="Arial" w:cs="Arial" w:eastAsia="Arial" w:hAnsi="Arial"/>
                <w:sz w:val="16"/>
                <w:szCs w:val="16"/>
                <w:color w:val="auto"/>
                <w:w w:val="95"/>
              </w:rPr>
              <w:t>(Zip Code)</w:t>
            </w:r>
          </w:p>
        </w:tc>
      </w:tr>
      <w:tr>
        <w:trPr>
          <w:trHeight w:val="257"/>
        </w:trPr>
        <w:tc>
          <w:tcPr>
            <w:tcW w:w="1720" w:type="dxa"/>
            <w:vAlign w:val="bottom"/>
          </w:tcPr>
          <w:p>
            <w:pPr>
              <w:spacing w:after="0"/>
              <w:rPr>
                <w:sz w:val="22"/>
                <w:szCs w:val="22"/>
                <w:color w:val="auto"/>
              </w:rPr>
            </w:pPr>
          </w:p>
        </w:tc>
        <w:tc>
          <w:tcPr>
            <w:tcW w:w="6320" w:type="dxa"/>
            <w:vAlign w:val="bottom"/>
            <w:gridSpan w:val="3"/>
          </w:tcPr>
          <w:p>
            <w:pPr>
              <w:jc w:val="center"/>
              <w:ind w:left="1575"/>
              <w:spacing w:after="0"/>
              <w:rPr>
                <w:sz w:val="20"/>
                <w:szCs w:val="20"/>
                <w:color w:val="auto"/>
              </w:rPr>
            </w:pPr>
            <w:r>
              <w:rPr>
                <w:rFonts w:ascii="Arial" w:cs="Arial" w:eastAsia="Arial" w:hAnsi="Arial"/>
                <w:sz w:val="16"/>
                <w:szCs w:val="16"/>
                <w:color w:val="auto"/>
                <w:w w:val="91"/>
              </w:rPr>
              <w:t>Registrant’s telephone number, including area code: (706) 781-2265</w:t>
            </w:r>
          </w:p>
        </w:tc>
        <w:tc>
          <w:tcPr>
            <w:tcW w:w="168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 Common Stock, $1.00 par value</w:t>
      </w:r>
    </w:p>
    <w:p>
      <w:pPr>
        <w:spacing w:after="0" w:line="208"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Name of exchange on which registered: Nasdaq Global Select</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78"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Sections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8" w:lineRule="exact"/>
        <w:rPr>
          <w:sz w:val="24"/>
          <w:szCs w:val="24"/>
          <w:color w:val="auto"/>
        </w:rPr>
      </w:pPr>
    </w:p>
    <w:p>
      <w:pPr>
        <w:ind w:left="40" w:right="40"/>
        <w:spacing w:after="0" w:line="20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24" w:lineRule="exact"/>
        <w:rPr>
          <w:sz w:val="24"/>
          <w:szCs w:val="24"/>
          <w:color w:val="auto"/>
        </w:rPr>
      </w:pPr>
    </w:p>
    <w:p>
      <w:pPr>
        <w:ind w:left="40" w:right="4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7" w:lineRule="exact"/>
        <w:rPr>
          <w:sz w:val="24"/>
          <w:szCs w:val="24"/>
          <w:color w:val="auto"/>
        </w:rPr>
      </w:pPr>
    </w:p>
    <w:p>
      <w:pPr>
        <w:ind w:left="40" w:right="4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67" w:lineRule="exact"/>
        <w:rPr>
          <w:sz w:val="24"/>
          <w:szCs w:val="24"/>
          <w:color w:val="auto"/>
        </w:rPr>
      </w:pPr>
    </w:p>
    <w:p>
      <w:pPr>
        <w:ind w:left="40" w:right="22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1233" w:right="239" w:bottom="1440" w:gutter="0" w:footer="0" w:header="0"/>
        </w:sectPr>
      </w:pPr>
    </w:p>
    <w:p>
      <w:pPr>
        <w:spacing w:after="0" w:line="113" w:lineRule="exact"/>
        <w:rPr>
          <w:sz w:val="24"/>
          <w:szCs w:val="24"/>
          <w:color w:val="auto"/>
        </w:rPr>
      </w:pPr>
    </w:p>
    <w:p>
      <w:pPr>
        <w:jc w:val="center"/>
        <w:ind w:left="72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08" w:lineRule="exact"/>
        <w:rPr>
          <w:sz w:val="24"/>
          <w:szCs w:val="24"/>
          <w:color w:val="auto"/>
        </w:rPr>
      </w:pPr>
    </w:p>
    <w:p>
      <w:pPr>
        <w:sectPr>
          <w:pgSz w:w="11900" w:h="16838" w:orient="portrait"/>
          <w:cols w:equalWidth="0" w:num="2">
            <w:col w:w="5260" w:space="720"/>
            <w:col w:w="5440"/>
          </w:cols>
          <w:pgMar w:left="240" w:top="1233" w:right="239" w:bottom="1440" w:gutter="0" w:footer="0" w:header="0"/>
          <w:type w:val="continuous"/>
        </w:sectPr>
      </w:pPr>
    </w:p>
    <w:p>
      <w:pPr>
        <w:jc w:val="center"/>
        <w:ind w:left="7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5260" w:space="720"/>
            <w:col w:w="5440"/>
          </w:cols>
          <w:pgMar w:left="240" w:top="1233" w:right="239" w:bottom="1440" w:gutter="0" w:footer="0" w:header="0"/>
          <w:type w:val="continuous"/>
        </w:sectPr>
      </w:pPr>
    </w:p>
    <w:p>
      <w:pPr>
        <w:ind w:left="59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1233" w:right="239" w:bottom="1440" w:gutter="0" w:footer="0" w:header="0"/>
          <w:type w:val="continuous"/>
        </w:sectPr>
      </w:pPr>
    </w:p>
    <w:p>
      <w:pPr>
        <w:spacing w:after="0" w:line="261" w:lineRule="exact"/>
        <w:rPr>
          <w:sz w:val="24"/>
          <w:szCs w:val="24"/>
          <w:color w:val="auto"/>
        </w:rPr>
      </w:pPr>
    </w:p>
    <w:p>
      <w:pPr>
        <w:jc w:val="both"/>
        <w:ind w:left="40" w:righ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8"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8" w:lineRule="exact"/>
        <w:rPr>
          <w:sz w:val="24"/>
          <w:szCs w:val="24"/>
          <w:color w:val="auto"/>
        </w:rPr>
      </w:pPr>
    </w:p>
    <w:p>
      <w:pPr>
        <w:jc w:val="both"/>
        <w:ind w:left="40" w:right="40"/>
        <w:spacing w:after="0" w:line="305"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$2,411,814,691 (based on shares held by non-affiliates at $30.67 per share, the closing stock price on the Nasdaq stock market on June 29, 2018).</w:t>
      </w:r>
    </w:p>
    <w:p>
      <w:pPr>
        <w:spacing w:after="0" w:line="139" w:lineRule="exact"/>
        <w:rPr>
          <w:sz w:val="24"/>
          <w:szCs w:val="24"/>
          <w:color w:val="auto"/>
        </w:rPr>
      </w:pPr>
    </w:p>
    <w:p>
      <w:pPr>
        <w:jc w:val="both"/>
        <w:ind w:left="40" w:right="20"/>
        <w:spacing w:after="0" w:line="293" w:lineRule="auto"/>
        <w:rPr>
          <w:sz w:val="20"/>
          <w:szCs w:val="20"/>
          <w:color w:val="auto"/>
        </w:rPr>
      </w:pPr>
      <w:r>
        <w:rPr>
          <w:rFonts w:ascii="Arial" w:cs="Arial" w:eastAsia="Arial" w:hAnsi="Arial"/>
          <w:sz w:val="16"/>
          <w:szCs w:val="16"/>
          <w:color w:val="auto"/>
        </w:rPr>
        <w:t>As of January 31, 2019, 79,256,160 shares of common stock were issued and outstanding. Also outstanding were presently exercisable options to acquire 45,613 shares and 9,712,687 shares issuable under United Community Banks, Inc.’s deferred compensation plan.</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Portions of the registrant’s Proxy Statement for the 2019 Annual Meeting of Shareholders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80" w:type="dxa"/>
            <w:vAlign w:val="bottom"/>
            <w:gridSpan w:val="8"/>
          </w:tcPr>
          <w:p>
            <w:pPr>
              <w:ind w:left="26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52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40" w:type="dxa"/>
            <w:vAlign w:val="bottom"/>
            <w:tcBorders>
              <w:top w:val="single" w:sz="8" w:color="0000EE"/>
            </w:tcBorders>
          </w:tcPr>
          <w:p>
            <w:pPr>
              <w:spacing w:after="0"/>
              <w:rPr>
                <w:sz w:val="24"/>
                <w:szCs w:val="24"/>
                <w:color w:val="auto"/>
              </w:rPr>
            </w:pPr>
          </w:p>
        </w:tc>
        <w:tc>
          <w:tcPr>
            <w:tcW w:w="940" w:type="dxa"/>
            <w:vAlign w:val="bottom"/>
            <w:gridSpan w:val="5"/>
          </w:tcPr>
          <w:p>
            <w:pPr>
              <w:spacing w:after="0"/>
              <w:rPr>
                <w:sz w:val="24"/>
                <w:szCs w:val="24"/>
                <w:color w:val="auto"/>
              </w:rPr>
            </w:pPr>
          </w:p>
        </w:tc>
        <w:tc>
          <w:tcPr>
            <w:tcW w:w="838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15">
              <w:r>
                <w:rPr>
                  <w:rFonts w:ascii="Arial" w:cs="Arial" w:eastAsia="Arial" w:hAnsi="Arial"/>
                  <w:sz w:val="18"/>
                  <w:szCs w:val="18"/>
                  <w:b w:val="1"/>
                  <w:bCs w:val="1"/>
                  <w:color w:val="0000EE"/>
                  <w:w w:val="82"/>
                </w:rPr>
                <w:t>Item 1A.</w:t>
              </w:r>
            </w:hyperlink>
          </w:p>
        </w:tc>
        <w:tc>
          <w:tcPr>
            <w:tcW w:w="900" w:type="dxa"/>
            <w:vAlign w:val="bottom"/>
            <w:gridSpan w:val="4"/>
          </w:tcPr>
          <w:p>
            <w:pPr>
              <w:spacing w:after="0"/>
              <w:rPr>
                <w:sz w:val="21"/>
                <w:szCs w:val="21"/>
                <w:color w:val="auto"/>
              </w:rPr>
            </w:pPr>
          </w:p>
        </w:tc>
        <w:tc>
          <w:tcPr>
            <w:tcW w:w="980" w:type="dxa"/>
            <w:vAlign w:val="bottom"/>
            <w:gridSpan w:val="3"/>
          </w:tcPr>
          <w:p>
            <w:pPr>
              <w:spacing w:after="0"/>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Risk Factors</w:t>
              </w:r>
            </w:hyperlink>
          </w:p>
        </w:tc>
        <w:tc>
          <w:tcPr>
            <w:tcW w:w="7400" w:type="dxa"/>
            <w:vAlign w:val="bottom"/>
            <w:gridSpan w:val="17"/>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15</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28">
              <w:r>
                <w:rPr>
                  <w:rFonts w:ascii="Arial" w:cs="Arial" w:eastAsia="Arial" w:hAnsi="Arial"/>
                  <w:sz w:val="18"/>
                  <w:szCs w:val="18"/>
                  <w:b w:val="1"/>
                  <w:bCs w:val="1"/>
                  <w:color w:val="0000EE"/>
                  <w:w w:val="82"/>
                </w:rPr>
                <w:t>Item 1B.</w:t>
              </w:r>
            </w:hyperlink>
          </w:p>
        </w:tc>
        <w:tc>
          <w:tcPr>
            <w:tcW w:w="900" w:type="dxa"/>
            <w:vAlign w:val="bottom"/>
            <w:gridSpan w:val="4"/>
          </w:tcPr>
          <w:p>
            <w:pPr>
              <w:spacing w:after="0"/>
              <w:rPr>
                <w:sz w:val="21"/>
                <w:szCs w:val="21"/>
                <w:color w:val="auto"/>
              </w:rPr>
            </w:pPr>
          </w:p>
        </w:tc>
        <w:tc>
          <w:tcPr>
            <w:tcW w:w="2160" w:type="dxa"/>
            <w:vAlign w:val="bottom"/>
            <w:gridSpan w:val="9"/>
          </w:tcPr>
          <w:p>
            <w:pPr>
              <w:spacing w:after="0"/>
              <w:rPr>
                <w:rFonts w:ascii="Arial" w:cs="Arial" w:eastAsia="Arial" w:hAnsi="Arial"/>
                <w:sz w:val="18"/>
                <w:szCs w:val="18"/>
                <w:b w:val="1"/>
                <w:bCs w:val="1"/>
                <w:color w:val="0000EE"/>
                <w:w w:val="88"/>
              </w:rPr>
            </w:pPr>
            <w:hyperlink w:anchor="page28">
              <w:r>
                <w:rPr>
                  <w:rFonts w:ascii="Arial" w:cs="Arial" w:eastAsia="Arial" w:hAnsi="Arial"/>
                  <w:sz w:val="18"/>
                  <w:szCs w:val="18"/>
                  <w:b w:val="1"/>
                  <w:bCs w:val="1"/>
                  <w:color w:val="0000EE"/>
                  <w:w w:val="88"/>
                </w:rPr>
                <w:t>Unresolved Staff Comments</w:t>
              </w:r>
            </w:hyperlink>
          </w:p>
        </w:tc>
        <w:tc>
          <w:tcPr>
            <w:tcW w:w="6220" w:type="dxa"/>
            <w:vAlign w:val="bottom"/>
            <w:gridSpan w:val="11"/>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2.</w:t>
              </w:r>
            </w:hyperlink>
          </w:p>
        </w:tc>
        <w:tc>
          <w:tcPr>
            <w:tcW w:w="80" w:type="dxa"/>
            <w:vAlign w:val="bottom"/>
            <w:gridSpan w:val="2"/>
          </w:tcPr>
          <w:p>
            <w:pPr>
              <w:spacing w:after="0"/>
              <w:rPr>
                <w:sz w:val="21"/>
                <w:szCs w:val="21"/>
                <w:color w:val="auto"/>
              </w:rPr>
            </w:pPr>
          </w:p>
        </w:tc>
        <w:tc>
          <w:tcPr>
            <w:tcW w:w="900" w:type="dxa"/>
            <w:vAlign w:val="bottom"/>
            <w:gridSpan w:val="4"/>
          </w:tcPr>
          <w:p>
            <w:pPr>
              <w:spacing w:after="0"/>
              <w:rPr>
                <w:sz w:val="21"/>
                <w:szCs w:val="21"/>
                <w:color w:val="auto"/>
              </w:rPr>
            </w:pPr>
          </w:p>
        </w:tc>
        <w:tc>
          <w:tcPr>
            <w:tcW w:w="760" w:type="dxa"/>
            <w:vAlign w:val="bottom"/>
            <w:gridSpan w:val="2"/>
          </w:tcPr>
          <w:p>
            <w:pPr>
              <w:spacing w:after="0"/>
              <w:rPr>
                <w:rFonts w:ascii="Arial" w:cs="Arial" w:eastAsia="Arial" w:hAnsi="Arial"/>
                <w:sz w:val="18"/>
                <w:szCs w:val="18"/>
                <w:b w:val="1"/>
                <w:bCs w:val="1"/>
                <w:color w:val="0000EE"/>
                <w:w w:val="80"/>
              </w:rPr>
            </w:pPr>
            <w:hyperlink w:anchor="page28">
              <w:r>
                <w:rPr>
                  <w:rFonts w:ascii="Arial" w:cs="Arial" w:eastAsia="Arial" w:hAnsi="Arial"/>
                  <w:sz w:val="18"/>
                  <w:szCs w:val="18"/>
                  <w:b w:val="1"/>
                  <w:bCs w:val="1"/>
                  <w:color w:val="0000EE"/>
                  <w:w w:val="80"/>
                </w:rPr>
                <w:t>Properties</w:t>
              </w:r>
            </w:hyperlink>
          </w:p>
        </w:tc>
        <w:tc>
          <w:tcPr>
            <w:tcW w:w="1400" w:type="dxa"/>
            <w:vAlign w:val="bottom"/>
            <w:gridSpan w:val="7"/>
          </w:tcPr>
          <w:p>
            <w:pPr>
              <w:spacing w:after="0"/>
              <w:rPr>
                <w:sz w:val="21"/>
                <w:szCs w:val="21"/>
                <w:color w:val="auto"/>
              </w:rPr>
            </w:pPr>
          </w:p>
        </w:tc>
        <w:tc>
          <w:tcPr>
            <w:tcW w:w="6220" w:type="dxa"/>
            <w:vAlign w:val="bottom"/>
            <w:gridSpan w:val="11"/>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3.</w:t>
              </w:r>
            </w:hyperlink>
          </w:p>
        </w:tc>
        <w:tc>
          <w:tcPr>
            <w:tcW w:w="980" w:type="dxa"/>
            <w:vAlign w:val="bottom"/>
            <w:gridSpan w:val="6"/>
          </w:tcPr>
          <w:p>
            <w:pPr>
              <w:spacing w:after="0"/>
              <w:rPr>
                <w:sz w:val="21"/>
                <w:szCs w:val="21"/>
                <w:color w:val="auto"/>
              </w:rPr>
            </w:pPr>
          </w:p>
        </w:tc>
        <w:tc>
          <w:tcPr>
            <w:tcW w:w="8380" w:type="dxa"/>
            <w:vAlign w:val="bottom"/>
            <w:gridSpan w:val="2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4.</w:t>
              </w:r>
            </w:hyperlink>
          </w:p>
        </w:tc>
        <w:tc>
          <w:tcPr>
            <w:tcW w:w="980" w:type="dxa"/>
            <w:vAlign w:val="bottom"/>
            <w:gridSpan w:val="6"/>
          </w:tcPr>
          <w:p>
            <w:pPr>
              <w:spacing w:after="0"/>
              <w:rPr>
                <w:sz w:val="21"/>
                <w:szCs w:val="21"/>
                <w:color w:val="auto"/>
              </w:rPr>
            </w:pPr>
          </w:p>
        </w:tc>
        <w:tc>
          <w:tcPr>
            <w:tcW w:w="1820" w:type="dxa"/>
            <w:vAlign w:val="bottom"/>
            <w:gridSpan w:val="6"/>
          </w:tcPr>
          <w:p>
            <w:pPr>
              <w:spacing w:after="0"/>
              <w:rPr>
                <w:rFonts w:ascii="Arial" w:cs="Arial" w:eastAsia="Arial" w:hAnsi="Arial"/>
                <w:sz w:val="18"/>
                <w:szCs w:val="18"/>
                <w:b w:val="1"/>
                <w:bCs w:val="1"/>
                <w:color w:val="0000EE"/>
                <w:w w:val="85"/>
              </w:rPr>
            </w:pPr>
            <w:hyperlink w:anchor="page28">
              <w:r>
                <w:rPr>
                  <w:rFonts w:ascii="Arial" w:cs="Arial" w:eastAsia="Arial" w:hAnsi="Arial"/>
                  <w:sz w:val="18"/>
                  <w:szCs w:val="18"/>
                  <w:b w:val="1"/>
                  <w:bCs w:val="1"/>
                  <w:color w:val="0000EE"/>
                  <w:w w:val="85"/>
                </w:rPr>
                <w:t>Mine Safety Disclosures</w:t>
              </w:r>
            </w:hyperlink>
          </w:p>
        </w:tc>
        <w:tc>
          <w:tcPr>
            <w:tcW w:w="6560" w:type="dxa"/>
            <w:vAlign w:val="bottom"/>
            <w:gridSpan w:val="14"/>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20" w:type="dxa"/>
            <w:vAlign w:val="bottom"/>
            <w:tcBorders>
              <w:bottom w:val="single" w:sz="8" w:color="0000EE"/>
            </w:tcBorders>
            <w:gridSpan w:val="3"/>
          </w:tcPr>
          <w:p>
            <w:pPr>
              <w:spacing w:after="0"/>
              <w:rPr>
                <w:rFonts w:ascii="Arial" w:cs="Arial" w:eastAsia="Arial" w:hAnsi="Arial"/>
                <w:sz w:val="18"/>
                <w:szCs w:val="18"/>
                <w:b w:val="1"/>
                <w:bCs w:val="1"/>
                <w:color w:val="0000EE"/>
                <w:w w:val="90"/>
              </w:rPr>
            </w:pPr>
            <w:hyperlink w:anchor="page29">
              <w:r>
                <w:rPr>
                  <w:rFonts w:ascii="Arial" w:cs="Arial" w:eastAsia="Arial" w:hAnsi="Arial"/>
                  <w:sz w:val="18"/>
                  <w:szCs w:val="18"/>
                  <w:b w:val="1"/>
                  <w:bCs w:val="1"/>
                  <w:color w:val="0000EE"/>
                  <w:w w:val="90"/>
                </w:rPr>
                <w:t>PART II</w:t>
              </w:r>
            </w:hyperlink>
          </w:p>
        </w:tc>
        <w:tc>
          <w:tcPr>
            <w:tcW w:w="90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Item 5.</w:t>
              </w:r>
            </w:hyperlink>
          </w:p>
        </w:tc>
        <w:tc>
          <w:tcPr>
            <w:tcW w:w="980" w:type="dxa"/>
            <w:vAlign w:val="bottom"/>
            <w:gridSpan w:val="6"/>
          </w:tcPr>
          <w:p>
            <w:pPr>
              <w:spacing w:after="0"/>
              <w:rPr>
                <w:sz w:val="24"/>
                <w:szCs w:val="24"/>
                <w:color w:val="auto"/>
              </w:rPr>
            </w:pPr>
          </w:p>
        </w:tc>
        <w:tc>
          <w:tcPr>
            <w:tcW w:w="7600" w:type="dxa"/>
            <w:vAlign w:val="bottom"/>
            <w:tcBorders>
              <w:bottom w:val="single" w:sz="8" w:color="0000EE"/>
            </w:tcBorders>
            <w:gridSpan w:val="18"/>
          </w:tcPr>
          <w:p>
            <w:pPr>
              <w:spacing w:after="0"/>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Market for United’s Common Equity, Related Stockholder Matters and Issuer Purchases of Equity</w:t>
              </w:r>
            </w:hyperlink>
          </w:p>
        </w:tc>
        <w:tc>
          <w:tcPr>
            <w:tcW w:w="7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spacing w:after="0" w:line="196" w:lineRule="exact"/>
              <w:rPr>
                <w:rFonts w:ascii="Arial" w:cs="Arial" w:eastAsia="Arial" w:hAnsi="Arial"/>
                <w:sz w:val="18"/>
                <w:szCs w:val="18"/>
                <w:b w:val="1"/>
                <w:bCs w:val="1"/>
                <w:color w:val="0000EE"/>
                <w:w w:val="83"/>
              </w:rPr>
            </w:pPr>
            <w:hyperlink w:anchor="page29">
              <w:r>
                <w:rPr>
                  <w:rFonts w:ascii="Arial" w:cs="Arial" w:eastAsia="Arial" w:hAnsi="Arial"/>
                  <w:sz w:val="18"/>
                  <w:szCs w:val="18"/>
                  <w:b w:val="1"/>
                  <w:bCs w:val="1"/>
                  <w:color w:val="0000EE"/>
                  <w:w w:val="83"/>
                </w:rPr>
                <w:t>Securities</w:t>
              </w:r>
            </w:hyperlink>
          </w:p>
        </w:tc>
        <w:tc>
          <w:tcPr>
            <w:tcW w:w="7620" w:type="dxa"/>
            <w:vAlign w:val="bottom"/>
            <w:gridSpan w:val="18"/>
          </w:tcPr>
          <w:p>
            <w:pPr>
              <w:spacing w:after="0"/>
              <w:rPr>
                <w:sz w:val="17"/>
                <w:szCs w:val="17"/>
                <w:color w:val="auto"/>
              </w:rPr>
            </w:pPr>
          </w:p>
        </w:tc>
        <w:tc>
          <w:tcPr>
            <w:tcW w:w="860" w:type="dxa"/>
            <w:vAlign w:val="bottom"/>
            <w:gridSpan w:val="4"/>
          </w:tcPr>
          <w:p>
            <w:pPr>
              <w:jc w:val="right"/>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29</w:t>
              </w:r>
            </w:hyperlink>
          </w:p>
        </w:tc>
      </w:tr>
      <w:tr>
        <w:trPr>
          <w:trHeight w:val="20"/>
        </w:trPr>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6.</w:t>
              </w:r>
            </w:hyperlink>
          </w:p>
        </w:tc>
        <w:tc>
          <w:tcPr>
            <w:tcW w:w="980" w:type="dxa"/>
            <w:vAlign w:val="bottom"/>
            <w:gridSpan w:val="6"/>
          </w:tcPr>
          <w:p>
            <w:pPr>
              <w:spacing w:after="0"/>
              <w:rPr>
                <w:sz w:val="21"/>
                <w:szCs w:val="21"/>
                <w:color w:val="auto"/>
              </w:rPr>
            </w:pPr>
          </w:p>
        </w:tc>
        <w:tc>
          <w:tcPr>
            <w:tcW w:w="1820" w:type="dxa"/>
            <w:vAlign w:val="bottom"/>
            <w:gridSpan w:val="6"/>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Selected Financial Data</w:t>
              </w:r>
            </w:hyperlink>
          </w:p>
        </w:tc>
        <w:tc>
          <w:tcPr>
            <w:tcW w:w="6560" w:type="dxa"/>
            <w:vAlign w:val="bottom"/>
            <w:gridSpan w:val="14"/>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7.</w:t>
              </w:r>
            </w:hyperlink>
          </w:p>
        </w:tc>
        <w:tc>
          <w:tcPr>
            <w:tcW w:w="980" w:type="dxa"/>
            <w:vAlign w:val="bottom"/>
            <w:gridSpan w:val="6"/>
          </w:tcPr>
          <w:p>
            <w:pPr>
              <w:spacing w:after="0"/>
              <w:rPr>
                <w:sz w:val="21"/>
                <w:szCs w:val="21"/>
                <w:color w:val="auto"/>
              </w:rPr>
            </w:pPr>
          </w:p>
        </w:tc>
        <w:tc>
          <w:tcPr>
            <w:tcW w:w="6840" w:type="dxa"/>
            <w:vAlign w:val="bottom"/>
            <w:gridSpan w:val="16"/>
          </w:tcPr>
          <w:p>
            <w:pPr>
              <w:spacing w:after="0"/>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Management’s Discussion and Analysis of Financial Condition and Results of Operations</w:t>
              </w:r>
            </w:hyperlink>
          </w:p>
        </w:tc>
        <w:tc>
          <w:tcPr>
            <w:tcW w:w="1540" w:type="dxa"/>
            <w:vAlign w:val="bottom"/>
            <w:gridSpan w:val="4"/>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67">
              <w:r>
                <w:rPr>
                  <w:rFonts w:ascii="Arial" w:cs="Arial" w:eastAsia="Arial" w:hAnsi="Arial"/>
                  <w:sz w:val="18"/>
                  <w:szCs w:val="18"/>
                  <w:b w:val="1"/>
                  <w:bCs w:val="1"/>
                  <w:color w:val="0000EE"/>
                  <w:w w:val="82"/>
                </w:rPr>
                <w:t>Item 7A.</w:t>
              </w:r>
            </w:hyperlink>
          </w:p>
        </w:tc>
        <w:tc>
          <w:tcPr>
            <w:tcW w:w="900" w:type="dxa"/>
            <w:vAlign w:val="bottom"/>
            <w:gridSpan w:val="4"/>
          </w:tcPr>
          <w:p>
            <w:pPr>
              <w:spacing w:after="0"/>
              <w:rPr>
                <w:sz w:val="21"/>
                <w:szCs w:val="21"/>
                <w:color w:val="auto"/>
              </w:rPr>
            </w:pPr>
          </w:p>
        </w:tc>
        <w:tc>
          <w:tcPr>
            <w:tcW w:w="8380" w:type="dxa"/>
            <w:vAlign w:val="bottom"/>
            <w:gridSpan w:val="20"/>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Quantitative and Qualitative Disclosures About Market Risk</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63</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68">
              <w:r>
                <w:rPr>
                  <w:rFonts w:ascii="Arial" w:cs="Arial" w:eastAsia="Arial" w:hAnsi="Arial"/>
                  <w:sz w:val="18"/>
                  <w:szCs w:val="18"/>
                  <w:b w:val="1"/>
                  <w:bCs w:val="1"/>
                  <w:color w:val="0000EE"/>
                  <w:w w:val="91"/>
                </w:rPr>
                <w:t>Item 8.</w:t>
              </w:r>
            </w:hyperlink>
          </w:p>
        </w:tc>
        <w:tc>
          <w:tcPr>
            <w:tcW w:w="80" w:type="dxa"/>
            <w:vAlign w:val="bottom"/>
            <w:gridSpan w:val="2"/>
          </w:tcPr>
          <w:p>
            <w:pPr>
              <w:spacing w:after="0"/>
              <w:rPr>
                <w:sz w:val="21"/>
                <w:szCs w:val="21"/>
                <w:color w:val="auto"/>
              </w:rPr>
            </w:pPr>
          </w:p>
        </w:tc>
        <w:tc>
          <w:tcPr>
            <w:tcW w:w="900" w:type="dxa"/>
            <w:vAlign w:val="bottom"/>
            <w:gridSpan w:val="4"/>
          </w:tcPr>
          <w:p>
            <w:pPr>
              <w:spacing w:after="0"/>
              <w:rPr>
                <w:sz w:val="21"/>
                <w:szCs w:val="21"/>
                <w:color w:val="auto"/>
              </w:rPr>
            </w:pPr>
          </w:p>
        </w:tc>
        <w:tc>
          <w:tcPr>
            <w:tcW w:w="3600" w:type="dxa"/>
            <w:vAlign w:val="bottom"/>
            <w:gridSpan w:val="12"/>
          </w:tcPr>
          <w:p>
            <w:pPr>
              <w:spacing w:after="0"/>
              <w:rPr>
                <w:rFonts w:ascii="Arial" w:cs="Arial" w:eastAsia="Arial" w:hAnsi="Arial"/>
                <w:sz w:val="18"/>
                <w:szCs w:val="18"/>
                <w:b w:val="1"/>
                <w:bCs w:val="1"/>
                <w:color w:val="0000EE"/>
                <w:w w:val="90"/>
              </w:rPr>
            </w:pPr>
            <w:hyperlink w:anchor="page68">
              <w:r>
                <w:rPr>
                  <w:rFonts w:ascii="Arial" w:cs="Arial" w:eastAsia="Arial" w:hAnsi="Arial"/>
                  <w:sz w:val="18"/>
                  <w:szCs w:val="18"/>
                  <w:b w:val="1"/>
                  <w:bCs w:val="1"/>
                  <w:color w:val="0000EE"/>
                  <w:w w:val="90"/>
                </w:rPr>
                <w:t>Financial Statements and Supplementary Data</w:t>
              </w:r>
            </w:hyperlink>
          </w:p>
        </w:tc>
        <w:tc>
          <w:tcPr>
            <w:tcW w:w="1060" w:type="dxa"/>
            <w:vAlign w:val="bottom"/>
            <w:gridSpan w:val="2"/>
          </w:tcPr>
          <w:p>
            <w:pPr>
              <w:spacing w:after="0"/>
              <w:rPr>
                <w:sz w:val="21"/>
                <w:szCs w:val="21"/>
                <w:color w:val="auto"/>
              </w:rPr>
            </w:pPr>
          </w:p>
        </w:tc>
        <w:tc>
          <w:tcPr>
            <w:tcW w:w="3720" w:type="dxa"/>
            <w:vAlign w:val="bottom"/>
            <w:gridSpan w:val="6"/>
          </w:tcPr>
          <w:p>
            <w:pPr>
              <w:spacing w:after="0"/>
              <w:rPr>
                <w:sz w:val="21"/>
                <w:szCs w:val="21"/>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64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145">
              <w:r>
                <w:rPr>
                  <w:rFonts w:ascii="Arial" w:cs="Arial" w:eastAsia="Arial" w:hAnsi="Arial"/>
                  <w:sz w:val="18"/>
                  <w:szCs w:val="18"/>
                  <w:b w:val="1"/>
                  <w:bCs w:val="1"/>
                  <w:color w:val="0000EE"/>
                  <w:w w:val="91"/>
                </w:rPr>
                <w:t>Item 9.</w:t>
              </w:r>
            </w:hyperlink>
          </w:p>
        </w:tc>
        <w:tc>
          <w:tcPr>
            <w:tcW w:w="980" w:type="dxa"/>
            <w:vAlign w:val="bottom"/>
            <w:gridSpan w:val="6"/>
          </w:tcPr>
          <w:p>
            <w:pPr>
              <w:spacing w:after="0"/>
              <w:rPr>
                <w:sz w:val="21"/>
                <w:szCs w:val="21"/>
                <w:color w:val="auto"/>
              </w:rPr>
            </w:pPr>
          </w:p>
        </w:tc>
        <w:tc>
          <w:tcPr>
            <w:tcW w:w="6860" w:type="dxa"/>
            <w:vAlign w:val="bottom"/>
            <w:tcBorders>
              <w:bottom w:val="single" w:sz="8" w:color="0000EE"/>
            </w:tcBorders>
            <w:gridSpan w:val="17"/>
          </w:tcPr>
          <w:p>
            <w:pPr>
              <w:spacing w:after="0"/>
              <w:rPr>
                <w:rFonts w:ascii="Arial" w:cs="Arial" w:eastAsia="Arial" w:hAnsi="Arial"/>
                <w:sz w:val="18"/>
                <w:szCs w:val="18"/>
                <w:b w:val="1"/>
                <w:bCs w:val="1"/>
                <w:color w:val="0000EE"/>
                <w:w w:val="88"/>
              </w:rPr>
            </w:pPr>
            <w:hyperlink w:anchor="page145">
              <w:r>
                <w:rPr>
                  <w:rFonts w:ascii="Arial" w:cs="Arial" w:eastAsia="Arial" w:hAnsi="Arial"/>
                  <w:sz w:val="18"/>
                  <w:szCs w:val="18"/>
                  <w:b w:val="1"/>
                  <w:bCs w:val="1"/>
                  <w:color w:val="0000EE"/>
                  <w:w w:val="88"/>
                </w:rPr>
                <w:t>Changes in and Disagreements with Accountants on Accounting and Financial Disclosure</w:t>
              </w:r>
            </w:hyperlink>
          </w:p>
        </w:tc>
        <w:tc>
          <w:tcPr>
            <w:tcW w:w="152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6"/>
              </w:rPr>
            </w:pPr>
            <w:hyperlink w:anchor="page145">
              <w:r>
                <w:rPr>
                  <w:rFonts w:ascii="Arial" w:cs="Arial" w:eastAsia="Arial" w:hAnsi="Arial"/>
                  <w:sz w:val="18"/>
                  <w:szCs w:val="18"/>
                  <w:b w:val="1"/>
                  <w:bCs w:val="1"/>
                  <w:color w:val="0000EE"/>
                  <w:w w:val="86"/>
                </w:rPr>
                <w:t>137</w:t>
              </w:r>
            </w:hyperlink>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b w:val="1"/>
                <w:bCs w:val="1"/>
                <w:color w:val="0000EE"/>
                <w:w w:val="82"/>
              </w:rPr>
            </w:pPr>
            <w:hyperlink w:anchor="page145">
              <w:r>
                <w:rPr>
                  <w:rFonts w:ascii="Arial" w:cs="Arial" w:eastAsia="Arial" w:hAnsi="Arial"/>
                  <w:sz w:val="18"/>
                  <w:szCs w:val="18"/>
                  <w:b w:val="1"/>
                  <w:bCs w:val="1"/>
                  <w:color w:val="0000EE"/>
                  <w:w w:val="82"/>
                </w:rPr>
                <w:t>Item 9A.</w:t>
              </w:r>
            </w:hyperlink>
          </w:p>
        </w:tc>
        <w:tc>
          <w:tcPr>
            <w:tcW w:w="900" w:type="dxa"/>
            <w:vAlign w:val="bottom"/>
            <w:gridSpan w:val="4"/>
          </w:tcPr>
          <w:p>
            <w:pPr>
              <w:spacing w:after="0"/>
              <w:rPr>
                <w:sz w:val="21"/>
                <w:szCs w:val="21"/>
                <w:color w:val="auto"/>
              </w:rPr>
            </w:pPr>
          </w:p>
        </w:tc>
        <w:tc>
          <w:tcPr>
            <w:tcW w:w="192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145">
              <w:r>
                <w:rPr>
                  <w:rFonts w:ascii="Arial" w:cs="Arial" w:eastAsia="Arial" w:hAnsi="Arial"/>
                  <w:sz w:val="18"/>
                  <w:szCs w:val="18"/>
                  <w:b w:val="1"/>
                  <w:bCs w:val="1"/>
                  <w:color w:val="0000EE"/>
                  <w:w w:val="88"/>
                </w:rPr>
                <w:t>Controls and Procedures</w:t>
              </w:r>
            </w:hyperlink>
          </w:p>
        </w:tc>
        <w:tc>
          <w:tcPr>
            <w:tcW w:w="6460" w:type="dxa"/>
            <w:vAlign w:val="bottom"/>
            <w:gridSpan w:val="12"/>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6"/>
              </w:rPr>
            </w:pPr>
            <w:hyperlink w:anchor="page145">
              <w:r>
                <w:rPr>
                  <w:rFonts w:ascii="Arial" w:cs="Arial" w:eastAsia="Arial" w:hAnsi="Arial"/>
                  <w:sz w:val="18"/>
                  <w:szCs w:val="18"/>
                  <w:b w:val="1"/>
                  <w:bCs w:val="1"/>
                  <w:color w:val="0000EE"/>
                  <w:w w:val="86"/>
                </w:rPr>
                <w:t>137</w:t>
              </w:r>
            </w:hyperlink>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145">
              <w:r>
                <w:rPr>
                  <w:rFonts w:ascii="Arial" w:cs="Arial" w:eastAsia="Arial" w:hAnsi="Arial"/>
                  <w:sz w:val="18"/>
                  <w:szCs w:val="18"/>
                  <w:b w:val="1"/>
                  <w:bCs w:val="1"/>
                  <w:color w:val="0000EE"/>
                  <w:w w:val="82"/>
                </w:rPr>
                <w:t>Item 9B.</w:t>
              </w:r>
            </w:hyperlink>
          </w:p>
        </w:tc>
        <w:tc>
          <w:tcPr>
            <w:tcW w:w="900" w:type="dxa"/>
            <w:vAlign w:val="bottom"/>
            <w:gridSpan w:val="4"/>
          </w:tcPr>
          <w:p>
            <w:pPr>
              <w:spacing w:after="0"/>
              <w:rPr>
                <w:sz w:val="21"/>
                <w:szCs w:val="21"/>
                <w:color w:val="auto"/>
              </w:rPr>
            </w:pPr>
          </w:p>
        </w:tc>
        <w:tc>
          <w:tcPr>
            <w:tcW w:w="8380" w:type="dxa"/>
            <w:vAlign w:val="bottom"/>
            <w:gridSpan w:val="20"/>
          </w:tcPr>
          <w:p>
            <w:pPr>
              <w:spacing w:after="0"/>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Other Information</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137</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PART III</w:t>
              </w:r>
            </w:hyperlink>
          </w:p>
        </w:tc>
        <w:tc>
          <w:tcPr>
            <w:tcW w:w="7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1520" w:type="dxa"/>
            <w:vAlign w:val="bottom"/>
            <w:gridSpan w:val="7"/>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Item 10.</w:t>
              </w:r>
            </w:hyperlink>
          </w:p>
        </w:tc>
        <w:tc>
          <w:tcPr>
            <w:tcW w:w="8380" w:type="dxa"/>
            <w:vAlign w:val="bottom"/>
            <w:gridSpan w:val="20"/>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Directors, Executive Officers and Corporate Governance</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138</w:t>
              </w:r>
            </w:hyperlink>
          </w:p>
        </w:tc>
      </w:tr>
      <w:tr>
        <w:trPr>
          <w:trHeight w:val="250"/>
        </w:trPr>
        <w:tc>
          <w:tcPr>
            <w:tcW w:w="620" w:type="dxa"/>
            <w:vAlign w:val="bottom"/>
            <w:tcBorders>
              <w:top w:val="single" w:sz="8" w:color="0000EE"/>
            </w:tcBorders>
            <w:gridSpan w:val="3"/>
          </w:tcPr>
          <w:p>
            <w:pPr>
              <w:spacing w:after="0"/>
              <w:rPr>
                <w:rFonts w:ascii="Arial" w:cs="Arial" w:eastAsia="Arial" w:hAnsi="Arial"/>
                <w:sz w:val="18"/>
                <w:szCs w:val="18"/>
                <w:b w:val="1"/>
                <w:bCs w:val="1"/>
                <w:color w:val="0000EE"/>
                <w:w w:val="86"/>
              </w:rPr>
            </w:pPr>
            <w:hyperlink w:anchor="page146">
              <w:r>
                <w:rPr>
                  <w:rFonts w:ascii="Arial" w:cs="Arial" w:eastAsia="Arial" w:hAnsi="Arial"/>
                  <w:sz w:val="18"/>
                  <w:szCs w:val="18"/>
                  <w:b w:val="1"/>
                  <w:bCs w:val="1"/>
                  <w:color w:val="0000EE"/>
                  <w:w w:val="86"/>
                </w:rPr>
                <w:t>Item 11.</w:t>
              </w:r>
            </w:hyperlink>
          </w:p>
        </w:tc>
        <w:tc>
          <w:tcPr>
            <w:tcW w:w="900" w:type="dxa"/>
            <w:vAlign w:val="bottom"/>
            <w:gridSpan w:val="4"/>
          </w:tcPr>
          <w:p>
            <w:pPr>
              <w:spacing w:after="0"/>
              <w:rPr>
                <w:sz w:val="21"/>
                <w:szCs w:val="21"/>
                <w:color w:val="auto"/>
              </w:rPr>
            </w:pPr>
          </w:p>
        </w:tc>
        <w:tc>
          <w:tcPr>
            <w:tcW w:w="438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Executive Compensation</w:t>
              </w:r>
            </w:hyperlink>
          </w:p>
        </w:tc>
        <w:tc>
          <w:tcPr>
            <w:tcW w:w="400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b w:val="1"/>
                <w:bCs w:val="1"/>
                <w:color w:val="0000EE"/>
                <w:w w:val="86"/>
              </w:rPr>
            </w:pPr>
            <w:hyperlink w:anchor="page146">
              <w:r>
                <w:rPr>
                  <w:rFonts w:ascii="Arial" w:cs="Arial" w:eastAsia="Arial" w:hAnsi="Arial"/>
                  <w:sz w:val="18"/>
                  <w:szCs w:val="18"/>
                  <w:b w:val="1"/>
                  <w:bCs w:val="1"/>
                  <w:color w:val="0000EE"/>
                  <w:w w:val="86"/>
                </w:rPr>
                <w:t>138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Item 12.</w:t>
              </w:r>
            </w:hyperlink>
          </w:p>
        </w:tc>
        <w:tc>
          <w:tcPr>
            <w:tcW w:w="8380" w:type="dxa"/>
            <w:vAlign w:val="bottom"/>
            <w:gridSpan w:val="20"/>
          </w:tcPr>
          <w:p>
            <w:pPr>
              <w:spacing w:after="0"/>
              <w:rPr>
                <w:rFonts w:ascii="Arial" w:cs="Arial" w:eastAsia="Arial" w:hAnsi="Arial"/>
                <w:sz w:val="18"/>
                <w:szCs w:val="18"/>
                <w:b w:val="1"/>
                <w:bCs w:val="1"/>
                <w:color w:val="0000EE"/>
                <w:w w:val="97"/>
              </w:rPr>
            </w:pPr>
            <w:hyperlink w:anchor="page146">
              <w:r>
                <w:rPr>
                  <w:rFonts w:ascii="Arial" w:cs="Arial" w:eastAsia="Arial" w:hAnsi="Arial"/>
                  <w:sz w:val="18"/>
                  <w:szCs w:val="18"/>
                  <w:b w:val="1"/>
                  <w:bCs w:val="1"/>
                  <w:color w:val="0000EE"/>
                  <w:w w:val="97"/>
                </w:rPr>
                <w:t>Security Ownership of Certain Beneficial Owners and Management and Related Stockholder Matters</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138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Item 13.</w:t>
              </w:r>
            </w:hyperlink>
          </w:p>
        </w:tc>
        <w:tc>
          <w:tcPr>
            <w:tcW w:w="8380" w:type="dxa"/>
            <w:vAlign w:val="bottom"/>
            <w:gridSpan w:val="20"/>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Certain Relationships and Related Transactions, and Director Independence</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138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Item 14.</w:t>
              </w:r>
            </w:hyperlink>
          </w:p>
        </w:tc>
        <w:tc>
          <w:tcPr>
            <w:tcW w:w="8380" w:type="dxa"/>
            <w:vAlign w:val="bottom"/>
            <w:gridSpan w:val="20"/>
          </w:tcPr>
          <w:p>
            <w:pPr>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Principal Accounting Fees and Services</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138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47">
              <w:r>
                <w:rPr>
                  <w:rFonts w:ascii="Arial" w:cs="Arial" w:eastAsia="Arial" w:hAnsi="Arial"/>
                  <w:sz w:val="18"/>
                  <w:szCs w:val="18"/>
                  <w:b w:val="1"/>
                  <w:bCs w:val="1"/>
                  <w:color w:val="0000EE"/>
                  <w:w w:val="98"/>
                </w:rPr>
                <w:t>PART IV</w:t>
              </w:r>
            </w:hyperlink>
          </w:p>
        </w:tc>
        <w:tc>
          <w:tcPr>
            <w:tcW w:w="8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1520" w:type="dxa"/>
            <w:vAlign w:val="bottom"/>
            <w:gridSpan w:val="7"/>
          </w:tcPr>
          <w:p>
            <w:pPr>
              <w:spacing w:after="0"/>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Item 15.</w:t>
              </w:r>
            </w:hyperlink>
          </w:p>
        </w:tc>
        <w:tc>
          <w:tcPr>
            <w:tcW w:w="8380" w:type="dxa"/>
            <w:vAlign w:val="bottom"/>
            <w:gridSpan w:val="20"/>
          </w:tcPr>
          <w:p>
            <w:pPr>
              <w:spacing w:after="0"/>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Exhibits, Financial Statement Schedules</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139</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53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Item 16.</w:t>
              </w:r>
            </w:hyperlink>
          </w:p>
        </w:tc>
        <w:tc>
          <w:tcPr>
            <w:tcW w:w="8380" w:type="dxa"/>
            <w:vAlign w:val="bottom"/>
            <w:gridSpan w:val="20"/>
          </w:tcPr>
          <w:p>
            <w:pPr>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Form 10-K Summary</w:t>
              </w:r>
            </w:hyperlink>
          </w:p>
        </w:tc>
        <w:tc>
          <w:tcPr>
            <w:tcW w:w="860" w:type="dxa"/>
            <w:vAlign w:val="bottom"/>
            <w:gridSpan w:val="4"/>
          </w:tcPr>
          <w:p>
            <w:pPr>
              <w:jc w:val="right"/>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142</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520"/>
        </w:trPr>
        <w:tc>
          <w:tcPr>
            <w:tcW w:w="1520" w:type="dxa"/>
            <w:vAlign w:val="bottom"/>
            <w:gridSpan w:val="7"/>
          </w:tcPr>
          <w:p>
            <w:pPr>
              <w:spacing w:after="0"/>
              <w:rPr>
                <w:rFonts w:ascii="Arial" w:cs="Arial" w:eastAsia="Arial" w:hAnsi="Arial"/>
                <w:sz w:val="18"/>
                <w:szCs w:val="18"/>
                <w:b w:val="1"/>
                <w:bCs w:val="1"/>
                <w:color w:val="0000EE"/>
              </w:rPr>
            </w:pPr>
            <w:hyperlink w:anchor="page151">
              <w:r>
                <w:rPr>
                  <w:rFonts w:ascii="Arial" w:cs="Arial" w:eastAsia="Arial" w:hAnsi="Arial"/>
                  <w:sz w:val="18"/>
                  <w:szCs w:val="18"/>
                  <w:b w:val="1"/>
                  <w:bCs w:val="1"/>
                  <w:color w:val="0000EE"/>
                </w:rPr>
                <w:t>SIGNATURES</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4"/>
          </w:tcPr>
          <w:p>
            <w:pPr>
              <w:jc w:val="right"/>
              <w:spacing w:after="0"/>
              <w:rPr>
                <w:rFonts w:ascii="Arial" w:cs="Arial" w:eastAsia="Arial" w:hAnsi="Arial"/>
                <w:sz w:val="18"/>
                <w:szCs w:val="18"/>
                <w:b w:val="1"/>
                <w:bCs w:val="1"/>
                <w:color w:val="0000EE"/>
              </w:rPr>
            </w:pPr>
            <w:hyperlink w:anchor="page151">
              <w:r>
                <w:rPr>
                  <w:rFonts w:ascii="Arial" w:cs="Arial" w:eastAsia="Arial" w:hAnsi="Arial"/>
                  <w:sz w:val="18"/>
                  <w:szCs w:val="18"/>
                  <w:b w:val="1"/>
                  <w:bCs w:val="1"/>
                  <w:color w:val="0000EE"/>
                </w:rPr>
                <w:t>143</w:t>
              </w:r>
            </w:hyperlink>
          </w:p>
        </w:tc>
      </w:tr>
      <w:tr>
        <w:trPr>
          <w:trHeight w:val="939"/>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380" w:type="dxa"/>
            <w:vAlign w:val="bottom"/>
            <w:gridSpan w:val="13"/>
          </w:tcPr>
          <w:p>
            <w:pPr>
              <w:ind w:left="41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760"/>
          </w:cols>
          <w:pgMar w:left="280" w:top="580" w:right="8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Annual Report on Form 10-K (this “Report”) contains forward-looking statements within the meaning of the Private Securities Litigation Reform Act of 1995, Section 27A of the Securities Act of 1933, as amended (the “Securities Act”), and Section 21E of the Securities Exchange Act of 1934 (the “Exchange Act”). Forward-looking statements are not statements of historical fact and generally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Community Banks, Inc. and its subsidiaries (“United”). We caution our shareholders and other readers not to place undue reliance on such statements. Forward-looking statements are subject to risks, uncertainties and assumptions that are difficult to predict with regard to timing, extent, likelihood and degree of occurrence, which could cause actual results to differ materially from anticipated results. Such risks, uncertainties and assumptions include, but are not limited to:</w:t>
      </w:r>
    </w:p>
    <w:p>
      <w:pPr>
        <w:spacing w:after="0" w:line="16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 banking system and financial markets;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the interest rate environment, including interest rate changes made by the Federal Reserve, as well as cash flow reassessments may reduce net interest margin and/or the volumes and values of loans made or held as well as the value of other financial assets;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lack of geographic diversification and 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cybersecurity risks that could adversely affect our business and financial performance or reputation;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securities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allowance for loan losses resulting from the adoption and implementation of the new Current Expected Credit Loss (“CECL”) methodology;</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Federal Tax Reform could have an adverse impact on our business or our customers, including with respect to demand and pricing for our loan products;</w:t>
      </w: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regulatory or judicial proceedings, board resolutions, informal memorandums of understanding or formal enforcement actions imposed by regulators;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our allowance for loan losses may not be sufficient to cover our actual loan losses;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limitations on our ability to receive dividends from our subsidiaries which would affect our liquidity, including our ability to pay dividends or take other capital actions.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more detailed description of these and other risks is contained in “Item 1A. Risk Factors” below. Many of such factors are beyond our ability to control or predict, and readers are cautioned not to put undue reliance on such forward-looking statements. We disclaim any obligation to update or revise any forward-looking statements contained in this report, whether as a result of new information, future events or otherwise. 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All subsequent written and oral forward-looking statements attributable to us or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Unless this Form 10-K indicates otherwise or the context otherwise requires, the terms “we,” “our,” “us,” “United Community Banks,” or “United” as used herein refer to United Community Banks, Inc. (the “Holding Company”) and its subsidiaries, including United Community Bank, which we sometimes refer to as “the Bank,” “our bank subsidiary” or “our bank” and its other subsidiaries. References herein to the fiscal years 2014, 2015, 2016, 2017 and 2018 mean our fiscal years ended December 31, 2014, 2015, 2016, 2017 and 2018, respectively.</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bank holding company with $12.6 billion in assets as of December 31, 2018. We were incorporated in 1987 and began operations in 1988 in the state of Georgia by acquiring the capital stock of the Bank, a Georgia state-chartered bank that opened in 1950. We have since grown through a combination of acquisitions and strategic growth throughout the Georgia, South Carolina, North Carolina and Tennessee markets. As of December 31, 2018, we had 2,312 full-time equivalent employees.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a wide array of commercial and consumer banking services and investment advisory services to our customers. Our business model combines the commitment to exceptional customer service of a local bank with the products and expertise of a larger institution. This combination of service and expertise, in our view, sets us apart and is instrumental in our model to build long-term relationships. We operate as a locally-focused community bank, supplemented by experienced, centralized support to deliver products and services to our larger, more complex, customers. Our organizational structure reflects these strengths, with local leaders for each market and market advisory boards operating in partnership with the product experts of our Commercial Banking Solutions unit. Our United States Small Business Administration / United States Department of Agriculture (“SBA/USDA”) lending and equipment finance businesses operate both in our geographic footprint and nationally. We offer a full range of retail, commercial and corporate banking services, including checking, savings and time deposit accounts, secured and unsecured loans, mortgage loans, payment services, wire transfers, brokerage and advisory services and other related financial services.</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revenue is primarily derived from interest on and fees received in connection with the loans we make and from interest and dividends from our investment securities and short-term investments. The principal sources of funds for our lending activities are customer deposits, repayment of loans, and the sale and maturity of investment securities. Our principal expenses are interest paid on deposits and operating and general administrative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a range of lending services, including real estate, consumer and commercial loans, to individuals, small businesses, mid-sized commercial businesses and non-profit organizations. We also originate loans partially guaranteed by the SBA and to a lesser extent by the USDA loan programs. Our consolidated loans at December 31, 2018 were $8.38 billion, or 67%, of total consolidated assets. The interest rates charged on loans vary with the degree of risk, maturity and amount of the loan, and are further subject to competitive pressures, deposit costs, availability of funds and government regulations.</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most significant categories of our loans are those to finance owner occupied real estate, commercial income property, commercial and industrial equipment and operating loans, and consumer loans secured by personal residences. A majority of our loans are made on a secured basis.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Substantially all of our loans are to customers located in the immediate market areas of our banking locations in Georgia, South Carolina, North Carolina and Tennessee, including customers who have a seasonal residence in United’s market areas. A portion of our SBA/USDA, franchise and equipment finance businesses originate loans on a national basis, with a significant amount of those loans to customers outside of our immediate market areas.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full-service retail mortgage lending division, United Community Mortgage Services (“UCMS”), is approved as a seller/servicer for the Federal National Mortgage Association (“Fannie Mae”) and the Federal Home Loan Mortgage Corporation (“Freddie Mac”) and provides fixed and adjustable-rate home mortgages. During 2018, the Bank originated $891 million in residential mortgage loans for the purchase of homes and to refinance existing mortgage debt. The majority of these mortgages were sold into the secondary market without recourse to us, other than for breaches of warranties. We retain the servicing on most of our mortgage loans originated and sold since 2016. At December 31, 2018, our servicing portfolio included $1.21 billion of loans that we no longer own but service for others.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both"/>
        <w:ind w:right="20"/>
        <w:spacing w:after="0" w:line="264" w:lineRule="auto"/>
        <w:rPr>
          <w:sz w:val="20"/>
          <w:szCs w:val="20"/>
          <w:color w:val="auto"/>
        </w:rPr>
      </w:pPr>
      <w:r>
        <w:rPr>
          <w:rFonts w:ascii="Arial" w:cs="Arial" w:eastAsia="Arial" w:hAnsi="Arial"/>
          <w:sz w:val="18"/>
          <w:szCs w:val="18"/>
          <w:color w:val="auto"/>
        </w:rPr>
        <w:t>Our credit organization provides each lending officer with written guidelines for lending activities, and limited lending authority is delegated to lending officers. Loans in excess of individual officer credit authority must be approved by a senior officer with sufficient approval authority delegated by our credit organization or by our Senior Credit Committee.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Regional Credit Officers and Senior Credit Officers provide credit approval and portfolio administration support for our commercial lending operations as needed. Our Regional Credit Officers have lending authority set by our Chief Credit Officer based on characteristics of the markets they serve. For commercial loans less than $250,000, we use a centralized small business lending/underwriting department.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centralized consumer credit center that provides underwriting, regulatory disclosure and document preparation for all consumer loan requests originated by our lenders. Applications are processed through an automated loan origination software platform and approved by credit center underwriters.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Loan Review Department reviews, or engages an independent third party to review, our loan portfolio on an ongoing basis to identify any weaknesses in the portfolio and to assess the general quality of credit underwriting. The results of such reviews are presented to our executive management and the Risk Committee of the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lending activity, see the section captioned “Loans” in the “Balance Sheet Review” section of “Item 7.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Activities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Deposits are the major source of our funds for lending and other investment activities. We offer our customers a variety of deposit products, including checking accounts, savings accounts, money market accounts and other deposit accounts, through multiple channels, including our network of full-service branches and our online, mobile and telephone banking platforms. We consider the majority of our regular savings, demand, negotiable order of withdrawal (“NOW”) and money market deposit accounts to be core deposits. Generally, we attempt to maintain the rates paid on our deposits at a competitive level. We generate the majority of our deposits from customers in our local markets. For additional information regarding our deposit accounts, see the section captioned “Deposits” in “Item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our investment portfolio to provide for the investment of excess funds at acceptable risks levels while providing liquidity to fund loan demand or to offset fluctuations in deposits. Our portfolio consists primarily of residential and commercial mortgage-backed securities and U.S. Department of the Treasury (“U. S. Treasury”) and agency and municipal obligations. Most of the securities are classified by us as available-for-sale and recorded on our balance sheet at market value at each balance sheet date. Any change in market value on available-for-sale securities is recorded directly in our shareholders’ equity account and is not recognized in our income statement unless the security is sold or unless it is impaired and the impairment is other than temporary.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Merchant Services and Wealth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two captive insurance subsidiaries, United Community Risk Management Services, Inc., which provides risk management services for us and our subsidiaries, and NLFC Reinsurance Ltd., which provides reinsurance on a property insurance contract covering equipment financed by our equipment financing division.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payment processing services for our commercial and small business customers through United Community Payment Systems, LLC (“UCPS”). UCPS is a joint venture between the Bank and Security Card Services, LLC, a merchant services provider headquartered in Oxford, Mississippi and owned by First Data Corporation.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generate fee revenue through the sale of non-deposit investment products and insurance products, including life insurance, long-term care insurance and tax-deferred annuities, to our customers. Those products are sold by employees who are licensed financial advisors doing business as United Community Advisory Services. We have an affiliation with a third party broker/dealer, LPL Financial, to facilitate this line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compete in the highly competitive banking and financial services industry. Our profitability depends principally on our ability to effectively compete in the markets in which we conduct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We experience strong competition from both bank and non-bank competitors. Broadly speaking, we compete with national banks, super-regional banks, smaller community banks and non-traditional internet-based banks. In addition, we compete with other financial intermediaries and investment alternatives such as mortgage companies, credit card issuers, leasing companies, finance companies, money market mutual funds, brokerage firms, governmental and corporation bond issuers, and other securities firms. Many of these non-bank competitors are not subject to the same regulatory oversight, affording them a competitive advantage in some instances. In many cases, our competitors have substantially greater resources and offer certain services that we are unable to provide to our customers.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encounter strong pricing competition in providing our services. Additionally, other banks offer different products or services from those that we provide. The larger national and super-regional banks may have significantly greater lending limits and may offer additional products than we are capable of providing. We attempt to compete successfully with our competitors, regardless of their size, by emphasizing customer service while continuing to provide a wide variety of services.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expect competition in the industry to continue to increase mainly as a result of the improvement in financial technology used by both existing and new banking and financial services firms. Competition may further intensify as additional companies enter the markets where we conduct business, competitors combine to present more formidable challengers and we enter mature markets in accordance with our expansion strategy.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Expansion</w:t>
      </w: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look to expand into attractive markets where we believe our operating model will be successful. We have entered new markets and expanded our product offerings both by establishing new branches and service locations and selective acquisitions of existing market participants. We have developed a number of commercial lending businesses organically, which provide local commercial real estate, middle market, senior living, renewable energy, builder finance and asset-based lending services. We generally seek merger or acquisition partners that share a similar culture and commitment to customer service. Acquisitions typically involve the payment of a premium over book and market values and some dilution to our tangible book value may occur. Our goal is to maintain a reasonable earn-back period of any dilution, using realistic assumptions as to growth and expense reductions, as well as to achieve a return on investment superior to that achieved through de novo expansion. Our ability to engage in any merger or acquisition will depend upon approval from various bank regulatory authorities, which will be subject to a variety of factors and considerations.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Like all bank and bank holding companies, we are regulated extensively under state and federal banking laws. The regulatory framework is intended primarily for the protection of the depositors, federal deposit insurance funds and the banking system as a whole and not for the protection of the shareholders and creditors. Certain provisions of laws and regulations affecting financial services firms such as United are subject to further rulemaking, guidance and interpretation by the applicable federal regulators. United is subject to examination and reporting requirements of the Federal Reserve and the Georgia Department of Banking and Finance (the “DBF”). The Bank is subject to examination and reporting requirements of the Federal Deposit Insurance Corporation (“FDIC”), the DBF and the Consumer Financial Protection Bureau (“CFPB”). United will continue to evaluate the impact of any new regulations so promulgated. The financial statements and information contained herein have not been reviewed, or confirmed for accuracy or relevance, by the FDIC or any other regulator.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Bank Holding Company Regulation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 is a registered bank holding company subject to regulation by the Federal Reserve under the Bank Holding Company Act of 1956, as amended (“BHC Act”). United is required to file annual and quarterly financial information with the Federal Reserve and is subject to periodic examination by the Federal Reserve. 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activities. This prohibition does not apply to activities listed in the BHC Act or found by the Federal Reserve, by order or regulation, to be closely related to banking or managing or controlling banks as to be a proper incident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of the activities that the Federal Reserve has determined by regulation or order to be closely related to banking are:</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must also register with the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Tennessee and South Carolina; neither the North Carolina Banking Commission, the Tennessee Department of Financial Institutions, nor the South Carolina Commissioner of Banking examines or directly regulates out-of-state holding companies.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Holding Company is an “affiliate” of the Bank under the Federal Reserve Act, which imposes certain restrictions on (1) loans by the Bank to the Holding Company, (2) investments in the stock or securities of the Holding Company by the Bank, (3) the Bank taking the stock or securities of an “affiliate” as collateral for loans by the Bank to a borrower and (4) the purchase of assets from the Holding Company by the Bank. Further, a bank holding company and its subsidiaries are prohibited from engaging in certain tie-in arrangements in connection with any extension of credit, lease or sale of property or furnishing of services.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and each of its subsidiaries are regularly examined by the FDIC. The Bank, as a state banking corporation organized under Georgia law, is subject to the supervision of, and is regularly examined by, the DBF. Both the FDIC and the DBF must grant prior approval of any merger, consolidation or other corporation reorganization involving the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Payment of Dividends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Holding Company is a legal entity separate and distinct from the Bank. Most of the revenue of the Holding Company results from dividends paid to it by the Bank. There are statutory and regulatory requirements applicable to the payment of dividends by the Bank, as well as by the Holding Company to its shareholders.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regulations of the DBF, a state bank with an accumulated deficit (negative retained earnings) may declare dividends (reduction in capital) by first obtaining the written permission of the DBF and FDIC. If a state bank has positive retained earnings, it may declare a dividend without DBF approval if it meets all the following requirements:</w:t>
      </w:r>
    </w:p>
    <w:p>
      <w:pPr>
        <w:spacing w:after="0" w:line="18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payment of dividends by the Holding Company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consider the adequacy of the Bank’s total capital in relation to its assets, deposits and other such items. Capital adequacy considerations could further limit the availability of dividends from the Bank.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Federal Reserve’s Comprehensive Capital Analysis and Review (“CCAR”) Rules, bank holding companies with $50 billion or more of total assets are required to submit annual capital plans to the Federal Reserve and generally may pay dividends and repurchase stock only under a capital plan as to which the Federal Reserve has not objected. The CCAR rules will not apply to United for so long as our total consolidated assets remain below $50 billion. However, it is anticipated that United’s capital ratios will be important factors considered by the Federal Reserve in evaluating whether proposed payments of dividends or stock repurchases may be an unsafe or unsound practice.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its accumulated deficit in recent years, the Bank was required to receive pre-approval from the DBF and FDIC to pay cash dividends (reduction in capital) to the Holding Company. In 2018, 2017 and 2016, the Bank paid a cash dividend of $162 million, $103 million and $41.5 million, respectively, to the Holding Company after the approval of the DBF and FDIC. The dividends were paid out of capital surplus rather than the accumulated deficit. At December 31, 2018, the Bank no longer had an accumulated deficit. The Holding Company declared cash dividends on its common stock in 2018, 2017 and 2016 of 58 cents, 38 cents and 30 cents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Adequacy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Banks and bank holding companies are subject to various regulatory capital requirements administered by state and federal banking 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Federal Reserve and the FDIC have implemented substantially identical risk-based rules for assessing bank and bank holding company capital adequacy. These regulations establish minimum capital standards in relation to assets and off-balance sheet exposures as adjusted for credit risk. “Total capital” is composed of Tier 1 capital and Tier 2 capital. “Tier 1 capital” includes common equity, retained earnings, qualifying non-cumulative perpetual preferred stock, a limited amount of qualifying cumulative perpetual stock at the holding company level, minority interests in equity accounts of consolidated subsidiaries, less goodwill, most intangible assets and certain other assets. “Tier 2 capital” includes, among other things, perpetual stock and related surplus not meeting the Tier 1 capital definition, qualifying mandatorily convertible debt securities, qualifying subordinated debt and allowances for possible loan and lease losses, subject to limitations. The Federal Reserve and the FDIC use the leverage ratio in tandem with the risk-based ratio to assess the capital adequacy of banks and bank holding companies. The Federal Reserve will require a bank holding company to maintain a leverage ratio well above minimum levels if it is experiencing or anticipating significant growth or is operating with less than well-diversified risks in the opinion of the Federal Reserve. The FDIC and the Federal Reserve also require banks to maintain capital well above minimum levels.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2013, the Federal Reserve published the Basel III Capital Rules establishing a new comprehensive capital framework applicable to all depository institutions, bank holding companies with total consolidated assets of $500 million or more and all and savings and loan holding companies except for those that are substantially engaged in insurance underwriting or commercial activities (collectively, “banking organizations”). The rules implement the December 2010 framework proposed by the Basel Committee on Banking Supervision (the “Basel Committee”), known as “Basel III”, for strengthening international capital standards as well as certain provisions of the Dodd-Frank Wall Street Reform and Consumer Protection Act of 2010 (the “Dodd-Frank Act”).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 III Capital Rules substantially revised the risk-based capital requirements applicable to bank holding companies and depository institutions, including United and the Bank, compared to the prior U.S. risk-based capital rules. The Basel III Capital Rules:</w:t>
      </w:r>
    </w:p>
    <w:p>
      <w:pPr>
        <w:spacing w:after="0" w:line="1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defined the components of capital and addressed other issues affecting the numerator in banking institutions’ regulatory capital ratios;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addressed risk weights and other issues affecting the denominator in banking institutions’ regulatory capital ratios and replaced the prior risk-weighting approach, which was derived from the Basel I capital accords of the Basel Committee, with a more risk-sensitive approach based, in part, on the standardized approach in the Basel Committee’s 2004 “Basel II” capital accords;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a new capital measure called “common equity Tier 1” (“CET1”);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specified that Tier 1 capital consists of CET1 and “additional Tier 1 capital” instruments meeting specified requirements;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implemented the requirements of Section 939A of the Dodd-Frank Act to remove references to credit ratings from the federal banking agencies’ rules.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became effective for United and the Bank on January 1, 2015, subject to a phase in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Basel III Capital Rules require United and the Bank to maintain:</w:t>
      </w:r>
    </w:p>
    <w:p>
      <w:pPr>
        <w:spacing w:after="0" w:line="225" w:lineRule="exact"/>
        <w:rPr>
          <w:sz w:val="20"/>
          <w:szCs w:val="20"/>
          <w:color w:val="auto"/>
        </w:rPr>
      </w:pPr>
    </w:p>
    <w:p>
      <w:pPr>
        <w:jc w:val="both"/>
        <w:ind w:left="340" w:right="2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ratio of CET1 to risk-weighted assets of at least 4.5%, plus a “capital conservation buffer” (which is added to the 4.5% CET1 ratio as that buffer is phased in over four years to 2.5%, effectively resulting in a minimum ratio of CET1 to risk-weighted assets of at least 7% upon full implementation);</w:t>
      </w:r>
    </w:p>
    <w:p>
      <w:pPr>
        <w:ind w:left="340" w:hanging="332"/>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minimum ratio of Tier 1 capital to risk-weighted assets of at least 6%, plus the capital conservation buffer (which is added to the 6% Tier 1 capital ratio as that buffer is phased in over four years to 2.5%, effectively resulting in a minimum Tier 1 capital ratio of 8.5% upon full implementation);</w:t>
      </w: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ratio of total capital (that is, Tier 1 plus Tier 2) to risk-weighted assets of at least 8%, plus the capital conservation buffer (which is added to the 8% total capital ratio as that buffer is phased in over four years to 2.5%, effectively resulting in a minimum total capital ratio of 10.5% upon full implementation);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leverage ratio of 4%, calculated as the ratio of Tier 1 capital to average assets.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phase in of the capital conservation buffer was completed as of January 1, 2019, resulting in a target minimum ratio of CET1 to risk-weighted assets of at least 7%, a target minimum ratio of Tier 1 capital to risk-weighted assets of at least 8.5% and a target minimum ratio of total capital to risk-weighted assets of at least 10.5% for United and the Bank beginning as of that date.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ratio of tangible equity to total assets reaches 2%. Better capitalized institutions are generally subject to less onerous regulation and supervision than banks with lesser amounts of capital.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FDIC has adopted regulations implementing the prompt corrective action provisions of the 1991 Act, as revised by the Basel III Capital Rules effective January 1, 2015, which place financial institutions in the following five categories based upon capitalization ratios: (1) a “well-capitalized” institution has a Total risk-based capital ratio of at least 10%, a Tier 1 risk-based ratio of at least 8%, a CET1 risk-based ratio of 6.5% and a leverage ratio of at least 5%; (2) an “adequately capitalized” institution has a Total risk-based capital ratio of at least 8%, a Tier 1 risk-based ratio of at least 6%, a CET1 risk-based ratio of 4.5% and a leverage ratio of at least 4%; (3) an “undercapitalized” institution has a Total risk-based capital ratio of under 8%, a Tier 1 risk-based ratio of under 6%, a CET1 risk-based ratio of under 4.5% or a leverage ratio of under 4%; (4) a “significantly undercapitalized” institution has a Total risk-based capital ratio of under 6%, a Tier 1 risk-based ratio of under 4%, a CET1 risk-based ratio of under 3% or a leverage ratio of under 3%; and (5) a “critically undercapitalized” institution has a ratio of tangible equity to total assets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FDIC categorized the Bank as “well-capitalized” under current regulations.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Basel III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categories in the aggregate exceed 15% of CET1. Under prior capital standards, the effects of accumulated other comprehensive income items included in capital were excluded for the purposes of determining regulatory capital ratios. Under the Basel III Capital Rules, the effects of certain accumulated other comprehensive items are not excluded; however, certain banking organizations, including United and the Bank, may make a one-time permanent election to continue to exclude these items. United and the Bank made this election in first quarter 2015 in order to avoid significant variations in the level of capital depending upon the impact of interest rate fluctuations on the fair value of United’s available-for-sale securities portfolio. The Basel III Capital Rules also eliminate the inclusion of certain instruments, such as trust preferred securities, from Tier 1 capital of bank holding companies. Instruments issued prior to May 19, 2010 are grandfathered for bank holding companies with consolidated assets of $15 billion or less (subject to the 25% of Tier 1 capital limit).</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“capital conservation buffer” is designed to absorb losses during periods of economic stress. Banking organizations with a ratio of CET1 to risk-weighted assets above the minimum but below the conservation buffer (or below the combined capital conservation buffer and countercyclical capital buffer, when the latter is applied) will face constraints on dividends, equity repurchases and discretionary bonus compensation based on the amount of the shortfall.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Implementation of the deductions and other adjustments to CET1 began on January 1, 2015 and were phased-in over a four-year period (beginning at 40% on January 1, 2015 and an additional 20% per year thereafter). The implementation of the capital conservation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buffer began on January 1, 2016 at the 0.625% level and was phased in over a four-year period increasing by that amount on each subsequent January 1, until it reached 2.5% on January 1, 2019.</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Basel III Capital Rules prescribe a standardized approach for risk weightings that expand the risk-weighting categories from the current four Basel I-derived categories (0%, 20%, 50% and 100%) to a much larger and more risk-sensitive number of categories, depending on the nature of the assets, generally ranging from 0% for U.S. government and agency securities, to 600% for certain equity exposures, and resulting in higher risk weights for a variety of asset categories. Consistent with the Dodd-Frank Act, the Basel III Capital Rules replace the ratings-based approach to securitization exposures, which is based on external credit ratings, with the simplified supervisory formula approach in order to determine the appropriate risk weights for these exposures. Alternatively, banking organizations may use the existing gross-up approach to assign securitization exposures to a risk weight category or choose to assign such exposures a 1,250% risk weight. In addition, the Basel III Capital Rules provide more advantageous risk weights for derivatives and repurchase-style transactions cleared through a qualifying central counterparty and increase the scope of eligible guarantors and eligible collateral for purposes of credit risk mitigation.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the federal banking agencies adopted a final rule to extend the regulatory capital treatment applicable during 2017 under the capital rules for certain items, including regulatory capital deductions, risk weights and certain minority interest limitations. The relief provided under the final rule applies to banking organizations that are not subject to the capital rules’ advanced approaches, such as United. Specifically, the final rule extends the current regulatory capital treatment of mortgage servicing assets, deferred tax assets arising from temporary differences that could not be realized through net operating loss carrybacks, significant investments in the capital of unconsolidated financial institutions in the form of common stock, non-significant investments in the capital of unconsolidated financial institutions, significant investments in the capital of unconsolidated financial institutions that are not in the form of common stock, and common equity tier 1 minority interest, tier 1 minority interest and total capital minority interest exceeding the capital rules’ minority interest limitations.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Basel Committee on Banking Supervision published the last version of the Basel III accord, generally referred to as “Basel IV.” The Basel Committee stated that a key objective of the revisions incorporated into the framework is to reduce excessive variability of risk-weighted assets (“RWA”), which will be accomplished by enhancing the robustness and risk sensitivity of the standardized approaches for credit risk and operational risk, which will facilitate the comparability of banks’ capital ratios; constraining the use of internally modeled approaches; and complementing the risk-weighted capital ratio with a finalized leverage ratio and a revised and robust capital floor. Leadership of the federal banking agencies who are tasked with implementing Basel IV supported the revisions. Although it is uncertain at this time, we anticipate some, if not all, of the Basel IV accord may be incorporated into the capital requirements framework applicable to United.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Consumer Protection Laws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its lending activities, the Bank is subject to a number of federal and state laws designed to protect borrowers and promote lending to various sectors of the economy and population. These laws include the Equal Credit Opportunity Act, the Fair Credit Reporting Act, the Truth in Lending Act, the Home Mortgage Disclosure Act, the Real Estate Settlement Procedure Act and their respective state law counterparts.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CFPB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Act centralized responsibility for consumer financial protection by creating a new agency, the CFPB, and giving it the power to promulgate and enforce federal consumer protection laws. Depository institutions are subject to the CFPB’s rule writing authority, and existing federal bank regulatory agencies retain examination and enforcement authority for such institutions. The CFPB and United’s existing federal regulator, the FDIC, are focused on the following:</w:t>
      </w:r>
    </w:p>
    <w:p>
      <w:pPr>
        <w:spacing w:after="0" w:line="18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to consumers and compliance with the federal consumer financial laws;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markets in which firms operate and risks to consumers posed by activities in those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depository institutions that offer a wide variety of consumer financial products and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depository institutions with a more specialized focus;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non-depository companies that offer one or more consumer financial products or services.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CFPB and FDIC have authority to prevent unfair, deceptive or abusive practices in connection with offering consumer financial products. The Dodd-Frank Act permits states to adopt consumer protection laws and standards that are more stringent than those adopted at the federal level and, in certain circumstances, permits states’ attorneys general to enforce compliance with both state and federal laws and regulations.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u w:val="single" w:color="auto"/>
          <w:color w:val="auto"/>
        </w:rPr>
        <w:t>FDIC Insurance Assessments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Bank’s deposits are insured by the FDIC through the Deposit Insurance Fund and therefore the Bank is subject to deposit insurance assessments as determined by the FDIC. The FDIC imposes a risk-based deposit premium assessment system, which was amended pursuant to the Federal Deposit Insurance Reform Act of 2005 and further amended by the Dodd-Frank Act. Under the risk-based deposit premium assessment system, the assessment rates for an insured depository institution are calculated based on a number of factors to measure the risk each institution poses to the Deposit Insurance Fund. The assessment rate is applied to total average assets less tangible equity. Under the current system, premiums are assessed quarterly and could increase if, for example, criticized loans and/or other higher risk assets increase or balance sheet liquidity decreases.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July 2016, the FDIC published final rules to increase the Deposit Insurance Fund to the statutorily required minimum level of 1.35% by imposing on financial institutions with at least $10 billion in assets a surcharge of 4.5 cents per $100 of their assessment base (after making certain adjustments), to be assessed over a period of eight quarters. As of December 31, 2016, United’s total assets exceeded $10 billion and, accordingly, the Bank became subject to this surcharge in the third quarter of 2017. If this surcharge is insufficient to increase the Deposit Insurance Fund reserve ratio to 1.35% by December 31, 2018, a one-time shortfall assessment will be imposed on financial institutions with total consolidated assets of $10 billion or more on March 31, 2019. The Deposit Insurance Fund reserve ratio exceeded the 1.35% target in 2018 and the surcharge was discontinued effective October 1, 2018.</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ordinary assessments described above, the FDIC has the ability to impose special assessments in certain instances. The FDIC may also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Volcker Rule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Act amended the BHC Act to require the federal bank regulatory agencies to adopt rules that prohibit banks and their affiliates from engaging in proprietary trading and investing in and sponsoring certain unregistered investment companies (defined as hedge funds and private equity funds). The statutory provision is commonly called the “Volcker Rule”. The Federal Reserve adopted final rules implementing the Volcker Rule on December 10, 2013. United became subject to the Volcker Rule in 2017 without a material effect on its operations and the operations of its subsidiaries, including the Bank, as United does not engage in businesses prohibited by the Volcker Rule. United may incur costs to adopt additional policies and systems to demonstrate compliance with the Volcker Rule.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Durbin Amendment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Dodd-Frank Act included provisions which restrict interchange fees, which are fees charged by banks to cover the cost of handling and exposure to credit and fraud-related risks inherent in bank credit or debit card transactions, to those which are “reasonable and proportionate” for certain debit card issuers and limits the ability of networks and issuers to restrict debit card transaction routing. This statutory provision is known as the “Durbin Amendment”. In the Federal Reserve’s final rules implementing the Durbin Amendment,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 The interchange fee restrictions contained in the Durbin Amendment, and the rules promulgated thereunder, apply to debit card issuers with $10 billion or more in total consolidated assets. United became subject to the interchange fee restrictions and other requirements contained in the Durbin Amendment on July 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Incentive Compensation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to the potential restrictions on discretionary bonus compensation under the Basel III Capital rules, the federal bank regulatory agencies have issued guidance on incentive compensation policies (the “Incentive Compensation 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w:t>
      </w:r>
    </w:p>
    <w:p>
      <w:pPr>
        <w:spacing w:after="0" w:line="5" w:lineRule="exact"/>
        <w:rPr>
          <w:sz w:val="20"/>
          <w:szCs w:val="20"/>
          <w:color w:val="auto"/>
        </w:rPr>
      </w:pPr>
    </w:p>
    <w:p>
      <w:pPr>
        <w:ind w:left="5620" w:right="2160" w:hanging="5612"/>
        <w:spacing w:after="0" w:line="793"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institution’s board of directors. 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The Federal Reserve reviews, as part of the regular, risk-focused examination process, the incentive compensation arrangements of financial institutions, such as United,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scope and content of federal bank regulatory agencies’ policies on executive compensation are continuing to develop and are likely to continue evolving in the near future. It cannot be determined at this time whether compliance with such policies will adversely affect United’s ability to hire, retain and motivate its key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Cybersecurity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Recent cyber-attacks against banks and other financial institutions that resulted in unauthorized access to confidential customer information have prompted the federal bank regulatory agencies to issue extensive guidance on cybersecurity. These agencies are likely to devote more resources to this part of their safety and soundness examination than they may have in the past.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Source of Strength Doctrine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Federal Reserve regulations and policy requires bank holding companies to act as a source of financial and managerial strength to their subsidiary banks.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this policy, the Holding Company is expected to commit resources to support the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Real Estate Lending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Inter-agency guidelines adopted by federal bank regulatory agencies mandate that financial institutions establish real estate lending policies with maximum allowable real estate loan-to-value limits, subject to an allowable amount of non-conforming loans as a percentage of capital. In addition, the federal bank regulatory agencies, including the FDIC, restrict concentrations in commercial real estate lending and have noted that increases in banks’ commercial real estate concentrations can create safety and soundness concerns. The regulatory guidance mandates certain minimal risk management practices and categorizes banks with defined levels of such concentrations as banks requiring elevated examiner scrutiny.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Transactions with Affiliates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federal law, all transactions between and among a state nonmember bank and its affiliates, which include holding 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Privacy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the GLB Act, federal banking regulatory agencies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Anti-Money Laundering Initiatives, the USA Patriot Act and the Office of Foreign Asset Control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major focus of governmental policy on financial institutions in recent years has been aimed at combating terrorist financing, money laundering and other criminal acts. This has generally been accomplished by amending existing anti-money laundering laws and regulations. The USA Patriot Act of 2001 (the “Patriot Act”) amended the Currency Consumer Financial Protection and Foreign Transactions Reporting Act of 1970, commonly referred to as the “Bank Secrecy Act”, or “BSA”, to strengthen regulation of money laundering and financing of terrorism. The U.S. Department of the Treasury, in cooperation with the FDIC and the Financial Crimes Enforcement Network (“FinCEN”), has issued a number of implementing regulations which apply various requirements of the Patriot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Act to the Bank. These regulations impose obligations on financial institutions to maintain appropriate policies, procedures and controls to detect, prevent and report money laundering, terrorist financing and other criminal acts and to verify the identity of their customers. In addition, the Office of Foreign Asset Control (“OFAC”), a division of the U.S. Treasury Department charged with administering and enforcing economic and trade sanctions by the U.S. government, publishes lists of persons with which the Bank is prohibited from engaging in business. Over the past several years, federal banking regulators, FinCEN and OFAC have increased supervisory and enforcement attention on U.S. anti-money laundering and sanctions laws, as evidenced by a significant increase in enforcement activity, including several high profile enforcement actions. Several of these actions have addressed violations of the BSA, U.S. sanctions or both, resulting in the imposition of substantial civil monetary penalties. Enforcement actions have increasingly focused on publicly identifying individuals and holding those individuals, including compliance officers, accountable for deficiencies in compliance programs. State attorneys general and the U. S. Department of Justice (“DOJ”) have also pursued enforcement actions against banking entities alleged to have willfully violated the BSA and U.S. sanctions laws.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Future Legislation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Various legislation affecting financial institutions and the financial industry is from time to time introduced in Congress. Such legislation 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The nature and extent of future legislative and regulatory changes affecting financial institutions is not known at this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Tax Cuts and Jobs Act of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2017, The Tax Cuts and Jobs Act of 2017 (“the Tax Act”) was signed into law. The Tax Act includes a number of provisions that affect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including the following:</w:t>
      </w:r>
    </w:p>
    <w:p>
      <w:pPr>
        <w:spacing w:after="0" w:line="211" w:lineRule="exact"/>
        <w:rPr>
          <w:sz w:val="20"/>
          <w:szCs w:val="20"/>
          <w:color w:val="auto"/>
        </w:rPr>
      </w:pPr>
    </w:p>
    <w:p>
      <w:pPr>
        <w:jc w:val="both"/>
        <w:ind w:left="34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Rate. The Tax Act replaces the graduated corporate tax rates applicable under prior law, which imposed a maximum tax rate of 35%, with a reduced 21% flat tax rate. Although the reduced tax rate generally should be favorable to us by resulting in increased earnings and capital, it decreased the value of our existing deferred tax assets. Accounting principles generally accepted in the United States of America (“GAAP”) requires that the impact of the provisions of the Tax Act be accounted for in the period of enactment. Accordingly, the incremental income tax expense recorded by United in the fourth quarter of 2017 related to the Tax Act was $38.2 million, resulting primarily from a remeasurement of United’s deferred tax assets which at December 31, 2017 following remeasurement totaled $88.0 million.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FDIC Insurance Premiums. The Tax Act prohibits taxpayers with consolidated assets over $50 billion from deducting any FDIC insurance premiums and prohibits taxpayers with consolidated assets between $10 and $50 billion, such as the Bank, from deducting the portion of their FDIC premiums equal to the ratio, expressed as a percentage, that (i) the taxpayer’s total consolidated assets over $10 billion, as of the close of the taxable year, bears to (ii) $40 billion. As a result, the Bank’s ability to deduct its FDIC premiums will now be limited.</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Compensation. A “publicly held corporation” is not permitted to deduct compensation in excess of $1 million per year paid to certain employees. The Tax Act eliminates certain exceptions to the $1 million limit applicable under prior to law related to performance-based compensation, such as equity grants and cash bonuses that are paid only on the attainment of performance goals. As a result, our ability to deduct certain compensation paid to our most highly compensated employees will now be limited.</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Asset Expensing. The Tax Act allows taxpayers immediately to expense the entire cost (instead of only 50%, as under prior law) of certain depreciable tangible property and real property improvements acquired and placed in service after September 27, 2017 and before January 1, 2023 (with an additional year for certain property). This 100% “bonus” depreciation is phased out proportionately for property placed in service on or after January 1, 2023 and before January 1, 2027 (with an additional year for certain property).</w:t>
      </w:r>
    </w:p>
    <w:p>
      <w:pPr>
        <w:spacing w:after="0" w:line="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The Tax Act limits a taxpayer’s annual deduction of business interest expense to the sum of (i) business interest income and (ii) 30% of “adjusted taxable income,” defined as a business’s taxable income without taking into account business interest income or expense, net operating losses and, for 2018 through 2021, depreciation, amortization and depletion. Because we generate significant amounts of net interest income, we do not expect to be impacted by this limitation.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foregoing description of the impact of the Tax Act on us should be read in conjunction with Note 16 to United’s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file reports with the SEC, including annual reports on Form 10-K, quarterly reports on Form 10-Q and current reports on Form 8-K, all of which are available to the public on the Internet site maintained by the SEC at http://www.sec.gov. Our website address is www.ucbi.com.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also posted our Corporate Code of Ethics, Shareholder Nomination and Communication Procedures, and the charters of our Audit Committee, Compensation Committee, Executive Committee, Risk Committee and Nominating and Corporate Governance Committee of our board of directors on the Corporate Governance section of our website at www.ucbi.com. We will make any legally required disclosures regarding amendments to, or waivers of, provisions of our Code of Ethics or current committee charters on our website. Our corporate governance materials also are available free of charge upon request to our Corporate Secretary, United Community Banks, Inc., 125 Highway 515 East, Blairsville, Georgia 30512.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2019,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Officer of United</w:t>
            </w:r>
          </w:p>
        </w:tc>
      </w:tr>
      <w:tr>
        <w:trPr>
          <w:trHeight w:val="230"/>
        </w:trPr>
        <w:tc>
          <w:tcPr>
            <w:tcW w:w="2680" w:type="dxa"/>
            <w:vAlign w:val="bottom"/>
            <w:gridSpan w:val="2"/>
          </w:tcPr>
          <w:p>
            <w:pPr>
              <w:ind w:left="860"/>
              <w:spacing w:after="0"/>
              <w:rPr>
                <w:sz w:val="20"/>
                <w:szCs w:val="20"/>
                <w:color w:val="auto"/>
              </w:rPr>
            </w:pPr>
            <w:r>
              <w:rPr>
                <w:rFonts w:ascii="Arial" w:cs="Arial" w:eastAsia="Arial" w:hAnsi="Arial"/>
                <w:sz w:val="18"/>
                <w:szCs w:val="18"/>
                <w:color w:val="auto"/>
              </w:rPr>
              <w:t>Name (age)</w:t>
            </w:r>
          </w:p>
        </w:tc>
        <w:tc>
          <w:tcPr>
            <w:tcW w:w="6760" w:type="dxa"/>
            <w:vAlign w:val="bottom"/>
            <w:gridSpan w:val="2"/>
          </w:tcPr>
          <w:p>
            <w:pPr>
              <w:ind w:left="1660"/>
              <w:spacing w:after="0"/>
              <w:rPr>
                <w:sz w:val="20"/>
                <w:szCs w:val="20"/>
                <w:color w:val="auto"/>
              </w:rPr>
            </w:pPr>
            <w:r>
              <w:rPr>
                <w:rFonts w:ascii="Arial" w:cs="Arial" w:eastAsia="Arial" w:hAnsi="Arial"/>
                <w:sz w:val="18"/>
                <w:szCs w:val="18"/>
                <w:color w:val="auto"/>
              </w:rPr>
              <w:t>Position with United and Employment History</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Since</w:t>
            </w:r>
          </w:p>
        </w:tc>
      </w:tr>
      <w:tr>
        <w:trPr>
          <w:trHeight w:val="34"/>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49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Jimmy C. Tallent (66)</w:t>
            </w: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Executive Chairman (2018 - present); Chairman and Chief Executive Officer (2015 -</w:t>
            </w:r>
          </w:p>
        </w:tc>
        <w:tc>
          <w:tcPr>
            <w:tcW w:w="16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2018); President, Chief Executive Officer and Director (1988 - 2015)</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52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H. Lynn Harton (57)</w:t>
            </w: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8"/>
              </w:rPr>
              <w:t>President and Chief Executive Officer (2018 - present); President and Chief Operating</w:t>
            </w:r>
          </w:p>
        </w:tc>
        <w:tc>
          <w:tcPr>
            <w:tcW w:w="16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5"/>
              </w:rPr>
              <w:t>Officer and Director (2015 - 2018); Executive Vice President and Chief Operating Officer</w:t>
            </w:r>
          </w:p>
        </w:tc>
        <w:tc>
          <w:tcPr>
            <w:tcW w:w="16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(2012 - 2015)</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52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Jefferson L. Harralson (53)</w:t>
            </w: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9"/>
              </w:rPr>
              <w:t>Executive Vice President and Chief Financial Officer (2017 - present); prior to joining</w:t>
            </w:r>
          </w:p>
        </w:tc>
        <w:tc>
          <w:tcPr>
            <w:tcW w:w="16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United was Managing Director at Keefe, Bruyette and Woods (2002 – 2017)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52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Bradley J. Miller (48)</w:t>
            </w: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3"/>
              </w:rPr>
              <w:t>Executive Vice President, Chief Risk Officer and General Counsel (2015 - present); Senior</w:t>
            </w:r>
          </w:p>
        </w:tc>
        <w:tc>
          <w:tcPr>
            <w:tcW w:w="16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Vice President and General Counsel (2007 - 2015)</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52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Robert A. Edwards (54)</w:t>
            </w: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5"/>
              </w:rPr>
              <w:t>Executive Vice President and Chief Credit Officer (2015 - present); prior to joining United</w:t>
            </w:r>
          </w:p>
        </w:tc>
        <w:tc>
          <w:tcPr>
            <w:tcW w:w="16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3"/>
              </w:rPr>
              <w:t>was Senior Vice President and Executive Credit Officer of Toronto-Dominion Bank (2010 -</w:t>
            </w:r>
          </w:p>
        </w:tc>
        <w:tc>
          <w:tcPr>
            <w:tcW w:w="16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52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Richard W. Bradshaw (57)</w:t>
            </w: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5"/>
              </w:rPr>
              <w:t>Chief Banking Officer (2019 - present); President, Commercial Banking Solutions (2014 -</w:t>
            </w:r>
          </w:p>
        </w:tc>
        <w:tc>
          <w:tcPr>
            <w:tcW w:w="16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2018); prior to joining United was Senior Vice President, Head of United States SBA</w:t>
            </w:r>
          </w:p>
        </w:tc>
        <w:tc>
          <w:tcPr>
            <w:tcW w:w="16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rPr>
              <w:t>Programs of Toronto-Dominion Bank (2010 - 2014)</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2014</w:t>
            </w: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Form 10-K and the documents incorporated by reference before deciding to purchase common stock. Additional risks and uncertainties that management is not aware of or focused on or that management currently deems immaterial may also impair our business operations. This report is qualified in its entirety by these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a financial services company, adverse conditions in the business or economic environment where we operate, as well as broader conditions in the United States, could have a material adverse effect on our financial condition and results of operations.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success depends significantly upon local, national and global economic and political conditions, as well as governmental monetary policies and trade relations. Our financial performance generally, and in particular the ability of borrowers to pay interest on and repay principal of outstanding loans and the value of collateral securing those loans, as well as demand for loans and other products and services we offer, is highly dependent upon the business environment in the markets where we operate and in the United States as a whole. Adverse changes in business and economic conditions generally or specifically in the markets in which we operate could adversely impact our business, including causing one or more of the following negative developments:</w:t>
      </w:r>
    </w:p>
    <w:p>
      <w:pPr>
        <w:spacing w:after="0" w:line="15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value of the collateral securing our residential or commercial real estate loans;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permanent impairment of our assets; or</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is influenced heavily by the growth in population, income levels, loans and deposits and on stability in real estate values in our markets. If the communities in which we operate do not grow or if prevailing economic conditions locally or nationally weaken significantly, our business may be adversely affected.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approximately 74% of which is secured by real estate at December 31, 2018, could reduce our growth rate, affect the ability of our customers to repay their loans and generally affect our financial condition and results of operations. We are less able than larger institutions to spread the risks of unfavorable local economic conditions across a larger number of more diverse economies.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credit risk and concentration risks from our lending and investing activities.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inherent risks associated with our lending activities. These risks include, among other things, the quality of our underwriting, the impact of changes in interest rates and changes in the economic conditions in the markets where we operate as well across the United States. Increases in interest rates and/or weakening economic conditions could adversely impact the ability of borrowers to repay outstanding loans or the value of the collateral securing these loans. We are also subject to various laws and regulations that affect our lending activities. Failure to comply with applicable laws and regulations could subject us to regulatory enforcement action that could result in the assessment of significant penalties against us.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2018, approximately 73% of our loan portfolio consisted of commercial loans, including commercial and industrial, equipment financing, commercial construction and commercial real estate mortgage loans. Our borrowers under these loans tend to be small to medium-sized businesses. These types of loans are typically larger than residential real estate loans or consumer loans. During periods of lower economic growth or challenging economic periods, small to medium-sized businesses may be impacted more severely and more quickly than larger businesses. Consequently, the ability of such businesses to repay their loans may deteriorate, and in some cases this deterioration may occur quickly, which would adversely impact our results of operations and financial condition. Because our loan portfolio contains a significant number of commercial loans with relatively large balances, the deterioration of one or a few of these loans could cause a significant increase in non-performing loans. An increase in non-performing loans could result in a net loss of earnings from these loans, an increase in the provision for loan losses and an increase in loan charge-offs, all of which could have a material adverse effect on our business, financial condition and results of operations.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loans are also heavily concentrated in our primary markets of Georgia, South Carolina, North Carolina and Tennessee. These markets may have different or weaker performance than other areas of the country and our portfolio may be more negatively impacted than a financial services company with wider geographic diversity.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See the section captioned “Loans” in the “Balance Sheet Review” section of “Item 7. Management’s Discussion and Analysis of Financial Condition and Results of Operations” located elsewhere in this report for further discussion related to commercial and industrial, energy, construction and commercial real estate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 associated with commercial lending could result in losses.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course of business, we may acquire, through foreclosure, or deed in lieu of foreclosure, properties securing loans we have originated or purchased which are in default. Particularly in commercial real estate lending, there is a risk that hazardous substances could be discovered on these properties. In this event, we might be required to remove these substances from the affected properties at our sole cost and expense. The cost of this removal could substantially exceed the value of affected properties. We may not have adequate remedies against the prior owner or other responsible parties and could find it difficult or impossible to sell the affected properties. These events could have a material adverse effect on our business, results of operations and financial condition.</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allowance for loan losses is not sufficient to cover losses inherent in our loan portfolio, our results of operations and financial condition will be negatively impacted.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loan customers with significant loan balances fail to repay their loans, our results of operations, financial condition and capital levels will suffer. We maintain an allowance for loan losses, which is a reserve established through a provision for loan losses charged to expense, which represents management’s best estimate of inherent losses that have been incurred within the existing portfolio of loans. The allowance, in the judgment of management, is necessary to reserve for estimated loan losses and risks inherent in the loan portfolio. The level of the allowance reflects management’s continuing evaluation of factors including the volume and types of loans; industry concentrations; specific credit risks; internal loan classifications; trends in classifications; volume and trends in delinquencies, non-accruals and charge-offs; present economic, political and regulatory conditions; industry and peer bank loan quality indications; and unidentified losses inherent in the current loan portfolio. The determination of the appropriate level of the allowance for loan losses inherently involves a high degree of subjectivity and requires us to make significant estimates of current credit risks and future trends, all of which may undergo material changes or vary from our historical experience. Deterioration in economic conditions affecting borrowers, new information regarding existing loans, identification of additional problem loans and other factors, both within and outside of our control, may require an increase in the allowance for loan losses. In addition, bank regulatory agencies periodically review our allowance for loan losses and may require an increase in the provision for loan losses or the recognition of further loan charge-offs, based on judgments different than those of management. Furthermore, if charge-offs in future periods exceed the allowance for loan losses, we will need additional provisions to increase the allowance for loan losses. Any increases in the allowance for loan losses will result in a decrease in net income and, possibly, capital, and may have a material adverse effect on our business, financial condition and results of operations.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implement CECL for our fiscal year beginning January 1, 2020. The implementation of CECL may require additional reserves and may result in increased reserves during or in advance of an economic downturn. However, the magnitude of the increase of our allowance for loan losses at the adoption date will depend upon the nature and characteristics of the portfolio at the adoption date, as well as macroeconomic conditions and forecasts at that date. It is possible that CECL implementation may increase the cost of lending in the industry and result in slower loan growth and lower levels of net income.</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See the section captioned “Allowance for Credit Losses” in “Item 7. Management’s Discussion and Analysis of Financial Condition and Results of Operations” located elsewhere in this report for further discussion related to our process for determining the appropriate level of the allowance for loan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interest margin, and consequently our net earnings, are significantly affected by interest rate levels.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profitability is dependent to a large extent on net interest income, which is the difference between interest income earned on loans, leases and investment securities and interest expense paid on deposits, other borrowings, senior debt and subordinated notes. The absolute level of interest rates as well as changes in interest rates, including changes to the shape of the yield curve, may affect our level of interest income, the primary component of our gross revenue, as well as the level of our interest expense. In a period of changing interest rates, interest expense may increase at different rates than the interest earned on assets, impacting our net interest income. Interest rate fluctuations are caused by many factors which, for the most part, are not under our control. For example, national monetary policy implemented by the Federal Reserve plays a significant role in the determination of interest rates. Additionally, competitor pricing and the resulting negotiations that occur with our customers also impact the rates we collect on loans and the rates we pay on deposits. In addition, changes in the method of determining the London Interbank Offered Rate (“LIBOR”) or other reference rates, or uncertainty related to such potential changes, may adversely affect the value of reference rate-linked debt securities that we hold or issue, which could further impact our interest rate spread.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Changes in the level of interest rates also may negatively affect demand for, and thus our ability to originate, loans, the value of our assets and our ability to realize gains from the sale of our assets, all of which ultimately affect our results of operations and financial condition. A decline in the market value of our assets may limit our ability to borrow additional funds. As a result, we could be required to sell some of our loans and investments under adverse market conditions, upon terms that are not favorable to us, in order to maintain our liquidity. If those sales are made at prices lower than the amortized costs of the investments, we will incur losses.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significant competitive pressures in our markets and the negative impact of these pressures on our deposit and loan pricing, coupled with the fact that a significant portion of our loan portfolio has variable rate pricing that moves in concert with changes to the Federal Reserve’s federal funds rate or LIBOR (both of which are at relatively low levels as a result of macroeconomic conditions), our net interest margin may be negatively impacted if these short-term rates remain at their low levels. However, if short-term interest rates continue to rise, our results of operations may also be negatively impacted if we are unable to increase the rates we charge on loans or earn on our investment securities in excess of the increases we must pay on deposits and our other funding sources. 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 our interest-earning assets (usually loans and investment securities), or vice versa. In either event, if market interest rates should move contrary to our position, this “gap” may work against us, and our results of operations and financial condition may be negatively affected.</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historically entered into certain hedging transactions including interest rate swaps, which are designed to lessen elements of our interest rate exposure. In the event that interest rates do not change in the manner anticipated, such transactions may not be effective and our results of operations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We may also be affected by the marketplace loosening of credit underwriting standards and structures.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future expansion may result in additional risks.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to continue to expand in our current markets and in select attractive growth markets through additional branches and also may consider expansion within these markets through additional acquisitions of all or part of other financial institutions. These types of expansions involve various risks, including: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Planning and Execution of Expansion. </w:t>
      </w:r>
      <w:r>
        <w:rPr>
          <w:rFonts w:ascii="Arial" w:cs="Arial" w:eastAsia="Arial" w:hAnsi="Arial"/>
          <w:sz w:val="18"/>
          <w:szCs w:val="18"/>
          <w:color w:val="auto"/>
        </w:rPr>
        <w:t>We may be unable to successfully:</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and expand into suitable markets;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and acquire suitable sites for new banking offices and comply with zoning and permitting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and evaluate potential acquisition and merger targets in a timely and cost-effective manner;</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accurate estimates and judgments to evaluate asset values and credit, operations, management and market risks with respect to an acquired branch or institution, a new branch office or a new market;</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transaction costs to preserve the expected financial benefits of the transaction;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 the diversion of our management’s attention to operations by the negotiation of a transaction;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entry into new markets where we have limited or no direct prior experience;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regulatory and other approvals, or obtain such approvals without restrictive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avoid the incurrence and possible impairment of goodwill associated with an acquisition and possible adverse effects on results of operations; or</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an acquisition or expansion or avoid possible dilution of our tangible book value and/or net income per common share.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 xml:space="preserve">Management of Growth. </w:t>
      </w:r>
      <w:r>
        <w:rPr>
          <w:rFonts w:ascii="Arial" w:cs="Arial" w:eastAsia="Arial" w:hAnsi="Arial"/>
          <w:sz w:val="18"/>
          <w:szCs w:val="18"/>
          <w:color w:val="auto"/>
        </w:rPr>
        <w:t>We may be unable to successfully:</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loan quality in the context of significant loan growth;</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sufficient deposits and capital to fund anticipated loan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adequate common equity and regulatory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diversion or disruption of our existing operations or management as well as those of the acquired institution;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or retain adequate management personnel and systems to oversee and support such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the loss of key employees and customers of an acquired branch or institution;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adequate internal audit, loan review and compliance functions;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 additional policies, procedures and operating systems required to support such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 the acquired financial institution or portion of the institution;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temporary disruption of our business or the business of the acquired institution.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There is no assurance that existing offices or future offices will maintain or achieve deposit levels, loan balances or other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necessary to avoid losses or produce profits. Our growth strategy necessarily entails growth in overhead expenses as we routinely add new offices and staff. Our historical results may not be indicative of future results or results that may be achieved as we continue to increase the number and concentration of our branch offices in our newer markets.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Development of Offices. </w:t>
      </w:r>
      <w:r>
        <w:rPr>
          <w:rFonts w:ascii="Arial" w:cs="Arial" w:eastAsia="Arial" w:hAnsi="Arial"/>
          <w:sz w:val="18"/>
          <w:szCs w:val="18"/>
          <w:color w:val="auto"/>
        </w:rPr>
        <w:t>There are considerable costs involved in opening branches, and new branches generally do not generate sufficient revenues to offset</w:t>
      </w:r>
      <w:r>
        <w:rPr>
          <w:rFonts w:ascii="Arial" w:cs="Arial" w:eastAsia="Arial" w:hAnsi="Arial"/>
          <w:sz w:val="18"/>
          <w:szCs w:val="18"/>
          <w:i w:val="1"/>
          <w:iCs w:val="1"/>
          <w:color w:val="auto"/>
        </w:rPr>
        <w:t xml:space="preserve"> </w:t>
      </w:r>
      <w:r>
        <w:rPr>
          <w:rFonts w:ascii="Arial" w:cs="Arial" w:eastAsia="Arial" w:hAnsi="Arial"/>
          <w:sz w:val="18"/>
          <w:szCs w:val="18"/>
          <w:color w:val="auto"/>
        </w:rPr>
        <w:t>their costs until they have been in operation for at least a year or more. Accordingly, any new branches we establish can be expected to negatively impact our earnings for some period of time until they reach certain economies of scale. The same is true for our efforts to expand in these markets with the hiring of additional seasoned professionals with significant experience in that market. Our expenses could be further increased if we encounter delays in opening any of our new branches.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Regulatory and Economic Factors. </w:t>
      </w:r>
      <w:r>
        <w:rPr>
          <w:rFonts w:ascii="Arial" w:cs="Arial" w:eastAsia="Arial" w:hAnsi="Arial"/>
          <w:sz w:val="17"/>
          <w:szCs w:val="17"/>
          <w:color w:val="auto"/>
        </w:rPr>
        <w:t>Our growth and expansion plans may be adversely affected by a number of regulatory and economic developments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events. Failure to obtain required regulatory approvals, changes in laws and regulations or other regulatory developments and changes in prevailing economic conditions or other unanticipated events may prevent or adversely affect our continued growth and expansion. Such factors may cause us to alter our growth and expansion plans or slow or halt the growth and expansion process, which may prevent us from entering into or expanding in our targeted markets or allow competitors to gain or retain market share in our existing markets.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Failure to successfully address these and other issues related to our expansion could have a material adverse effect on our financial condition and results of operations, and could adversely affect our ability to successfully implement our business strategy. Also, if our growth occurs more slowly than anticipated or declines, our results of operations and financial condition could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could impair our ability to fund our operations and jeopardize our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Liquidity represents an institution’s ability to provide funds to satisfy demands from depositors, borrowers and other creditors by either converting assets into cash or accessing new or existing sources of incremental funds. Liquidity risk arises from the possibility that we may be unable to satisfy current or future funding requirements and needs.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objective of managing liquidity risk is to ensure that our cash flow requirements resulting from depositor, borrower and other creditor demands as well as our operating cash needs, are met, and that our cost of funding such requirements and needs is reasonable. We maintain an asset/liability and interest rate risk policy and a liquidity and funds management policy, including a contingency funding plan that, among other things, include procedures for managing and monitoring liquidity risk. Generally we rely on deposits, repayments of loans and leases and cash flows from our investment securities as our primary sources of funds. Our principal deposit sources include consumer, commercial and public funds customers in our markets. We have used these funds, together with wholesale deposit sources such as brokered deposits, along with Federal Home Loan Bank of Atlanta (“FHLB”) advances, federal funds purchased and other sources of short-term and long-term borrowings, to make loans and leases, acquire investment securities and other assets and to fund continuing operations.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inability to maintain or raise funds in amounts necessary to meet our liquidity needs could have a substantial negative effect, individually or collectively, on our and the Bank’s liquidity. Our access to funding sources in amounts adequate to finance our activities, or on terms attractive to us, could be impaired by factors that affect us specifically or the financial services industry in general. For example, factors that could detrimentally impact our access to liquidity sources include a decrease in the level of our business activity due to a market downturn or adverse regulatory action against us, a reduction in our credit rating, any damage to our reputation or any other decrease in depositor or investor confidence in our creditworthiness and business. Our access to liquidity could also be impaired by factors that 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not specific to us, such as severe volatility or disruption of the financial markets or negative views and expectations about the prospects for the financial services industry as a whole. Any such event or failure to manage our liquidity effectively could affect our competitive position, increase our borrowing costs and the interest rates we pay on deposits, limit our access to the capital markets and have a material adverse effect on our results of operations or financial condition.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Deposit levels may be affected by a number of factors, including rates paid by competitors, general interest rate levels, returns available to customers on alternative investments, general economic and market conditions and other factors. Loan and lease repayments are a relatively stable source of funds but are subject to the borrowers’ and lessees’ ability to repay loans and leases, which can be adversely affected by a number of factors including changes in general economic conditions, adverse trends or events affecting business industry groups or specific businesses, declines in real estate values or markets, business closings or lay-offs, inclement weather, natural disasters and other factors. Furthermore, loans and leases generally are not readily convertible to cash. Accordingly, we may be required from time to time to rely on secondary sources of liquidity to meet growth in loans and leases, deposit withdrawal demands or otherwise fund operations. Such secondary sources include FHLB advances, brokered deposits, secured and unsecured federal funds lines of credit from correspondent banks, Federal Reserve borrowings and/or accessing the equity or debt capital markets.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availability of these secondary funding sources is subject to broad economic conditions, to regulation and to investor assessment of our financial strength and, as such, the cost of funds may fluctuate significantly and/or the availability of such funds may be restricted, thus impacting our net interest income, our immediate liquidity and/or our access to additional liquidity. If we fail to remain “well capitalized” our ability to utilize brokered deposits may be restricted. We have somewhat similar risks to the extent high balance core deposits exceed the amount of deposit insurance coverage available.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we will continue to rely primarily on deposits, loan and lease repayments, and cash flows from our investment securities to provide liquidity. Additionally, where necessary, the secondary sources of borrowed funds described above will be used to augment our primary funding sources. If we are unable to access any of these secondary funding sources when needed, we might be unable to meet our customers’ or creditors’ needs, which would adversely affect our financial condition, results of operations and liquidity.</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need to raise additional capital in the future and our ability to raise capital and maintain required capital levels could be impacted by changes in the capital markets and deteriorating economic and market conditions.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Federal and state bank regulators require United and the Bank to maintain adequate levels of capital to support operations. At December 31, 2018, United’s and the Bank’s regulatory capital ratios were above “well-capitalized” levels under regulatory guidelines. However, our business strategy calls for continued growth in our existing banking markets and targeted expansion in new markets. Growth in assets at rates in excess of the rate at which our capital is increased through retained earnings will reduce our capital ratios unless we continue to increase capital. Failure by us to meet applicable capital guidelines or to satisfy certain other regulatory requirements could subject us to a variety of enforcement remedies available to the federal regulatory authorities and would negatively impact our ability to pursue acquisitions or other expansion opportunities.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need to raise additional capital (including through the issuance of common stock) in the future to provide us with sufficient capital resources to meet our commitments and business needs or in connection with acquisitions. Our ability to maintain capital levels could be impacted by negative perceptions of our business or prospects, changes in the capital markets and deteriorating economic and market conditions. The Bank’s ability to pay dividends is described under “Supervision and Regulation - Payment of Dividends” in Part I, Item 1. Any restriction on the ability of the Bank to pay dividends to the Holding Company could impact United’s ability to continue to pay dividends on its common stock or its ability to pay interest on its indebtedness.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assure you that access to capital will be available to us on acceptable terms or at all. Any occurrence that may limit our access to the capital markets may materially and adversely affect our capital costs and our ability to raise capital and/or debt and, in turn, our liquidity. If we cannot raise additional capital when needed, our ability to expand through internal growth or acquisitions or to continue operations could be impaired, and we may need to finance or liquidate unencumbered assets to meet maturing liabilities. We may be unable to do so or have to do so on terms which are unfavorable, which could adversely affect our results of operations and financial condition.</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to capital requirements for bank holding companies and depository institutions that became fully effective January 1, 2019 may negatively impact United’s and the Bank’s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2013, the Federal Reserve and the FDIC approved final rules that substantially amended the regulatory risk-based capital rules. The final rules, which were phased in beginning January 1, 2016 and became fully effective on January 1, 2019, implement the Basel III regulatory capital reforms and changes required by the Dodd-Frank 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97" w:lineRule="auto"/>
        <w:rPr>
          <w:sz w:val="20"/>
          <w:szCs w:val="20"/>
          <w:color w:val="auto"/>
        </w:rPr>
      </w:pPr>
      <w:r>
        <w:rPr>
          <w:rFonts w:ascii="Arial" w:cs="Arial" w:eastAsia="Arial" w:hAnsi="Arial"/>
          <w:sz w:val="16"/>
          <w:szCs w:val="16"/>
          <w:color w:val="auto"/>
        </w:rPr>
        <w:t>Under these rules, the leverage and risk-based capital ratios of bank holding companies may not be lower than the leverage and risk-based capital ratios for insured depository institutions. The final rules include new minimum risk-based capital and leverage ratios. Moreover, these rules refine the definition of what constitutes “capital” for purposes of calculating those ratios, including the definitions of Tier 1 capital and Tier 2 capital. The minimum capital level requirements now applicable to bank holding companies and banks subject to the rules are: (i) a common equity Tier 1 risk-based capital ratio of 7%; (ii) a Tier 1 risk-based capital ratio of 8.5%; (iii) a total risk-based capital ratio of 10.5%; and (iv) a Tier 1 leverage ratio of 4% for all institutions.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be subject to limitations on paying dividends, engaging in share repurchases and paying discretionary bonuses if our capital levels fall below these minimums. These limitations establish a maximum percentage of eligible retained income that could be utilized for such actions.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these rules, Tier 1 capital generally consists of common stock (plus related surplus) and retained earnings, limited amounts of minority interest in the form of additional Tier 1 capital instruments, and non-cumulative preferred stock and related surplus, subject to certain eligibility standards, less goodwill and other specified intangible assets and other regulatory deductions. Common equity Tier 1 capital generally consists of common stock (plus related surplus) and retained earnings plus limited amounts of minority interest in the form of common stock, less goodwill and other specified intangible assets and other regulatory deductions. Tier 2 capital generally consists of subordinated debt, other preferred stock and a limited amount of loan loss reserves. The total amount of Tier 2 capital is limited to 100% of Tier 1 capital. Cumulative preferred stock and trust preferred securities issued after May 19, 2010, no longer qualify as Tier 1 capital, but such securities issued prior to May 19, 2010, including in the case of bank holding companies with less than $15.0 billion in total assets at that date, trust preferred securities issued prior to that date, continue to count as Tier 1 capital subject to certain limitations. If our total assets exceeded $15.0 billion in the future, the subordinated debentures we, and companies we have acquired, issued in connection with prior trust preferred securities offerings will no longer qualify as Tier 1 capital under applicable banking regulations. Though these trust preferred securities may no longer qualify as Tier 1 capital, we believe they would continue to qualify as Tier 2 capital, subject to applicable limitations. We may need to increase the level of Tier 1 capital we maintain through issuance of common stock or noncumulative perpetual preferred stock, which could cause dilution to our existing common shareholders.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final rules allow banks and their holding companies with less than $250 billion in assets a one-time opportunity to opt-out of a requirement to include unrealized gains and losses in accumulated other comprehensive income in their capital calculation. We opted-out of this requirement.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application of more stringent capital requirements, like those adopted to implement the Basel III reforms, could, among other things, result in lower returns on invested capital, require the raising of additional capital, particularly in the form of common stock, make it more difficult for us to receive regulatory approvals related to our growth initiatives and result in regulatory actions if we were to be unable to comply with such requirements. Furthermore, the imposition of liquidity requirements in connection with the implementation of Basel III either because we became subject to those requirements directly or because our regulators seek to propose additional on-balance sheet liquidity requirements on us, could result in our having to lengthen the term of our funding, restructure our business models and/or increase our holdings of liquid assets, which could adversely impact our results of operations.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Implementation of changes to asset risk weightings for risk based capital calculations, items included or deducted in calculating regulatory capital and/or additional capital conservation buffers could result in management modifying its business strategy and could limit our ability to make distributions, including paying dividends or buying back shares.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reported financial results depend on the accounting and reporting policies of United, the application of which requires significant assumptions, estimates and judgments.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accounting and reporting policies are fundamental to the methods by which we record and report our financial condition and results of operations. Management must make significant assumptions and estimates and exercise significant judgment in selecting and applying many of these accounting and reporting policies so they comply with GAAP and reflect management’s judgment of the most appropriate manner to report our financial condition and results. In some cases, management must select a policy from two or more alternatives, any of which may be reasonable under the circumstances, which may result in reporting materially different results than would have been reported under a different alternative.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policies are critical to presenting United’s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allowance for loan losses, fair value measurement and income taxes. Because of the uncertainty of assumptions and estimates involved in these matters, United may be required to do one or more of the following: significantly increase the allowance for loan losses and/or sustain credit losses that are significantly higher than the reserve provided; significantly decrease the carrying value of loans, foreclosed property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or other assets or liabilities to reflect a reduction in their fair value; or, significantly increase or decrease accrued taxes and the value of our deferred tax assets.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 party service providers and employees.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laws and regulations or failures to comply with such laws and regulations may adversely affect our financial condition and results of operations.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and state regulators have the ability to impose or request that we consent to substantial sanctions, restrictions and requirements on our bank and nonbank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damage our reputation, and result in the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other banking regulations, the federal Bank Secrecy Act, the Patriot Act and other laws and regulations require financial institutions, among other duties, to institute and maintain effective anti-money laundering programs and file suspicious activity and currency transaction reports as appropriate. The federal FinCEN, established by the Treasury to administer the Bank Secrecy Act, is authorized to impose significant civil money penalties for violations of those requirements and has recently engaged in coordinated enforcement efforts with the individual federal bank regulatory agencies, as well as the DOJ, Drug Enforcement Administration and Internal Revenue Service. Federal bank regulatory agencies and state bank regulators also have begun to focus on compliance with Bank Secrecy Act and anti-money laundering regulations. If our policies, procedures and systems are deemed deficient, we would be subject to liability, including fines and regulatory actions such as restrictions on our ability to pay dividends and the necessity to obtain regulatory approvals to proceed with certain aspects of our business plan, which would negatively impact our business, financial condition and results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other laws and regulations not specific to banking or financial services could also negatively impact our business, financial condition and results of operations. Changes in bankruptcy law, zoning or land use laws and regulations or environmental laws, rules, regulation and enforcement or other statutes, ordinances, rules or administrative or judicial interpretations that affect our customers’ businesses could negatively impact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ind w:right="20"/>
        <w:spacing w:after="0" w:line="282" w:lineRule="auto"/>
        <w:rPr>
          <w:sz w:val="20"/>
          <w:szCs w:val="20"/>
          <w:color w:val="auto"/>
        </w:rPr>
      </w:pPr>
      <w:r>
        <w:rPr>
          <w:rFonts w:ascii="Arial" w:cs="Arial" w:eastAsia="Arial" w:hAnsi="Arial"/>
          <w:sz w:val="18"/>
          <w:szCs w:val="18"/>
          <w:b w:val="1"/>
          <w:bCs w:val="1"/>
          <w:color w:val="auto"/>
        </w:rPr>
        <w:t>Changes in the method pursuant to which the LIBOR and other benchmark rates are determined could adversely impact our business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floating-rate funding, certain hedging transactions and certain of the products that we offer, such as floating-rate loans and mortgages, determine their applicable interest rate or payment amount by reference to a benchmark rate, such as LIBOR, the prime rate or the federal funds rate. LIBOR and certain other benchmark rates are the subject of recent national, international and other regulatory guidance and proposals for reform. In July 2017, the Chief Executive of the United Kingdom’s Financial Conduct Authority (the “FCA”) announced that the FCA intends to stop persuading or compelling banks to submit rates for the calculation of LIBOR after 2021.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LIBOR-linked financial instruments. Although we are currently unable to assess what the ultimate impact of the transition from LIBOR will be, failure to adequately manage the transition could have a material adverse effect on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our information technology and telecommunications systems and third-party servicers, and systems failures, interruptions or breaches of security could have an adverse effect on our financial condition and results of operations.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Although we take protective measures and endeavor to modify these systems as circumstances warrant, the security of our computer systems, software and networks may be vulnerable to breaches, unauthorized access, misuse, computer viruses or other malicious code and other events that could have a security impact. We provide our customers the ability to bank remotely, including over the Internet or through their mobile device. The secure transmission of confidential information is a critical element of remote and mobile banking.</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network, and the systems of parties with whom we contract, could be vulnerable to unauthorized access, computer viruses, phishing schemes, spam attacks, human error, natural disasters, power loss and other security breaches.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(including breaches of security of customer systems and networks) and viruses could expose us to claims, litigation and other possible liabilities. Any inability to prevent security breaches or computer viruses could also cause existing customers to lose confidence in our systems and could adversely affect our reputation, results of operations and ability to attract and maintain customers and businesses. In addition, a security breach could also subject us to additional regulatory scrutiny, expose us to civil litigation and possible financial liability and cause reputational damage.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outsource many of our major systems, such as data processing, loan servicing and deposit processing systems. While we have selected these vendors carefully, we do not control their actions. The failure of these systems, or the termination of a third-party software license or service agreement on which any of these systems is based, could interrupt our operations. Financial or operational difficulties of a vendor could also hurt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 party vendors could also create significant delay and expense.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continually encounter technological change.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Our future success depends, in part, upon our ability to address the needs of our customers by using technology to provide products and services that will satisfy customer demands, as well as to create additional efficiencies in our operations. Many of our competitors have substantially greater resources to invest in technological improvements. We may not be able to effectively implement new technology-driven products and services or be successful in marketing these products and services to our customers. Failure to successfully keep pace with technological change affecting the financial services industry could have a material adverse effect on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We could be subject to changes in tax laws, regulations and interpretations or challenges to our income tax provision.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 In addition, changes in enacted tax laws, such as adoption of a lower income tax rate in any of the jurisdictions in which we operate, could impact our ability to obtain the future tax benefits represented by our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publicity could damage our reputation and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Reputation risk, or the risk to our earnings, liquidity and capital from negative public opinion, is inherent in our business. Negative public opinion could adversely affect our ability to keep and attract customers and expose us to adverse legal and regulatory consequences. Negative public opinion could result from our actual or alleged conduct in any number of activities, including lending practices, corporate governance, regulatory compliance, securities compliance, mergers and acquisitions, and disclosure, from sharing or inadequate protection of customer information and from actions taken by government regulators and community organizations in response to that conduct. Negative public opinion could also result from adverse news or publicity that impairs the reputation of the financial services industry generally. Because we conduct most of our business under the “United” brand, negative public opinion about one business could affect our other businesses.</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Inability to retain management and key employees or to attract new experienced financial services or technology professionals could impair our relationship with our customers, reduce growth and adversely affect our business.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assembled a management team which has substantial background and experience in banking and financial services in our markets. Moreover, much of our organic loan growth in recent years (like the growth that we are seeking going forward) was the result of our ability to attract experienced financial services professionals who have been able to attract customers from other financial institutions. We anticipate deploying a similar hiring strategy in the future. Operating our technology systems requires employees with specialized skills that are not readily available in the general employee candidate pool. Inability to retain these key personnel (including key personnel of the businesses we have acquired) or to continue to attract experienced lenders with established books of business could negatively impact our growth because of the loss of these individuals’ skills and customer relationships and/or the potential difficulty of promptly replacing them. Moreover, the higher costs we have to pay to hire and retain these experienced individuals could cause our noninterest expense levels to rise and negatively impact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certain litigation, and our expenses related to this litigation may adversely affect our results.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from time to time subject to certain litigation in the ordinary course of our business. As we hire new revenue producing associates we, and the associates we hire, may also periodically be the subject of litigation and threatened litigation with these associates’ former employers. We may also be subject to claims related to our loan servicing programs, particularly those involving servicing of commercial real estate loans. From time to time, and particularly during periods of economic stress, customers, including real estate developers and consumer borrowers, may make claims or otherwise take legal action pertaining to performance of our responsibilities. These claims are often referred to as “lender liability” claims and are sometimes brought in an effort to produce or increase leverage against us in workout negotiations or debt collection proceedings. Lender liability claims frequently assert one or more of the following allegations: breach of fiduciary duties, fraud, economic duress, breach of contract, breach of the implied covenant of good faith and fair dealing, and similar claims.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and other claims and legal actions, as well as supervisory and enforcement actions by our regulators, including the CFPB or other regulatory agencies with which we deal, including those with oversight of our loan servicing programs, could involve large monetary claims, capital directives, agreements with federal regulators, cease and desist orders and significant defense costs. The outcome of any such cases or actions is uncertain. Substantial legal liability or significant regulatory action against us could have material adverse financial effects or cause significant reputational harm to us, which in turn could seriously harm our business prospects.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ineffective risk management framework could have a material adverse effect on our strategic planning and our ability to mitigate risks and/or losses and could have adverse regulatory consequences.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implemented a risk management framework to identify and manage our risk exposure. This framework is comprised of various processes, systems and strategies, and is designed to manage the types of risk to which we are subject, including, among others, credit, market, liquidity, operational, capital, compliance, strategic and reputational risks. Our framework also includes financial, analytical, forecasting, or other modeling methodologies, which involves management assumptions and judgment. In addition, our board of directors, in consultation with management, has adopted a risk appetite statement, which sets forth certain thresholds and limits to govern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overall risk profile. However, there is no assurance that our risk management framework, including the risk metrics under our risk appetite statement, will be effective under all circumstances or that it will adequately identify, manage or mitigate any risk or loss to us. If our risk management framework is not effective, we could suffer unexpected losses and become subject to regulatory consequences, as a result of which our business, financial condition, results of operations or prospects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financial stability of other financial institutions. Financial services institutions are interrelated as a result of trading, clearing, counterparty or other relationships. We have exposure to various counterparties, including brokers and dealers, commercial and correspondent banks, and others. As a result, defaults by, or rumors or questions about, one or more financial services institutions, or the financial services industry generally, may result in market-wide liquidity problems and could lead to losses or defaults by such other institutions. Such occurrences could expose us to credit risk in the event of default of one or more counterparties and could have a material adverse effect on our financial position, results of operations and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may adversely affect us.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and customer base are located in markets where natural disasters, including tornadoes, severe storms, fires, floods, hurricanes and earthquakes have occurred. Such natural disasters could significantly impact the local population and economies and our business, and could pose physical risks to our properties. Although our banking offices are geographically dispersed throughout portions of the southeastern United States and we maintain insurance coverages for such events, a significant natural disaster in or near one or more of our markets could have a material adverse effect on our financial condition,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the operation of government or changes in government funding may adversely affect 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of our operations and customers are dependent on the regular operation of the federal or state government or programs they administer. For example, our SBA lending program depends on reviews and approvals by the SBA, an independent agency of the federal government. During a lapse in funding, such as has occurred during previous federal government “shutdowns”, the SBA may not be able to conduct such reviews and issue the necessary approvals. Similarly, loans we make through USDA lending programs may be delayed or adversely affected by lapses in funding for the USDA.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can be volatile.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price volatility may make it more difficult for you to resell your common stock when you want and at prices you find attractive. Our stock price can fluctuate significantly in response to a variety of factors including, among other things:</w:t>
      </w:r>
    </w:p>
    <w:p>
      <w:pPr>
        <w:spacing w:after="0" w:line="1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quarterly results of operations;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in the marketplace regarding us and/or our competitors;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ventures or capital commitments by or involving us or our competitors;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integrate acquisitions or realize anticipated benefits from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regulations;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military conflicts, or trade relations.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market fluctuations, including real or anticipated changes in the strength of the local economy; industry factors and general economic and political conditions and events, such as economic slowdowns or recessions; interest rate changes, oil price volatility or credit loss trends could also cause our stock price to decrease regardless of operating results.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Although our common stock currently is traded on the Nasdaq Stock Market’s Global Select Market, it has less liquidity than other stocks quoted on a national securities exchange.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for trading on the Nasdaq, the trading volume in our common stock is less than that of other, larger financial services companies. A public trading market having the desired characteristics of depth, liquidity and orderliness depends on the presence in the marketplace of willing buyers and sellers of our common stock at any given time. This presence depends on the individual decisions of investors and general economic and market conditions over which we have no control. Given the lower trading volume of our common stock, significant sales of our common stock, or the expectation of these sales, could cause our stock price to fall.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volume in our common stock on the Nasdaq Global Select Market has been relatively low when compared with larger companies listed on the Nasdaq Global Select Market or other stock exchanges. For 2018, our average daily trading volume was 460,152 shares. Although we have experienced increased liquidity in our stock, we cannot say with any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effect, if any, that future sales of our common stock in the market, or the availability of shares of common stock for sale in the market, will have on the market price of our common stock. We can give no assurance that sales of substantial amounts of common stock in the market, or the potential for large amounts of sales in the market, would not cause the price of our common stock to decline or impair our future ability to raise capital through sales of our common stock.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price of our common stock has fluctuated significantly and may fluctuate in the future. These fluctuations may be unrelated to our performance. General market or industry price declines or overall market volatility in the future could adversely affect the price of our common stock, and the current market price may not be indicative of future market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indebtedness have rights that are senior to those of our shareholders.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2018, we had outstanding securitized notes payable, senior debentures, subordinated debentures and trust preferred securities and accompanying subordinated debentures totaling $267 million. Payments of the principal and interest on the securitized notes payable, senior debentures, subordinated debentures and the subordinated debentures accompanying the trust preferred securities are senior to payments with respect to shares of our common stock. We also conditionally guarantee payments of the principal and interest on the trust preferred securities. As a result, we must make payments on these debt instruments (including the related trust preferred securities) before any dividends can be paid on common stock and, in the event of bankruptcy, dissolution or liquidation, the holders of the debt must be satisfied before any distributions can be made on our common stock. We have the right to defer distributions on the subordinated debentures related to the trust preferred securities (and the related guarantee of payments on the trust preferred securities) for up to five years, during which time no dividends may be paid on its common stock. If our financial condition deteriorates or if we do not receive required regulatory approvals, we may be required to defer distributions on the subordinated debentures related to the trust preferred securities (and the related guarantee of payments on the trust preferred securities).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from time to time issue additional senior or subordinated indebtedness that would have to be repaid before our shareholders would be entitled to receive any of our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declare and pay dividends is limited.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our board of directors has approved the payment of a quarterly cash dividend on our common stock since the fourth quarter of 2013, there can be no assurance of whether or when we may pay dividends on our common stock in the future. Future dividends, if any, will be declared and paid at the discretion of our board of directors and will depend on a number of factors. Our principal source of funds used to pay cash dividends on our common stock will be dividends that we receive from the Bank. Although the Bank’s asset quality, earnings performance, liquidity and capital requirements will be taken into account before we declare or pay any future dividends on our common stock, our board of directors will also consider our liquidity and capital requirements and our board of directors could determine to declare and pay dividends without relying on dividend payments from the Bank.</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Federal and state banking laws and regulations and state corporate laws restrict the amount of dividends we may declare and pay and that the Bank may declare and pay to us. For example, Federal Reserve regulations implementing the capital rules required under Basel III do not permit dividends unless capital levels exceed certain higher levels applying capital conservation buffers that apply beginning January 1,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In addition, the terms of our debentures prohibit us from paying dividends on our common stock until we have made required payments under the debentures or if we have deferred payments under the terms of such debentures.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issue additional common stock or other equity securities in the future which could dilute the ownership interest of existing shareholders.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maintain our or the Bank’s capital at desired or regulatory-required levels, we may issue additional shares of common stock, or securities convertible into, exchangeable for or representing rights to acquire shares of common stock. We may sell these shares at prices below the current market price of shares, and the sale of these shares may significantly dilute shareholder ownership. We could also issue additional shares in connection with acquisitions of other financial institutions or other investments, which could also dilute shareholder ownership.</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As a result, current and potential holders of our securities could lose confidence in our financial reporting, which would harm our business and the trading price of our securities.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Maintaining and adapting our internal controls over financial reporting, as required by Section 404 of the Sarbanes-Oxley Act, is expensive and requires significant management attention. Moreover, as we continue to grow, our internal controls may become more complex and require additional resources to ensure they remain effective amid dynamic regulatory and other guidance. Failure to implement effective controls or difficulties encountered in the process may harm our results of operations and financial condition or cause us to fail to meet our reporting obligations. If we or our independent registered accounting firm identify material weaknesses in our internal control over financial reporting or are otherwise required to restate our financial statements, we could be required to implement expensive and time-consuming remedial measures and could lose investor confidence in the accuracy and completeness of our financial reports. We may also face regulatory enforcement or other actions, including the potential delisting of our securities from the Nasdaq Global Select Market. This could have an adverse effect on our business, financial condition or results of operations, as well as the trading price of our securities, and could potentially subject us to litigation.</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corporate organizational documents and the provisions of Georgia law to which we are subject contain certain provisions that could have an anti-takeover effect and may delay, make more difficult or prevent an attempted acquisition of United that you may favor.</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articles of incorporation, as amended, and bylaws, as amended, contain various provisions that could have an anti-takeover effect and may delay, discourage or prevent an attempted acquisition or change of control of United. These provisions include:</w:t>
      </w:r>
    </w:p>
    <w:p>
      <w:pPr>
        <w:spacing w:after="0" w:line="170"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provision allowing our board of directors to take into account the interests of our employees, customers, suppliers and creditors when considering an acquisition proposal;</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provision that all amendments to our amended and restated articles of incorporation, as amended, and bylaws, as amended, must be approved by two-thirds of the outstanding shares of our capital stock entitled to vote;</w:t>
      </w:r>
    </w:p>
    <w:p>
      <w:pPr>
        <w:ind w:left="340" w:hanging="332"/>
        <w:spacing w:after="0" w:line="28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provision requiring that any business combination involving United be approved by 75% of the outstanding shares of our Common Stock excluding shares held by stockholders who are deemed to have an interest in the transaction unless the business combination is approved by 75% of our directors;</w:t>
      </w:r>
    </w:p>
    <w:p>
      <w:pPr>
        <w:spacing w:after="0" w:line="1"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provision restricting removal of directors except for cause and upon the approval of two-thirds of the outstanding shares of our capital stock entitled to vote;</w:t>
      </w: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provision that any special meeting of our shareholders may be called only by our chairman, our chief executive officer, our president, our chief financial officer, our board of directors, or the holders of 25% of the outstanding shares of our capital stock entitled to vote; and</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provision establishing certain advance notice procedures for matters to be considered at an annual meeting of shareholders.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amended and restated charter, as amended, authorizes the board of directors to issue shares of our preferred stock without shareholder approval and upon such terms as the board of directors may determine. The issuance of our preferred stock, while providing desirable flexibility in connection with possible acquisitions, financings and other corporate purposes, could have the effect of making it more difficult for a third party to acquire, or of discouraging a third party from acquiring, a controlling interest in 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An investment in our common stock is not an insured deposit and is not guaranteed by the FDIC.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not a bank deposit and, therefore, is not insured against loss by the FDIC, any other deposit insurance fund or by any other public or private entity. Investment in our common stock is inherently risky for the reasons described herein and our shareholders will bear the risk of loss if the value or market price of our common stock is adversely affected.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executive offices of United are located at 125 Highway 515 East, Blairsville, Georgia. United owns this property. The Bank provides services or performs operational functions at 184 locations, of which 144 are owned and 40 are leased under operating leases. We believe the terms of the various leases are consistent with market standards and were arrived at through arm’s-length bargaining. We consider our properties to be suitable and adequate for operating our banking business. Note 8 to United’s consolidated financial statements includes additional information regarding amounts invested in premises and equipment.</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ordinary course of operations, United and the Bank are parties to various legal proceedings and periodic regulatory examinations and investigations.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United or any of its subsidiaries is a party or of which any of its property is subject.</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4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United’s common stock trades on the Nasdaq Global Select Market under the symbol “UCBI”. The closing price for the period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was $21.46.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2019, there were 8,601 record shareholders of United’s common stock.</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United declared cash dividends of $0.58 and $0.38 per share on its common stock in 2018 and 2017, respectively. Federal and state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impose restrictions on the ability of the Bank to pay dividends to the Holding Company without prior approvals.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dividends is included in Note 19 to the consolidated financial statements, under the heading of “Supervision and Regulation” in Part I of this report and in “Management’s Discussion and Analysis of Financial Condition and Results of Operations – Capital Resources and Dividends.”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In November 2018, United’s Board of Directors approved an increase and extension of the existing common stock repurchase plan,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authorizing $50 million of repurchases through December 31, 2019.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fourth quarter of 2018.</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0" w:right="840"/>
        <w:spacing w:after="0" w:line="277" w:lineRule="auto"/>
        <w:rPr>
          <w:sz w:val="20"/>
          <w:szCs w:val="20"/>
          <w:color w:val="auto"/>
        </w:rPr>
      </w:pPr>
      <w:r>
        <w:rPr>
          <w:rFonts w:ascii="Arial" w:cs="Arial" w:eastAsia="Arial" w:hAnsi="Arial"/>
          <w:sz w:val="18"/>
          <w:szCs w:val="18"/>
          <w:i w:val="1"/>
          <w:iCs w:val="1"/>
          <w:color w:val="auto"/>
        </w:rPr>
        <w:t>(Dollars in thousands, except for per share amounts)</w:t>
      </w:r>
    </w:p>
    <w:p>
      <w:pPr>
        <w:spacing w:after="0" w:line="22" w:lineRule="exact"/>
        <w:rPr>
          <w:sz w:val="20"/>
          <w:szCs w:val="20"/>
          <w:color w:val="auto"/>
        </w:rPr>
      </w:pPr>
    </w:p>
    <w:p>
      <w:pPr>
        <w:ind w:left="40" w:right="1020"/>
        <w:spacing w:after="0" w:line="364" w:lineRule="auto"/>
        <w:rPr>
          <w:sz w:val="20"/>
          <w:szCs w:val="20"/>
          <w:color w:val="auto"/>
        </w:rPr>
      </w:pPr>
      <w:r>
        <w:rPr>
          <w:rFonts w:ascii="Arial" w:cs="Arial" w:eastAsia="Arial" w:hAnsi="Arial"/>
          <w:sz w:val="16"/>
          <w:szCs w:val="16"/>
          <w:color w:val="auto"/>
        </w:rPr>
        <w:t>October 1, 2018 - October 31, 2018 November 1, 2018 - November 30, 2018 December 1, 2018 - December 31, 2018</w:t>
      </w: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4"/>
                <w:szCs w:val="14"/>
                <w:color w:val="auto"/>
              </w:rPr>
            </w:pPr>
          </w:p>
        </w:tc>
        <w:tc>
          <w:tcPr>
            <w:tcW w:w="1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80" w:type="dxa"/>
            <w:vAlign w:val="bottom"/>
          </w:tcPr>
          <w:p>
            <w:pPr>
              <w:spacing w:after="0"/>
              <w:rPr>
                <w:sz w:val="12"/>
                <w:szCs w:val="12"/>
                <w:color w:val="auto"/>
              </w:rPr>
            </w:pPr>
          </w:p>
        </w:tc>
        <w:tc>
          <w:tcPr>
            <w:tcW w:w="19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80" w:type="dxa"/>
            <w:vAlign w:val="bottom"/>
          </w:tcPr>
          <w:p>
            <w:pPr>
              <w:spacing w:after="0"/>
              <w:rPr>
                <w:sz w:val="12"/>
                <w:szCs w:val="12"/>
                <w:color w:val="auto"/>
              </w:rPr>
            </w:pPr>
          </w:p>
        </w:tc>
        <w:tc>
          <w:tcPr>
            <w:tcW w:w="19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Value) of Shares that May</w:t>
            </w:r>
          </w:p>
        </w:tc>
        <w:tc>
          <w:tcPr>
            <w:tcW w:w="0" w:type="dxa"/>
            <w:vAlign w:val="bottom"/>
          </w:tcPr>
          <w:p>
            <w:pPr>
              <w:spacing w:after="0"/>
              <w:rPr>
                <w:sz w:val="1"/>
                <w:szCs w:val="1"/>
                <w:color w:val="auto"/>
              </w:rPr>
            </w:pPr>
          </w:p>
        </w:tc>
      </w:tr>
      <w:tr>
        <w:trPr>
          <w:trHeight w:val="149"/>
        </w:trPr>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 w:type="dxa"/>
            <w:vAlign w:val="bottom"/>
          </w:tcPr>
          <w:p>
            <w:pPr>
              <w:spacing w:after="0"/>
              <w:rPr>
                <w:sz w:val="12"/>
                <w:szCs w:val="12"/>
                <w:color w:val="auto"/>
              </w:rPr>
            </w:pPr>
          </w:p>
        </w:tc>
        <w:tc>
          <w:tcPr>
            <w:tcW w:w="19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Yet Be Purchased Under</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43"/>
        </w:trPr>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20"/>
              <w:spacing w:after="0"/>
              <w:rPr>
                <w:sz w:val="20"/>
                <w:szCs w:val="20"/>
                <w:color w:val="auto"/>
              </w:rPr>
            </w:pPr>
            <w:r>
              <w:rPr>
                <w:rFonts w:ascii="Arial" w:cs="Arial" w:eastAsia="Arial" w:hAnsi="Arial"/>
                <w:sz w:val="18"/>
                <w:szCs w:val="18"/>
                <w:color w:val="auto"/>
              </w:rPr>
              <w:t>36,342</w:t>
            </w:r>
          </w:p>
        </w:tc>
        <w:tc>
          <w:tcPr>
            <w:tcW w:w="0" w:type="dxa"/>
            <w:vAlign w:val="bottom"/>
          </w:tcPr>
          <w:p>
            <w:pPr>
              <w:spacing w:after="0"/>
              <w:rPr>
                <w:sz w:val="1"/>
                <w:szCs w:val="1"/>
                <w:color w:val="auto"/>
              </w:rPr>
            </w:pPr>
          </w:p>
        </w:tc>
      </w:tr>
      <w:tr>
        <w:trPr>
          <w:trHeight w:val="270"/>
        </w:trPr>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80" w:type="dxa"/>
            <w:vAlign w:val="bottom"/>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0"/>
        </w:trPr>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80" w:type="dxa"/>
            <w:vAlign w:val="bottom"/>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-376555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-728345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580"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Amended and Restated 2000 Key Employee Stock Option Plan allows option holders to exercise stock options by delivering previously acquired shares having a fair market value equal to the exercise price provided that the shares delivered must have been held by the option holder for at least six months. In addition, United may withhold a sufficient number of restricted stock shares at the time of vesting to cover payroll tax withholdings at the election of the restricted stock recipient. In 2018 and 2017, 65,422 and 62,386 shares, respectively, were withheld to cover payroll taxes owed at the time of restricted stock vesting. No shares were delivered to exercise stock options in 2018 or 2017.</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type w:val="continuous"/>
        </w:sectPr>
      </w:pPr>
    </w:p>
    <w:bookmarkStart w:id="29" w:name="page30"/>
    <w:bookmarkEnd w:id="29"/>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2013 and ending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123190</wp:posOffset>
            </wp:positionV>
            <wp:extent cx="555688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568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6"/>
          </w:tcPr>
          <w:p>
            <w:pPr>
              <w:ind w:left="60"/>
              <w:spacing w:after="0"/>
              <w:rPr>
                <w:sz w:val="20"/>
                <w:szCs w:val="20"/>
                <w:color w:val="auto"/>
              </w:rPr>
            </w:pPr>
            <w:r>
              <w:rPr>
                <w:rFonts w:ascii="Arial" w:cs="Arial" w:eastAsia="Arial" w:hAnsi="Arial"/>
                <w:sz w:val="18"/>
                <w:szCs w:val="18"/>
                <w:b w:val="1"/>
                <w:bCs w:val="1"/>
                <w:color w:val="auto"/>
              </w:rPr>
              <w:t>Cumulative Total Return*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United Community Banks, Inc.</w:t>
            </w: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Nasdaq Stock Market (U.S.) Index</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shd w:val="clear" w:color="auto" w:fill="F0FFFF"/>
          </w:tcPr>
          <w:p>
            <w:pPr>
              <w:ind w:left="40"/>
              <w:spacing w:after="0"/>
              <w:rPr>
                <w:sz w:val="20"/>
                <w:szCs w:val="20"/>
                <w:color w:val="auto"/>
              </w:rPr>
            </w:pPr>
            <w:r>
              <w:rPr>
                <w:rFonts w:ascii="Arial" w:cs="Arial" w:eastAsia="Arial" w:hAnsi="Arial"/>
                <w:sz w:val="18"/>
                <w:szCs w:val="18"/>
                <w:color w:val="auto"/>
              </w:rPr>
              <w:t>Nasdaq Bank Index</w:t>
            </w:r>
          </w:p>
        </w:tc>
        <w:tc>
          <w:tcPr>
            <w:tcW w:w="220" w:type="dxa"/>
            <w:vAlign w:val="bottom"/>
            <w:shd w:val="clear" w:color="auto" w:fill="F0FFFF"/>
          </w:tcPr>
          <w:p>
            <w:pPr>
              <w:spacing w:after="0"/>
              <w:rPr>
                <w:sz w:val="21"/>
                <w:szCs w:val="21"/>
                <w:color w:val="auto"/>
              </w:rPr>
            </w:pPr>
          </w:p>
        </w:tc>
        <w:tc>
          <w:tcPr>
            <w:tcW w:w="8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47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ind w:left="180" w:right="20" w:hanging="172"/>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Assumes $100 invested on December 31, 2013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(in thousands, except per share data)</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2014</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b w:val="1"/>
                <w:bCs w:val="1"/>
                <w:color w:val="auto"/>
              </w:rPr>
              <w:t>INCOME SUMMARY</w:t>
            </w:r>
          </w:p>
        </w:tc>
        <w:tc>
          <w:tcPr>
            <w:tcW w:w="28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8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Interest revenue</w:t>
            </w: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500,080</w:t>
            </w:r>
          </w:p>
        </w:tc>
        <w:tc>
          <w:tcPr>
            <w:tcW w:w="10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389,720</w:t>
            </w:r>
          </w:p>
        </w:tc>
        <w:tc>
          <w:tcPr>
            <w:tcW w:w="100" w:type="dxa"/>
            <w:vAlign w:val="bottom"/>
          </w:tcPr>
          <w:p>
            <w:pPr>
              <w:spacing w:after="0"/>
              <w:rPr>
                <w:sz w:val="22"/>
                <w:szCs w:val="22"/>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335,020</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278,532</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248,432</w:t>
            </w:r>
          </w:p>
        </w:tc>
        <w:tc>
          <w:tcPr>
            <w:tcW w:w="0" w:type="dxa"/>
            <w:vAlign w:val="bottom"/>
          </w:tcPr>
          <w:p>
            <w:pPr>
              <w:spacing w:after="0"/>
              <w:rPr>
                <w:sz w:val="1"/>
                <w:szCs w:val="1"/>
                <w:color w:val="auto"/>
              </w:rPr>
            </w:pPr>
          </w:p>
        </w:tc>
      </w:tr>
      <w:tr>
        <w:trPr>
          <w:trHeight w:val="273"/>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Interest expense</w:t>
            </w:r>
          </w:p>
        </w:tc>
        <w:tc>
          <w:tcPr>
            <w:tcW w:w="28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61,330</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33,735</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25,236</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21,109</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25,551</w:t>
            </w:r>
          </w:p>
        </w:tc>
        <w:tc>
          <w:tcPr>
            <w:tcW w:w="0" w:type="dxa"/>
            <w:vAlign w:val="bottom"/>
          </w:tcPr>
          <w:p>
            <w:pPr>
              <w:spacing w:after="0"/>
              <w:rPr>
                <w:sz w:val="1"/>
                <w:szCs w:val="1"/>
                <w:color w:val="auto"/>
              </w:rPr>
            </w:pPr>
          </w:p>
        </w:tc>
      </w:tr>
      <w:tr>
        <w:trPr>
          <w:trHeight w:val="248"/>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Net interest revenue</w:t>
            </w:r>
          </w:p>
        </w:tc>
        <w:tc>
          <w:tcPr>
            <w:tcW w:w="28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438,750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355,985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309,784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257,423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222,881</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Provision for credit losses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9,500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3,800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19"/>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3,700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8,500</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Noninterest income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92,961</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88,260</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93,697</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72,529</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55,554</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Total revenue</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522,211</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440,445</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404,281</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326,252</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269,935</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Expenses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306,285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267,611</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241,289</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211,238</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162,865</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Income before income tax expense</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215,926</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172,834</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162,992</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115,014</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107,070</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Income tax expense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49,815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105,013</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62,336</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43,436</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39,450</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Net income</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166,111</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67,821</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100,656</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71,578</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67,620</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7,345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14,662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8,122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17,995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(1,494)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(3,745)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19"/>
              <w:spacing w:after="0"/>
              <w:rPr>
                <w:sz w:val="20"/>
                <w:szCs w:val="20"/>
                <w:color w:val="auto"/>
              </w:rPr>
            </w:pPr>
            <w:r>
              <w:rPr>
                <w:rFonts w:ascii="Arial" w:cs="Arial" w:eastAsia="Arial" w:hAnsi="Arial"/>
                <w:sz w:val="12"/>
                <w:szCs w:val="12"/>
                <w:color w:val="auto"/>
              </w:rPr>
              <w:t>(3,074)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(6,388)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Impact of remeasurement of deferred tax asset resulting from 2017 Tax Cuts and Jobs Act</w:t>
            </w: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38,199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Impairment of deferred tax asset on cancelled non-qualified stock options</w:t>
            </w:r>
          </w:p>
        </w:tc>
        <w:tc>
          <w:tcPr>
            <w:tcW w:w="28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976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4"/>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3,400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1"/>
        </w:trPr>
        <w:tc>
          <w:tcPr>
            <w:tcW w:w="524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0"/>
                <w:szCs w:val="10"/>
                <w:b w:val="1"/>
                <w:bCs w:val="1"/>
                <w:color w:val="auto"/>
              </w:rPr>
              <w:t>(1)</w:t>
            </w:r>
          </w:p>
        </w:tc>
        <w:tc>
          <w:tcPr>
            <w:tcW w:w="28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171,962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120,337</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b w:val="1"/>
                <w:bCs w:val="1"/>
                <w:color w:val="auto"/>
              </w:rPr>
              <w:t>106,680</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83,185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67,620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Per common share:</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Diluted net income - GAAP</w:t>
            </w: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0.92</w:t>
            </w:r>
          </w:p>
        </w:tc>
        <w:tc>
          <w:tcPr>
            <w:tcW w:w="100" w:type="dxa"/>
            <w:vAlign w:val="bottom"/>
          </w:tcPr>
          <w:p>
            <w:pPr>
              <w:spacing w:after="0"/>
              <w:rPr>
                <w:sz w:val="22"/>
                <w:szCs w:val="22"/>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0"/>
                <w:szCs w:val="10"/>
                <w:color w:val="auto"/>
              </w:rPr>
              <w:t>(1)</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Cash dividends declared</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Book value</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18.24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16.67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15.06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14.02</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12.20</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0"/>
                <w:szCs w:val="10"/>
                <w:color w:val="auto"/>
              </w:rPr>
              <w:t>(3)</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13.65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12.95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12.15</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Key performance ratios: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0"/>
                <w:szCs w:val="10"/>
                <w:color w:val="auto"/>
              </w:rPr>
              <w:t>(2)</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9.17%</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0"/>
                <w:szCs w:val="10"/>
                <w:color w:val="auto"/>
              </w:rPr>
              <w:t>(1)(2)</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9.98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9.48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9.17</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10"/>
                <w:szCs w:val="10"/>
                <w:color w:val="auto"/>
              </w:rPr>
              <w:t>(1)(2)(3)</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11.86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Return on assets - GAAP</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0.62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0.91</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0"/>
                <w:szCs w:val="10"/>
                <w:color w:val="auto"/>
              </w:rPr>
              <w:t>(1)</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0.91</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Dividend payout ratio - GAAP</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28.02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41.30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21.43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20.18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9.91</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0"/>
                <w:szCs w:val="10"/>
                <w:color w:val="auto"/>
              </w:rPr>
              <w:t>(1)</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27.10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23.31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20.27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17.32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9.91</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Net interest margin (fully taxable equivalent)</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3.36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3.30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Efficiency ratio - GAAP</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57.31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59.95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59.80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63.96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58.26</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0"/>
                <w:szCs w:val="10"/>
                <w:color w:val="auto"/>
              </w:rPr>
              <w:t>(1)</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55.94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56.67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57.78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58.51</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58.26</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Average equity to average assets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9.69</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Average tangible equity to average assets </w:t>
            </w:r>
            <w:r>
              <w:rPr>
                <w:rFonts w:ascii="Arial" w:cs="Arial" w:eastAsia="Arial" w:hAnsi="Arial"/>
                <w:sz w:val="10"/>
                <w:szCs w:val="10"/>
                <w:color w:val="auto"/>
              </w:rPr>
              <w:t>(3)</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8.92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9.29</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9.21</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9.74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Average tangible common equity to average assets </w:t>
            </w:r>
            <w:r>
              <w:rPr>
                <w:rFonts w:ascii="Arial" w:cs="Arial" w:eastAsia="Arial" w:hAnsi="Arial"/>
                <w:sz w:val="10"/>
                <w:szCs w:val="10"/>
                <w:color w:val="auto"/>
              </w:rPr>
              <w:t>(3)</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9.19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Tangible common equity to risk-weighted assets </w:t>
            </w:r>
            <w:r>
              <w:rPr>
                <w:rFonts w:ascii="Arial" w:cs="Arial" w:eastAsia="Arial" w:hAnsi="Arial"/>
                <w:sz w:val="10"/>
                <w:szCs w:val="10"/>
                <w:color w:val="auto"/>
              </w:rPr>
              <w:t>(3)</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11.84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12.82</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13.82</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b w:val="1"/>
                <w:bCs w:val="1"/>
                <w:color w:val="auto"/>
              </w:rPr>
              <w:t>ASSET QUALITY</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Nonperforming loans</w:t>
            </w: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23,778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23,658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21,539</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22,653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17,881</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180"/>
              <w:spacing w:after="0"/>
              <w:rPr>
                <w:sz w:val="20"/>
                <w:szCs w:val="20"/>
                <w:color w:val="auto"/>
              </w:rPr>
            </w:pPr>
            <w:r>
              <w:rPr>
                <w:rFonts w:ascii="Arial" w:cs="Arial" w:eastAsia="Arial" w:hAnsi="Arial"/>
                <w:sz w:val="12"/>
                <w:szCs w:val="12"/>
                <w:color w:val="auto"/>
              </w:rPr>
              <w:t>Foreclosed properties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1,305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3,234</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7,949</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4,883</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1,726</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Total nonperforming assets (NPAs)</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25,083</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26,892</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29,488</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27,536</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19,607</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61,203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58,914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61,422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68,448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71,619</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Net charge-offs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6,113</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5,998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6,766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6,259</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13,879</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 to loans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Net charge-offs to average loans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0.31</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NPAs to total assets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0.23</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b w:val="1"/>
                <w:bCs w:val="1"/>
                <w:i w:val="1"/>
                <w:iCs w:val="1"/>
                <w:color w:val="auto"/>
              </w:rPr>
              <w:t>($ in millions)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Loans</w:t>
            </w: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8,170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7,150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6,413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5,298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4,450</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Investment securities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2,899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2,847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2,691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2,368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2,274</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Earning assets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11,282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10,162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9,257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7,834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6,880</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Total assets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12,284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10,054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8,462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7,436</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8,950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8,177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7,055</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6,228</w:t>
            </w:r>
          </w:p>
        </w:tc>
        <w:tc>
          <w:tcPr>
            <w:tcW w:w="0" w:type="dxa"/>
            <w:vAlign w:val="bottom"/>
          </w:tcPr>
          <w:p>
            <w:pPr>
              <w:spacing w:after="0"/>
              <w:rPr>
                <w:sz w:val="1"/>
                <w:szCs w:val="1"/>
                <w:color w:val="auto"/>
              </w:rPr>
            </w:pPr>
          </w:p>
        </w:tc>
      </w:tr>
      <w:tr>
        <w:trPr>
          <w:trHeight w:val="17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Shareholders’ equity</w:t>
            </w:r>
          </w:p>
        </w:tc>
        <w:tc>
          <w:tcPr>
            <w:tcW w:w="2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1,380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720</w:t>
            </w:r>
          </w:p>
        </w:tc>
        <w:tc>
          <w:tcPr>
            <w:tcW w:w="0" w:type="dxa"/>
            <w:vAlign w:val="bottom"/>
          </w:tcPr>
          <w:p>
            <w:pPr>
              <w:spacing w:after="0"/>
              <w:rPr>
                <w:sz w:val="1"/>
                <w:szCs w:val="1"/>
                <w:color w:val="auto"/>
              </w:rPr>
            </w:pPr>
          </w:p>
        </w:tc>
      </w:tr>
    </w:tbl>
    <w:p>
      <w:pPr>
        <w:sectPr>
          <w:pgSz w:w="11900" w:h="16879" w:orient="portrait"/>
          <w:cols w:equalWidth="0" w:num="1">
            <w:col w:w="11420"/>
          </w:cols>
          <w:pgMar w:left="240" w:top="585"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20" w:type="dxa"/>
            <w:vAlign w:val="bottom"/>
            <w:shd w:val="clear" w:color="auto" w:fill="F0FFFF"/>
          </w:tcPr>
          <w:p>
            <w:pPr>
              <w:ind w:left="180"/>
              <w:spacing w:after="0"/>
              <w:rPr>
                <w:sz w:val="20"/>
                <w:szCs w:val="20"/>
                <w:color w:val="auto"/>
              </w:rPr>
            </w:pPr>
            <w:r>
              <w:rPr>
                <w:rFonts w:ascii="Arial" w:cs="Arial" w:eastAsia="Arial" w:hAnsi="Arial"/>
                <w:sz w:val="12"/>
                <w:szCs w:val="12"/>
                <w:color w:val="auto"/>
              </w:rPr>
              <w:t xml:space="preserve">Common shares - basic </w:t>
            </w:r>
            <w:r>
              <w:rPr>
                <w:rFonts w:ascii="Arial" w:cs="Arial" w:eastAsia="Arial" w:hAnsi="Arial"/>
                <w:sz w:val="12"/>
                <w:szCs w:val="12"/>
                <w:i w:val="1"/>
                <w:iCs w:val="1"/>
                <w:color w:val="auto"/>
              </w:rPr>
              <w:t>(thousands)</w:t>
            </w:r>
          </w:p>
        </w:tc>
        <w:tc>
          <w:tcPr>
            <w:tcW w:w="1920" w:type="dxa"/>
            <w:vAlign w:val="bottom"/>
            <w:shd w:val="clear" w:color="auto" w:fill="F0FFFF"/>
          </w:tcPr>
          <w:p>
            <w:pPr>
              <w:spacing w:after="0"/>
              <w:rPr>
                <w:sz w:val="23"/>
                <w:szCs w:val="23"/>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79,662</w:t>
            </w:r>
          </w:p>
        </w:tc>
        <w:tc>
          <w:tcPr>
            <w:tcW w:w="48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73,247</w:t>
            </w:r>
          </w:p>
        </w:tc>
        <w:tc>
          <w:tcPr>
            <w:tcW w:w="480" w:type="dxa"/>
            <w:vAlign w:val="bottom"/>
            <w:shd w:val="clear" w:color="auto" w:fill="F0FFFF"/>
          </w:tcPr>
          <w:p>
            <w:pPr>
              <w:spacing w:after="0"/>
              <w:rPr>
                <w:sz w:val="23"/>
                <w:szCs w:val="23"/>
                <w:color w:val="auto"/>
              </w:rPr>
            </w:pPr>
          </w:p>
        </w:tc>
        <w:tc>
          <w:tcPr>
            <w:tcW w:w="7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71,910</w:t>
            </w:r>
          </w:p>
        </w:tc>
        <w:tc>
          <w:tcPr>
            <w:tcW w:w="500" w:type="dxa"/>
            <w:vAlign w:val="bottom"/>
            <w:shd w:val="clear" w:color="auto" w:fill="F0FFFF"/>
          </w:tcPr>
          <w:p>
            <w:pPr>
              <w:spacing w:after="0"/>
              <w:rPr>
                <w:sz w:val="23"/>
                <w:szCs w:val="23"/>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65,488</w:t>
            </w:r>
          </w:p>
        </w:tc>
        <w:tc>
          <w:tcPr>
            <w:tcW w:w="500" w:type="dxa"/>
            <w:vAlign w:val="bottom"/>
            <w:shd w:val="clear" w:color="auto" w:fill="F0FFFF"/>
          </w:tcPr>
          <w:p>
            <w:pPr>
              <w:spacing w:after="0"/>
              <w:rPr>
                <w:sz w:val="23"/>
                <w:szCs w:val="23"/>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60,588</w:t>
            </w:r>
          </w:p>
        </w:tc>
      </w:tr>
      <w:tr>
        <w:trPr>
          <w:trHeight w:val="261"/>
        </w:trPr>
        <w:tc>
          <w:tcPr>
            <w:tcW w:w="3720" w:type="dxa"/>
            <w:vAlign w:val="bottom"/>
          </w:tcPr>
          <w:p>
            <w:pPr>
              <w:ind w:left="180"/>
              <w:spacing w:after="0"/>
              <w:rPr>
                <w:sz w:val="20"/>
                <w:szCs w:val="20"/>
                <w:color w:val="auto"/>
              </w:rPr>
            </w:pPr>
            <w:r>
              <w:rPr>
                <w:rFonts w:ascii="Arial" w:cs="Arial" w:eastAsia="Arial" w:hAnsi="Arial"/>
                <w:sz w:val="12"/>
                <w:szCs w:val="12"/>
                <w:color w:val="auto"/>
              </w:rPr>
              <w:t xml:space="preserve">Common shares - diluted </w:t>
            </w:r>
            <w:r>
              <w:rPr>
                <w:rFonts w:ascii="Arial" w:cs="Arial" w:eastAsia="Arial" w:hAnsi="Arial"/>
                <w:sz w:val="12"/>
                <w:szCs w:val="12"/>
                <w:i w:val="1"/>
                <w:iCs w:val="1"/>
                <w:color w:val="auto"/>
              </w:rPr>
              <w:t>(thousands)</w:t>
            </w:r>
          </w:p>
        </w:tc>
        <w:tc>
          <w:tcPr>
            <w:tcW w:w="192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79,671</w:t>
            </w:r>
          </w:p>
        </w:tc>
        <w:tc>
          <w:tcPr>
            <w:tcW w:w="48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73,259</w:t>
            </w:r>
          </w:p>
        </w:tc>
        <w:tc>
          <w:tcPr>
            <w:tcW w:w="48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71,915</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65,492</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60,590</w:t>
            </w:r>
          </w:p>
        </w:tc>
      </w:tr>
      <w:tr>
        <w:trPr>
          <w:trHeight w:val="279"/>
        </w:trPr>
        <w:tc>
          <w:tcPr>
            <w:tcW w:w="3720" w:type="dxa"/>
            <w:vAlign w:val="bottom"/>
            <w:shd w:val="clear" w:color="auto" w:fill="F0FFFF"/>
          </w:tcPr>
          <w:p>
            <w:pPr>
              <w:ind w:left="4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b w:val="1"/>
                <w:bCs w:val="1"/>
                <w:i w:val="1"/>
                <w:iCs w:val="1"/>
                <w:color w:val="auto"/>
              </w:rPr>
              <w:t>($ in millions)</w:t>
            </w:r>
          </w:p>
        </w:tc>
        <w:tc>
          <w:tcPr>
            <w:tcW w:w="192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48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48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r>
      <w:tr>
        <w:trPr>
          <w:trHeight w:val="261"/>
        </w:trPr>
        <w:tc>
          <w:tcPr>
            <w:tcW w:w="3720" w:type="dxa"/>
            <w:vAlign w:val="bottom"/>
          </w:tcPr>
          <w:p>
            <w:pPr>
              <w:ind w:left="180"/>
              <w:spacing w:after="0"/>
              <w:rPr>
                <w:sz w:val="20"/>
                <w:szCs w:val="20"/>
                <w:color w:val="auto"/>
              </w:rPr>
            </w:pPr>
            <w:r>
              <w:rPr>
                <w:rFonts w:ascii="Arial" w:cs="Arial" w:eastAsia="Arial" w:hAnsi="Arial"/>
                <w:sz w:val="12"/>
                <w:szCs w:val="12"/>
                <w:color w:val="auto"/>
              </w:rPr>
              <w:t>Loans</w:t>
            </w:r>
          </w:p>
        </w:tc>
        <w:tc>
          <w:tcPr>
            <w:tcW w:w="192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8,383</w:t>
            </w:r>
          </w:p>
        </w:tc>
        <w:tc>
          <w:tcPr>
            <w:tcW w:w="48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7,736</w:t>
            </w:r>
          </w:p>
        </w:tc>
        <w:tc>
          <w:tcPr>
            <w:tcW w:w="48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6,921</w:t>
            </w:r>
          </w:p>
        </w:tc>
        <w:tc>
          <w:tcPr>
            <w:tcW w:w="5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5,995</w:t>
            </w:r>
          </w:p>
        </w:tc>
        <w:tc>
          <w:tcPr>
            <w:tcW w:w="5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4,672</w:t>
            </w:r>
          </w:p>
        </w:tc>
      </w:tr>
      <w:tr>
        <w:trPr>
          <w:trHeight w:val="279"/>
        </w:trPr>
        <w:tc>
          <w:tcPr>
            <w:tcW w:w="3720" w:type="dxa"/>
            <w:vAlign w:val="bottom"/>
            <w:shd w:val="clear" w:color="auto" w:fill="F0FFFF"/>
          </w:tcPr>
          <w:p>
            <w:pPr>
              <w:ind w:left="180"/>
              <w:spacing w:after="0"/>
              <w:rPr>
                <w:sz w:val="20"/>
                <w:szCs w:val="20"/>
                <w:color w:val="auto"/>
              </w:rPr>
            </w:pPr>
            <w:r>
              <w:rPr>
                <w:rFonts w:ascii="Arial" w:cs="Arial" w:eastAsia="Arial" w:hAnsi="Arial"/>
                <w:sz w:val="12"/>
                <w:szCs w:val="12"/>
                <w:color w:val="auto"/>
              </w:rPr>
              <w:t>Investment securities</w:t>
            </w:r>
          </w:p>
        </w:tc>
        <w:tc>
          <w:tcPr>
            <w:tcW w:w="192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2,903</w:t>
            </w:r>
          </w:p>
        </w:tc>
        <w:tc>
          <w:tcPr>
            <w:tcW w:w="48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2,937</w:t>
            </w:r>
          </w:p>
        </w:tc>
        <w:tc>
          <w:tcPr>
            <w:tcW w:w="48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2,762</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2,656</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2,198</w:t>
            </w:r>
          </w:p>
        </w:tc>
      </w:tr>
      <w:tr>
        <w:trPr>
          <w:trHeight w:val="261"/>
        </w:trPr>
        <w:tc>
          <w:tcPr>
            <w:tcW w:w="372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92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12,573</w:t>
            </w:r>
          </w:p>
        </w:tc>
        <w:tc>
          <w:tcPr>
            <w:tcW w:w="48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11,915</w:t>
            </w:r>
          </w:p>
        </w:tc>
        <w:tc>
          <w:tcPr>
            <w:tcW w:w="48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10,709</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9,616</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7,558</w:t>
            </w:r>
          </w:p>
        </w:tc>
      </w:tr>
      <w:tr>
        <w:trPr>
          <w:trHeight w:val="279"/>
        </w:trPr>
        <w:tc>
          <w:tcPr>
            <w:tcW w:w="3720" w:type="dxa"/>
            <w:vAlign w:val="bottom"/>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192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10,535</w:t>
            </w:r>
          </w:p>
        </w:tc>
        <w:tc>
          <w:tcPr>
            <w:tcW w:w="48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9,808</w:t>
            </w:r>
          </w:p>
        </w:tc>
        <w:tc>
          <w:tcPr>
            <w:tcW w:w="48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8,638</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7,873</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6,335</w:t>
            </w:r>
          </w:p>
        </w:tc>
      </w:tr>
      <w:tr>
        <w:trPr>
          <w:trHeight w:val="252"/>
        </w:trPr>
        <w:tc>
          <w:tcPr>
            <w:tcW w:w="3720" w:type="dxa"/>
            <w:vAlign w:val="bottom"/>
          </w:tcPr>
          <w:p>
            <w:pPr>
              <w:ind w:left="180"/>
              <w:spacing w:after="0"/>
              <w:rPr>
                <w:sz w:val="20"/>
                <w:szCs w:val="20"/>
                <w:color w:val="auto"/>
              </w:rPr>
            </w:pPr>
            <w:r>
              <w:rPr>
                <w:rFonts w:ascii="Arial" w:cs="Arial" w:eastAsia="Arial" w:hAnsi="Arial"/>
                <w:sz w:val="12"/>
                <w:szCs w:val="12"/>
                <w:color w:val="auto"/>
              </w:rPr>
              <w:t>Shareholders’ equity</w:t>
            </w:r>
          </w:p>
        </w:tc>
        <w:tc>
          <w:tcPr>
            <w:tcW w:w="192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1,458</w:t>
            </w:r>
          </w:p>
        </w:tc>
        <w:tc>
          <w:tcPr>
            <w:tcW w:w="48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1,303</w:t>
            </w:r>
          </w:p>
        </w:tc>
        <w:tc>
          <w:tcPr>
            <w:tcW w:w="48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1,076</w:t>
            </w:r>
          </w:p>
        </w:tc>
        <w:tc>
          <w:tcPr>
            <w:tcW w:w="50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1,018</w:t>
            </w:r>
          </w:p>
        </w:tc>
        <w:tc>
          <w:tcPr>
            <w:tcW w:w="50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740</w:t>
            </w:r>
          </w:p>
        </w:tc>
      </w:tr>
      <w:tr>
        <w:trPr>
          <w:trHeight w:val="270"/>
        </w:trPr>
        <w:tc>
          <w:tcPr>
            <w:tcW w:w="3720" w:type="dxa"/>
            <w:vAlign w:val="bottom"/>
          </w:tcPr>
          <w:p>
            <w:pPr>
              <w:ind w:left="180"/>
              <w:spacing w:after="0"/>
              <w:rPr>
                <w:sz w:val="20"/>
                <w:szCs w:val="20"/>
                <w:color w:val="auto"/>
              </w:rPr>
            </w:pPr>
            <w:r>
              <w:rPr>
                <w:rFonts w:ascii="Arial" w:cs="Arial" w:eastAsia="Arial" w:hAnsi="Arial"/>
                <w:sz w:val="12"/>
                <w:szCs w:val="12"/>
                <w:color w:val="auto"/>
              </w:rPr>
              <w:t xml:space="preserve">Common shares outstanding </w:t>
            </w:r>
            <w:r>
              <w:rPr>
                <w:rFonts w:ascii="Arial" w:cs="Arial" w:eastAsia="Arial" w:hAnsi="Arial"/>
                <w:sz w:val="12"/>
                <w:szCs w:val="12"/>
                <w:i w:val="1"/>
                <w:iCs w:val="1"/>
                <w:color w:val="auto"/>
              </w:rPr>
              <w:t>(thousands)</w:t>
            </w:r>
          </w:p>
        </w:tc>
        <w:tc>
          <w:tcPr>
            <w:tcW w:w="192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79,234</w:t>
            </w:r>
          </w:p>
        </w:tc>
        <w:tc>
          <w:tcPr>
            <w:tcW w:w="48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77,580</w:t>
            </w:r>
          </w:p>
        </w:tc>
        <w:tc>
          <w:tcPr>
            <w:tcW w:w="48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70,899</w:t>
            </w:r>
          </w:p>
        </w:tc>
        <w:tc>
          <w:tcPr>
            <w:tcW w:w="5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71,484</w:t>
            </w:r>
          </w:p>
        </w:tc>
        <w:tc>
          <w:tcPr>
            <w:tcW w:w="50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60,259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120" w:firstLine="8"/>
        <w:spacing w:after="0" w:line="244" w:lineRule="auto"/>
        <w:tabs>
          <w:tab w:leader="none" w:pos="127" w:val="left"/>
        </w:tabs>
        <w:numPr>
          <w:ilvl w:val="0"/>
          <w:numId w:val="15"/>
        </w:numPr>
        <w:rPr>
          <w:rFonts w:ascii="Arial" w:cs="Arial" w:eastAsia="Arial" w:hAnsi="Arial"/>
          <w:sz w:val="9"/>
          <w:szCs w:val="9"/>
          <w:color w:val="auto"/>
        </w:rPr>
      </w:pPr>
      <w:r>
        <w:rPr>
          <w:rFonts w:ascii="Arial" w:cs="Arial" w:eastAsia="Arial" w:hAnsi="Arial"/>
          <w:sz w:val="13"/>
          <w:szCs w:val="13"/>
          <w:color w:val="auto"/>
        </w:rPr>
        <w:t xml:space="preserve">Excludes merger-related and other charges which includes amortization of certain executive change of control benefits, the 2017 impact of remeasurement of United’s deferred tax assets following the passage of tax reform legislation, a 2017 release of disproportionate tax effects lodged in OCI, a 2016 deferred tax asset impairment charge related to cancelled non-qualified stock options and 2015 impairment losses on surplus bank property. </w:t>
      </w:r>
      <w:r>
        <w:rPr>
          <w:rFonts w:ascii="Arial" w:cs="Arial" w:eastAsia="Arial" w:hAnsi="Arial"/>
          <w:sz w:val="8"/>
          <w:szCs w:val="8"/>
          <w:color w:val="auto"/>
        </w:rPr>
        <w:t>(2)</w:t>
      </w:r>
      <w:r>
        <w:rPr>
          <w:rFonts w:ascii="Arial" w:cs="Arial" w:eastAsia="Arial" w:hAnsi="Arial"/>
          <w:sz w:val="13"/>
          <w:szCs w:val="13"/>
          <w:color w:val="auto"/>
        </w:rPr>
        <w:t xml:space="preserve"> Net income less preferred stock dividends, divided by average realized common equity, which excludes accumulated other comprehensive income (loss). </w:t>
      </w:r>
      <w:r>
        <w:rPr>
          <w:rFonts w:ascii="Arial" w:cs="Arial" w:eastAsia="Arial" w:hAnsi="Arial"/>
          <w:sz w:val="8"/>
          <w:szCs w:val="8"/>
          <w:color w:val="auto"/>
        </w:rPr>
        <w:t>(3)</w:t>
      </w:r>
      <w:r>
        <w:rPr>
          <w:rFonts w:ascii="Arial" w:cs="Arial" w:eastAsia="Arial" w:hAnsi="Arial"/>
          <w:sz w:val="13"/>
          <w:szCs w:val="13"/>
          <w:color w:val="auto"/>
        </w:rPr>
        <w:t xml:space="preserve"> Excludes effect of acquisition related intangibles and associated amortization.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83" w:right="239" w:bottom="1440" w:gutter="0" w:footer="0" w:header="0"/>
        </w:sectPr>
      </w:pPr>
    </w:p>
    <w:bookmarkStart w:id="32" w:name="page33"/>
    <w:bookmarkEnd w:id="32"/>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COMMUNITY BANKS, INC.</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2018</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2"/>
                <w:szCs w:val="12"/>
                <w:b w:val="1"/>
                <w:bCs w:val="1"/>
                <w:color w:val="auto"/>
              </w:rPr>
              <w:t>2017</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(in thousands, except per share data)</w:t>
            </w:r>
          </w:p>
        </w:tc>
        <w:tc>
          <w:tcPr>
            <w:tcW w:w="12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9"/>
              </w:rPr>
              <w:t>Fourth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rPr>
              <w:t>Third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5"/>
              </w:rPr>
              <w:t>Second Quarter</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3"/>
              </w:rPr>
              <w:t>First Quarter</w:t>
            </w:r>
          </w:p>
        </w:tc>
        <w:tc>
          <w:tcPr>
            <w:tcW w:w="100" w:type="dxa"/>
            <w:vAlign w:val="bottom"/>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Fourth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rPr>
              <w:t>Third Quarter</w:t>
            </w:r>
          </w:p>
        </w:tc>
        <w:tc>
          <w:tcPr>
            <w:tcW w:w="12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Second Quarter</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96"/>
              </w:rPr>
              <w:t>First Quarter</w:t>
            </w:r>
          </w:p>
        </w:tc>
        <w:tc>
          <w:tcPr>
            <w:tcW w:w="0" w:type="dxa"/>
            <w:vAlign w:val="bottom"/>
          </w:tcPr>
          <w:p>
            <w:pPr>
              <w:spacing w:after="0"/>
              <w:rPr>
                <w:sz w:val="1"/>
                <w:szCs w:val="1"/>
                <w:color w:val="auto"/>
              </w:rPr>
            </w:pPr>
          </w:p>
        </w:tc>
      </w:tr>
      <w:tr>
        <w:trPr>
          <w:trHeight w:val="261"/>
        </w:trPr>
        <w:tc>
          <w:tcPr>
            <w:tcW w:w="3280" w:type="dxa"/>
            <w:vAlign w:val="bottom"/>
            <w:gridSpan w:val="2"/>
          </w:tcPr>
          <w:p>
            <w:pPr>
              <w:ind w:left="40"/>
              <w:spacing w:after="0"/>
              <w:rPr>
                <w:sz w:val="20"/>
                <w:szCs w:val="20"/>
                <w:color w:val="auto"/>
              </w:rPr>
            </w:pPr>
            <w:r>
              <w:rPr>
                <w:rFonts w:ascii="Arial" w:cs="Arial" w:eastAsia="Arial" w:hAnsi="Arial"/>
                <w:sz w:val="12"/>
                <w:szCs w:val="12"/>
                <w:b w:val="1"/>
                <w:bCs w:val="1"/>
                <w:color w:val="auto"/>
              </w:rPr>
              <w:t>INCOME SUMMARY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Interest revenue</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133,854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128,721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122,215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115,290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106,757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98,839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93,166</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90,958</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Interest expense</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18,975</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16,611</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13,739</w:t>
            </w: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12,005</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9,249</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9,064</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8,018</w:t>
            </w:r>
          </w:p>
        </w:tc>
        <w:tc>
          <w:tcPr>
            <w:tcW w:w="10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7,404</w:t>
            </w: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Net interest revenue</w:t>
            </w: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114,879</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112,110</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108,476</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103,285</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97,508</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89,775</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85,148</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83,554</w:t>
            </w:r>
          </w:p>
        </w:tc>
        <w:tc>
          <w:tcPr>
            <w:tcW w:w="0" w:type="dxa"/>
            <w:vAlign w:val="bottom"/>
          </w:tcPr>
          <w:p>
            <w:pPr>
              <w:spacing w:after="0"/>
              <w:rPr>
                <w:sz w:val="1"/>
                <w:szCs w:val="1"/>
                <w:color w:val="auto"/>
              </w:rPr>
            </w:pPr>
          </w:p>
        </w:tc>
      </w:tr>
      <w:tr>
        <w:trPr>
          <w:trHeight w:val="261"/>
        </w:trPr>
        <w:tc>
          <w:tcPr>
            <w:tcW w:w="3280" w:type="dxa"/>
            <w:vAlign w:val="bottom"/>
            <w:gridSpan w:val="2"/>
          </w:tcPr>
          <w:p>
            <w:pPr>
              <w:ind w:left="40"/>
              <w:spacing w:after="0"/>
              <w:rPr>
                <w:sz w:val="20"/>
                <w:szCs w:val="20"/>
                <w:color w:val="auto"/>
              </w:rPr>
            </w:pPr>
            <w:r>
              <w:rPr>
                <w:rFonts w:ascii="Arial" w:cs="Arial" w:eastAsia="Arial" w:hAnsi="Arial"/>
                <w:sz w:val="12"/>
                <w:szCs w:val="12"/>
                <w:color w:val="auto"/>
              </w:rPr>
              <w:t>Provision for credit losses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2,100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1,800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3,800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1,200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Noninterest income</w:t>
            </w: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23,045</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24,180</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23,340</w:t>
            </w:r>
          </w:p>
        </w:tc>
        <w:tc>
          <w:tcPr>
            <w:tcW w:w="120" w:type="dxa"/>
            <w:vAlign w:val="bottom"/>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22,396</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7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color w:val="auto"/>
              </w:rPr>
              <w:t>21,928</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20,573</w:t>
            </w:r>
          </w:p>
        </w:tc>
        <w:tc>
          <w:tcPr>
            <w:tcW w:w="12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23,685</w:t>
            </w:r>
          </w:p>
        </w:tc>
        <w:tc>
          <w:tcPr>
            <w:tcW w:w="100" w:type="dxa"/>
            <w:vAlign w:val="bottom"/>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22,074</w:t>
            </w:r>
          </w:p>
        </w:tc>
        <w:tc>
          <w:tcPr>
            <w:tcW w:w="0" w:type="dxa"/>
            <w:vAlign w:val="bottom"/>
          </w:tcPr>
          <w:p>
            <w:pPr>
              <w:spacing w:after="0"/>
              <w:rPr>
                <w:sz w:val="1"/>
                <w:szCs w:val="1"/>
                <w:color w:val="auto"/>
              </w:rPr>
            </w:pPr>
          </w:p>
        </w:tc>
      </w:tr>
      <w:tr>
        <w:trPr>
          <w:trHeight w:val="241"/>
        </w:trPr>
        <w:tc>
          <w:tcPr>
            <w:tcW w:w="328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 revenue</w:t>
            </w: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135,824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134,490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130,016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121,881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118,236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109,348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108,033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104,828</w:t>
            </w:r>
          </w:p>
        </w:tc>
        <w:tc>
          <w:tcPr>
            <w:tcW w:w="0" w:type="dxa"/>
            <w:vAlign w:val="bottom"/>
          </w:tcPr>
          <w:p>
            <w:pPr>
              <w:spacing w:after="0"/>
              <w:rPr>
                <w:sz w:val="1"/>
                <w:szCs w:val="1"/>
                <w:color w:val="auto"/>
              </w:rPr>
            </w:pPr>
          </w:p>
        </w:tc>
      </w:tr>
      <w:tr>
        <w:trPr>
          <w:trHeight w:val="273"/>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Expenses</w:t>
            </w: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78,242</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77,718</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76,850</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73,475</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color w:val="auto"/>
              </w:rPr>
              <w:t>75,882</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65,674</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63,229</w:t>
            </w:r>
          </w:p>
        </w:tc>
        <w:tc>
          <w:tcPr>
            <w:tcW w:w="10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62,826</w:t>
            </w:r>
          </w:p>
        </w:tc>
        <w:tc>
          <w:tcPr>
            <w:tcW w:w="0" w:type="dxa"/>
            <w:vAlign w:val="bottom"/>
          </w:tcPr>
          <w:p>
            <w:pPr>
              <w:spacing w:after="0"/>
              <w:rPr>
                <w:sz w:val="1"/>
                <w:szCs w:val="1"/>
                <w:color w:val="auto"/>
              </w:rPr>
            </w:pPr>
          </w:p>
        </w:tc>
      </w:tr>
      <w:tr>
        <w:trPr>
          <w:trHeight w:val="248"/>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Income before income tax expense</w:t>
            </w: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57,582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56,772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53,166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48,406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42,354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43,674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44,804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42,002</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Income tax expense</w:t>
            </w: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12,445</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13,090</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13,532</w:t>
            </w:r>
          </w:p>
        </w:tc>
        <w:tc>
          <w:tcPr>
            <w:tcW w:w="120" w:type="dxa"/>
            <w:vAlign w:val="bottom"/>
            <w:tcBorders>
              <w:bottom w:val="single" w:sz="8" w:color="auto"/>
            </w:tcBorders>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10,748</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7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color w:val="auto"/>
              </w:rPr>
              <w:t>54,270</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15,728</w:t>
            </w:r>
          </w:p>
        </w:tc>
        <w:tc>
          <w:tcPr>
            <w:tcW w:w="12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16,537</w:t>
            </w:r>
          </w:p>
        </w:tc>
        <w:tc>
          <w:tcPr>
            <w:tcW w:w="100" w:type="dxa"/>
            <w:vAlign w:val="bottom"/>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18,478</w:t>
            </w:r>
          </w:p>
        </w:tc>
        <w:tc>
          <w:tcPr>
            <w:tcW w:w="0" w:type="dxa"/>
            <w:vAlign w:val="bottom"/>
          </w:tcPr>
          <w:p>
            <w:pPr>
              <w:spacing w:after="0"/>
              <w:rPr>
                <w:sz w:val="1"/>
                <w:szCs w:val="1"/>
                <w:color w:val="auto"/>
              </w:rPr>
            </w:pPr>
          </w:p>
        </w:tc>
      </w:tr>
      <w:tr>
        <w:trPr>
          <w:trHeight w:val="255"/>
        </w:trPr>
        <w:tc>
          <w:tcPr>
            <w:tcW w:w="3280" w:type="dxa"/>
            <w:vAlign w:val="bottom"/>
            <w:gridSpan w:val="2"/>
          </w:tcPr>
          <w:p>
            <w:pPr>
              <w:ind w:left="280"/>
              <w:spacing w:after="0"/>
              <w:rPr>
                <w:sz w:val="20"/>
                <w:szCs w:val="20"/>
                <w:color w:val="auto"/>
              </w:rPr>
            </w:pPr>
            <w:r>
              <w:rPr>
                <w:rFonts w:ascii="Arial" w:cs="Arial" w:eastAsia="Arial" w:hAnsi="Arial"/>
                <w:sz w:val="12"/>
                <w:szCs w:val="12"/>
                <w:b w:val="1"/>
                <w:bCs w:val="1"/>
                <w:color w:val="auto"/>
              </w:rPr>
              <w:t>Net income</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45,137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43,682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39,634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37,658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2"/>
                <w:szCs w:val="12"/>
                <w:color w:val="auto"/>
              </w:rPr>
              <w:t>(11,916)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27,946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28,267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23,524</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Merger-related and other charges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1,234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592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2,873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2,646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7,358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3,420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1,830</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2,054</w:t>
            </w:r>
          </w:p>
        </w:tc>
        <w:tc>
          <w:tcPr>
            <w:tcW w:w="0" w:type="dxa"/>
            <w:vAlign w:val="bottom"/>
          </w:tcPr>
          <w:p>
            <w:pPr>
              <w:spacing w:after="0"/>
              <w:rPr>
                <w:sz w:val="1"/>
                <w:szCs w:val="1"/>
                <w:color w:val="auto"/>
              </w:rPr>
            </w:pPr>
          </w:p>
        </w:tc>
      </w:tr>
      <w:tr>
        <w:trPr>
          <w:trHeight w:val="261"/>
        </w:trPr>
        <w:tc>
          <w:tcPr>
            <w:tcW w:w="3280" w:type="dxa"/>
            <w:vAlign w:val="bottom"/>
            <w:gridSpan w:val="2"/>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2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2"/>
                <w:szCs w:val="12"/>
                <w:color w:val="auto"/>
              </w:rPr>
              <w:t>(604)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auto"/>
              </w:rPr>
              <w:t>(121)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2"/>
                <w:szCs w:val="12"/>
                <w:color w:val="auto"/>
              </w:rPr>
              <w:t>(628)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2"/>
                <w:szCs w:val="12"/>
                <w:color w:val="auto"/>
              </w:rPr>
              <w:t>(1,165)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auto"/>
              </w:rPr>
              <w:t>(1,147)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2"/>
                <w:szCs w:val="12"/>
                <w:color w:val="auto"/>
              </w:rPr>
              <w:t>(675)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w w:val="98"/>
              </w:rPr>
              <w:t>Impact of remeasurement of deferred tax asset resulting from</w:t>
            </w:r>
          </w:p>
        </w:tc>
        <w:tc>
          <w:tcPr>
            <w:tcW w:w="24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8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2017 Tax Cuts and Jobs Act</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F0FFFF"/>
          </w:tcPr>
          <w:p>
            <w:pPr>
              <w:spacing w:after="0"/>
              <w:rPr>
                <w:sz w:val="14"/>
                <w:szCs w:val="1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38,199</w:t>
            </w: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0FFFF"/>
          </w:tcPr>
          <w:p>
            <w:pPr>
              <w:spacing w:after="0"/>
              <w:rPr>
                <w:sz w:val="14"/>
                <w:szCs w:val="1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4"/>
        </w:trPr>
        <w:tc>
          <w:tcPr>
            <w:tcW w:w="32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241"/>
        </w:trPr>
        <w:tc>
          <w:tcPr>
            <w:tcW w:w="328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0"/>
                <w:szCs w:val="10"/>
                <w:b w:val="1"/>
                <w:bCs w:val="1"/>
                <w:color w:val="auto"/>
              </w:rPr>
              <w:t>(1)</w:t>
            </w:r>
          </w:p>
        </w:tc>
        <w:tc>
          <w:tcPr>
            <w:tcW w:w="24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45,767</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44,133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b w:val="1"/>
                <w:bCs w:val="1"/>
                <w:color w:val="auto"/>
              </w:rPr>
              <w:t>42,386</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39,676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rPr>
              <w:t>32,476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b w:val="1"/>
                <w:bCs w:val="1"/>
                <w:color w:val="auto"/>
              </w:rPr>
              <w:t>30,219</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29,422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28,220</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Per common share:</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Diluted net income (loss) - GAAP</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0.56</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22"/>
                <w:szCs w:val="22"/>
                <w:color w:val="auto"/>
              </w:rPr>
            </w:pP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0.38</w:t>
            </w:r>
          </w:p>
        </w:tc>
        <w:tc>
          <w:tcPr>
            <w:tcW w:w="120" w:type="dxa"/>
            <w:vAlign w:val="bottom"/>
          </w:tcPr>
          <w:p>
            <w:pPr>
              <w:spacing w:after="0"/>
              <w:rPr>
                <w:sz w:val="22"/>
                <w:szCs w:val="22"/>
                <w:color w:val="auto"/>
              </w:rPr>
            </w:pP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0.33</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0"/>
                <w:szCs w:val="10"/>
                <w:color w:val="auto"/>
              </w:rPr>
              <w:t>(1)</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0.53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0.42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0.41</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0.41</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Cash dividends declared</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Book value</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17.56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17.29</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17.02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16.67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16.50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15.83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15.40</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0"/>
                <w:szCs w:val="10"/>
                <w:color w:val="auto"/>
              </w:rPr>
              <w:t>(3)</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13.65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14.11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13.30</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Key performance ratios: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0"/>
                <w:szCs w:val="10"/>
                <w:color w:val="auto"/>
              </w:rPr>
              <w:t>(2)(4)</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8.54%</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0"/>
                <w:szCs w:val="10"/>
                <w:color w:val="auto"/>
              </w:rPr>
              <w:t>(1)(2)(4)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11.97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11.71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9.73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9.97</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10.39</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10.25</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10"/>
                <w:szCs w:val="10"/>
                <w:color w:val="auto"/>
              </w:rPr>
              <w:t>(1)(2)(3)(4)</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15.79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15.26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11.93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11.93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12.10</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10"/>
                <w:szCs w:val="10"/>
                <w:color w:val="auto"/>
              </w:rPr>
              <w:t>(4)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(0.40)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0.89</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0"/>
                <w:szCs w:val="10"/>
                <w:color w:val="auto"/>
              </w:rPr>
              <w:t>(1)(4)</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Dividend payout ratio - GAAP</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28.57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27.78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30.61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25.53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(62.50)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26.32</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23.08</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27.27</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0"/>
                <w:szCs w:val="10"/>
                <w:color w:val="auto"/>
              </w:rPr>
              <w:t>(1)</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28.07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27.27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28.30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24.00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23.81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24.39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21.95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23.08</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10"/>
                <w:szCs w:val="10"/>
                <w:color w:val="auto"/>
              </w:rPr>
              <w:t>(4)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3.90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3.63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3.54</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Efficiency ratio - GAAP</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56.73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56.82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57.94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57.83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63.03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59.27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57.89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59.29</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0"/>
                <w:szCs w:val="10"/>
                <w:color w:val="auto"/>
              </w:rPr>
              <w:t>(1)</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55.83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56.39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55.77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55.75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56.92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56.18</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56.21</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57.35</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Average equity to average assets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11.21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11.03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11.21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10.86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10.49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10.24</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Average tangible equity to average assets </w:t>
            </w:r>
            <w:r>
              <w:rPr>
                <w:rFonts w:ascii="Arial" w:cs="Arial" w:eastAsia="Arial" w:hAnsi="Arial"/>
                <w:sz w:val="10"/>
                <w:szCs w:val="10"/>
                <w:color w:val="auto"/>
              </w:rPr>
              <w:t>(3)</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9.04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8.97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8.83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8.82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9.52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9.45</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9.23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8.96</w:t>
            </w:r>
          </w:p>
        </w:tc>
        <w:tc>
          <w:tcPr>
            <w:tcW w:w="0" w:type="dxa"/>
            <w:vAlign w:val="bottom"/>
          </w:tcPr>
          <w:p>
            <w:pPr>
              <w:spacing w:after="0"/>
              <w:rPr>
                <w:sz w:val="1"/>
                <w:szCs w:val="1"/>
                <w:color w:val="auto"/>
              </w:rPr>
            </w:pPr>
          </w:p>
        </w:tc>
      </w:tr>
      <w:tr>
        <w:trPr>
          <w:trHeight w:val="261"/>
        </w:trPr>
        <w:tc>
          <w:tcPr>
            <w:tcW w:w="3280" w:type="dxa"/>
            <w:vAlign w:val="bottom"/>
            <w:gridSpan w:val="2"/>
          </w:tcPr>
          <w:p>
            <w:pPr>
              <w:ind w:left="280"/>
              <w:spacing w:after="0"/>
              <w:rPr>
                <w:sz w:val="20"/>
                <w:szCs w:val="20"/>
                <w:color w:val="auto"/>
              </w:rPr>
            </w:pPr>
            <w:r>
              <w:rPr>
                <w:rFonts w:ascii="Arial" w:cs="Arial" w:eastAsia="Arial" w:hAnsi="Arial"/>
                <w:sz w:val="12"/>
                <w:szCs w:val="12"/>
                <w:color w:val="auto"/>
              </w:rPr>
              <w:t xml:space="preserve">Average tangible common equity to average assets </w:t>
            </w:r>
            <w:r>
              <w:rPr>
                <w:rFonts w:ascii="Arial" w:cs="Arial" w:eastAsia="Arial" w:hAnsi="Arial"/>
                <w:sz w:val="10"/>
                <w:szCs w:val="10"/>
                <w:color w:val="auto"/>
              </w:rPr>
              <w:t>(3)</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9.04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8.83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9.52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9.45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9.23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8.96</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Tangible common equity to risk-weighted assets </w:t>
            </w:r>
            <w:r>
              <w:rPr>
                <w:rFonts w:ascii="Arial" w:cs="Arial" w:eastAsia="Arial" w:hAnsi="Arial"/>
                <w:sz w:val="10"/>
                <w:szCs w:val="10"/>
                <w:color w:val="auto"/>
              </w:rPr>
              <w:t>(3)</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11.61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11.36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11.19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12.05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12.80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12.44</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12.07</w:t>
            </w:r>
          </w:p>
        </w:tc>
        <w:tc>
          <w:tcPr>
            <w:tcW w:w="0" w:type="dxa"/>
            <w:vAlign w:val="bottom"/>
          </w:tcPr>
          <w:p>
            <w:pPr>
              <w:spacing w:after="0"/>
              <w:rPr>
                <w:sz w:val="1"/>
                <w:szCs w:val="1"/>
                <w:color w:val="auto"/>
              </w:rPr>
            </w:pPr>
          </w:p>
        </w:tc>
      </w:tr>
      <w:tr>
        <w:trPr>
          <w:trHeight w:val="261"/>
        </w:trPr>
        <w:tc>
          <w:tcPr>
            <w:tcW w:w="3280" w:type="dxa"/>
            <w:vAlign w:val="bottom"/>
            <w:gridSpan w:val="2"/>
          </w:tcPr>
          <w:p>
            <w:pPr>
              <w:ind w:left="40"/>
              <w:spacing w:after="0"/>
              <w:rPr>
                <w:sz w:val="20"/>
                <w:szCs w:val="20"/>
                <w:color w:val="auto"/>
              </w:rPr>
            </w:pPr>
            <w:r>
              <w:rPr>
                <w:rFonts w:ascii="Arial" w:cs="Arial" w:eastAsia="Arial" w:hAnsi="Arial"/>
                <w:sz w:val="12"/>
                <w:szCs w:val="12"/>
                <w:b w:val="1"/>
                <w:bCs w:val="1"/>
                <w:color w:val="auto"/>
              </w:rPr>
              <w:t>ASSET QUALITY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Nonperforming loans</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23,778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22,530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21,817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26,240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23,658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22,921</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23,095</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19,812</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F0FFFF"/>
            </w:tcBorders>
            <w:gridSpan w:val="2"/>
          </w:tcPr>
          <w:p>
            <w:pPr>
              <w:ind w:left="180"/>
              <w:spacing w:after="0"/>
              <w:rPr>
                <w:sz w:val="20"/>
                <w:szCs w:val="20"/>
                <w:color w:val="auto"/>
              </w:rPr>
            </w:pPr>
            <w:r>
              <w:rPr>
                <w:rFonts w:ascii="Arial" w:cs="Arial" w:eastAsia="Arial" w:hAnsi="Arial"/>
                <w:sz w:val="12"/>
                <w:szCs w:val="12"/>
                <w:color w:val="auto"/>
              </w:rPr>
              <w:t>Foreclosed properties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1,305</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1,336</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2,597</w:t>
            </w: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2,714</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3,234</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2,736</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2,739</w:t>
            </w:r>
          </w:p>
        </w:tc>
        <w:tc>
          <w:tcPr>
            <w:tcW w:w="10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5,060</w:t>
            </w: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Total nonperforming assets (NPAs)</w:t>
            </w: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25,083</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23,866</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24,414</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28,954</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26,892</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25,657</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25,834</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24,872</w:t>
            </w:r>
          </w:p>
        </w:tc>
        <w:tc>
          <w:tcPr>
            <w:tcW w:w="0" w:type="dxa"/>
            <w:vAlign w:val="bottom"/>
          </w:tcPr>
          <w:p>
            <w:pPr>
              <w:spacing w:after="0"/>
              <w:rPr>
                <w:sz w:val="1"/>
                <w:szCs w:val="1"/>
                <w:color w:val="auto"/>
              </w:rPr>
            </w:pPr>
          </w:p>
        </w:tc>
      </w:tr>
      <w:tr>
        <w:trPr>
          <w:trHeight w:val="261"/>
        </w:trPr>
        <w:tc>
          <w:tcPr>
            <w:tcW w:w="328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61,203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60,940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61,071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61,085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58,914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58,605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59,500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60,543</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Net charge-offs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1,787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1,466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1,359</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1,501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1,061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1,635</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1,623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1,679</w:t>
            </w:r>
          </w:p>
        </w:tc>
        <w:tc>
          <w:tcPr>
            <w:tcW w:w="0" w:type="dxa"/>
            <w:vAlign w:val="bottom"/>
          </w:tcPr>
          <w:p>
            <w:pPr>
              <w:spacing w:after="0"/>
              <w:rPr>
                <w:sz w:val="1"/>
                <w:szCs w:val="1"/>
                <w:color w:val="auto"/>
              </w:rPr>
            </w:pPr>
          </w:p>
        </w:tc>
      </w:tr>
      <w:tr>
        <w:trPr>
          <w:trHeight w:val="261"/>
        </w:trPr>
        <w:tc>
          <w:tcPr>
            <w:tcW w:w="328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 to loans</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0.76 %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0.87%</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10"/>
                <w:szCs w:val="10"/>
                <w:color w:val="auto"/>
              </w:rPr>
              <w:t>(4)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0.07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0.06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0.09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261"/>
        </w:trPr>
        <w:tc>
          <w:tcPr>
            <w:tcW w:w="3280" w:type="dxa"/>
            <w:vAlign w:val="bottom"/>
            <w:gridSpan w:val="2"/>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0.36</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NPAs to total assets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0.20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0.23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0.23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261"/>
        </w:trPr>
        <w:tc>
          <w:tcPr>
            <w:tcW w:w="328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b w:val="1"/>
                <w:bCs w:val="1"/>
                <w:i w:val="1"/>
                <w:iCs w:val="1"/>
                <w:color w:val="auto"/>
              </w:rPr>
              <w:t>($ in millions)</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Loans</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8,306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8,200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8,177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7,993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7,560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7,149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6,980</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6,904</w:t>
            </w:r>
          </w:p>
        </w:tc>
        <w:tc>
          <w:tcPr>
            <w:tcW w:w="0" w:type="dxa"/>
            <w:vAlign w:val="bottom"/>
          </w:tcPr>
          <w:p>
            <w:pPr>
              <w:spacing w:after="0"/>
              <w:rPr>
                <w:sz w:val="1"/>
                <w:szCs w:val="1"/>
                <w:color w:val="auto"/>
              </w:rPr>
            </w:pPr>
          </w:p>
        </w:tc>
      </w:tr>
      <w:tr>
        <w:trPr>
          <w:trHeight w:val="261"/>
        </w:trPr>
        <w:tc>
          <w:tcPr>
            <w:tcW w:w="3280" w:type="dxa"/>
            <w:vAlign w:val="bottom"/>
            <w:gridSpan w:val="2"/>
          </w:tcPr>
          <w:p>
            <w:pPr>
              <w:ind w:left="180"/>
              <w:spacing w:after="0"/>
              <w:rPr>
                <w:sz w:val="20"/>
                <w:szCs w:val="20"/>
                <w:color w:val="auto"/>
              </w:rPr>
            </w:pPr>
            <w:r>
              <w:rPr>
                <w:rFonts w:ascii="Arial" w:cs="Arial" w:eastAsia="Arial" w:hAnsi="Arial"/>
                <w:sz w:val="12"/>
                <w:szCs w:val="12"/>
                <w:color w:val="auto"/>
              </w:rPr>
              <w:t>Investment securities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3,004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2,916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2,802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2,870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2,991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2,800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2,775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2,822</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Earning assets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11,534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11,320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11,193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11,076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10,735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10,133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9,899</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9,872</w:t>
            </w:r>
          </w:p>
        </w:tc>
        <w:tc>
          <w:tcPr>
            <w:tcW w:w="0" w:type="dxa"/>
            <w:vAlign w:val="bottom"/>
          </w:tcPr>
          <w:p>
            <w:pPr>
              <w:spacing w:after="0"/>
              <w:rPr>
                <w:sz w:val="1"/>
                <w:szCs w:val="1"/>
                <w:color w:val="auto"/>
              </w:rPr>
            </w:pPr>
          </w:p>
        </w:tc>
      </w:tr>
      <w:tr>
        <w:trPr>
          <w:trHeight w:val="261"/>
        </w:trPr>
        <w:tc>
          <w:tcPr>
            <w:tcW w:w="3280" w:type="dxa"/>
            <w:vAlign w:val="bottom"/>
            <w:gridSpan w:val="2"/>
          </w:tcPr>
          <w:p>
            <w:pPr>
              <w:ind w:left="180"/>
              <w:spacing w:after="0"/>
              <w:rPr>
                <w:sz w:val="20"/>
                <w:szCs w:val="20"/>
                <w:color w:val="auto"/>
              </w:rPr>
            </w:pPr>
            <w:r>
              <w:rPr>
                <w:rFonts w:ascii="Arial" w:cs="Arial" w:eastAsia="Arial" w:hAnsi="Arial"/>
                <w:sz w:val="12"/>
                <w:szCs w:val="12"/>
                <w:color w:val="auto"/>
              </w:rPr>
              <w:t>Total assets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12,505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12,302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12,213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11,687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10,980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10,704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10,677</w:t>
            </w:r>
          </w:p>
        </w:tc>
        <w:tc>
          <w:tcPr>
            <w:tcW w:w="0" w:type="dxa"/>
            <w:vAlign w:val="bottom"/>
          </w:tcPr>
          <w:p>
            <w:pPr>
              <w:spacing w:after="0"/>
              <w:rPr>
                <w:sz w:val="1"/>
                <w:szCs w:val="1"/>
                <w:color w:val="auto"/>
              </w:rPr>
            </w:pPr>
          </w:p>
        </w:tc>
      </w:tr>
      <w:tr>
        <w:trPr>
          <w:trHeight w:val="279"/>
        </w:trPr>
        <w:tc>
          <w:tcPr>
            <w:tcW w:w="328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10,306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9,950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9,978</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9,759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9,624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8,913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8,659</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8,592</w:t>
            </w:r>
          </w:p>
        </w:tc>
        <w:tc>
          <w:tcPr>
            <w:tcW w:w="0" w:type="dxa"/>
            <w:vAlign w:val="bottom"/>
          </w:tcPr>
          <w:p>
            <w:pPr>
              <w:spacing w:after="0"/>
              <w:rPr>
                <w:sz w:val="1"/>
                <w:szCs w:val="1"/>
                <w:color w:val="auto"/>
              </w:rPr>
            </w:pPr>
          </w:p>
        </w:tc>
      </w:tr>
      <w:tr>
        <w:trPr>
          <w:trHeight w:val="261"/>
        </w:trPr>
        <w:tc>
          <w:tcPr>
            <w:tcW w:w="3280" w:type="dxa"/>
            <w:vAlign w:val="bottom"/>
            <w:gridSpan w:val="2"/>
          </w:tcPr>
          <w:p>
            <w:pPr>
              <w:ind w:left="180"/>
              <w:spacing w:after="0"/>
              <w:rPr>
                <w:sz w:val="20"/>
                <w:szCs w:val="20"/>
                <w:color w:val="auto"/>
              </w:rPr>
            </w:pPr>
            <w:r>
              <w:rPr>
                <w:rFonts w:ascii="Arial" w:cs="Arial" w:eastAsia="Arial" w:hAnsi="Arial"/>
                <w:sz w:val="12"/>
                <w:szCs w:val="12"/>
                <w:color w:val="auto"/>
              </w:rPr>
              <w:t>Shareholders’ equity</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1,193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1,093</w:t>
            </w:r>
          </w:p>
        </w:tc>
        <w:tc>
          <w:tcPr>
            <w:tcW w:w="0" w:type="dxa"/>
            <w:vAlign w:val="bottom"/>
          </w:tcPr>
          <w:p>
            <w:pPr>
              <w:spacing w:after="0"/>
              <w:rPr>
                <w:sz w:val="1"/>
                <w:szCs w:val="1"/>
                <w:color w:val="auto"/>
              </w:rPr>
            </w:pPr>
          </w:p>
        </w:tc>
      </w:tr>
      <w:tr>
        <w:trPr>
          <w:trHeight w:val="120"/>
        </w:trPr>
        <w:tc>
          <w:tcPr>
            <w:tcW w:w="31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76"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shd w:val="clear" w:color="auto" w:fill="F0FFFF"/>
          </w:tcPr>
          <w:p>
            <w:pPr>
              <w:ind w:left="180"/>
              <w:spacing w:after="0"/>
              <w:rPr>
                <w:sz w:val="20"/>
                <w:szCs w:val="20"/>
                <w:color w:val="auto"/>
              </w:rPr>
            </w:pPr>
            <w:r>
              <w:rPr>
                <w:rFonts w:ascii="Arial" w:cs="Arial" w:eastAsia="Arial" w:hAnsi="Arial"/>
                <w:sz w:val="12"/>
                <w:szCs w:val="12"/>
                <w:color w:val="auto"/>
              </w:rPr>
              <w:t xml:space="preserve">Common shares - basic </w:t>
            </w:r>
            <w:r>
              <w:rPr>
                <w:rFonts w:ascii="Arial" w:cs="Arial" w:eastAsia="Arial" w:hAnsi="Arial"/>
                <w:sz w:val="12"/>
                <w:szCs w:val="12"/>
                <w:i w:val="1"/>
                <w:iCs w:val="1"/>
                <w:color w:val="auto"/>
              </w:rPr>
              <w:t>(thousands)</w:t>
            </w:r>
          </w:p>
        </w:tc>
        <w:tc>
          <w:tcPr>
            <w:tcW w:w="80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79,884</w:t>
            </w:r>
          </w:p>
        </w:tc>
        <w:tc>
          <w:tcPr>
            <w:tcW w:w="380" w:type="dxa"/>
            <w:vAlign w:val="bottom"/>
            <w:shd w:val="clear" w:color="auto" w:fill="F0FFFF"/>
          </w:tcPr>
          <w:p>
            <w:pPr>
              <w:spacing w:after="0"/>
              <w:rPr>
                <w:sz w:val="15"/>
                <w:szCs w:val="15"/>
                <w:color w:val="auto"/>
              </w:rPr>
            </w:pPr>
          </w:p>
        </w:tc>
        <w:tc>
          <w:tcPr>
            <w:tcW w:w="6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79,806</w:t>
            </w:r>
          </w:p>
        </w:tc>
        <w:tc>
          <w:tcPr>
            <w:tcW w:w="380" w:type="dxa"/>
            <w:vAlign w:val="bottom"/>
            <w:shd w:val="clear" w:color="auto" w:fill="F0FFFF"/>
          </w:tcPr>
          <w:p>
            <w:pPr>
              <w:spacing w:after="0"/>
              <w:rPr>
                <w:sz w:val="15"/>
                <w:szCs w:val="15"/>
                <w:color w:val="auto"/>
              </w:rPr>
            </w:pPr>
          </w:p>
        </w:tc>
        <w:tc>
          <w:tcPr>
            <w:tcW w:w="64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79,753</w:t>
            </w:r>
          </w:p>
        </w:tc>
        <w:tc>
          <w:tcPr>
            <w:tcW w:w="38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79,205</w:t>
            </w:r>
          </w:p>
        </w:tc>
        <w:tc>
          <w:tcPr>
            <w:tcW w:w="38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76,768</w:t>
            </w:r>
          </w:p>
        </w:tc>
        <w:tc>
          <w:tcPr>
            <w:tcW w:w="400" w:type="dxa"/>
            <w:vAlign w:val="bottom"/>
            <w:shd w:val="clear" w:color="auto" w:fill="F0FFFF"/>
          </w:tcPr>
          <w:p>
            <w:pPr>
              <w:spacing w:after="0"/>
              <w:rPr>
                <w:sz w:val="15"/>
                <w:szCs w:val="15"/>
                <w:color w:val="auto"/>
              </w:rPr>
            </w:pPr>
          </w:p>
        </w:tc>
        <w:tc>
          <w:tcPr>
            <w:tcW w:w="64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73,151</w:t>
            </w:r>
          </w:p>
        </w:tc>
        <w:tc>
          <w:tcPr>
            <w:tcW w:w="38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71,810</w:t>
            </w:r>
          </w:p>
        </w:tc>
        <w:tc>
          <w:tcPr>
            <w:tcW w:w="380" w:type="dxa"/>
            <w:vAlign w:val="bottom"/>
            <w:shd w:val="clear" w:color="auto" w:fill="F0FFFF"/>
          </w:tcPr>
          <w:p>
            <w:pPr>
              <w:spacing w:after="0"/>
              <w:rPr>
                <w:sz w:val="15"/>
                <w:szCs w:val="15"/>
                <w:color w:val="auto"/>
              </w:rPr>
            </w:pPr>
          </w:p>
        </w:tc>
        <w:tc>
          <w:tcPr>
            <w:tcW w:w="6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71,700</w:t>
            </w:r>
          </w:p>
        </w:tc>
      </w:tr>
      <w:tr>
        <w:trPr>
          <w:trHeight w:val="69"/>
        </w:trPr>
        <w:tc>
          <w:tcPr>
            <w:tcW w:w="2740" w:type="dxa"/>
            <w:vAlign w:val="bottom"/>
            <w:shd w:val="clear" w:color="auto" w:fill="F0FFFF"/>
          </w:tcPr>
          <w:p>
            <w:pPr>
              <w:spacing w:after="0"/>
              <w:rPr>
                <w:sz w:val="6"/>
                <w:szCs w:val="6"/>
                <w:color w:val="auto"/>
              </w:rPr>
            </w:pPr>
          </w:p>
        </w:tc>
        <w:tc>
          <w:tcPr>
            <w:tcW w:w="800" w:type="dxa"/>
            <w:vAlign w:val="bottom"/>
            <w:shd w:val="clear" w:color="auto" w:fill="F0FFFF"/>
          </w:tcPr>
          <w:p>
            <w:pPr>
              <w:spacing w:after="0"/>
              <w:rPr>
                <w:sz w:val="6"/>
                <w:szCs w:val="6"/>
                <w:color w:val="auto"/>
              </w:rPr>
            </w:pPr>
          </w:p>
        </w:tc>
        <w:tc>
          <w:tcPr>
            <w:tcW w:w="660" w:type="dxa"/>
            <w:vAlign w:val="bottom"/>
            <w:shd w:val="clear" w:color="auto" w:fill="F0FFFF"/>
          </w:tcPr>
          <w:p>
            <w:pPr>
              <w:spacing w:after="0"/>
              <w:rPr>
                <w:sz w:val="6"/>
                <w:szCs w:val="6"/>
                <w:color w:val="auto"/>
              </w:rPr>
            </w:pPr>
          </w:p>
        </w:tc>
        <w:tc>
          <w:tcPr>
            <w:tcW w:w="380" w:type="dxa"/>
            <w:vAlign w:val="bottom"/>
            <w:shd w:val="clear" w:color="auto" w:fill="F0FFFF"/>
          </w:tcPr>
          <w:p>
            <w:pPr>
              <w:spacing w:after="0"/>
              <w:rPr>
                <w:sz w:val="6"/>
                <w:szCs w:val="6"/>
                <w:color w:val="auto"/>
              </w:rPr>
            </w:pPr>
          </w:p>
        </w:tc>
        <w:tc>
          <w:tcPr>
            <w:tcW w:w="640" w:type="dxa"/>
            <w:vAlign w:val="bottom"/>
            <w:shd w:val="clear" w:color="auto" w:fill="F0FFFF"/>
          </w:tcPr>
          <w:p>
            <w:pPr>
              <w:spacing w:after="0"/>
              <w:rPr>
                <w:sz w:val="6"/>
                <w:szCs w:val="6"/>
                <w:color w:val="auto"/>
              </w:rPr>
            </w:pPr>
          </w:p>
        </w:tc>
        <w:tc>
          <w:tcPr>
            <w:tcW w:w="380" w:type="dxa"/>
            <w:vAlign w:val="bottom"/>
            <w:shd w:val="clear" w:color="auto" w:fill="F0FFFF"/>
          </w:tcPr>
          <w:p>
            <w:pPr>
              <w:spacing w:after="0"/>
              <w:rPr>
                <w:sz w:val="6"/>
                <w:szCs w:val="6"/>
                <w:color w:val="auto"/>
              </w:rPr>
            </w:pPr>
          </w:p>
        </w:tc>
        <w:tc>
          <w:tcPr>
            <w:tcW w:w="640" w:type="dxa"/>
            <w:vAlign w:val="bottom"/>
            <w:shd w:val="clear" w:color="auto" w:fill="F0FFFF"/>
          </w:tcPr>
          <w:p>
            <w:pPr>
              <w:spacing w:after="0"/>
              <w:rPr>
                <w:sz w:val="6"/>
                <w:szCs w:val="6"/>
                <w:color w:val="auto"/>
              </w:rPr>
            </w:pPr>
          </w:p>
        </w:tc>
        <w:tc>
          <w:tcPr>
            <w:tcW w:w="380" w:type="dxa"/>
            <w:vAlign w:val="bottom"/>
            <w:shd w:val="clear" w:color="auto" w:fill="F0FFFF"/>
          </w:tcPr>
          <w:p>
            <w:pPr>
              <w:spacing w:after="0"/>
              <w:rPr>
                <w:sz w:val="6"/>
                <w:szCs w:val="6"/>
                <w:color w:val="auto"/>
              </w:rPr>
            </w:pPr>
          </w:p>
        </w:tc>
        <w:tc>
          <w:tcPr>
            <w:tcW w:w="660" w:type="dxa"/>
            <w:vAlign w:val="bottom"/>
            <w:shd w:val="clear" w:color="auto" w:fill="F0FFFF"/>
          </w:tcPr>
          <w:p>
            <w:pPr>
              <w:spacing w:after="0"/>
              <w:rPr>
                <w:sz w:val="6"/>
                <w:szCs w:val="6"/>
                <w:color w:val="auto"/>
              </w:rPr>
            </w:pPr>
          </w:p>
        </w:tc>
        <w:tc>
          <w:tcPr>
            <w:tcW w:w="380" w:type="dxa"/>
            <w:vAlign w:val="bottom"/>
            <w:shd w:val="clear" w:color="auto" w:fill="F0FFFF"/>
          </w:tcPr>
          <w:p>
            <w:pPr>
              <w:spacing w:after="0"/>
              <w:rPr>
                <w:sz w:val="6"/>
                <w:szCs w:val="6"/>
                <w:color w:val="auto"/>
              </w:rPr>
            </w:pPr>
          </w:p>
        </w:tc>
        <w:tc>
          <w:tcPr>
            <w:tcW w:w="660" w:type="dxa"/>
            <w:vAlign w:val="bottom"/>
            <w:shd w:val="clear" w:color="auto" w:fill="F0FFFF"/>
          </w:tcPr>
          <w:p>
            <w:pPr>
              <w:spacing w:after="0"/>
              <w:rPr>
                <w:sz w:val="6"/>
                <w:szCs w:val="6"/>
                <w:color w:val="auto"/>
              </w:rPr>
            </w:pPr>
          </w:p>
        </w:tc>
        <w:tc>
          <w:tcPr>
            <w:tcW w:w="400" w:type="dxa"/>
            <w:vAlign w:val="bottom"/>
            <w:shd w:val="clear" w:color="auto" w:fill="F0FFFF"/>
          </w:tcPr>
          <w:p>
            <w:pPr>
              <w:spacing w:after="0"/>
              <w:rPr>
                <w:sz w:val="6"/>
                <w:szCs w:val="6"/>
                <w:color w:val="auto"/>
              </w:rPr>
            </w:pPr>
          </w:p>
        </w:tc>
        <w:tc>
          <w:tcPr>
            <w:tcW w:w="640" w:type="dxa"/>
            <w:vAlign w:val="bottom"/>
            <w:shd w:val="clear" w:color="auto" w:fill="F0FFFF"/>
          </w:tcPr>
          <w:p>
            <w:pPr>
              <w:spacing w:after="0"/>
              <w:rPr>
                <w:sz w:val="6"/>
                <w:szCs w:val="6"/>
                <w:color w:val="auto"/>
              </w:rPr>
            </w:pPr>
          </w:p>
        </w:tc>
        <w:tc>
          <w:tcPr>
            <w:tcW w:w="380" w:type="dxa"/>
            <w:vAlign w:val="bottom"/>
            <w:shd w:val="clear" w:color="auto" w:fill="F0FFFF"/>
          </w:tcPr>
          <w:p>
            <w:pPr>
              <w:spacing w:after="0"/>
              <w:rPr>
                <w:sz w:val="6"/>
                <w:szCs w:val="6"/>
                <w:color w:val="auto"/>
              </w:rPr>
            </w:pPr>
          </w:p>
        </w:tc>
        <w:tc>
          <w:tcPr>
            <w:tcW w:w="660" w:type="dxa"/>
            <w:vAlign w:val="bottom"/>
            <w:shd w:val="clear" w:color="auto" w:fill="F0FFFF"/>
          </w:tcPr>
          <w:p>
            <w:pPr>
              <w:spacing w:after="0"/>
              <w:rPr>
                <w:sz w:val="6"/>
                <w:szCs w:val="6"/>
                <w:color w:val="auto"/>
              </w:rPr>
            </w:pPr>
          </w:p>
        </w:tc>
        <w:tc>
          <w:tcPr>
            <w:tcW w:w="380" w:type="dxa"/>
            <w:vAlign w:val="bottom"/>
            <w:shd w:val="clear" w:color="auto" w:fill="F0FFFF"/>
          </w:tcPr>
          <w:p>
            <w:pPr>
              <w:spacing w:after="0"/>
              <w:rPr>
                <w:sz w:val="6"/>
                <w:szCs w:val="6"/>
                <w:color w:val="auto"/>
              </w:rPr>
            </w:pPr>
          </w:p>
        </w:tc>
        <w:tc>
          <w:tcPr>
            <w:tcW w:w="640" w:type="dxa"/>
            <w:vAlign w:val="bottom"/>
            <w:shd w:val="clear" w:color="auto" w:fill="F0FFFF"/>
          </w:tcPr>
          <w:p>
            <w:pPr>
              <w:spacing w:after="0"/>
              <w:rPr>
                <w:sz w:val="6"/>
                <w:szCs w:val="6"/>
                <w:color w:val="auto"/>
              </w:rPr>
            </w:pPr>
          </w:p>
        </w:tc>
      </w:tr>
      <w:tr>
        <w:trPr>
          <w:trHeight w:val="261"/>
        </w:trPr>
        <w:tc>
          <w:tcPr>
            <w:tcW w:w="2740" w:type="dxa"/>
            <w:vAlign w:val="bottom"/>
          </w:tcPr>
          <w:p>
            <w:pPr>
              <w:ind w:left="180"/>
              <w:spacing w:after="0"/>
              <w:rPr>
                <w:sz w:val="20"/>
                <w:szCs w:val="20"/>
                <w:color w:val="auto"/>
              </w:rPr>
            </w:pPr>
            <w:r>
              <w:rPr>
                <w:rFonts w:ascii="Arial" w:cs="Arial" w:eastAsia="Arial" w:hAnsi="Arial"/>
                <w:sz w:val="12"/>
                <w:szCs w:val="12"/>
                <w:color w:val="auto"/>
              </w:rPr>
              <w:t xml:space="preserve">Common shares - diluted </w:t>
            </w:r>
            <w:r>
              <w:rPr>
                <w:rFonts w:ascii="Arial" w:cs="Arial" w:eastAsia="Arial" w:hAnsi="Arial"/>
                <w:sz w:val="12"/>
                <w:szCs w:val="12"/>
                <w:i w:val="1"/>
                <w:iCs w:val="1"/>
                <w:color w:val="auto"/>
              </w:rPr>
              <w:t>(thousands)</w:t>
            </w:r>
          </w:p>
        </w:tc>
        <w:tc>
          <w:tcPr>
            <w:tcW w:w="80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79,890</w:t>
            </w:r>
          </w:p>
        </w:tc>
        <w:tc>
          <w:tcPr>
            <w:tcW w:w="380" w:type="dxa"/>
            <w:vAlign w:val="bottom"/>
          </w:tcPr>
          <w:p>
            <w:pPr>
              <w:spacing w:after="0"/>
              <w:rPr>
                <w:sz w:val="22"/>
                <w:szCs w:val="22"/>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79,818</w:t>
            </w:r>
          </w:p>
        </w:tc>
        <w:tc>
          <w:tcPr>
            <w:tcW w:w="380" w:type="dxa"/>
            <w:vAlign w:val="bottom"/>
          </w:tcPr>
          <w:p>
            <w:pPr>
              <w:spacing w:after="0"/>
              <w:rPr>
                <w:sz w:val="22"/>
                <w:szCs w:val="22"/>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79,755</w:t>
            </w:r>
          </w:p>
        </w:tc>
        <w:tc>
          <w:tcPr>
            <w:tcW w:w="38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79,215</w:t>
            </w:r>
          </w:p>
        </w:tc>
        <w:tc>
          <w:tcPr>
            <w:tcW w:w="38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76,768</w:t>
            </w:r>
          </w:p>
        </w:tc>
        <w:tc>
          <w:tcPr>
            <w:tcW w:w="400" w:type="dxa"/>
            <w:vAlign w:val="bottom"/>
          </w:tcPr>
          <w:p>
            <w:pPr>
              <w:spacing w:after="0"/>
              <w:rPr>
                <w:sz w:val="22"/>
                <w:szCs w:val="22"/>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73,162</w:t>
            </w:r>
          </w:p>
        </w:tc>
        <w:tc>
          <w:tcPr>
            <w:tcW w:w="38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71,820</w:t>
            </w:r>
          </w:p>
        </w:tc>
        <w:tc>
          <w:tcPr>
            <w:tcW w:w="380" w:type="dxa"/>
            <w:vAlign w:val="bottom"/>
          </w:tcPr>
          <w:p>
            <w:pPr>
              <w:spacing w:after="0"/>
              <w:rPr>
                <w:sz w:val="22"/>
                <w:szCs w:val="22"/>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71,708</w:t>
            </w:r>
          </w:p>
        </w:tc>
      </w:tr>
      <w:tr>
        <w:trPr>
          <w:trHeight w:val="279"/>
        </w:trPr>
        <w:tc>
          <w:tcPr>
            <w:tcW w:w="2740" w:type="dxa"/>
            <w:vAlign w:val="bottom"/>
            <w:shd w:val="clear" w:color="auto" w:fill="F0FFFF"/>
          </w:tcPr>
          <w:p>
            <w:pPr>
              <w:ind w:left="4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b w:val="1"/>
                <w:bCs w:val="1"/>
                <w:i w:val="1"/>
                <w:iCs w:val="1"/>
                <w:color w:val="auto"/>
              </w:rPr>
              <w:t>($ in millions)</w:t>
            </w:r>
          </w:p>
        </w:tc>
        <w:tc>
          <w:tcPr>
            <w:tcW w:w="80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40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r>
      <w:tr>
        <w:trPr>
          <w:trHeight w:val="261"/>
        </w:trPr>
        <w:tc>
          <w:tcPr>
            <w:tcW w:w="2740" w:type="dxa"/>
            <w:vAlign w:val="bottom"/>
          </w:tcPr>
          <w:p>
            <w:pPr>
              <w:ind w:left="180"/>
              <w:spacing w:after="0"/>
              <w:rPr>
                <w:sz w:val="20"/>
                <w:szCs w:val="20"/>
                <w:color w:val="auto"/>
              </w:rPr>
            </w:pPr>
            <w:r>
              <w:rPr>
                <w:rFonts w:ascii="Arial" w:cs="Arial" w:eastAsia="Arial" w:hAnsi="Arial"/>
                <w:sz w:val="12"/>
                <w:szCs w:val="12"/>
                <w:color w:val="auto"/>
              </w:rPr>
              <w:t>Loans</w:t>
            </w:r>
          </w:p>
        </w:tc>
        <w:tc>
          <w:tcPr>
            <w:tcW w:w="8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8,383</w:t>
            </w:r>
          </w:p>
        </w:tc>
        <w:tc>
          <w:tcPr>
            <w:tcW w:w="3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8,226</w:t>
            </w:r>
          </w:p>
        </w:tc>
        <w:tc>
          <w:tcPr>
            <w:tcW w:w="3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8,220</w:t>
            </w:r>
          </w:p>
        </w:tc>
        <w:tc>
          <w:tcPr>
            <w:tcW w:w="3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8,184</w:t>
            </w:r>
          </w:p>
        </w:tc>
        <w:tc>
          <w:tcPr>
            <w:tcW w:w="3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7,736</w:t>
            </w:r>
          </w:p>
        </w:tc>
        <w:tc>
          <w:tcPr>
            <w:tcW w:w="4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7,203</w:t>
            </w:r>
          </w:p>
        </w:tc>
        <w:tc>
          <w:tcPr>
            <w:tcW w:w="3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7,041</w:t>
            </w:r>
          </w:p>
        </w:tc>
        <w:tc>
          <w:tcPr>
            <w:tcW w:w="3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6,965</w:t>
            </w:r>
          </w:p>
        </w:tc>
      </w:tr>
      <w:tr>
        <w:trPr>
          <w:trHeight w:val="279"/>
        </w:trPr>
        <w:tc>
          <w:tcPr>
            <w:tcW w:w="2740" w:type="dxa"/>
            <w:vAlign w:val="bottom"/>
            <w:shd w:val="clear" w:color="auto" w:fill="F0FFFF"/>
          </w:tcPr>
          <w:p>
            <w:pPr>
              <w:ind w:left="180"/>
              <w:spacing w:after="0"/>
              <w:rPr>
                <w:sz w:val="20"/>
                <w:szCs w:val="20"/>
                <w:color w:val="auto"/>
              </w:rPr>
            </w:pPr>
            <w:r>
              <w:rPr>
                <w:rFonts w:ascii="Arial" w:cs="Arial" w:eastAsia="Arial" w:hAnsi="Arial"/>
                <w:sz w:val="12"/>
                <w:szCs w:val="12"/>
                <w:color w:val="auto"/>
              </w:rPr>
              <w:t>Investment securities</w:t>
            </w:r>
          </w:p>
        </w:tc>
        <w:tc>
          <w:tcPr>
            <w:tcW w:w="80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2,903</w:t>
            </w: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2,873</w:t>
            </w: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2,834</w:t>
            </w: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2,731</w:t>
            </w: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2,937</w:t>
            </w:r>
          </w:p>
        </w:tc>
        <w:tc>
          <w:tcPr>
            <w:tcW w:w="40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2,847</w:t>
            </w: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2,787</w:t>
            </w: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2,767</w:t>
            </w:r>
          </w:p>
        </w:tc>
      </w:tr>
      <w:tr>
        <w:trPr>
          <w:trHeight w:val="261"/>
        </w:trPr>
        <w:tc>
          <w:tcPr>
            <w:tcW w:w="274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80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12,573</w:t>
            </w:r>
          </w:p>
        </w:tc>
        <w:tc>
          <w:tcPr>
            <w:tcW w:w="380" w:type="dxa"/>
            <w:vAlign w:val="bottom"/>
          </w:tcPr>
          <w:p>
            <w:pPr>
              <w:spacing w:after="0"/>
              <w:rPr>
                <w:sz w:val="22"/>
                <w:szCs w:val="22"/>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12,405</w:t>
            </w:r>
          </w:p>
        </w:tc>
        <w:tc>
          <w:tcPr>
            <w:tcW w:w="380" w:type="dxa"/>
            <w:vAlign w:val="bottom"/>
          </w:tcPr>
          <w:p>
            <w:pPr>
              <w:spacing w:after="0"/>
              <w:rPr>
                <w:sz w:val="22"/>
                <w:szCs w:val="22"/>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12,386</w:t>
            </w:r>
          </w:p>
        </w:tc>
        <w:tc>
          <w:tcPr>
            <w:tcW w:w="38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12,264</w:t>
            </w:r>
          </w:p>
        </w:tc>
        <w:tc>
          <w:tcPr>
            <w:tcW w:w="38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11,915</w:t>
            </w:r>
          </w:p>
        </w:tc>
        <w:tc>
          <w:tcPr>
            <w:tcW w:w="400" w:type="dxa"/>
            <w:vAlign w:val="bottom"/>
          </w:tcPr>
          <w:p>
            <w:pPr>
              <w:spacing w:after="0"/>
              <w:rPr>
                <w:sz w:val="22"/>
                <w:szCs w:val="22"/>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11,129</w:t>
            </w:r>
          </w:p>
        </w:tc>
        <w:tc>
          <w:tcPr>
            <w:tcW w:w="38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10,837</w:t>
            </w:r>
          </w:p>
        </w:tc>
        <w:tc>
          <w:tcPr>
            <w:tcW w:w="380" w:type="dxa"/>
            <w:vAlign w:val="bottom"/>
          </w:tcPr>
          <w:p>
            <w:pPr>
              <w:spacing w:after="0"/>
              <w:rPr>
                <w:sz w:val="22"/>
                <w:szCs w:val="22"/>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10,732</w:t>
            </w:r>
          </w:p>
        </w:tc>
      </w:tr>
      <w:tr>
        <w:trPr>
          <w:trHeight w:val="279"/>
        </w:trPr>
        <w:tc>
          <w:tcPr>
            <w:tcW w:w="2740" w:type="dxa"/>
            <w:vAlign w:val="bottom"/>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80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10,535</w:t>
            </w: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10,229</w:t>
            </w: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9,966</w:t>
            </w: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9,993</w:t>
            </w: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rPr>
              <w:t>9,808</w:t>
            </w:r>
          </w:p>
        </w:tc>
        <w:tc>
          <w:tcPr>
            <w:tcW w:w="40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9,127</w:t>
            </w:r>
          </w:p>
        </w:tc>
        <w:tc>
          <w:tcPr>
            <w:tcW w:w="38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8,736</w:t>
            </w:r>
          </w:p>
        </w:tc>
        <w:tc>
          <w:tcPr>
            <w:tcW w:w="38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8,752</w:t>
            </w:r>
          </w:p>
        </w:tc>
      </w:tr>
      <w:tr>
        <w:trPr>
          <w:trHeight w:val="252"/>
        </w:trPr>
        <w:tc>
          <w:tcPr>
            <w:tcW w:w="2740" w:type="dxa"/>
            <w:vAlign w:val="bottom"/>
          </w:tcPr>
          <w:p>
            <w:pPr>
              <w:ind w:left="180"/>
              <w:spacing w:after="0"/>
              <w:rPr>
                <w:sz w:val="20"/>
                <w:szCs w:val="20"/>
                <w:color w:val="auto"/>
              </w:rPr>
            </w:pPr>
            <w:r>
              <w:rPr>
                <w:rFonts w:ascii="Arial" w:cs="Arial" w:eastAsia="Arial" w:hAnsi="Arial"/>
                <w:sz w:val="12"/>
                <w:szCs w:val="12"/>
                <w:color w:val="auto"/>
              </w:rPr>
              <w:t>Shareholders’ equity</w:t>
            </w:r>
          </w:p>
        </w:tc>
        <w:tc>
          <w:tcPr>
            <w:tcW w:w="800" w:type="dxa"/>
            <w:vAlign w:val="bottom"/>
          </w:tcPr>
          <w:p>
            <w:pPr>
              <w:spacing w:after="0"/>
              <w:rPr>
                <w:sz w:val="21"/>
                <w:szCs w:val="21"/>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1,458</w:t>
            </w:r>
          </w:p>
        </w:tc>
        <w:tc>
          <w:tcPr>
            <w:tcW w:w="380" w:type="dxa"/>
            <w:vAlign w:val="bottom"/>
          </w:tcPr>
          <w:p>
            <w:pPr>
              <w:spacing w:after="0"/>
              <w:rPr>
                <w:sz w:val="21"/>
                <w:szCs w:val="21"/>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1,402</w:t>
            </w:r>
          </w:p>
        </w:tc>
        <w:tc>
          <w:tcPr>
            <w:tcW w:w="380" w:type="dxa"/>
            <w:vAlign w:val="bottom"/>
          </w:tcPr>
          <w:p>
            <w:pPr>
              <w:spacing w:after="0"/>
              <w:rPr>
                <w:sz w:val="21"/>
                <w:szCs w:val="21"/>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1,379</w:t>
            </w:r>
          </w:p>
        </w:tc>
        <w:tc>
          <w:tcPr>
            <w:tcW w:w="380" w:type="dxa"/>
            <w:vAlign w:val="bottom"/>
          </w:tcPr>
          <w:p>
            <w:pPr>
              <w:spacing w:after="0"/>
              <w:rPr>
                <w:sz w:val="21"/>
                <w:szCs w:val="21"/>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1,357</w:t>
            </w:r>
          </w:p>
        </w:tc>
        <w:tc>
          <w:tcPr>
            <w:tcW w:w="380" w:type="dxa"/>
            <w:vAlign w:val="bottom"/>
          </w:tcPr>
          <w:p>
            <w:pPr>
              <w:spacing w:after="0"/>
              <w:rPr>
                <w:sz w:val="21"/>
                <w:szCs w:val="21"/>
                <w:color w:val="auto"/>
              </w:rPr>
            </w:pP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1,303</w:t>
            </w:r>
          </w:p>
        </w:tc>
        <w:tc>
          <w:tcPr>
            <w:tcW w:w="400" w:type="dxa"/>
            <w:vAlign w:val="bottom"/>
          </w:tcPr>
          <w:p>
            <w:pPr>
              <w:spacing w:after="0"/>
              <w:rPr>
                <w:sz w:val="21"/>
                <w:szCs w:val="21"/>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1,221</w:t>
            </w:r>
          </w:p>
        </w:tc>
        <w:tc>
          <w:tcPr>
            <w:tcW w:w="380" w:type="dxa"/>
            <w:vAlign w:val="bottom"/>
          </w:tcPr>
          <w:p>
            <w:pPr>
              <w:spacing w:after="0"/>
              <w:rPr>
                <w:sz w:val="21"/>
                <w:szCs w:val="21"/>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1,133</w:t>
            </w:r>
          </w:p>
        </w:tc>
        <w:tc>
          <w:tcPr>
            <w:tcW w:w="380" w:type="dxa"/>
            <w:vAlign w:val="bottom"/>
          </w:tcPr>
          <w:p>
            <w:pPr>
              <w:spacing w:after="0"/>
              <w:rPr>
                <w:sz w:val="21"/>
                <w:szCs w:val="21"/>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1,102</w:t>
            </w:r>
          </w:p>
        </w:tc>
      </w:tr>
      <w:tr>
        <w:trPr>
          <w:trHeight w:val="270"/>
        </w:trPr>
        <w:tc>
          <w:tcPr>
            <w:tcW w:w="2740" w:type="dxa"/>
            <w:vAlign w:val="bottom"/>
          </w:tcPr>
          <w:p>
            <w:pPr>
              <w:ind w:left="180"/>
              <w:spacing w:after="0"/>
              <w:rPr>
                <w:sz w:val="20"/>
                <w:szCs w:val="20"/>
                <w:color w:val="auto"/>
              </w:rPr>
            </w:pPr>
            <w:r>
              <w:rPr>
                <w:rFonts w:ascii="Arial" w:cs="Arial" w:eastAsia="Arial" w:hAnsi="Arial"/>
                <w:sz w:val="12"/>
                <w:szCs w:val="12"/>
                <w:color w:val="auto"/>
              </w:rPr>
              <w:t xml:space="preserve">Common shares outstanding </w:t>
            </w:r>
            <w:r>
              <w:rPr>
                <w:rFonts w:ascii="Arial" w:cs="Arial" w:eastAsia="Arial" w:hAnsi="Arial"/>
                <w:sz w:val="12"/>
                <w:szCs w:val="12"/>
                <w:i w:val="1"/>
                <w:iCs w:val="1"/>
                <w:color w:val="auto"/>
              </w:rPr>
              <w:t>(thousands)</w:t>
            </w:r>
          </w:p>
        </w:tc>
        <w:tc>
          <w:tcPr>
            <w:tcW w:w="800" w:type="dxa"/>
            <w:vAlign w:val="bottom"/>
          </w:tcPr>
          <w:p>
            <w:pPr>
              <w:spacing w:after="0"/>
              <w:rPr>
                <w:sz w:val="23"/>
                <w:szCs w:val="23"/>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79,234</w:t>
            </w:r>
          </w:p>
        </w:tc>
        <w:tc>
          <w:tcPr>
            <w:tcW w:w="380" w:type="dxa"/>
            <w:vAlign w:val="bottom"/>
          </w:tcPr>
          <w:p>
            <w:pPr>
              <w:spacing w:after="0"/>
              <w:rPr>
                <w:sz w:val="23"/>
                <w:szCs w:val="23"/>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79,202</w:t>
            </w:r>
          </w:p>
        </w:tc>
        <w:tc>
          <w:tcPr>
            <w:tcW w:w="380" w:type="dxa"/>
            <w:vAlign w:val="bottom"/>
          </w:tcPr>
          <w:p>
            <w:pPr>
              <w:spacing w:after="0"/>
              <w:rPr>
                <w:sz w:val="23"/>
                <w:szCs w:val="23"/>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79,138</w:t>
            </w:r>
          </w:p>
        </w:tc>
        <w:tc>
          <w:tcPr>
            <w:tcW w:w="380" w:type="dxa"/>
            <w:vAlign w:val="bottom"/>
          </w:tcPr>
          <w:p>
            <w:pPr>
              <w:spacing w:after="0"/>
              <w:rPr>
                <w:sz w:val="23"/>
                <w:szCs w:val="23"/>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79,123</w:t>
            </w:r>
          </w:p>
        </w:tc>
        <w:tc>
          <w:tcPr>
            <w:tcW w:w="380" w:type="dxa"/>
            <w:vAlign w:val="bottom"/>
          </w:tcPr>
          <w:p>
            <w:pPr>
              <w:spacing w:after="0"/>
              <w:rPr>
                <w:sz w:val="23"/>
                <w:szCs w:val="23"/>
                <w:color w:val="auto"/>
              </w:rPr>
            </w:pPr>
          </w:p>
        </w:tc>
        <w:tc>
          <w:tcPr>
            <w:tcW w:w="660" w:type="dxa"/>
            <w:vAlign w:val="bottom"/>
          </w:tcPr>
          <w:p>
            <w:pPr>
              <w:jc w:val="right"/>
              <w:ind w:right="99"/>
              <w:spacing w:after="0"/>
              <w:rPr>
                <w:sz w:val="20"/>
                <w:szCs w:val="20"/>
                <w:color w:val="auto"/>
              </w:rPr>
            </w:pPr>
            <w:r>
              <w:rPr>
                <w:rFonts w:ascii="Arial" w:cs="Arial" w:eastAsia="Arial" w:hAnsi="Arial"/>
                <w:sz w:val="12"/>
                <w:szCs w:val="12"/>
                <w:color w:val="auto"/>
              </w:rPr>
              <w:t>77,580</w:t>
            </w:r>
          </w:p>
        </w:tc>
        <w:tc>
          <w:tcPr>
            <w:tcW w:w="400" w:type="dxa"/>
            <w:vAlign w:val="bottom"/>
          </w:tcPr>
          <w:p>
            <w:pPr>
              <w:spacing w:after="0"/>
              <w:rPr>
                <w:sz w:val="23"/>
                <w:szCs w:val="23"/>
                <w:color w:val="auto"/>
              </w:rPr>
            </w:pPr>
          </w:p>
        </w:tc>
        <w:tc>
          <w:tcPr>
            <w:tcW w:w="640" w:type="dxa"/>
            <w:vAlign w:val="bottom"/>
          </w:tcPr>
          <w:p>
            <w:pPr>
              <w:jc w:val="right"/>
              <w:ind w:right="59"/>
              <w:spacing w:after="0"/>
              <w:rPr>
                <w:sz w:val="20"/>
                <w:szCs w:val="20"/>
                <w:color w:val="auto"/>
              </w:rPr>
            </w:pPr>
            <w:r>
              <w:rPr>
                <w:rFonts w:ascii="Arial" w:cs="Arial" w:eastAsia="Arial" w:hAnsi="Arial"/>
                <w:sz w:val="12"/>
                <w:szCs w:val="12"/>
                <w:color w:val="auto"/>
              </w:rPr>
              <w:t>73,403</w:t>
            </w:r>
          </w:p>
        </w:tc>
        <w:tc>
          <w:tcPr>
            <w:tcW w:w="380" w:type="dxa"/>
            <w:vAlign w:val="bottom"/>
          </w:tcPr>
          <w:p>
            <w:pPr>
              <w:spacing w:after="0"/>
              <w:rPr>
                <w:sz w:val="23"/>
                <w:szCs w:val="23"/>
                <w:color w:val="auto"/>
              </w:rPr>
            </w:pPr>
          </w:p>
        </w:tc>
        <w:tc>
          <w:tcPr>
            <w:tcW w:w="660" w:type="dxa"/>
            <w:vAlign w:val="bottom"/>
          </w:tcPr>
          <w:p>
            <w:pPr>
              <w:jc w:val="right"/>
              <w:ind w:right="79"/>
              <w:spacing w:after="0"/>
              <w:rPr>
                <w:sz w:val="20"/>
                <w:szCs w:val="20"/>
                <w:color w:val="auto"/>
              </w:rPr>
            </w:pPr>
            <w:r>
              <w:rPr>
                <w:rFonts w:ascii="Arial" w:cs="Arial" w:eastAsia="Arial" w:hAnsi="Arial"/>
                <w:sz w:val="12"/>
                <w:szCs w:val="12"/>
                <w:color w:val="auto"/>
              </w:rPr>
              <w:t>70,981</w:t>
            </w:r>
          </w:p>
        </w:tc>
        <w:tc>
          <w:tcPr>
            <w:tcW w:w="380" w:type="dxa"/>
            <w:vAlign w:val="bottom"/>
          </w:tcPr>
          <w:p>
            <w:pPr>
              <w:spacing w:after="0"/>
              <w:rPr>
                <w:sz w:val="23"/>
                <w:szCs w:val="23"/>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70,973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80" w:firstLine="8"/>
        <w:spacing w:after="0" w:line="243" w:lineRule="auto"/>
        <w:tabs>
          <w:tab w:leader="none" w:pos="127" w:val="left"/>
        </w:tabs>
        <w:numPr>
          <w:ilvl w:val="0"/>
          <w:numId w:val="16"/>
        </w:numPr>
        <w:rPr>
          <w:rFonts w:ascii="Arial" w:cs="Arial" w:eastAsia="Arial" w:hAnsi="Arial"/>
          <w:sz w:val="9"/>
          <w:szCs w:val="9"/>
          <w:color w:val="auto"/>
        </w:rPr>
      </w:pPr>
      <w:r>
        <w:rPr>
          <w:rFonts w:ascii="Arial" w:cs="Arial" w:eastAsia="Arial" w:hAnsi="Arial"/>
          <w:sz w:val="13"/>
          <w:szCs w:val="13"/>
          <w:color w:val="auto"/>
        </w:rPr>
        <w:t xml:space="preserve">Excludes merger-related and other charges which includes amortization of certain executive change of control benefits, the fourth quarter 2017 impact of remeasurement of United’s deferred tax assets following the passage of tax reform legislation and a first quarter 2017 release of disproportionate tax effects lodged in OCI. </w:t>
      </w:r>
      <w:r>
        <w:rPr>
          <w:rFonts w:ascii="Arial" w:cs="Arial" w:eastAsia="Arial" w:hAnsi="Arial"/>
          <w:sz w:val="8"/>
          <w:szCs w:val="8"/>
          <w:color w:val="auto"/>
        </w:rPr>
        <w:t>(2)</w:t>
      </w:r>
      <w:r>
        <w:rPr>
          <w:rFonts w:ascii="Arial" w:cs="Arial" w:eastAsia="Arial" w:hAnsi="Arial"/>
          <w:sz w:val="13"/>
          <w:szCs w:val="13"/>
          <w:color w:val="auto"/>
        </w:rPr>
        <w:t xml:space="preserve"> Net income less preferred stock dividends, divided by average realized common equity, which excludes accumulated other comprehensive income (loss). </w:t>
      </w:r>
      <w:r>
        <w:rPr>
          <w:rFonts w:ascii="Arial" w:cs="Arial" w:eastAsia="Arial" w:hAnsi="Arial"/>
          <w:sz w:val="8"/>
          <w:szCs w:val="8"/>
          <w:color w:val="auto"/>
        </w:rPr>
        <w:t>(3)</w:t>
      </w:r>
      <w:r>
        <w:rPr>
          <w:rFonts w:ascii="Arial" w:cs="Arial" w:eastAsia="Arial" w:hAnsi="Arial"/>
          <w:sz w:val="13"/>
          <w:szCs w:val="13"/>
          <w:color w:val="auto"/>
        </w:rPr>
        <w:t xml:space="preserve"> Excludes effect of acquisition related intangibles and associated amortization.</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3"/>
          <w:szCs w:val="13"/>
          <w:color w:val="auto"/>
        </w:rPr>
        <w:t>Annualized.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the financial condition and results of operations of United should be read in conjunction with the consolidated financial statements and accompanying notes. Historical results of operations and any trends that may appear may not indicate trends in results of operations for any future periods.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offers a wide array of commercial and consumer banking services and investment advisory services through a 149 branch network throughout Georgia, South Carolina, North Carolina and Tennessee. United has grown organically as well as through strategic acquisitions.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In the past three years, United has completed the following acquisitions:</w:t>
            </w:r>
          </w:p>
        </w:tc>
        <w:tc>
          <w:tcPr>
            <w:tcW w:w="2480" w:type="dxa"/>
            <w:vAlign w:val="bottom"/>
          </w:tcPr>
          <w:p>
            <w:pPr>
              <w:spacing w:after="0"/>
              <w:rPr>
                <w:sz w:val="20"/>
                <w:szCs w:val="20"/>
                <w:color w:val="auto"/>
              </w:rPr>
            </w:pPr>
          </w:p>
        </w:tc>
      </w:tr>
      <w:tr>
        <w:trPr>
          <w:trHeight w:val="378"/>
        </w:trPr>
        <w:tc>
          <w:tcPr>
            <w:tcW w:w="184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Entity</w:t>
            </w:r>
          </w:p>
        </w:tc>
        <w:tc>
          <w:tcPr>
            <w:tcW w:w="2480" w:type="dxa"/>
            <w:vAlign w:val="bottom"/>
          </w:tcPr>
          <w:p>
            <w:pPr>
              <w:ind w:left="20"/>
              <w:spacing w:after="0"/>
              <w:rPr>
                <w:sz w:val="20"/>
                <w:szCs w:val="20"/>
                <w:color w:val="auto"/>
              </w:rPr>
            </w:pPr>
            <w:r>
              <w:rPr>
                <w:rFonts w:ascii="Arial" w:cs="Arial" w:eastAsia="Arial" w:hAnsi="Arial"/>
                <w:sz w:val="18"/>
                <w:szCs w:val="18"/>
                <w:color w:val="auto"/>
              </w:rPr>
              <w:t>Date Acquired</w:t>
            </w:r>
          </w:p>
        </w:tc>
      </w:tr>
      <w:tr>
        <w:trPr>
          <w:trHeight w:val="27"/>
        </w:trPr>
        <w:tc>
          <w:tcPr>
            <w:tcW w:w="18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NLFC Holdings Corp. (“NLFC”)</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1, 2018</w:t>
            </w:r>
          </w:p>
        </w:tc>
      </w:tr>
      <w:tr>
        <w:trPr>
          <w:trHeight w:val="270"/>
        </w:trPr>
        <w:tc>
          <w:tcPr>
            <w:tcW w:w="1840" w:type="dxa"/>
            <w:vAlign w:val="bottom"/>
          </w:tcPr>
          <w:p>
            <w:pPr>
              <w:spacing w:after="0"/>
              <w:rPr>
                <w:sz w:val="23"/>
                <w:szCs w:val="23"/>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 Oaks Fincorp, Inc. (“FOFN”)</w:t>
            </w:r>
          </w:p>
        </w:tc>
        <w:tc>
          <w:tcPr>
            <w:tcW w:w="2480" w:type="dxa"/>
            <w:vAlign w:val="bottom"/>
          </w:tcPr>
          <w:p>
            <w:pPr>
              <w:ind w:left="20"/>
              <w:spacing w:after="0"/>
              <w:rPr>
                <w:sz w:val="20"/>
                <w:szCs w:val="20"/>
                <w:color w:val="auto"/>
              </w:rPr>
            </w:pPr>
            <w:r>
              <w:rPr>
                <w:rFonts w:ascii="Arial" w:cs="Arial" w:eastAsia="Arial" w:hAnsi="Arial"/>
                <w:sz w:val="18"/>
                <w:szCs w:val="18"/>
                <w:color w:val="auto"/>
              </w:rPr>
              <w:t>November 1, 2017</w:t>
            </w:r>
          </w:p>
        </w:tc>
      </w:tr>
      <w:tr>
        <w:trPr>
          <w:trHeight w:val="270"/>
        </w:trPr>
        <w:tc>
          <w:tcPr>
            <w:tcW w:w="1840" w:type="dxa"/>
            <w:vAlign w:val="bottom"/>
          </w:tcPr>
          <w:p>
            <w:pPr>
              <w:spacing w:after="0"/>
              <w:rPr>
                <w:sz w:val="23"/>
                <w:szCs w:val="23"/>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HCSB Financial Corporation (“HCSB”)</w:t>
            </w:r>
          </w:p>
        </w:tc>
        <w:tc>
          <w:tcPr>
            <w:tcW w:w="2480" w:type="dxa"/>
            <w:vAlign w:val="bottom"/>
          </w:tcPr>
          <w:p>
            <w:pPr>
              <w:ind w:left="20"/>
              <w:spacing w:after="0"/>
              <w:rPr>
                <w:sz w:val="20"/>
                <w:szCs w:val="20"/>
                <w:color w:val="auto"/>
              </w:rPr>
            </w:pPr>
            <w:r>
              <w:rPr>
                <w:rFonts w:ascii="Arial" w:cs="Arial" w:eastAsia="Arial" w:hAnsi="Arial"/>
                <w:sz w:val="18"/>
                <w:szCs w:val="18"/>
                <w:color w:val="auto"/>
              </w:rPr>
              <w:t>July 31, 2017</w:t>
            </w:r>
          </w:p>
        </w:tc>
      </w:tr>
      <w:tr>
        <w:trPr>
          <w:trHeight w:val="270"/>
        </w:trPr>
        <w:tc>
          <w:tcPr>
            <w:tcW w:w="1840" w:type="dxa"/>
            <w:vAlign w:val="bottom"/>
          </w:tcPr>
          <w:p>
            <w:pPr>
              <w:spacing w:after="0"/>
              <w:rPr>
                <w:sz w:val="23"/>
                <w:szCs w:val="23"/>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Tidelands Bancshares, Inc. (“Tidelands”)</w:t>
            </w:r>
          </w:p>
        </w:tc>
        <w:tc>
          <w:tcPr>
            <w:tcW w:w="2480" w:type="dxa"/>
            <w:vAlign w:val="bottom"/>
          </w:tcPr>
          <w:p>
            <w:pPr>
              <w:ind w:left="20"/>
              <w:spacing w:after="0"/>
              <w:rPr>
                <w:sz w:val="20"/>
                <w:szCs w:val="20"/>
                <w:color w:val="auto"/>
              </w:rPr>
            </w:pPr>
            <w:r>
              <w:rPr>
                <w:rFonts w:ascii="Arial" w:cs="Arial" w:eastAsia="Arial" w:hAnsi="Arial"/>
                <w:sz w:val="18"/>
                <w:szCs w:val="18"/>
                <w:color w:val="auto"/>
              </w:rPr>
              <w:t>July 1, 2016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acquired entities’ results are included in United’s consolidated results beginning on the respective acquisition dates.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reported net income of $166 million, or $2.07 per diluted share, in 2018, compared with $67.8 million, or $0.92 per diluted share, in 2017 and $101 million, or $1.40 per diluted share, in 2016. The increase in net interest revenue and noninterest income and the reduction of the federal income tax rate from 35% in 2017 and 2016 to 21% in 2018 contributed to the increase in net income and diluted earnings per share in 2018. The decrease in net income for 2017 compared to 2016 was also attributable to the Tax Act as it required a remeasurement of United’s deferred tax assets in the period of enactment. The remeasurement resulted in a $38.2 million increase in income tax expense in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increased to $439 million for 2018, compared to $356 million in 2017 and $310 million in 2016. The increase was primarily due to higher loan volume, much of which resulted from the acquisitions of NLFC, FOFN, HCSB and Tidelands (collectively, the “Acquisitions”) and rising interest rates. Net interest margin increased 39 basis points to 3.91% in 2018 from 3.52% in 2017 due to the effect of rising interest rates on floating rate loans, as well as a more favorable earning asset mix due to the acquisition of higher yielding loans from NLFC and FOFN.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was $9.50 million for 2018, compared to $3.80 million for 2017. Net charge-offs for 2018 were $6.11 million, compared to $6.00 million for 2017. Since credit quality remained stable, the increase in the provision reflects growth in the loan and lease portfolio (collectively referred to as the “loan portfolio” or “loans”), including a $6.53 million increase resulting from the inclusion of NLFC’s loans in the allowance for loan losses in 2018. Because NLFC’s loans were recorded at a premium, the allowance for loan losses model required us to immediately establish an allowance for loan losses sufficient to cover estimated credit losses inherent in the NLFC loan portfolio.</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allowance for loan losses was $61.2 million, or 0.73% of loans, compared with $58.9 million, or 0.76% of loans, at the end of 2017, reflecting continued asset quality improvement. Nonperforming assets of $25.1 million were 0.20% of total assets at December 31, 2018 compared to 0.23% at December 31,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Noninterest income of $93.0 million for 2018 was up $4.70 million, or 5%, from 2017. Service charges and fees decreased 6% compared to 2017 due mainly to the effect of the Durbin Amendment of the Dodd-Frank Act (the “Durbin Amendment”), which took effect for United in the third quarter of 2017 and limited the amount of interchange fees United could earn on debit card transactions. Mortgage loan and related fees increased 4% from 2017. The increase is due to United’s emphasis on growing its mortgage business by recruiting lenders in metropolitan markets. Other noninterest income for 2018 increased $7.12 million from 2017, primarily due to fee revenue from the equipment finance business that came through acquisition of NLFC. Noninterest income is shown in more detail in Table 4.</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expenses for 2018 of $306 million were up $38.7 million, or 14%, from 2017 largely due to the acquisitions of NLFC, FOFN and HCSB. Salaries and employee benefits expense increased $27.9 million in 2018 which can be mostly attributed to the 2018 and 2017 acquisitions, investment in additional staff and new teams to expand the Commercial Banking Solutions area, and higher incentive compensation in connection with increased lending activities and improvement in earnings performance.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Loans at December 31, 2018 were $8.38 billion, up $648 million from the end of 2017, primarily due to the acquisition of NLFC combined with solid growth in our community banking and Commercial Banking Solutions areas. Deposits were up $727 million to $10.5 billion at December 31, 2018, as United continued to focus on increasing low cost core transaction deposits, which grew $190 million in 2018, excluding public funds deposits. At the end of 2018, total equity capital was $1.46 billion, up $154 million from December 31, 2017, reflecting net income of $166 million and shares issued for the NLFC acquisition of $45.7 million, partially offset by the payment of dividends on United’s common stock of $46.6 million. At December 31, 2018, all of United’s regulatory capital ratios were significantly above “well-capitalized”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United had consolidated total assets of $12.6 billion and 2,312 full-time equivalent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of America and conform to general practices within the banking industry. The more critical accounting and reporting policies include accounting for the allowance for loan losses, fair value measurements and income taxes.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most significant accounting policies for United are presented in Note 1 to the accompanying consolidated financial statements. These policies, along with the disclosures presented in the other notes to the consolidated financial statements and in this Management’s Discussion and Analysis,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considers the following accounting policies to be critical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credit losses is an estimate and represents management’s estimate of probable incurred credit losses in the loan portfolio and unfunded loan commitments. It consists of two components: the allowance for loan losses and the allowance for unfunded commitments. Estimating the amount of the allowance for credit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events and conditions. The loan portfolio also represents the largest asset type on the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an estimate of probable incurred losses in the loan portfolio and is based on analyses developed through specific credit allocations for individual loans and historical loss experience for each loan category. The specific credit allocations are based on impairment analyses of all nonaccrual loan relationships over $500,000 and all troubled debt restructurings (“TDRs”), regardless of amount. These analyses involve judgment in estimating the amount of loss associated with specific loans, including estimating the amount and timing of future cash flows and collateral values. The historical loss experience is adjusted for known changes in economic trends, events and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There are many factors affecting the allowance for credit losses; some are quantitative while others require qualitative judgment. Although management believes its processes for determining the allowance adequately considers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on the loan portfolio and allowance for credit losses can be found in the sections of Management’s Discussion and Analysis titled “Asset Quality and Risk Elements” and “Nonperforming Assets” and in the section of Part I, Item 1 titled “Lending Activities”. Note 1 to the consolidated financial statements includes additional information on accounting policies related to the allowance for loan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2018, the percentage of total assets measured at fair value on a recurring basis was 21%. See Note 23 “Fair Value” in the consolidated financial statements herein for additional disclosures regarding the fair value of our assets and liabilities, including a description of the fair value hierarchy.</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Impaired loans and foreclosed assets may be measured and carried at fair value, the determination of which requires management to make assumptions, estimates and judgments. When a loan is considered individually impaired, the loan is carried on a net basis at the present value of estimated future cash flows using the loan’s existing rate or at the fair value of collateral if repayment is expected solely from the collateral through either a specific valuation allowance or a charge-off. In addition, foreclosed assets are carried at the lower of cost, fair value, less cost to sell, or listed selling price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Although management believes its processes for determining the value of impaired loans and foreclosed properties are appropriate and allow United to arrive at a fair value, the processes require management judgment and assumptions and the value of such assets at the time they are revalued or divested may be significantly different from management’s determination of fair value. In addition, because of subjectivity in fair value determinations, there may be grounds for differences in opinions, which may result in disagreements between management and the Bank’s regulators, disagreements which could cause the Bank to change its judgments about fair value.</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values for available-for-sale and held-to-maturity securities are generally based upon quoted market prices or observable market prices for similar instruments. Management utilizes a third-party pricing service to assist with determining the fair value of its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 United periodically reviews available-for-sale securities that are in an unrealized loss position to determine whether other-than-temporary impairment exists. An unrealized loss exists when the current fair value of an individual security is less than its amortized cost-basis. The primary factors management considers in determining whether impairment is other-than-temporary are long term expectations and recent experience regarding principal and interest payments, and the ability and intent to hold the security until the amortized cost basis is recovered.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derivatives primarily to manage its interest rate risk or to help its customers manage their interest rate risk. The fair values of derivative financial instruments are determined based on quoted market prices, dealer quotes and internal pricing models that are primarily sensitive to market observable data. However, United does evaluate the level of these observable inputs and there are some instances, with highly structured transactions, where United has determined that the inputs are not directly observable. United mitigates the credit risk by subjecting counterparties to credit reviews and approvals similar to those used in making loans and other extensions of credit. In addition, certain counterparties are required to provide collateral to United when their unsecured loss positions exceed certain negotiated limits.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recognizes a servicing rights asset upon the sale of residential mortgage loans and SBA/USDA loans sold with servicing retained. Servicing right assets are carried at fair value. Given the nature of these SBA/USDA and residential mortgage servicing assets, the key valuation inputs are unobservable and United discloses them as a level 3 item. Prior to January 1, 2017, United carried the mortgage servicing right asset at amortized cost.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9" w:lineRule="auto"/>
        <w:rPr>
          <w:sz w:val="20"/>
          <w:szCs w:val="20"/>
          <w:color w:val="auto"/>
        </w:rPr>
      </w:pPr>
      <w:r>
        <w:rPr>
          <w:rFonts w:ascii="Arial" w:cs="Arial" w:eastAsia="Arial" w:hAnsi="Arial"/>
          <w:sz w:val="17"/>
          <w:szCs w:val="17"/>
          <w:color w:val="auto"/>
        </w:rPr>
        <w:t>Beginning in the third quarter of 2016, management elected the fair value option for most newly originated mortgage loans held for sale. United elected the fair value option for its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as such is categorized as level 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United had $995,000 of available-for-sale securities, $7.51 million in servicing rights for SBA/USDA loans, $11.9 million in residential mortgage servicing rights and $11.8 million in derivative assets that were valued using unobservable inputs. The sum of these items represents less than 0.26% of total assets. United also had $15.7 million in derivative liabilities that were valued using unobservable inputs, which represents 0.14% of total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 liabilities or assets are established for the amount of taxes payable or refundable for the current or prior years.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regulatory agencies and federal and state taxing authorities, will not differ from management’s current assessment, the impact of which could be significant to the consolidated results of operations and reported earnings.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2018, United reported a net deferred tax asset totaling $64.2 million, net of a valuation allowance of $3.37 million. Management assesses whether a valuation allowance should be established against the deferred tax asset based on the consideration of all available evidence, both positive and negative, using a “more likely than not” standard. In making such judgments, significant weight is given to evidence that can be objectively verified.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Regulatory risk-based capital rules limit the amount of deferred tax assets that a bank or bank holding company can include in Tier 1 capital. Generally, deferred tax assets that arise from net operating loss and tax credit carryforwards, net of any related valuation allowances and net of deferred tax liabilities, are excluded from CET1 and Tier 1 capital. Deferred tax assets arising from temporary differences that could not be realized through net operating loss carrybacks, net of related valuation allowances and net of deferred tax liabilities, that exceed certain thresholds are excluded from CET1 and Tier 1 capital.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selectively engages in the evaluation of strategic partnerships. Mergers and acquisitions present opportunities to enter new markets with an established presence and a capable management team already in place or enhance our market share in markets where we already have an established presence.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 2018, United completed the acquisition of NLFC and its wholly-owned subsidiary, Navitas Credit Corp (“Navitas”). Navitas is a specialty lending company providing equipment finance credit services to small and medium-sized businesses nationwide. In connection with the acquisition, United acquired $393 million of assets and assumed $350 million of liabilities. Under the terms of the merger agreement, NLFC shareholders received $130 million in total consideration, of which $84.5 million was paid in cash and $45.7 million was paid in United common stock. The fair value of consideration paid exceeded the fair value of the identifiable assets and liabilities acquired and resulted in the establishment of goodwill in the amount of $87.4 million, representing the intangible value of NLFC’s business and reputation within the markets it served.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 2017, United completed the acquisition of FOFN and its wholly-owned bank subsidiary, Four Oaks Bank &amp; Trust Company. FOFN operated 14 banking offices in the Raleigh, North Carolina area. In connection with the acquisition, United acquired $730 million of assets and assumed $658 million of liabilities. Under the terms of the merger agreement, FOFN shareholders received 0.6178 shares of United common stock and $1.90 for each share of FOFN common stock issued and outstanding at the closing date, or an aggregate of $126 million. The fair value of consideration paid exceeded the fair value of the identifiable assets and liabilities acquired and resulted in the establishment of goodwill in the amount of $53.5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17"/>
          <w:szCs w:val="17"/>
          <w:color w:val="auto"/>
        </w:rPr>
        <w:t>On July 31, 2017, United completed the acquisition of HCSB and its wholly-owned bank subsidiary, Horry County State Bank. HCSB operated eight branches in coastal South Carolina. In connection with the acquisition, United acquired $389 million of assets and assumed $347 million of liabilities. Under the terms of the merger agreement, HCSB shareholders received 0.0050 shares of United common stock for each share of HCSB common stock issued and outstanding at the closing date, or an aggregate of $65.8 million. The fair value of consideration paid exceeded the fair value of the identifiable assets and liabilities acquired and resulted in the establishment of goodwill in the amount of $24.2 million.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2016, United completed the acquisition of Tidelands and its wholly-owned bank subsidiary, Tidelands Bank. Tidelands operated seven branches in coastal South Carolina. In connection with the acquisition, United acquired $440 million of assets and assumed $440 million of liabilities. Under the terms of the merger agreement, Tidelands’ shareholders received cash equal to $0.52 per common share, or an aggregate of $2.22 million. Additionally, at closing, United redeemed all of Tidelands’ fixed-rate cumulative preferred stock that was issued to the U.S. Treasury under the Capital Purchase Program, plus unpaid dividends, for $8.98 million in aggregate. The fair value of consideration paid exceeded the fair value of the identifiable assets and liabilities acquired and resulted in the establishment of goodwill in the amount of $10.7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United will continue to evaluate potential transactions as opportunities arise.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5, 2019, United announced that it had entered into a definitive merger agreement to acquire First Madison Bank &amp; Trust (“First Madison”). As of December 31, 2018, First Madison had total assets of $258 million, loans of $202 million and deposits of $213 million. First Madison, which currently operates four banking offices in the Athens-Clarke County, Georgia metropolitan statistical area, will merge into and operate under the brand of the Bank.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merger agreement, which has been unanimously approved by the Boards of Directors of both companies, First Madison shareholders will receive merger consideration of $52.0 million in cash.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which is subject to regulatory approval, the approval of shareholders of First Madison, and other customary conditions, is expected to close in the second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10-K contains financial information determined by methods other than in accordance with GAAP. Such non-GAAP financial information includes the following measures: “tangible book value per common share,” “tangible equity to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tables on pages 38 through 39.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Non-GAAP Performance Measures Reconciliation -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400"/>
              <w:spacing w:after="0"/>
              <w:rPr>
                <w:sz w:val="20"/>
                <w:szCs w:val="20"/>
                <w:color w:val="auto"/>
              </w:rPr>
            </w:pPr>
            <w:r>
              <w:rPr>
                <w:rFonts w:ascii="Arial" w:cs="Arial" w:eastAsia="Arial" w:hAnsi="Arial"/>
                <w:sz w:val="13"/>
                <w:szCs w:val="13"/>
                <w:b w:val="1"/>
                <w:bCs w:val="1"/>
                <w:color w:val="auto"/>
              </w:rPr>
              <w:t>For the Twelve Months Ended December 31,</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Expense reconciliation</w:t>
            </w: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Expenses (GAAP)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306,285</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267,611</w:t>
            </w:r>
          </w:p>
        </w:tc>
        <w:tc>
          <w:tcPr>
            <w:tcW w:w="10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241,289</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211,238</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162,865</w:t>
            </w:r>
          </w:p>
        </w:tc>
        <w:tc>
          <w:tcPr>
            <w:tcW w:w="0" w:type="dxa"/>
            <w:vAlign w:val="bottom"/>
          </w:tcPr>
          <w:p>
            <w:pPr>
              <w:spacing w:after="0"/>
              <w:rPr>
                <w:sz w:val="1"/>
                <w:szCs w:val="1"/>
                <w:color w:val="auto"/>
              </w:rPr>
            </w:pP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(7,345)</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(14,662)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(8,122)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(17,995)</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Expenses - operating</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298,940</w:t>
            </w:r>
          </w:p>
        </w:tc>
        <w:tc>
          <w:tcPr>
            <w:tcW w:w="12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252,949</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233,167</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193,243</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162,865</w:t>
            </w:r>
          </w:p>
        </w:tc>
        <w:tc>
          <w:tcPr>
            <w:tcW w:w="0" w:type="dxa"/>
            <w:vAlign w:val="bottom"/>
          </w:tcPr>
          <w:p>
            <w:pPr>
              <w:spacing w:after="0"/>
              <w:rPr>
                <w:sz w:val="1"/>
                <w:szCs w:val="1"/>
                <w:color w:val="auto"/>
              </w:rPr>
            </w:pPr>
          </w:p>
        </w:tc>
      </w:tr>
      <w:tr>
        <w:trPr>
          <w:trHeight w:val="25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Net income reconciliation</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Net income (GAAP)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166,111</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67,821</w:t>
            </w:r>
          </w:p>
        </w:tc>
        <w:tc>
          <w:tcPr>
            <w:tcW w:w="10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100,656</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71,578</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67,620</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7,345</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14,662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8,122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17,995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Income tax benefit of merger-related and other charges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(3,745)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(3,074)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(6,388)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38,199</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3,400</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Net income - operating</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171,962</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120,337</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106,680</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83,185</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67,620</w:t>
            </w:r>
          </w:p>
        </w:tc>
        <w:tc>
          <w:tcPr>
            <w:tcW w:w="0" w:type="dxa"/>
            <w:vAlign w:val="bottom"/>
          </w:tcPr>
          <w:p>
            <w:pPr>
              <w:spacing w:after="0"/>
              <w:rPr>
                <w:sz w:val="1"/>
                <w:szCs w:val="1"/>
                <w:color w:val="auto"/>
              </w:rPr>
            </w:pPr>
          </w:p>
        </w:tc>
      </w:tr>
      <w:tr>
        <w:trPr>
          <w:trHeight w:val="25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Diluted income per common share reconciliation</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Diluted income per common share (GAAP)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0.07</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512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3"/>
                <w:szCs w:val="13"/>
                <w:color w:val="auto"/>
              </w:rPr>
              <w:t>Diluted income per common share - operating</w:t>
            </w:r>
          </w:p>
        </w:tc>
        <w:tc>
          <w:tcPr>
            <w:tcW w:w="26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2.14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1.63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1.48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1.27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Book value per common share reconciliation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Book value per common share (GAAP)</w:t>
            </w:r>
          </w:p>
        </w:tc>
        <w:tc>
          <w:tcPr>
            <w:tcW w:w="26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18.24</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16.67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15.06</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14.02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12.20</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F0FFFF"/>
            </w:tcBorders>
            <w:gridSpan w:val="2"/>
          </w:tcPr>
          <w:p>
            <w:pPr>
              <w:ind w:left="40"/>
              <w:spacing w:after="0"/>
              <w:rPr>
                <w:sz w:val="20"/>
                <w:szCs w:val="20"/>
                <w:color w:val="auto"/>
              </w:rPr>
            </w:pPr>
            <w:r>
              <w:rPr>
                <w:rFonts w:ascii="Arial" w:cs="Arial" w:eastAsia="Arial" w:hAnsi="Arial"/>
                <w:sz w:val="13"/>
                <w:szCs w:val="13"/>
                <w:color w:val="auto"/>
              </w:rPr>
              <w:t>Effect of goodwill and other intangibles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(3.02)</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42"/>
        </w:trPr>
        <w:tc>
          <w:tcPr>
            <w:tcW w:w="512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3"/>
                <w:szCs w:val="13"/>
                <w:color w:val="auto"/>
              </w:rPr>
              <w:t>Tangible book value per common share</w:t>
            </w:r>
          </w:p>
        </w:tc>
        <w:tc>
          <w:tcPr>
            <w:tcW w:w="26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14.24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13.65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12.95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12.06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12.15</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Return on tangible common equity reconciliation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Return on common equity (GAAP)</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11.60 %</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5.67 %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9.41 %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8.15 %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9.17 %</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Return on common equity - operating</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12.01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Effect of goodwill and other intangibles</w:t>
            </w: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0.76</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Return on tangible common equity - operating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15.69 %</w:t>
            </w:r>
          </w:p>
        </w:tc>
        <w:tc>
          <w:tcPr>
            <w:tcW w:w="12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12.02 %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9.32 %</w:t>
            </w:r>
          </w:p>
        </w:tc>
        <w:tc>
          <w:tcPr>
            <w:tcW w:w="0" w:type="dxa"/>
            <w:vAlign w:val="bottom"/>
          </w:tcPr>
          <w:p>
            <w:pPr>
              <w:spacing w:after="0"/>
              <w:rPr>
                <w:sz w:val="1"/>
                <w:szCs w:val="1"/>
                <w:color w:val="auto"/>
              </w:rPr>
            </w:pPr>
          </w:p>
        </w:tc>
      </w:tr>
      <w:tr>
        <w:trPr>
          <w:trHeight w:val="25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Return on assets reconciliation</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Return on assets (GAAP)</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1.35 %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0.62 %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0.85 %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0.91 %</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0.13</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512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3"/>
                <w:szCs w:val="13"/>
                <w:color w:val="auto"/>
              </w:rPr>
              <w:t>Return on assets - operating</w:t>
            </w:r>
          </w:p>
        </w:tc>
        <w:tc>
          <w:tcPr>
            <w:tcW w:w="26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1.40 %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1.06 %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0.98 %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0.91 %</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Dividend payout ratio reconciliation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Dividend payout ratio (GAAP)</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28.02 %</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41.30 %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21.43 %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20.18 %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9.91 %</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(11.61)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(0.73)</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Dividend payout ratio - operating</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27.10 %</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23.31 %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20.27 %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17.32 %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9.91 %</w:t>
            </w:r>
          </w:p>
        </w:tc>
        <w:tc>
          <w:tcPr>
            <w:tcW w:w="0" w:type="dxa"/>
            <w:vAlign w:val="bottom"/>
          </w:tcPr>
          <w:p>
            <w:pPr>
              <w:spacing w:after="0"/>
              <w:rPr>
                <w:sz w:val="1"/>
                <w:szCs w:val="1"/>
                <w:color w:val="auto"/>
              </w:rPr>
            </w:pPr>
          </w:p>
        </w:tc>
      </w:tr>
      <w:tr>
        <w:trPr>
          <w:trHeight w:val="25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Efficiency ratio reconciliation</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Efficiency ratio (GAAP)</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57.31 %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59.95 %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59.80 %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63.96 %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58.26 %</w:t>
            </w:r>
          </w:p>
        </w:tc>
        <w:tc>
          <w:tcPr>
            <w:tcW w:w="0" w:type="dxa"/>
            <w:vAlign w:val="bottom"/>
          </w:tcPr>
          <w:p>
            <w:pPr>
              <w:spacing w:after="0"/>
              <w:rPr>
                <w:sz w:val="1"/>
                <w:szCs w:val="1"/>
                <w:color w:val="auto"/>
              </w:rPr>
            </w:pP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Efficiency ratio - operating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55.94 %</w:t>
            </w:r>
          </w:p>
        </w:tc>
        <w:tc>
          <w:tcPr>
            <w:tcW w:w="12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56.67 %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57.78 %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58.51 %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58.26 %</w:t>
            </w:r>
          </w:p>
        </w:tc>
        <w:tc>
          <w:tcPr>
            <w:tcW w:w="0" w:type="dxa"/>
            <w:vAlign w:val="bottom"/>
          </w:tcPr>
          <w:p>
            <w:pPr>
              <w:spacing w:after="0"/>
              <w:rPr>
                <w:sz w:val="1"/>
                <w:szCs w:val="1"/>
                <w:color w:val="auto"/>
              </w:rPr>
            </w:pPr>
          </w:p>
        </w:tc>
      </w:tr>
      <w:tr>
        <w:trPr>
          <w:trHeight w:val="25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Average equity to assets reconciliation</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Equity to assets (GAAP)</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11.24 %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10.71 %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10.54 %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10.27 %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9.69 %</w:t>
            </w:r>
          </w:p>
        </w:tc>
        <w:tc>
          <w:tcPr>
            <w:tcW w:w="0" w:type="dxa"/>
            <w:vAlign w:val="bottom"/>
          </w:tcPr>
          <w:p>
            <w:pPr>
              <w:spacing w:after="0"/>
              <w:rPr>
                <w:sz w:val="1"/>
                <w:szCs w:val="1"/>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Effect of goodwill and other intangibles</w:t>
            </w:r>
          </w:p>
        </w:tc>
        <w:tc>
          <w:tcPr>
            <w:tcW w:w="26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F0FFFF"/>
          </w:tcPr>
          <w:p>
            <w:pPr>
              <w:spacing w:after="0"/>
              <w:rPr>
                <w:sz w:val="24"/>
                <w:szCs w:val="24"/>
                <w:color w:val="auto"/>
              </w:rPr>
            </w:pPr>
          </w:p>
        </w:tc>
        <w:tc>
          <w:tcPr>
            <w:tcW w:w="2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F0FFFF"/>
          </w:tcPr>
          <w:p>
            <w:pPr>
              <w:spacing w:after="0"/>
              <w:rPr>
                <w:sz w:val="24"/>
                <w:szCs w:val="24"/>
                <w:color w:val="auto"/>
              </w:rPr>
            </w:pPr>
          </w:p>
        </w:tc>
        <w:tc>
          <w:tcPr>
            <w:tcW w:w="2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F0FFFF"/>
          </w:tcPr>
          <w:p>
            <w:pPr>
              <w:spacing w:after="0"/>
              <w:rPr>
                <w:sz w:val="24"/>
                <w:szCs w:val="24"/>
                <w:color w:val="auto"/>
              </w:rPr>
            </w:pPr>
          </w:p>
        </w:tc>
        <w:tc>
          <w:tcPr>
            <w:tcW w:w="2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(0.53)</w:t>
            </w:r>
          </w:p>
        </w:tc>
        <w:tc>
          <w:tcPr>
            <w:tcW w:w="100" w:type="dxa"/>
            <w:vAlign w:val="bottom"/>
            <w:shd w:val="clear" w:color="auto" w:fill="F0FFFF"/>
          </w:tcPr>
          <w:p>
            <w:pPr>
              <w:spacing w:after="0"/>
              <w:rPr>
                <w:sz w:val="24"/>
                <w:szCs w:val="24"/>
                <w:color w:val="auto"/>
              </w:rPr>
            </w:pPr>
          </w:p>
        </w:tc>
        <w:tc>
          <w:tcPr>
            <w:tcW w:w="2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67"/>
        </w:trPr>
        <w:tc>
          <w:tcPr>
            <w:tcW w:w="5120" w:type="dxa"/>
            <w:vAlign w:val="bottom"/>
            <w:gridSpan w:val="2"/>
          </w:tcPr>
          <w:p>
            <w:pPr>
              <w:ind w:left="280"/>
              <w:spacing w:after="0"/>
              <w:rPr>
                <w:sz w:val="20"/>
                <w:szCs w:val="20"/>
                <w:color w:val="auto"/>
              </w:rPr>
            </w:pPr>
            <w:r>
              <w:rPr>
                <w:rFonts w:ascii="Arial" w:cs="Arial" w:eastAsia="Arial" w:hAnsi="Arial"/>
                <w:sz w:val="13"/>
                <w:szCs w:val="13"/>
                <w:color w:val="auto"/>
              </w:rPr>
              <w:t>Tangible equity to assets</w:t>
            </w:r>
          </w:p>
        </w:tc>
        <w:tc>
          <w:tcPr>
            <w:tcW w:w="26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8.92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bl>
    <w:p>
      <w:pPr>
        <w:sectPr>
          <w:pgSz w:w="11900" w:h="16881" w:orient="portrait"/>
          <w:cols w:equalWidth="0" w:num="1">
            <w:col w:w="11420"/>
          </w:cols>
          <w:pgMar w:left="240" w:top="580"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color w:val="auto"/>
              </w:rPr>
              <w:t>Effect of preferred equity</w:t>
            </w: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F0FFFF"/>
          </w:tcPr>
          <w:p>
            <w:pPr>
              <w:spacing w:after="0"/>
              <w:rPr>
                <w:sz w:val="22"/>
                <w:szCs w:val="22"/>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F0FFFF"/>
          </w:tcPr>
          <w:p>
            <w:pPr>
              <w:spacing w:after="0"/>
              <w:rPr>
                <w:sz w:val="22"/>
                <w:szCs w:val="22"/>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(0.07)</w:t>
            </w:r>
          </w:p>
        </w:tc>
      </w:tr>
      <w:tr>
        <w:trPr>
          <w:trHeight w:val="282"/>
        </w:trPr>
        <w:tc>
          <w:tcPr>
            <w:tcW w:w="5120" w:type="dxa"/>
            <w:vAlign w:val="bottom"/>
            <w:tcBorders>
              <w:bottom w:val="single" w:sz="8" w:color="F0FFFF"/>
            </w:tcBorders>
          </w:tcPr>
          <w:p>
            <w:pPr>
              <w:ind w:left="280"/>
              <w:spacing w:after="0"/>
              <w:rPr>
                <w:sz w:val="20"/>
                <w:szCs w:val="20"/>
                <w:color w:val="auto"/>
              </w:rPr>
            </w:pPr>
            <w:r>
              <w:rPr>
                <w:rFonts w:ascii="Arial" w:cs="Arial" w:eastAsia="Arial" w:hAnsi="Arial"/>
                <w:sz w:val="13"/>
                <w:szCs w:val="13"/>
                <w:color w:val="auto"/>
              </w:rPr>
              <w:t>Tangible common equity to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8.92 %</w:t>
            </w:r>
          </w:p>
        </w:tc>
        <w:tc>
          <w:tcPr>
            <w:tcW w:w="120" w:type="dxa"/>
            <w:vAlign w:val="bottom"/>
            <w:tcBorders>
              <w:bottom w:val="single" w:sz="8" w:color="F0FF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9.29 %</w:t>
            </w:r>
          </w:p>
        </w:tc>
        <w:tc>
          <w:tcPr>
            <w:tcW w:w="100" w:type="dxa"/>
            <w:vAlign w:val="bottom"/>
            <w:tcBorders>
              <w:bottom w:val="single" w:sz="8" w:color="F0FF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9.19 %</w:t>
            </w:r>
          </w:p>
        </w:tc>
        <w:tc>
          <w:tcPr>
            <w:tcW w:w="100" w:type="dxa"/>
            <w:vAlign w:val="bottom"/>
            <w:tcBorders>
              <w:bottom w:val="single" w:sz="8" w:color="F0FF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9.66 %</w:t>
            </w:r>
          </w:p>
        </w:tc>
        <w:tc>
          <w:tcPr>
            <w:tcW w:w="100" w:type="dxa"/>
            <w:vAlign w:val="bottom"/>
            <w:tcBorders>
              <w:bottom w:val="single" w:sz="8" w:color="F0FF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9.60 %</w:t>
            </w:r>
          </w:p>
        </w:tc>
      </w:tr>
      <w:tr>
        <w:trPr>
          <w:trHeight w:val="252"/>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b w:val="1"/>
                <w:bCs w:val="1"/>
                <w:color w:val="auto"/>
              </w:rPr>
              <w:t>Tangible common equity to risk-weighted assets reconciliation</w:t>
            </w:r>
          </w:p>
        </w:tc>
        <w:tc>
          <w:tcPr>
            <w:tcW w:w="11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80" w:type="dxa"/>
            <w:vAlign w:val="bottom"/>
            <w:shd w:val="clear" w:color="auto" w:fill="F0FFFF"/>
          </w:tcPr>
          <w:p>
            <w:pPr>
              <w:spacing w:after="0"/>
              <w:rPr>
                <w:sz w:val="21"/>
                <w:szCs w:val="21"/>
                <w:color w:val="auto"/>
              </w:rPr>
            </w:pPr>
          </w:p>
        </w:tc>
      </w:tr>
      <w:tr>
        <w:trPr>
          <w:trHeight w:val="262"/>
        </w:trPr>
        <w:tc>
          <w:tcPr>
            <w:tcW w:w="5120" w:type="dxa"/>
            <w:vAlign w:val="bottom"/>
          </w:tcPr>
          <w:p>
            <w:pPr>
              <w:ind w:left="40"/>
              <w:spacing w:after="0"/>
              <w:rPr>
                <w:sz w:val="20"/>
                <w:szCs w:val="20"/>
                <w:color w:val="auto"/>
              </w:rPr>
            </w:pPr>
            <w:r>
              <w:rPr>
                <w:rFonts w:ascii="Arial" w:cs="Arial" w:eastAsia="Arial" w:hAnsi="Arial"/>
                <w:sz w:val="13"/>
                <w:szCs w:val="13"/>
                <w:color w:val="auto"/>
              </w:rPr>
              <w:t>Tier 1 capital ratio (Regulatory)</w:t>
            </w:r>
          </w:p>
        </w:tc>
        <w:tc>
          <w:tcPr>
            <w:tcW w:w="1160" w:type="dxa"/>
            <w:vAlign w:val="bottom"/>
          </w:tcPr>
          <w:p>
            <w:pPr>
              <w:jc w:val="right"/>
              <w:spacing w:after="0"/>
              <w:rPr>
                <w:sz w:val="20"/>
                <w:szCs w:val="20"/>
                <w:color w:val="auto"/>
              </w:rPr>
            </w:pPr>
            <w:r>
              <w:rPr>
                <w:rFonts w:ascii="Arial" w:cs="Arial" w:eastAsia="Arial" w:hAnsi="Arial"/>
                <w:sz w:val="13"/>
                <w:szCs w:val="13"/>
                <w:color w:val="auto"/>
              </w:rPr>
              <w:t>12.42 %</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12.24 %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11.23 %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11.45 %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12.06 %</w:t>
            </w:r>
          </w:p>
        </w:tc>
      </w:tr>
      <w:tr>
        <w:trPr>
          <w:trHeight w:val="278"/>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color w:val="auto"/>
              </w:rPr>
              <w:t>Effect of other comprehensive income</w:t>
            </w:r>
          </w:p>
        </w:tc>
        <w:tc>
          <w:tcPr>
            <w:tcW w:w="116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(0.44)</w:t>
            </w:r>
          </w:p>
        </w:tc>
        <w:tc>
          <w:tcPr>
            <w:tcW w:w="12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(0.34)</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(0.38)</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(0.35)</w:t>
            </w:r>
          </w:p>
        </w:tc>
      </w:tr>
      <w:tr>
        <w:trPr>
          <w:trHeight w:val="262"/>
        </w:trPr>
        <w:tc>
          <w:tcPr>
            <w:tcW w:w="5120" w:type="dxa"/>
            <w:vAlign w:val="bottom"/>
          </w:tcPr>
          <w:p>
            <w:pPr>
              <w:ind w:left="40"/>
              <w:spacing w:after="0"/>
              <w:rPr>
                <w:sz w:val="20"/>
                <w:szCs w:val="20"/>
                <w:color w:val="auto"/>
              </w:rPr>
            </w:pPr>
            <w:r>
              <w:rPr>
                <w:rFonts w:ascii="Arial" w:cs="Arial" w:eastAsia="Arial" w:hAnsi="Arial"/>
                <w:sz w:val="13"/>
                <w:szCs w:val="13"/>
                <w:color w:val="auto"/>
              </w:rPr>
              <w:t>Effect of deferred tax limitation</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22"/>
                <w:szCs w:val="2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0.51</w:t>
            </w:r>
          </w:p>
        </w:tc>
        <w:tc>
          <w:tcPr>
            <w:tcW w:w="100" w:type="dxa"/>
            <w:vAlign w:val="bottom"/>
          </w:tcPr>
          <w:p>
            <w:pPr>
              <w:spacing w:after="0"/>
              <w:rPr>
                <w:sz w:val="22"/>
                <w:szCs w:val="2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2"/>
                <w:szCs w:val="2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22"/>
                <w:szCs w:val="2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3.11</w:t>
            </w:r>
          </w:p>
        </w:tc>
      </w:tr>
      <w:tr>
        <w:trPr>
          <w:trHeight w:val="278"/>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color w:val="auto"/>
              </w:rPr>
              <w:t>Effect of trust preferred</w:t>
            </w:r>
          </w:p>
        </w:tc>
        <w:tc>
          <w:tcPr>
            <w:tcW w:w="116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(0.26)</w:t>
            </w:r>
          </w:p>
        </w:tc>
        <w:tc>
          <w:tcPr>
            <w:tcW w:w="12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(0.36)</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(1.00)</w:t>
            </w:r>
          </w:p>
        </w:tc>
      </w:tr>
      <w:tr>
        <w:trPr>
          <w:trHeight w:val="262"/>
        </w:trPr>
        <w:tc>
          <w:tcPr>
            <w:tcW w:w="5120" w:type="dxa"/>
            <w:vAlign w:val="bottom"/>
          </w:tcPr>
          <w:p>
            <w:pPr>
              <w:ind w:left="40"/>
              <w:spacing w:after="0"/>
              <w:rPr>
                <w:sz w:val="20"/>
                <w:szCs w:val="20"/>
                <w:color w:val="auto"/>
              </w:rPr>
            </w:pPr>
            <w:r>
              <w:rPr>
                <w:rFonts w:ascii="Arial" w:cs="Arial" w:eastAsia="Arial" w:hAnsi="Arial"/>
                <w:sz w:val="13"/>
                <w:szCs w:val="13"/>
                <w:color w:val="auto"/>
              </w:rPr>
              <w:t>Effect of preferred equity</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(0.15)</w:t>
            </w:r>
          </w:p>
        </w:tc>
        <w:tc>
          <w:tcPr>
            <w:tcW w:w="100" w:type="dxa"/>
            <w:vAlign w:val="bottom"/>
          </w:tcPr>
          <w:p>
            <w:pPr>
              <w:spacing w:after="0"/>
              <w:rPr>
                <w:sz w:val="22"/>
                <w:szCs w:val="2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78"/>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color w:val="auto"/>
              </w:rPr>
              <w:t>Basel III intangibles transition adjustment</w:t>
            </w: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(0.06)</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64"/>
        </w:trPr>
        <w:tc>
          <w:tcPr>
            <w:tcW w:w="5120" w:type="dxa"/>
            <w:vAlign w:val="bottom"/>
          </w:tcPr>
          <w:p>
            <w:pPr>
              <w:ind w:left="40"/>
              <w:spacing w:after="0"/>
              <w:rPr>
                <w:sz w:val="20"/>
                <w:szCs w:val="20"/>
                <w:color w:val="auto"/>
              </w:rPr>
            </w:pPr>
            <w:r>
              <w:rPr>
                <w:rFonts w:ascii="Arial" w:cs="Arial" w:eastAsia="Arial" w:hAnsi="Arial"/>
                <w:sz w:val="13"/>
                <w:szCs w:val="13"/>
                <w:color w:val="auto"/>
              </w:rPr>
              <w:t>Basel III disallowed investments</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22"/>
                <w:szCs w:val="2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42"/>
        </w:trPr>
        <w:tc>
          <w:tcPr>
            <w:tcW w:w="5120" w:type="dxa"/>
            <w:vAlign w:val="bottom"/>
            <w:tcBorders>
              <w:top w:val="single" w:sz="8" w:color="F0FFFF"/>
              <w:bottom w:val="single" w:sz="8" w:color="F0FFFF"/>
            </w:tcBorders>
            <w:shd w:val="clear" w:color="auto" w:fill="F0FFFF"/>
          </w:tcPr>
          <w:p>
            <w:pPr>
              <w:ind w:left="280"/>
              <w:spacing w:after="0"/>
              <w:rPr>
                <w:sz w:val="20"/>
                <w:szCs w:val="20"/>
                <w:color w:val="auto"/>
              </w:rPr>
            </w:pPr>
            <w:r>
              <w:rPr>
                <w:rFonts w:ascii="Arial" w:cs="Arial" w:eastAsia="Arial" w:hAnsi="Arial"/>
                <w:sz w:val="13"/>
                <w:szCs w:val="13"/>
                <w:color w:val="auto"/>
              </w:rPr>
              <w:t>Tangible common equity to risk-weighted assets</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12.00 %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12.05 %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11.84 %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12.82 %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13.82 %</w:t>
            </w:r>
          </w:p>
        </w:tc>
      </w:tr>
      <w:tr>
        <w:trPr>
          <w:trHeight w:val="20"/>
        </w:trPr>
        <w:tc>
          <w:tcPr>
            <w:tcW w:w="5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83" w:right="239" w:bottom="1440" w:gutter="0" w:footer="0" w:header="0"/>
        </w:sectPr>
      </w:pPr>
    </w:p>
    <w:bookmarkStart w:id="41" w:name="page42"/>
    <w:bookmarkEnd w:id="41"/>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(Continued) - Non-GAAP Performance Measures Reconciliation - Quarterly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Fourth</w:t>
            </w:r>
          </w:p>
        </w:tc>
        <w:tc>
          <w:tcPr>
            <w:tcW w:w="140" w:type="dxa"/>
            <w:vAlign w:val="bottom"/>
          </w:tcPr>
          <w:p>
            <w:pPr>
              <w:spacing w:after="0"/>
              <w:rPr>
                <w:sz w:val="13"/>
                <w:szCs w:val="13"/>
                <w:color w:val="auto"/>
              </w:rPr>
            </w:pPr>
          </w:p>
        </w:tc>
        <w:tc>
          <w:tcPr>
            <w:tcW w:w="80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3"/>
                <w:szCs w:val="13"/>
                <w:color w:val="auto"/>
              </w:rPr>
            </w:pPr>
          </w:p>
        </w:tc>
        <w:tc>
          <w:tcPr>
            <w:tcW w:w="8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3"/>
                <w:szCs w:val="13"/>
                <w:color w:val="auto"/>
              </w:rPr>
            </w:pP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3"/>
                <w:szCs w:val="13"/>
                <w:color w:val="auto"/>
              </w:rPr>
            </w:pPr>
          </w:p>
        </w:tc>
        <w:tc>
          <w:tcPr>
            <w:tcW w:w="8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82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3"/>
                <w:szCs w:val="13"/>
                <w:color w:val="auto"/>
              </w:rPr>
            </w:pPr>
          </w:p>
        </w:tc>
        <w:tc>
          <w:tcPr>
            <w:tcW w:w="700" w:type="dxa"/>
            <w:vAlign w:val="bottom"/>
          </w:tcPr>
          <w:p>
            <w:pPr>
              <w:jc w:val="right"/>
              <w:ind w:right="212"/>
              <w:spacing w:after="0" w:line="159" w:lineRule="exact"/>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 reconciliation</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Expenses (GAAP)</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78,242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77,718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76,850</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73,475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75,882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65,674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63,229</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62,826</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F0FF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(1,234)</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(2,873)</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(2,646)</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(7,358)</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(3,420)</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(1,830)</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4"/>
                <w:szCs w:val="14"/>
                <w:color w:val="auto"/>
              </w:rPr>
              <w:t>Expenses - operating</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77,008</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77,126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73,977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70,829</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68,524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62,254</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61,399</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60,772</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income reconciliation</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Net income (GAAP)</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45,137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43,682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39,634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37,658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(11,916)</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27,946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28,267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23,524</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2,873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2,646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7,358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Income tax benefit of merger-related and other charges</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(1,147)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Impact of tax reform on remeasurement of deferred tax asset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38,199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Release of disproportionate tax effects lodged in OCI</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Net income - operating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45,767</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44,133</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42,386</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39,676</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32,476</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30,219</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29,422</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28,220</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Diluted income per common share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Impact of tax reform on remeasurement of deferred tax asset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Release of disproportionate tax effects lodged in OCI</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Diluted income per common share - operating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0.55</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0.53</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Book value per common share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Book value per common share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Tangible book value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13.54</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13.25</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13.65</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13.74</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Return on common equity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11.96 %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11.20 %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9.22 %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8.54 %</w:t>
            </w: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0.60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0.75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0.41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Impact of tax reform on remeasurement of deferred tax asset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Release of disproportionate tax effects lodged in OCI</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50"/>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Return on common equity - operating</w:t>
            </w: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Return on tangible common equity - operating</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11.93 %</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12.10 %</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Return on assets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Return on assets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0.89 %</w:t>
            </w: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Impact of tax reform on remeasurement of deferred tax asset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Release of disproportionate tax effects lodged in OCI</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Return on assets - operating</w:t>
            </w: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1.09 %</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Dividend payout ratio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Dividend payout ratio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28.57 %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30.61 %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26.32 %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27.27 %</w:t>
            </w: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(0.51)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12.04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Impact of tax reform on remeasurement of deferred tax asset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74.27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Release of disproportionate tax effects lodged in OCI</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Dividend payout ratio - operating</w:t>
            </w: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28.07 %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27.27 %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28.30 %</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24.00 %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23.81 %</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24.39 %</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23.08 %</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Efficiency ratio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Efficiency ratio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56.73 %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56.82 %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57.94 %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57.83 %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63.03 %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59.27 %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57.89 %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59.29 %</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Efficiency ratio - operating</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55.83 %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56.39 %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55.77 %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55.75 %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56.92 %</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56.18 %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56.21 %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57.35 %</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Average equity to assets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Equity to assets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11.35 %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11.21 %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10.86 %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10.24 %</w:t>
            </w:r>
          </w:p>
        </w:tc>
        <w:tc>
          <w:tcPr>
            <w:tcW w:w="0" w:type="dxa"/>
            <w:vAlign w:val="bottom"/>
          </w:tcPr>
          <w:p>
            <w:pPr>
              <w:spacing w:after="0"/>
              <w:rPr>
                <w:sz w:val="1"/>
                <w:szCs w:val="1"/>
                <w:color w:val="auto"/>
              </w:rPr>
            </w:pPr>
          </w:p>
        </w:tc>
      </w:tr>
      <w:tr>
        <w:trPr>
          <w:trHeight w:val="27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Tangible common equity to assets</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9.52 %</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8.96 %</w:t>
            </w:r>
          </w:p>
        </w:tc>
        <w:tc>
          <w:tcPr>
            <w:tcW w:w="0" w:type="dxa"/>
            <w:vAlign w:val="bottom"/>
          </w:tcPr>
          <w:p>
            <w:pPr>
              <w:spacing w:after="0"/>
              <w:rPr>
                <w:sz w:val="1"/>
                <w:szCs w:val="1"/>
                <w:color w:val="auto"/>
              </w:rPr>
            </w:pPr>
          </w:p>
        </w:tc>
      </w:tr>
      <w:tr>
        <w:trPr>
          <w:trHeight w:val="251"/>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w w:val="92"/>
              </w:rPr>
              <w:t>Tangible common equity to risk-weighted assets reconciliation</w:t>
            </w: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Tier 1 capital ratio (Regulatory)</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12.42 %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12.25 %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11.94 %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12.24 %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12.27 %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11.46 %</w:t>
            </w:r>
          </w:p>
        </w:tc>
        <w:tc>
          <w:tcPr>
            <w:tcW w:w="0" w:type="dxa"/>
            <w:vAlign w:val="bottom"/>
          </w:tcPr>
          <w:p>
            <w:pPr>
              <w:spacing w:after="0"/>
              <w:rPr>
                <w:sz w:val="1"/>
                <w:szCs w:val="1"/>
                <w:color w:val="auto"/>
              </w:rPr>
            </w:pPr>
          </w:p>
        </w:tc>
      </w:tr>
      <w:tr>
        <w:trPr>
          <w:trHeight w:val="277"/>
        </w:trPr>
        <w:tc>
          <w:tcPr>
            <w:tcW w:w="394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Effect of other comprehensive income</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(0.29)</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63"/>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Effect of deferred tax limitation</w:t>
            </w: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58"/>
        </w:trPr>
        <w:tc>
          <w:tcPr>
            <w:tcW w:w="38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8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4"/>
                <w:szCs w:val="14"/>
                <w:color w:val="auto"/>
              </w:rPr>
              <w:t>Effect of trust preferred</w:t>
            </w:r>
          </w:p>
        </w:tc>
        <w:tc>
          <w:tcPr>
            <w:tcW w:w="840" w:type="dxa"/>
            <w:vAlign w:val="bottom"/>
            <w:tcBorders>
              <w:bottom w:val="single" w:sz="8" w:color="F0FFFF"/>
            </w:tcBorders>
            <w:shd w:val="clear" w:color="auto" w:fill="F0FFFF"/>
          </w:tcPr>
          <w:p>
            <w:pPr>
              <w:jc w:val="right"/>
              <w:ind w:right="72"/>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jc w:val="right"/>
              <w:ind w:right="52"/>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jc w:val="right"/>
              <w:ind w:right="52"/>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jc w:val="right"/>
              <w:ind w:right="72"/>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F0FFFF"/>
            </w:tcBorders>
            <w:shd w:val="clear" w:color="auto" w:fill="F0FFFF"/>
          </w:tcPr>
          <w:p>
            <w:pPr>
              <w:spacing w:after="0"/>
              <w:rPr>
                <w:sz w:val="19"/>
                <w:szCs w:val="19"/>
                <w:color w:val="auto"/>
              </w:rPr>
            </w:pPr>
          </w:p>
        </w:tc>
        <w:tc>
          <w:tcPr>
            <w:tcW w:w="860" w:type="dxa"/>
            <w:vAlign w:val="bottom"/>
            <w:tcBorders>
              <w:bottom w:val="single" w:sz="8" w:color="F0FFFF"/>
            </w:tcBorders>
            <w:shd w:val="clear" w:color="auto" w:fill="F0FFFF"/>
          </w:tcPr>
          <w:p>
            <w:pPr>
              <w:jc w:val="right"/>
              <w:ind w:right="72"/>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F0FFFF"/>
            </w:tcBorders>
            <w:shd w:val="clear" w:color="auto" w:fill="F0FFFF"/>
          </w:tcPr>
          <w:p>
            <w:pPr>
              <w:jc w:val="right"/>
              <w:ind w:right="52"/>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jc w:val="right"/>
              <w:ind w:right="72"/>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jc w:val="right"/>
              <w:ind w:right="52"/>
              <w:spacing w:after="0"/>
              <w:rPr>
                <w:sz w:val="20"/>
                <w:szCs w:val="20"/>
                <w:color w:val="auto"/>
              </w:rPr>
            </w:pPr>
            <w:r>
              <w:rPr>
                <w:rFonts w:ascii="Arial" w:cs="Arial" w:eastAsia="Arial" w:hAnsi="Arial"/>
                <w:sz w:val="14"/>
                <w:szCs w:val="14"/>
                <w:color w:val="auto"/>
              </w:rPr>
              <w:t>(0.25)</w:t>
            </w: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Basel III intangibles transition adjustment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2"/>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(0.03)</w:t>
            </w:r>
          </w:p>
        </w:tc>
      </w:tr>
      <w:tr>
        <w:trPr>
          <w:trHeight w:val="243"/>
        </w:trPr>
        <w:tc>
          <w:tcPr>
            <w:tcW w:w="3940" w:type="dxa"/>
            <w:vAlign w:val="bottom"/>
            <w:tcBorders>
              <w:top w:val="single" w:sz="8" w:color="F0FFFF"/>
              <w:bottom w:val="single" w:sz="8" w:color="F0FFFF"/>
            </w:tcBorders>
            <w:shd w:val="clear" w:color="auto" w:fill="F0FFFF"/>
          </w:tcPr>
          <w:p>
            <w:pPr>
              <w:ind w:left="280"/>
              <w:spacing w:after="0"/>
              <w:rPr>
                <w:sz w:val="20"/>
                <w:szCs w:val="20"/>
                <w:color w:val="auto"/>
              </w:rPr>
            </w:pPr>
            <w:r>
              <w:rPr>
                <w:rFonts w:ascii="Arial" w:cs="Arial" w:eastAsia="Arial" w:hAnsi="Arial"/>
                <w:sz w:val="14"/>
                <w:szCs w:val="14"/>
                <w:color w:val="auto"/>
              </w:rPr>
              <w:t>Tangible common equity to risk-weighted assets</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11.61 %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11.36 %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11.19 %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12.05 %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12.80 %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12.44 %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12.07 %</w:t>
            </w:r>
          </w:p>
        </w:tc>
      </w:tr>
      <w:tr>
        <w:trPr>
          <w:trHeight w:val="20"/>
        </w:trPr>
        <w:tc>
          <w:tcPr>
            <w:tcW w:w="3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$166 million for the year ended December 31, 2018. This compared to net income of $67.8 million in 2017. Diluted earnings per common share for 2018 were $2.07, compared to diluted earnings per common share for 2017 of $0.92.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other liabilities) is the single largest component of revenue. Management seeks to optimize this revenue while balancing interest rate, credit, and liquidity risks. Net interest revenue for 2018 was $439 million, compared to $356 million for 2017 and $310 million for 2016. Taxable equivalent net interest revenue totaled $441 million in 2018, an increase of $82.6 million, or 23%, from 2017. Taxable equivalent net interest revenue for 2017 increased $47.4 million, or 15%, from 2016.</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combination of the larger earning asset base from the Acquisitions, growth in the loan portfolio and a wider net interest margin were responsible for the increase in net interest revenue.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Average interest-earning assets for 2018 increased $1.12 billion, or 11%, from 2017, due primarily to the increase in loans. Average loans increased $1.02 billion, or 14%, from 2017, while the yield on loans increased 73 basis points, reflecting the effect of rising interest rates on the floating rate loans in the portfolio and the addition of higher yielding loans from FOFN and NLFC.</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interest-bearing liabilities in 2018 increased $582 million, or 8%, from the prior year, partly due to deposits received through the Acquisitions, as funding needs increased with the increase in loans and a larger securities portfolio. Average noninterest-bearing deposits increased $385 million from 2017 to 2018, providing some of United’s 2018 funding needs. The average cost of interest-bearing liabilities for 2018 was 0.82% compared to 0.49% for 2017, reflecting a higher average rate on interest-bearing deposits as United increased deposit rates to retain and capture more deposit market share, as well as a higher average rate on short-term borrowings.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the net interest spread and the net interest margin. The net interest spread measures the difference between the average yield on interest-earning assets and the average rate paid on interest-bearing liabilities. The interest rate spread eliminates the effect of noninterest-bearing deposits and other noninterest-bearing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interest-earning assets, which includes the positive effect of funding a portion of interest-earning assets with customers’ noninterest-bearing deposits and with shareholders’ equity.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2018, 2017 and 2016, the net interest spread was 3.63%, 3.37%, and 3.24%, respectively, while the net interest margin was 3.91%, 3.52%, and 3.36%, respectively. In 2018 and 2017, increases in loan yield and securities yield were only partially offset by an increase in the cost of interest-bearing liabilities, as rates paid on core deposits lagged general increases in market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fully taxable equivalent (FTE))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7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7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7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Avg.</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56"/>
        </w:trPr>
        <w:tc>
          <w:tcPr>
            <w:tcW w:w="298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F0FFFF"/>
          </w:tcPr>
          <w:p>
            <w:pPr>
              <w:spacing w:after="0"/>
              <w:rPr>
                <w:sz w:val="22"/>
                <w:szCs w:val="22"/>
                <w:color w:val="auto"/>
              </w:rPr>
            </w:pPr>
          </w:p>
        </w:tc>
        <w:tc>
          <w:tcPr>
            <w:tcW w:w="86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64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70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spacing w:after="0"/>
              <w:rPr>
                <w:sz w:val="22"/>
                <w:szCs w:val="22"/>
                <w:color w:val="auto"/>
              </w:rPr>
            </w:pPr>
          </w:p>
        </w:tc>
        <w:tc>
          <w:tcPr>
            <w:tcW w:w="82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64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72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spacing w:after="0"/>
              <w:rPr>
                <w:sz w:val="22"/>
                <w:szCs w:val="22"/>
                <w:color w:val="auto"/>
              </w:rPr>
            </w:pPr>
          </w:p>
        </w:tc>
        <w:tc>
          <w:tcPr>
            <w:tcW w:w="82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64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720" w:type="dxa"/>
            <w:vAlign w:val="bottom"/>
            <w:tcBorders>
              <w:top w:val="single" w:sz="8" w:color="auto"/>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Interest-earning assets: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 xml:space="preserve">Loans, net of unearned income (FTE) </w:t>
            </w:r>
            <w:r>
              <w:rPr>
                <w:rFonts w:ascii="Arial" w:cs="Arial" w:eastAsia="Arial" w:hAnsi="Arial"/>
                <w:sz w:val="8"/>
                <w:szCs w:val="8"/>
                <w:color w:val="auto"/>
              </w:rPr>
              <w:t>(1)(2)</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8,170,143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420,001</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w w:val="95"/>
              </w:rPr>
              <w:t>5.14%</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7,150,211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315,138</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w w:val="95"/>
              </w:rPr>
              <w:t>4.41%</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6,412,740</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w w:val="98"/>
              </w:rPr>
              <w:t>268,478</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 xml:space="preserve">Taxable securities </w:t>
            </w:r>
            <w:r>
              <w:rPr>
                <w:rFonts w:ascii="Arial" w:cs="Arial" w:eastAsia="Arial" w:hAnsi="Arial"/>
                <w:sz w:val="8"/>
                <w:szCs w:val="8"/>
                <w:color w:val="auto"/>
              </w:rPr>
              <w:t>(3)</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2,745,715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73,496</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2,761,983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70,172</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2,665,051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63,413</w:t>
            </w:r>
          </w:p>
        </w:tc>
        <w:tc>
          <w:tcPr>
            <w:tcW w:w="1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 xml:space="preserve">Tax-exempt securities (FTE) </w:t>
            </w:r>
            <w:r>
              <w:rPr>
                <w:rFonts w:ascii="Arial" w:cs="Arial" w:eastAsia="Arial" w:hAnsi="Arial"/>
                <w:sz w:val="8"/>
                <w:szCs w:val="8"/>
                <w:color w:val="auto"/>
              </w:rPr>
              <w:t>(1)(3)</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152,855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5,641</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85,415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3,627</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26,244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57"/>
        </w:trPr>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w w:val="99"/>
              </w:rPr>
              <w:t>Federal funds sold and other interest-earning</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assets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213,137</w:t>
            </w:r>
          </w:p>
        </w:tc>
        <w:tc>
          <w:tcPr>
            <w:tcW w:w="10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2,968</w:t>
            </w:r>
          </w:p>
        </w:tc>
        <w:tc>
          <w:tcPr>
            <w:tcW w:w="120" w:type="dxa"/>
            <w:vAlign w:val="bottom"/>
            <w:tcBorders>
              <w:bottom w:val="single" w:sz="8" w:color="F0FFFF"/>
            </w:tcBorders>
          </w:tcPr>
          <w:p>
            <w:pPr>
              <w:spacing w:after="0"/>
              <w:rPr>
                <w:sz w:val="16"/>
                <w:szCs w:val="16"/>
                <w:color w:val="auto"/>
              </w:rPr>
            </w:pPr>
          </w:p>
        </w:tc>
        <w:tc>
          <w:tcPr>
            <w:tcW w:w="700" w:type="dxa"/>
            <w:vAlign w:val="bottom"/>
            <w:tcBorders>
              <w:bottom w:val="single" w:sz="8" w:color="F0FFFF"/>
            </w:tcBorders>
          </w:tcPr>
          <w:p>
            <w:pPr>
              <w:ind w:left="300"/>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164,314</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2,966</w:t>
            </w:r>
          </w:p>
        </w:tc>
        <w:tc>
          <w:tcPr>
            <w:tcW w:w="100" w:type="dxa"/>
            <w:vAlign w:val="bottom"/>
            <w:tcBorders>
              <w:bottom w:val="single" w:sz="8" w:color="F0FFFF"/>
            </w:tcBorders>
          </w:tcPr>
          <w:p>
            <w:pPr>
              <w:spacing w:after="0"/>
              <w:rPr>
                <w:sz w:val="16"/>
                <w:szCs w:val="16"/>
                <w:color w:val="auto"/>
              </w:rPr>
            </w:pPr>
          </w:p>
        </w:tc>
        <w:tc>
          <w:tcPr>
            <w:tcW w:w="720" w:type="dxa"/>
            <w:vAlign w:val="bottom"/>
            <w:tcBorders>
              <w:bottom w:val="single" w:sz="8" w:color="F0FFFF"/>
            </w:tcBorders>
          </w:tcPr>
          <w:p>
            <w:pPr>
              <w:ind w:left="320"/>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152,722</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3,149</w:t>
            </w:r>
          </w:p>
        </w:tc>
        <w:tc>
          <w:tcPr>
            <w:tcW w:w="100" w:type="dxa"/>
            <w:vAlign w:val="bottom"/>
            <w:tcBorders>
              <w:bottom w:val="single" w:sz="8" w:color="F0FFFF"/>
            </w:tcBorders>
          </w:tcPr>
          <w:p>
            <w:pPr>
              <w:spacing w:after="0"/>
              <w:rPr>
                <w:sz w:val="16"/>
                <w:szCs w:val="16"/>
                <w:color w:val="auto"/>
              </w:rPr>
            </w:pPr>
          </w:p>
        </w:tc>
        <w:tc>
          <w:tcPr>
            <w:tcW w:w="720" w:type="dxa"/>
            <w:vAlign w:val="bottom"/>
            <w:tcBorders>
              <w:bottom w:val="single" w:sz="8" w:color="F0FFFF"/>
            </w:tcBorders>
          </w:tcPr>
          <w:p>
            <w:pPr>
              <w:jc w:val="right"/>
              <w:ind w:right="6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interest-earning assets (FTE)</w:t>
            </w:r>
          </w:p>
        </w:tc>
        <w:tc>
          <w:tcPr>
            <w:tcW w:w="200" w:type="dxa"/>
            <w:vAlign w:val="bottom"/>
            <w:tcBorders>
              <w:bottom w:val="single" w:sz="8" w:color="auto"/>
            </w:tcBorders>
            <w:shd w:val="clear" w:color="auto" w:fill="F0FFFF"/>
          </w:tcPr>
          <w:p>
            <w:pPr>
              <w:spacing w:after="0"/>
              <w:rPr>
                <w:sz w:val="22"/>
                <w:szCs w:val="22"/>
                <w:color w:val="auto"/>
              </w:rPr>
            </w:pPr>
          </w:p>
        </w:tc>
        <w:tc>
          <w:tcPr>
            <w:tcW w:w="8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11,281,850</w:t>
            </w:r>
          </w:p>
        </w:tc>
        <w:tc>
          <w:tcPr>
            <w:tcW w:w="10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502,106</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9"/>
              </w:rPr>
              <w:t>10,161,923</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391,903</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9,256,757</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98"/>
              </w:rPr>
              <w:t>336,045</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Noninterest-earning assets: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Allowance for loan losses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(61,443)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(60,602)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(65,294)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Cash and due from banks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135,345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107,053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95,613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Premises and equipment</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216,646</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198,970</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187,698</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 xml:space="preserve">Other assets </w:t>
            </w:r>
            <w:r>
              <w:rPr>
                <w:rFonts w:ascii="Arial" w:cs="Arial" w:eastAsia="Arial" w:hAnsi="Arial"/>
                <w:sz w:val="8"/>
                <w:szCs w:val="8"/>
                <w:color w:val="auto"/>
              </w:rPr>
              <w:t>(3)</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711,671</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70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607,174</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579,051</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12,284,069</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11,014,518</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10,053,825</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F0FFFF"/>
              <w:bottom w:val="single" w:sz="8" w:color="F0FFFF"/>
            </w:tcBorders>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color w:val="auto"/>
              </w:rPr>
              <w:t>Interest-bearing liabilities: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Interest-bearing deposits: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NOW and interest-bearing demand</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2,018,404</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7,390</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0.37</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1,950,827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3,365</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0.17</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1,826,729</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1,903</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Money market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2,206,643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12,097</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2,136,336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7,033</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1,941,288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4,982</w:t>
            </w:r>
          </w:p>
        </w:tc>
        <w:tc>
          <w:tcPr>
            <w:tcW w:w="1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Savings deposits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672,735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591,831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515,179</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1,547,221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12,585</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0.81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1,338,859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5,417</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1,289,876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Brokered deposits</w:t>
            </w:r>
          </w:p>
        </w:tc>
        <w:tc>
          <w:tcPr>
            <w:tcW w:w="2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347,072</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7,321</w:t>
            </w: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ind w:left="320"/>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108,891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F0FFFF"/>
          </w:tcPr>
          <w:p>
            <w:pPr>
              <w:spacing w:after="0"/>
              <w:rPr>
                <w:sz w:val="23"/>
                <w:szCs w:val="23"/>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171,420</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23"/>
                <w:szCs w:val="23"/>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F0FFFF"/>
            </w:tcBorders>
          </w:tcPr>
          <w:p>
            <w:pPr>
              <w:ind w:left="280"/>
              <w:spacing w:after="0"/>
              <w:rPr>
                <w:sz w:val="20"/>
                <w:szCs w:val="20"/>
                <w:color w:val="auto"/>
              </w:rPr>
            </w:pPr>
            <w:r>
              <w:rPr>
                <w:rFonts w:ascii="Arial" w:cs="Arial" w:eastAsia="Arial" w:hAnsi="Arial"/>
                <w:sz w:val="14"/>
                <w:szCs w:val="14"/>
                <w:color w:val="auto"/>
              </w:rPr>
              <w:t>Total interest-bearing deposits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6,792,075</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39,543</w:t>
            </w:r>
          </w:p>
        </w:tc>
        <w:tc>
          <w:tcPr>
            <w:tcW w:w="120" w:type="dxa"/>
            <w:vAlign w:val="bottom"/>
            <w:tcBorders>
              <w:bottom w:val="single" w:sz="8" w:color="F0FFFF"/>
            </w:tcBorders>
          </w:tcPr>
          <w:p>
            <w:pPr>
              <w:spacing w:after="0"/>
              <w:rPr>
                <w:sz w:val="21"/>
                <w:szCs w:val="21"/>
                <w:color w:val="auto"/>
              </w:rPr>
            </w:pPr>
          </w:p>
        </w:tc>
        <w:tc>
          <w:tcPr>
            <w:tcW w:w="700" w:type="dxa"/>
            <w:vAlign w:val="bottom"/>
            <w:tcBorders>
              <w:bottom w:val="single" w:sz="8" w:color="F0FFFF"/>
            </w:tcBorders>
          </w:tcPr>
          <w:p>
            <w:pPr>
              <w:ind w:left="300"/>
              <w:spacing w:after="0"/>
              <w:rPr>
                <w:sz w:val="20"/>
                <w:szCs w:val="20"/>
                <w:color w:val="auto"/>
              </w:rPr>
            </w:pPr>
            <w:r>
              <w:rPr>
                <w:rFonts w:ascii="Arial" w:cs="Arial" w:eastAsia="Arial" w:hAnsi="Arial"/>
                <w:sz w:val="14"/>
                <w:szCs w:val="14"/>
                <w:color w:val="auto"/>
              </w:rPr>
              <w:t>0.58</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6,126,744</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17,062</w:t>
            </w:r>
          </w:p>
        </w:tc>
        <w:tc>
          <w:tcPr>
            <w:tcW w:w="10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ind w:left="320"/>
              <w:spacing w:after="0"/>
              <w:rPr>
                <w:sz w:val="20"/>
                <w:szCs w:val="20"/>
                <w:color w:val="auto"/>
              </w:rPr>
            </w:pPr>
            <w:r>
              <w:rPr>
                <w:rFonts w:ascii="Arial" w:cs="Arial" w:eastAsia="Arial" w:hAnsi="Arial"/>
                <w:sz w:val="14"/>
                <w:szCs w:val="14"/>
                <w:color w:val="auto"/>
              </w:rPr>
              <w:t>0.28</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5,744,492</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10,156</w:t>
            </w:r>
          </w:p>
        </w:tc>
        <w:tc>
          <w:tcPr>
            <w:tcW w:w="10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jc w:val="right"/>
              <w:ind w:right="68"/>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color w:val="auto"/>
              </w:rPr>
              <w:t>Federal funds purchased and other borrowings</w:t>
            </w: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57,376</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1,112</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26,856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34,906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328,871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6,345</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576,472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6,095</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499,026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70"/>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290,004</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14,330</w:t>
            </w: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156,327</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10,226</w:t>
            </w:r>
          </w:p>
        </w:tc>
        <w:tc>
          <w:tcPr>
            <w:tcW w:w="100" w:type="dxa"/>
            <w:vAlign w:val="bottom"/>
            <w:shd w:val="clear" w:color="auto" w:fill="F0FFFF"/>
          </w:tcPr>
          <w:p>
            <w:pPr>
              <w:spacing w:after="0"/>
              <w:rPr>
                <w:sz w:val="23"/>
                <w:szCs w:val="23"/>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170,479</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11,005</w:t>
            </w:r>
          </w:p>
        </w:tc>
        <w:tc>
          <w:tcPr>
            <w:tcW w:w="100" w:type="dxa"/>
            <w:vAlign w:val="bottom"/>
            <w:shd w:val="clear" w:color="auto" w:fill="F0FFFF"/>
          </w:tcPr>
          <w:p>
            <w:pPr>
              <w:spacing w:after="0"/>
              <w:rPr>
                <w:sz w:val="23"/>
                <w:szCs w:val="23"/>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F0FFFF"/>
            </w:tcBorders>
          </w:tcPr>
          <w:p>
            <w:pPr>
              <w:ind w:left="280"/>
              <w:spacing w:after="0"/>
              <w:rPr>
                <w:sz w:val="20"/>
                <w:szCs w:val="20"/>
                <w:color w:val="auto"/>
              </w:rPr>
            </w:pPr>
            <w:r>
              <w:rPr>
                <w:rFonts w:ascii="Arial" w:cs="Arial" w:eastAsia="Arial" w:hAnsi="Arial"/>
                <w:sz w:val="14"/>
                <w:szCs w:val="14"/>
                <w:color w:val="auto"/>
              </w:rPr>
              <w:t>Total borrowed funds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676,251</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21,787</w:t>
            </w:r>
          </w:p>
        </w:tc>
        <w:tc>
          <w:tcPr>
            <w:tcW w:w="120" w:type="dxa"/>
            <w:vAlign w:val="bottom"/>
            <w:tcBorders>
              <w:bottom w:val="single" w:sz="8" w:color="F0FFFF"/>
            </w:tcBorders>
          </w:tcPr>
          <w:p>
            <w:pPr>
              <w:spacing w:after="0"/>
              <w:rPr>
                <w:sz w:val="21"/>
                <w:szCs w:val="21"/>
                <w:color w:val="auto"/>
              </w:rPr>
            </w:pPr>
          </w:p>
        </w:tc>
        <w:tc>
          <w:tcPr>
            <w:tcW w:w="700" w:type="dxa"/>
            <w:vAlign w:val="bottom"/>
            <w:tcBorders>
              <w:bottom w:val="single" w:sz="8" w:color="F0FFFF"/>
            </w:tcBorders>
          </w:tcPr>
          <w:p>
            <w:pPr>
              <w:ind w:left="300"/>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759,655</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16,673</w:t>
            </w:r>
          </w:p>
        </w:tc>
        <w:tc>
          <w:tcPr>
            <w:tcW w:w="10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ind w:left="320"/>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704,411</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15,080</w:t>
            </w:r>
          </w:p>
        </w:tc>
        <w:tc>
          <w:tcPr>
            <w:tcW w:w="10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jc w:val="right"/>
              <w:ind w:right="6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7,468,326</w:t>
            </w:r>
          </w:p>
        </w:tc>
        <w:tc>
          <w:tcPr>
            <w:tcW w:w="10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61,330</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6,886,399</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33,735</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6,448,903</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25,236</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Noninterest-bearing liabilities: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3,207,625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2,823,005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2,432,846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227,980</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70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124,832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112,774</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10,903,931</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9,834,236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8,994,523</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F0FFFF"/>
            </w:tcBorders>
          </w:tcPr>
          <w:p>
            <w:pPr>
              <w:ind w:left="40"/>
              <w:spacing w:after="0"/>
              <w:rPr>
                <w:sz w:val="20"/>
                <w:szCs w:val="20"/>
                <w:color w:val="auto"/>
              </w:rPr>
            </w:pPr>
            <w:r>
              <w:rPr>
                <w:rFonts w:ascii="Arial" w:cs="Arial" w:eastAsia="Arial" w:hAnsi="Arial"/>
                <w:sz w:val="14"/>
                <w:szCs w:val="14"/>
                <w:color w:val="auto"/>
              </w:rPr>
              <w:t>Shareholders’ equity</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1,380,138</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70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1,180,282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1,059,302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Total liabilities and shareholders’ equity</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12,284,069</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11,014,518</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10,053,825</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F0FFFF"/>
              <w:bottom w:val="single" w:sz="8" w:color="F0FFFF"/>
            </w:tcBorders>
            <w:vMerge w:val="restart"/>
          </w:tcPr>
          <w:p>
            <w:pPr>
              <w:ind w:left="180"/>
              <w:spacing w:after="0"/>
              <w:rPr>
                <w:sz w:val="20"/>
                <w:szCs w:val="20"/>
                <w:color w:val="auto"/>
              </w:rPr>
            </w:pPr>
            <w:r>
              <w:rPr>
                <w:rFonts w:ascii="Arial" w:cs="Arial" w:eastAsia="Arial" w:hAnsi="Arial"/>
                <w:sz w:val="14"/>
                <w:szCs w:val="14"/>
                <w:color w:val="auto"/>
              </w:rPr>
              <w:t>Net interest revenue (FTE)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0FFFF"/>
              <w:bottom w:val="single" w:sz="8" w:color="F0FFFF"/>
            </w:tcBorders>
            <w:vMerge w:val="restart"/>
          </w:tcPr>
          <w:p>
            <w:pPr>
              <w:jc w:val="right"/>
              <w:ind w:right="28"/>
              <w:spacing w:after="0"/>
              <w:rPr>
                <w:sz w:val="20"/>
                <w:szCs w:val="20"/>
                <w:color w:val="auto"/>
              </w:rPr>
            </w:pPr>
            <w:r>
              <w:rPr>
                <w:rFonts w:ascii="Arial" w:cs="Arial" w:eastAsia="Arial" w:hAnsi="Arial"/>
                <w:sz w:val="14"/>
                <w:szCs w:val="14"/>
                <w:color w:val="auto"/>
              </w:rPr>
              <w:t>440,776</w:t>
            </w: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0FFFF"/>
              <w:bottom w:val="single" w:sz="8" w:color="F0FFFF"/>
            </w:tcBorders>
            <w:vMerge w:val="restart"/>
          </w:tcPr>
          <w:p>
            <w:pPr>
              <w:jc w:val="right"/>
              <w:ind w:right="28"/>
              <w:spacing w:after="0"/>
              <w:rPr>
                <w:sz w:val="20"/>
                <w:szCs w:val="20"/>
                <w:color w:val="auto"/>
              </w:rPr>
            </w:pPr>
            <w:r>
              <w:rPr>
                <w:rFonts w:ascii="Arial" w:cs="Arial" w:eastAsia="Arial" w:hAnsi="Arial"/>
                <w:sz w:val="14"/>
                <w:szCs w:val="14"/>
                <w:color w:val="auto"/>
              </w:rPr>
              <w:t>358,168</w:t>
            </w: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0FFFF"/>
              <w:bottom w:val="single" w:sz="8" w:color="F0FFFF"/>
            </w:tcBorders>
            <w:vMerge w:val="restart"/>
          </w:tcPr>
          <w:p>
            <w:pPr>
              <w:jc w:val="right"/>
              <w:ind w:right="48"/>
              <w:spacing w:after="0"/>
              <w:rPr>
                <w:sz w:val="20"/>
                <w:szCs w:val="20"/>
                <w:color w:val="auto"/>
              </w:rPr>
            </w:pPr>
            <w:r>
              <w:rPr>
                <w:rFonts w:ascii="Arial" w:cs="Arial" w:eastAsia="Arial" w:hAnsi="Arial"/>
                <w:sz w:val="14"/>
                <w:szCs w:val="14"/>
                <w:color w:val="auto"/>
                <w:w w:val="98"/>
              </w:rPr>
              <w:t>310,809</w:t>
            </w: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80" w:type="dxa"/>
            <w:vAlign w:val="bottom"/>
            <w:tcBorders>
              <w:bottom w:val="single" w:sz="8" w:color="F0FFFF"/>
            </w:tcBorders>
            <w:vMerge w:val="continue"/>
          </w:tcPr>
          <w:p>
            <w:pPr>
              <w:spacing w:after="0"/>
              <w:rPr>
                <w:sz w:val="24"/>
                <w:szCs w:val="24"/>
                <w:color w:val="auto"/>
              </w:rPr>
            </w:pPr>
          </w:p>
        </w:tc>
        <w:tc>
          <w:tcPr>
            <w:tcW w:w="200" w:type="dxa"/>
            <w:vAlign w:val="bottom"/>
            <w:tcBorders>
              <w:bottom w:val="single" w:sz="8" w:color="F0FFFF"/>
            </w:tcBorders>
          </w:tcPr>
          <w:p>
            <w:pPr>
              <w:spacing w:after="0"/>
              <w:rPr>
                <w:sz w:val="24"/>
                <w:szCs w:val="24"/>
                <w:color w:val="auto"/>
              </w:rPr>
            </w:pPr>
          </w:p>
        </w:tc>
        <w:tc>
          <w:tcPr>
            <w:tcW w:w="86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70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80" w:type="dxa"/>
            <w:vAlign w:val="bottom"/>
            <w:tcBorders>
              <w:bottom w:val="single" w:sz="8" w:color="F0FFFF"/>
            </w:tcBorders>
          </w:tcPr>
          <w:p>
            <w:pPr>
              <w:spacing w:after="0"/>
              <w:rPr>
                <w:sz w:val="24"/>
                <w:szCs w:val="24"/>
                <w:color w:val="auto"/>
              </w:rPr>
            </w:pPr>
          </w:p>
        </w:tc>
        <w:tc>
          <w:tcPr>
            <w:tcW w:w="8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7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80" w:type="dxa"/>
            <w:vAlign w:val="bottom"/>
            <w:tcBorders>
              <w:bottom w:val="single" w:sz="8" w:color="F0FFFF"/>
            </w:tcBorders>
          </w:tcPr>
          <w:p>
            <w:pPr>
              <w:spacing w:after="0"/>
              <w:rPr>
                <w:sz w:val="24"/>
                <w:szCs w:val="24"/>
                <w:color w:val="auto"/>
              </w:rPr>
            </w:pPr>
          </w:p>
        </w:tc>
        <w:tc>
          <w:tcPr>
            <w:tcW w:w="8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7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4"/>
                <w:szCs w:val="14"/>
                <w:color w:val="auto"/>
              </w:rPr>
              <w:t>Net interest-rate spread (FTE)</w:t>
            </w:r>
          </w:p>
        </w:tc>
        <w:tc>
          <w:tcPr>
            <w:tcW w:w="20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700" w:type="dxa"/>
            <w:vAlign w:val="bottom"/>
            <w:tcBorders>
              <w:bottom w:val="single" w:sz="8" w:color="auto"/>
            </w:tcBorders>
            <w:shd w:val="clear" w:color="auto" w:fill="F0FFFF"/>
          </w:tcPr>
          <w:p>
            <w:pPr>
              <w:ind w:left="300"/>
              <w:spacing w:after="0"/>
              <w:rPr>
                <w:sz w:val="20"/>
                <w:szCs w:val="20"/>
                <w:color w:val="auto"/>
              </w:rPr>
            </w:pPr>
            <w:r>
              <w:rPr>
                <w:rFonts w:ascii="Arial" w:cs="Arial" w:eastAsia="Arial" w:hAnsi="Arial"/>
                <w:sz w:val="14"/>
                <w:szCs w:val="14"/>
                <w:color w:val="auto"/>
                <w:w w:val="95"/>
              </w:rPr>
              <w:t>3.63%</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720" w:type="dxa"/>
            <w:vAlign w:val="bottom"/>
            <w:tcBorders>
              <w:bottom w:val="single" w:sz="8" w:color="auto"/>
            </w:tcBorders>
            <w:shd w:val="clear" w:color="auto" w:fill="F0FFFF"/>
          </w:tcPr>
          <w:p>
            <w:pPr>
              <w:ind w:left="320"/>
              <w:spacing w:after="0"/>
              <w:rPr>
                <w:sz w:val="20"/>
                <w:szCs w:val="20"/>
                <w:color w:val="auto"/>
              </w:rPr>
            </w:pPr>
            <w:r>
              <w:rPr>
                <w:rFonts w:ascii="Arial" w:cs="Arial" w:eastAsia="Arial" w:hAnsi="Arial"/>
                <w:sz w:val="14"/>
                <w:szCs w:val="14"/>
                <w:color w:val="auto"/>
                <w:w w:val="95"/>
              </w:rPr>
              <w:t>3.37%</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4"/>
                <w:szCs w:val="14"/>
                <w:color w:val="auto"/>
              </w:rPr>
              <w:t xml:space="preserve">Net interest margin (FTE) </w:t>
            </w:r>
            <w:r>
              <w:rPr>
                <w:rFonts w:ascii="Arial" w:cs="Arial" w:eastAsia="Arial" w:hAnsi="Arial"/>
                <w:sz w:val="8"/>
                <w:szCs w:val="8"/>
                <w:color w:val="auto"/>
              </w:rPr>
              <w:t>(4)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5"/>
              </w:rPr>
              <w:t>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95"/>
              </w:rPr>
              <w:t>3.52%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line="250" w:lineRule="auto"/>
        <w:tabs>
          <w:tab w:leader="none" w:pos="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2018 and 39% in 2017 and 2016, reflecting the statutory federal rate and the federal tax adjusted state tax rate.</w:t>
      </w:r>
    </w:p>
    <w:p>
      <w:pPr>
        <w:ind w:left="180" w:hanging="172"/>
        <w:spacing w:after="0"/>
        <w:tabs>
          <w:tab w:leader="none" w:pos="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in the average balance of loans outstanding are loans where the accrual of interest has been discontinued.</w:t>
      </w:r>
    </w:p>
    <w:p>
      <w:pPr>
        <w:spacing w:after="0" w:line="1" w:lineRule="exact"/>
        <w:rPr>
          <w:rFonts w:ascii="Arial" w:cs="Arial" w:eastAsia="Arial" w:hAnsi="Arial"/>
          <w:sz w:val="14"/>
          <w:szCs w:val="14"/>
          <w:color w:val="auto"/>
        </w:rPr>
      </w:pPr>
    </w:p>
    <w:p>
      <w:pPr>
        <w:ind w:left="180" w:hanging="172"/>
        <w:spacing w:after="0" w:line="241" w:lineRule="auto"/>
        <w:tabs>
          <w:tab w:leader="none" w:pos="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Securities available for sale are shown at amortized cost. Pretax unrealized losses of $45.2 million, and pretax unrealized gains of $4.33 million and $16.0 million in 2018, 2017 and 2016, respectively, are included in other assets for purposes of this presentation.</w:t>
      </w:r>
    </w:p>
    <w:p>
      <w:pPr>
        <w:ind w:left="180" w:hanging="172"/>
        <w:spacing w:after="0"/>
        <w:tabs>
          <w:tab w:leader="none" w:pos="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420"/>
          </w:cols>
          <w:pgMar w:left="240" w:top="584"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4" w:right="239" w:bottom="1440" w:gutter="0" w:footer="0" w:header="0"/>
          <w:type w:val="continuous"/>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resulting from changes in the average outstanding balances (volume) of interest-earning assets and interest-bearing liabilities and the rates earned and paid by United on such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fully taxable equivalent)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6"/>
          </w:tcPr>
          <w:p>
            <w:pPr>
              <w:jc w:val="center"/>
              <w:ind w:right="108"/>
              <w:spacing w:after="0"/>
              <w:rPr>
                <w:sz w:val="20"/>
                <w:szCs w:val="20"/>
                <w:color w:val="auto"/>
              </w:rPr>
            </w:pPr>
            <w:r>
              <w:rPr>
                <w:rFonts w:ascii="Arial" w:cs="Arial" w:eastAsia="Arial" w:hAnsi="Arial"/>
                <w:sz w:val="14"/>
                <w:szCs w:val="14"/>
                <w:b w:val="1"/>
                <w:bCs w:val="1"/>
                <w:color w:val="auto"/>
                <w:w w:val="93"/>
              </w:rPr>
              <w:t>2018 Compared to 2017</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6"/>
          </w:tcPr>
          <w:p>
            <w:pPr>
              <w:jc w:val="center"/>
              <w:ind w:right="88"/>
              <w:spacing w:after="0"/>
              <w:rPr>
                <w:sz w:val="20"/>
                <w:szCs w:val="20"/>
                <w:color w:val="auto"/>
              </w:rPr>
            </w:pPr>
            <w:r>
              <w:rPr>
                <w:rFonts w:ascii="Arial" w:cs="Arial" w:eastAsia="Arial" w:hAnsi="Arial"/>
                <w:sz w:val="14"/>
                <w:szCs w:val="14"/>
                <w:b w:val="1"/>
                <w:bCs w:val="1"/>
                <w:color w:val="auto"/>
                <w:w w:val="93"/>
              </w:rPr>
              <w:t>2017 Compared to 2016</w:t>
            </w:r>
          </w:p>
        </w:tc>
        <w:tc>
          <w:tcPr>
            <w:tcW w:w="86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Increase (decrease)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Increase (decrease)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due to changes in</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due to changes in</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Volume</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Volume</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400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Interest-earning assets:</w:t>
            </w:r>
          </w:p>
        </w:tc>
        <w:tc>
          <w:tcPr>
            <w:tcW w:w="220" w:type="dxa"/>
            <w:vAlign w:val="bottom"/>
            <w:tcBorders>
              <w:top w:val="single" w:sz="8" w:color="auto"/>
            </w:tcBorders>
            <w:shd w:val="clear" w:color="auto" w:fill="F0FFFF"/>
          </w:tcPr>
          <w:p>
            <w:pPr>
              <w:spacing w:after="0"/>
              <w:rPr>
                <w:sz w:val="22"/>
                <w:szCs w:val="22"/>
                <w:color w:val="auto"/>
              </w:rPr>
            </w:pPr>
          </w:p>
        </w:tc>
        <w:tc>
          <w:tcPr>
            <w:tcW w:w="900" w:type="dxa"/>
            <w:vAlign w:val="bottom"/>
            <w:tcBorders>
              <w:top w:val="single" w:sz="8" w:color="auto"/>
            </w:tcBorders>
            <w:shd w:val="clear" w:color="auto" w:fill="F0FFFF"/>
          </w:tcPr>
          <w:p>
            <w:pPr>
              <w:spacing w:after="0"/>
              <w:rPr>
                <w:sz w:val="22"/>
                <w:szCs w:val="22"/>
                <w:color w:val="auto"/>
              </w:rPr>
            </w:pPr>
          </w:p>
        </w:tc>
        <w:tc>
          <w:tcPr>
            <w:tcW w:w="4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280" w:type="dxa"/>
            <w:vAlign w:val="bottom"/>
            <w:tcBorders>
              <w:top w:val="single" w:sz="8" w:color="auto"/>
            </w:tcBorders>
            <w:shd w:val="clear" w:color="auto" w:fill="F0FFFF"/>
          </w:tcPr>
          <w:p>
            <w:pPr>
              <w:spacing w:after="0"/>
              <w:rPr>
                <w:sz w:val="22"/>
                <w:szCs w:val="22"/>
                <w:color w:val="auto"/>
              </w:rPr>
            </w:pPr>
          </w:p>
        </w:tc>
        <w:tc>
          <w:tcPr>
            <w:tcW w:w="90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260" w:type="dxa"/>
            <w:vAlign w:val="bottom"/>
            <w:tcBorders>
              <w:top w:val="single" w:sz="8" w:color="auto"/>
            </w:tcBorders>
            <w:shd w:val="clear" w:color="auto" w:fill="F0FFFF"/>
          </w:tcPr>
          <w:p>
            <w:pPr>
              <w:spacing w:after="0"/>
              <w:rPr>
                <w:sz w:val="22"/>
                <w:szCs w:val="22"/>
                <w:color w:val="auto"/>
              </w:rPr>
            </w:pPr>
          </w:p>
        </w:tc>
        <w:tc>
          <w:tcPr>
            <w:tcW w:w="90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22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spacing w:after="0"/>
              <w:rPr>
                <w:sz w:val="22"/>
                <w:szCs w:val="22"/>
                <w:color w:val="auto"/>
              </w:rPr>
            </w:pPr>
          </w:p>
        </w:tc>
        <w:tc>
          <w:tcPr>
            <w:tcW w:w="6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240" w:type="dxa"/>
            <w:vAlign w:val="bottom"/>
            <w:tcBorders>
              <w:top w:val="single" w:sz="8" w:color="auto"/>
            </w:tcBorders>
            <w:shd w:val="clear" w:color="auto" w:fill="F0FFFF"/>
          </w:tcPr>
          <w:p>
            <w:pPr>
              <w:spacing w:after="0"/>
              <w:rPr>
                <w:sz w:val="22"/>
                <w:szCs w:val="22"/>
                <w:color w:val="auto"/>
              </w:rPr>
            </w:pPr>
          </w:p>
        </w:tc>
        <w:tc>
          <w:tcPr>
            <w:tcW w:w="88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260" w:type="dxa"/>
            <w:vAlign w:val="bottom"/>
            <w:tcBorders>
              <w:top w:val="single" w:sz="8" w:color="auto"/>
            </w:tcBorders>
            <w:shd w:val="clear" w:color="auto" w:fill="F0FFFF"/>
          </w:tcPr>
          <w:p>
            <w:pPr>
              <w:spacing w:after="0"/>
              <w:rPr>
                <w:sz w:val="22"/>
                <w:szCs w:val="22"/>
                <w:color w:val="auto"/>
              </w:rPr>
            </w:pPr>
          </w:p>
        </w:tc>
        <w:tc>
          <w:tcPr>
            <w:tcW w:w="860" w:type="dxa"/>
            <w:vAlign w:val="bottom"/>
            <w:tcBorders>
              <w:top w:val="single" w:sz="8" w:color="auto"/>
            </w:tcBorders>
            <w:shd w:val="clear" w:color="auto" w:fill="F0FFFF"/>
          </w:tcPr>
          <w:p>
            <w:pPr>
              <w:spacing w:after="0"/>
              <w:rPr>
                <w:sz w:val="22"/>
                <w:szCs w:val="22"/>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48,405</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56,458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104,863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31,991</w:t>
            </w:r>
          </w:p>
        </w:tc>
        <w:tc>
          <w:tcPr>
            <w:tcW w:w="4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14,669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46,660</w:t>
            </w: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Taxable securities</w:t>
            </w:r>
          </w:p>
        </w:tc>
        <w:tc>
          <w:tcPr>
            <w:tcW w:w="22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(416)</w:t>
            </w:r>
          </w:p>
        </w:tc>
        <w:tc>
          <w:tcPr>
            <w:tcW w:w="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3,740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3,324</w:t>
            </w:r>
          </w:p>
        </w:tc>
        <w:tc>
          <w:tcPr>
            <w:tcW w:w="1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2,361</w:t>
            </w:r>
          </w:p>
        </w:tc>
        <w:tc>
          <w:tcPr>
            <w:tcW w:w="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4,398</w:t>
            </w: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6,759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Tax-exempt securities</w:t>
            </w:r>
          </w:p>
        </w:tc>
        <w:tc>
          <w:tcPr>
            <w:tcW w:w="22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2,542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2,622</w:t>
            </w: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Federal funds sold and other interest-earning assets</w:t>
            </w:r>
          </w:p>
        </w:tc>
        <w:tc>
          <w:tcPr>
            <w:tcW w:w="22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767</w:t>
            </w:r>
          </w:p>
        </w:tc>
        <w:tc>
          <w:tcPr>
            <w:tcW w:w="40" w:type="dxa"/>
            <w:vAlign w:val="bottom"/>
            <w:tcBorders>
              <w:bottom w:val="single" w:sz="8" w:color="auto"/>
            </w:tcBorders>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F0FFFF"/>
          </w:tcPr>
          <w:p>
            <w:pPr>
              <w:spacing w:after="0"/>
              <w:rPr>
                <w:sz w:val="24"/>
                <w:szCs w:val="24"/>
                <w:color w:val="auto"/>
              </w:rPr>
            </w:pPr>
          </w:p>
        </w:tc>
        <w:tc>
          <w:tcPr>
            <w:tcW w:w="26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24"/>
                <w:szCs w:val="24"/>
                <w:color w:val="auto"/>
              </w:rPr>
            </w:pPr>
          </w:p>
        </w:tc>
        <w:tc>
          <w:tcPr>
            <w:tcW w:w="220" w:type="dxa"/>
            <w:vAlign w:val="bottom"/>
            <w:tcBorders>
              <w:bottom w:val="single" w:sz="8" w:color="auto"/>
            </w:tcBorders>
            <w:shd w:val="clear" w:color="auto" w:fill="F0FFFF"/>
          </w:tcPr>
          <w:p>
            <w:pPr>
              <w:spacing w:after="0"/>
              <w:rPr>
                <w:sz w:val="24"/>
                <w:szCs w:val="24"/>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228</w:t>
            </w:r>
          </w:p>
        </w:tc>
        <w:tc>
          <w:tcPr>
            <w:tcW w:w="60" w:type="dxa"/>
            <w:vAlign w:val="bottom"/>
            <w:tcBorders>
              <w:bottom w:val="single" w:sz="8" w:color="auto"/>
            </w:tcBorders>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F0FFFF"/>
          </w:tcPr>
          <w:p>
            <w:pPr>
              <w:spacing w:after="0"/>
              <w:rPr>
                <w:sz w:val="24"/>
                <w:szCs w:val="24"/>
                <w:color w:val="auto"/>
              </w:rPr>
            </w:pPr>
          </w:p>
        </w:tc>
        <w:tc>
          <w:tcPr>
            <w:tcW w:w="260" w:type="dxa"/>
            <w:vAlign w:val="bottom"/>
            <w:tcBorders>
              <w:bottom w:val="single" w:sz="8" w:color="auto"/>
            </w:tcBorders>
            <w:shd w:val="clear" w:color="auto" w:fill="F0FFFF"/>
          </w:tcPr>
          <w:p>
            <w:pPr>
              <w:spacing w:after="0"/>
              <w:rPr>
                <w:sz w:val="24"/>
                <w:szCs w:val="24"/>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(183)</w:t>
            </w:r>
          </w:p>
        </w:tc>
      </w:tr>
      <w:tr>
        <w:trPr>
          <w:trHeight w:val="244"/>
        </w:trPr>
        <w:tc>
          <w:tcPr>
            <w:tcW w:w="4000" w:type="dxa"/>
            <w:vAlign w:val="bottom"/>
            <w:tcBorders>
              <w:bottom w:val="single" w:sz="8" w:color="F0FFFF"/>
            </w:tcBorders>
          </w:tcPr>
          <w:p>
            <w:pPr>
              <w:ind w:left="280"/>
              <w:spacing w:after="0"/>
              <w:rPr>
                <w:sz w:val="20"/>
                <w:szCs w:val="20"/>
                <w:color w:val="auto"/>
              </w:rPr>
            </w:pPr>
            <w:r>
              <w:rPr>
                <w:rFonts w:ascii="Arial" w:cs="Arial" w:eastAsia="Arial" w:hAnsi="Arial"/>
                <w:sz w:val="14"/>
                <w:szCs w:val="14"/>
                <w:b w:val="1"/>
                <w:bCs w:val="1"/>
                <w:color w:val="auto"/>
              </w:rPr>
              <w:t>Total interest-earning assets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51,298</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58,905</w:t>
            </w:r>
          </w:p>
        </w:tc>
        <w:tc>
          <w:tcPr>
            <w:tcW w:w="12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110,203</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37,081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18,777</w:t>
            </w: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55,858</w:t>
            </w:r>
          </w:p>
        </w:tc>
      </w:tr>
      <w:tr>
        <w:trPr>
          <w:trHeight w:val="270"/>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Interest-bearing liabilities:</w:t>
            </w:r>
          </w:p>
        </w:tc>
        <w:tc>
          <w:tcPr>
            <w:tcW w:w="22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4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840" w:type="dxa"/>
            <w:vAlign w:val="bottom"/>
            <w:shd w:val="clear" w:color="auto" w:fill="F0FFFF"/>
          </w:tcPr>
          <w:p>
            <w:pPr>
              <w:spacing w:after="0"/>
              <w:rPr>
                <w:sz w:val="23"/>
                <w:szCs w:val="23"/>
                <w:color w:val="auto"/>
              </w:rPr>
            </w:pPr>
          </w:p>
        </w:tc>
        <w:tc>
          <w:tcPr>
            <w:tcW w:w="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4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60" w:type="dxa"/>
            <w:vAlign w:val="bottom"/>
            <w:shd w:val="clear" w:color="auto" w:fill="F0FF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Interest-bearing deposits: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NOW and interest-bearing demand</w:t>
            </w:r>
          </w:p>
        </w:tc>
        <w:tc>
          <w:tcPr>
            <w:tcW w:w="22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120</w:t>
            </w:r>
          </w:p>
        </w:tc>
        <w:tc>
          <w:tcPr>
            <w:tcW w:w="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3,905</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4,025</w:t>
            </w:r>
          </w:p>
        </w:tc>
        <w:tc>
          <w:tcPr>
            <w:tcW w:w="1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137</w:t>
            </w:r>
          </w:p>
        </w:tc>
        <w:tc>
          <w:tcPr>
            <w:tcW w:w="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1,462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Money Market</w:t>
            </w:r>
          </w:p>
        </w:tc>
        <w:tc>
          <w:tcPr>
            <w:tcW w:w="22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4,825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2,051</w:t>
            </w: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Savings deposits</w:t>
            </w:r>
          </w:p>
        </w:tc>
        <w:tc>
          <w:tcPr>
            <w:tcW w:w="22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18</w:t>
            </w:r>
          </w:p>
        </w:tc>
        <w:tc>
          <w:tcPr>
            <w:tcW w:w="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Time deposits</w:t>
            </w:r>
          </w:p>
        </w:tc>
        <w:tc>
          <w:tcPr>
            <w:tcW w:w="22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6,211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2,279</w:t>
            </w:r>
          </w:p>
        </w:tc>
      </w:tr>
      <w:tr>
        <w:trPr>
          <w:trHeight w:val="270"/>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Brokered deposits</w:t>
            </w:r>
          </w:p>
        </w:tc>
        <w:tc>
          <w:tcPr>
            <w:tcW w:w="22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4,175</w:t>
            </w:r>
          </w:p>
        </w:tc>
        <w:tc>
          <w:tcPr>
            <w:tcW w:w="4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2,034</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6,209</w:t>
            </w:r>
          </w:p>
        </w:tc>
        <w:tc>
          <w:tcPr>
            <w:tcW w:w="100" w:type="dxa"/>
            <w:vAlign w:val="bottom"/>
            <w:shd w:val="clear" w:color="auto" w:fill="F0FFFF"/>
          </w:tcPr>
          <w:p>
            <w:pPr>
              <w:spacing w:after="0"/>
              <w:rPr>
                <w:sz w:val="23"/>
                <w:szCs w:val="23"/>
                <w:color w:val="auto"/>
              </w:rPr>
            </w:pPr>
          </w:p>
        </w:tc>
        <w:tc>
          <w:tcPr>
            <w:tcW w:w="22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1,114</w:t>
            </w:r>
          </w:p>
        </w:tc>
      </w:tr>
      <w:tr>
        <w:trPr>
          <w:trHeight w:val="250"/>
        </w:trPr>
        <w:tc>
          <w:tcPr>
            <w:tcW w:w="4000" w:type="dxa"/>
            <w:vAlign w:val="bottom"/>
            <w:tcBorders>
              <w:bottom w:val="single" w:sz="8" w:color="F0FFFF"/>
            </w:tcBorders>
          </w:tcPr>
          <w:p>
            <w:pPr>
              <w:ind w:left="4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5,509</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16,972</w:t>
            </w:r>
          </w:p>
        </w:tc>
        <w:tc>
          <w:tcPr>
            <w:tcW w:w="12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22,481</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6,089</w:t>
            </w: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6,906</w:t>
            </w:r>
          </w:p>
        </w:tc>
      </w:tr>
      <w:tr>
        <w:trPr>
          <w:trHeight w:val="25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Federal funds purchased and other short-term borrowings</w:t>
            </w:r>
          </w:p>
        </w:tc>
        <w:tc>
          <w:tcPr>
            <w:tcW w:w="22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535</w:t>
            </w:r>
          </w:p>
        </w:tc>
        <w:tc>
          <w:tcPr>
            <w:tcW w:w="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2,419</w:t>
            </w:r>
          </w:p>
        </w:tc>
      </w:tr>
      <w:tr>
        <w:trPr>
          <w:trHeight w:val="270"/>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7,081</w:t>
            </w:r>
          </w:p>
        </w:tc>
        <w:tc>
          <w:tcPr>
            <w:tcW w:w="4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(2,977)</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4,104</w:t>
            </w:r>
          </w:p>
        </w:tc>
        <w:tc>
          <w:tcPr>
            <w:tcW w:w="100" w:type="dxa"/>
            <w:vAlign w:val="bottom"/>
            <w:shd w:val="clear" w:color="auto" w:fill="F0FFFF"/>
          </w:tcPr>
          <w:p>
            <w:pPr>
              <w:spacing w:after="0"/>
              <w:rPr>
                <w:sz w:val="23"/>
                <w:szCs w:val="23"/>
                <w:color w:val="auto"/>
              </w:rPr>
            </w:pPr>
          </w:p>
        </w:tc>
        <w:tc>
          <w:tcPr>
            <w:tcW w:w="22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(924)</w:t>
            </w:r>
          </w:p>
        </w:tc>
        <w:tc>
          <w:tcPr>
            <w:tcW w:w="6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(779)</w:t>
            </w:r>
          </w:p>
        </w:tc>
      </w:tr>
      <w:tr>
        <w:trPr>
          <w:trHeight w:val="250"/>
        </w:trPr>
        <w:tc>
          <w:tcPr>
            <w:tcW w:w="400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Total borrowed funds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4,259</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855</w:t>
            </w:r>
          </w:p>
        </w:tc>
        <w:tc>
          <w:tcPr>
            <w:tcW w:w="12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5,114</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1,981</w:t>
            </w: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1,593</w:t>
            </w:r>
          </w:p>
        </w:tc>
      </w:tr>
      <w:tr>
        <w:trPr>
          <w:trHeight w:val="250"/>
        </w:trPr>
        <w:tc>
          <w:tcPr>
            <w:tcW w:w="400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interest-bearing liabilities</w:t>
            </w:r>
          </w:p>
        </w:tc>
        <w:tc>
          <w:tcPr>
            <w:tcW w:w="22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9,768</w:t>
            </w:r>
          </w:p>
        </w:tc>
        <w:tc>
          <w:tcPr>
            <w:tcW w:w="40" w:type="dxa"/>
            <w:vAlign w:val="bottom"/>
            <w:tcBorders>
              <w:bottom w:val="single" w:sz="8" w:color="auto"/>
            </w:tcBorders>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17,827</w:t>
            </w:r>
          </w:p>
        </w:tc>
        <w:tc>
          <w:tcPr>
            <w:tcW w:w="120" w:type="dxa"/>
            <w:vAlign w:val="bottom"/>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27,595</w:t>
            </w:r>
          </w:p>
        </w:tc>
        <w:tc>
          <w:tcPr>
            <w:tcW w:w="100" w:type="dxa"/>
            <w:vAlign w:val="bottom"/>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429</w:t>
            </w:r>
          </w:p>
        </w:tc>
        <w:tc>
          <w:tcPr>
            <w:tcW w:w="60" w:type="dxa"/>
            <w:vAlign w:val="bottom"/>
            <w:tcBorders>
              <w:bottom w:val="single" w:sz="8" w:color="auto"/>
            </w:tcBorders>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8,070</w:t>
            </w:r>
          </w:p>
        </w:tc>
        <w:tc>
          <w:tcPr>
            <w:tcW w:w="100" w:type="dxa"/>
            <w:vAlign w:val="bottom"/>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8,499</w:t>
            </w:r>
          </w:p>
        </w:tc>
      </w:tr>
      <w:tr>
        <w:trPr>
          <w:trHeight w:val="243"/>
        </w:trPr>
        <w:tc>
          <w:tcPr>
            <w:tcW w:w="4000" w:type="dxa"/>
            <w:vAlign w:val="bottom"/>
          </w:tcPr>
          <w:p>
            <w:pPr>
              <w:ind w:left="380"/>
              <w:spacing w:after="0"/>
              <w:rPr>
                <w:sz w:val="20"/>
                <w:szCs w:val="20"/>
                <w:color w:val="auto"/>
              </w:rPr>
            </w:pPr>
            <w:r>
              <w:rPr>
                <w:rFonts w:ascii="Arial" w:cs="Arial" w:eastAsia="Arial" w:hAnsi="Arial"/>
                <w:sz w:val="14"/>
                <w:szCs w:val="14"/>
                <w:b w:val="1"/>
                <w:bCs w:val="1"/>
                <w:color w:val="auto"/>
              </w:rPr>
              <w:t>Increase in net interest 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41,530</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41,078</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82,608</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36,652</w:t>
            </w:r>
          </w:p>
        </w:tc>
        <w:tc>
          <w:tcPr>
            <w:tcW w:w="4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10,707</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47,359</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is based on management’s evaluation of probable incurred losses in the loan portfolio and unfunded loan commitments as measured by analysis of the allowance for credit losses at the end of each reporting period. The provision for credit losses was $9.50 million in 2018, compared to a provision of $3.80 million in 2017 and a release of provision of $800,000 in 2016. The amount of provision recorded in each year was the amount required such that the total allowance for credit losses reflected the appropriate balance, in the estimation of management, and was sufficient to cover incurred losses in the loan portfolio. The increase in provision expense in 2018 was primarily due to the NLFC acquisition. The increase in 2017 was due to loan growth as credit quality measures remained favorable and stable. The ratio of net loan charge-offs to average outstanding loans for 2018 was 0.07% compared with 0.08% for 2017 and 0.11% for 2016.</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unfunded loan commitments, which is included in other liabilities in the consolidated balance sheets, represents probable incurred losses on unfunded loan commitments that are expected to result in outstanding loan balances. The allowance for unfunded loan commitments was established through the provision for credit losses. At December 31, 2018, the allowance for unfunded commitments was $3.41 million compared with $2.31 million at December 31, 2017 and $2.00 million at December 31,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and “Critical Accounting Polices” sections of this report, as well as Note 1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Table 4 - Noninterest Income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For the Years Ended December 31,</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0"/>
        </w:trPr>
        <w:tc>
          <w:tcPr>
            <w:tcW w:w="5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5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2018-2017</w:t>
            </w:r>
          </w:p>
        </w:tc>
      </w:tr>
      <w:tr>
        <w:trPr>
          <w:trHeight w:val="27"/>
        </w:trPr>
        <w:tc>
          <w:tcPr>
            <w:tcW w:w="55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Overdraft fees</w:t>
            </w:r>
          </w:p>
        </w:tc>
        <w:tc>
          <w:tcPr>
            <w:tcW w:w="30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14,814</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14,004</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13,883</w:t>
            </w:r>
          </w:p>
        </w:tc>
        <w:tc>
          <w:tcPr>
            <w:tcW w:w="15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ATM and debit card interchange fees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12,649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20,839</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Other service charges and fees</w:t>
            </w: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7,369</w:t>
            </w:r>
          </w:p>
        </w:tc>
        <w:tc>
          <w:tcPr>
            <w:tcW w:w="12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7,391</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16</w:t>
            </w:r>
          </w:p>
        </w:tc>
      </w:tr>
      <w:tr>
        <w:trPr>
          <w:trHeight w:val="237"/>
        </w:trPr>
        <w:tc>
          <w:tcPr>
            <w:tcW w:w="5540" w:type="dxa"/>
            <w:vAlign w:val="bottom"/>
          </w:tcPr>
          <w:p>
            <w:pPr>
              <w:ind w:left="280"/>
              <w:spacing w:after="0"/>
              <w:rPr>
                <w:sz w:val="20"/>
                <w:szCs w:val="20"/>
                <w:color w:val="auto"/>
              </w:rPr>
            </w:pPr>
            <w:r>
              <w:rPr>
                <w:rFonts w:ascii="Arial" w:cs="Arial" w:eastAsia="Arial" w:hAnsi="Arial"/>
                <w:sz w:val="18"/>
                <w:szCs w:val="18"/>
                <w:color w:val="auto"/>
              </w:rPr>
              <w:t>Service charges and fees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42,113</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Mortgage loan and related fees</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19,010</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18,320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20,292</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Brokerage fees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Gains from sales of SBA/USDA loans</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10,493</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9,545</w:t>
            </w:r>
          </w:p>
        </w:tc>
        <w:tc>
          <w:tcPr>
            <w:tcW w:w="1580" w:type="dxa"/>
            <w:vAlign w:val="bottom"/>
            <w:tcBorders>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(12)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Bank owned life insurance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Customer derivatives</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4,104</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Securities (losses) gains,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17,916</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10,795</w:t>
            </w:r>
          </w:p>
        </w:tc>
        <w:tc>
          <w:tcPr>
            <w:tcW w:w="12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10,747</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66</w:t>
            </w:r>
          </w:p>
        </w:tc>
      </w:tr>
      <w:tr>
        <w:trPr>
          <w:trHeight w:val="257"/>
        </w:trPr>
        <w:tc>
          <w:tcPr>
            <w:tcW w:w="5540" w:type="dxa"/>
            <w:vAlign w:val="bottom"/>
          </w:tcPr>
          <w:p>
            <w:pPr>
              <w:ind w:left="28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92,961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88,260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93,697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to 2017 comparison: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charges and fees for 2018 decreased $2.30 million compared to 2017 primarily due to the effect of the Durbin Amendment which took effect for United in the third quarter of 2017 and limited the amount of interchange fees United could earn on debit card transactions. The increase in brokerage fees in 2018 compared with a year ago was primarily due to adding financial advisors in 2018 and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 and related fees increased 4% from 2017, which is a reflection of United’s focus on growing the mortgage business by recruiting new mortgage lenders in key metropolitan markets and an increase in purchase and refinancing activity. In 2018, United closed 3,770 mortgage loans totaling $891 million, which represents an additional 542 loans and an increase of $146 million in loans closed from 2017. In 2018 and 2017, new home purchase mortgages accounted for 63% of production volume.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United realized $9.28 million in gains from the sales of the guaranteed portion of SBA and USDA loans, compared to $10.5 million in 2017. United’s SBA/USDA lending strategy includes selling a portion of the loan production each quarter. United retains the servicing rights on the sold loans and earns a fee for servicing the loans. In 2018, United sold the guaranteed portion of loans in the amount of $121 million, compared to $117 million for 2017. The decrease in gains recognized in 2018 compared to 2017 reflects a decrease in the premiums received on the sold loans.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noninterest income increased $7.12 million in 2018 compared to 2017. The primary contributors to the increase included revenue from NLFC of approximately $4.69 million, $533,000 in gains from the prepayment of fixed rate FHLB advances and $1.16 million in gains from the cancellation of interest rate swaps and caps that were serving as economic hedges to protect against rising interest rates.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realized net securities losses of $656,000 and gains of $42,000 during 2018 and 2017, respectively. The securities losses realized in 2018 were part of the same balance sheet management activities described above that resulted in the gains from prepayment of FHLB advances and cancellation of derivative instruments. The gains from those activities more than offset the securities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to 2016 comparison: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charges and fees for 2017 decreased $3.82 million, or 9%, in 2017 compared to 2016. The decrease was primarily due to the effect of the Durbin Amendment discussed above.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 and related fees of $18.3 million were down $1.97 million, or 10%, for 2017 compared to 2016. The decrease reflected a combination of factors including our strategic decision to hold more mortgages on our balance sheet, margin compression and a decline in refinance activity in a rising rate environment. In addition, 2016 included the impact of moving to mandatory delivery of loans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secondary market from best efforts, which accelerated revenue recognition to the time of the rate lock. In 2017, United closed 3,228 mortgage loans totaling $745 million compared with 3,246 loans totaling $718 million in 2016. In 2017, new home purchase mortgages of $468 million accounted for 63% of production volume compared with $382 million, or 53%, of production volume in 2016.</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Fees from customer swap transactions decreased $1.68 million from 2016 due to lower demand for this product. United provides interest rate swaps to commercial customers who desire fixed rate loans. United makes a floating rate loan to those customers and enters into an interest rate swap contract with the customer to swap the floating rate to a fixed rate. United then enters into an offsetting swap with a swap dealer with terms that mirror the customer swap. The fixed and variable legs of the customer and dealer swaps offset leaving United with the equivalent of a variable rate loan.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Earnings from bank owned life insurance were up $1.63 million, or 100% from 2016 due to the purchase of $30 million of bank owned life insurance in late 2016 and early 2017, as well as the acquisition of HCSB and FOFN, both of which had bank owned life insurance policies.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United realized $10.5 million in gains from the sales of the guaranteed portion of SBA and USDA loans, compared to $9.55 million in 2016. In 2017, United sold the guaranteed portion of loans in the amount of $117 million, compared to $120 million for 2016. The increase in the related gain in 2017 compared to 2016 reflects an increase in the premiums received on the sold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Table 5 - Noninterest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For the Years Ended December 31,</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0"/>
        </w:trPr>
        <w:tc>
          <w:tcPr>
            <w:tcW w:w="5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5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2018-2017</w:t>
            </w:r>
          </w:p>
        </w:tc>
      </w:tr>
      <w:tr>
        <w:trPr>
          <w:trHeight w:val="27"/>
        </w:trPr>
        <w:tc>
          <w:tcPr>
            <w:tcW w:w="55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Salaries and employee benefits</w:t>
            </w:r>
          </w:p>
        </w:tc>
        <w:tc>
          <w:tcPr>
            <w:tcW w:w="30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181,015</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153,098</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138,789</w:t>
            </w:r>
          </w:p>
        </w:tc>
        <w:tc>
          <w:tcPr>
            <w:tcW w:w="15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Communications and equipment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18,355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22,781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20,344</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19,603</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Advertising and public relations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4,426</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Postage, printing and supplies</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6,416</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5,382</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11,822</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FDIC assessments and other regulatory charges</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8,491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6,534</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5,866</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30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Amortization of core deposit intangibles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32,514</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26,961</w:t>
            </w:r>
          </w:p>
        </w:tc>
        <w:tc>
          <w:tcPr>
            <w:tcW w:w="12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24,742</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21</w:t>
            </w:r>
          </w:p>
        </w:tc>
      </w:tr>
      <w:tr>
        <w:trPr>
          <w:trHeight w:val="209"/>
        </w:trPr>
        <w:tc>
          <w:tcPr>
            <w:tcW w:w="5540" w:type="dxa"/>
            <w:vAlign w:val="bottom"/>
          </w:tcPr>
          <w:p>
            <w:pPr>
              <w:ind w:left="280"/>
              <w:spacing w:after="0"/>
              <w:rPr>
                <w:sz w:val="20"/>
                <w:szCs w:val="20"/>
                <w:color w:val="auto"/>
              </w:rPr>
            </w:pPr>
            <w:r>
              <w:rPr>
                <w:rFonts w:ascii="Arial" w:cs="Arial" w:eastAsia="Arial" w:hAnsi="Arial"/>
                <w:sz w:val="18"/>
                <w:szCs w:val="18"/>
                <w:color w:val="auto"/>
              </w:rPr>
              <w:t>Total excluding merger-related and other charges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540" w:type="dxa"/>
            <w:vAlign w:val="bottom"/>
          </w:tcPr>
          <w:p>
            <w:pPr>
              <w:ind w:left="420"/>
              <w:spacing w:after="0"/>
              <w:rPr>
                <w:sz w:val="20"/>
                <w:szCs w:val="20"/>
                <w:color w:val="auto"/>
              </w:rPr>
            </w:pPr>
            <w:r>
              <w:rPr>
                <w:rFonts w:ascii="Arial" w:cs="Arial" w:eastAsia="Arial" w:hAnsi="Arial"/>
                <w:sz w:val="18"/>
                <w:szCs w:val="18"/>
                <w:color w:val="auto"/>
              </w:rPr>
              <w:t>and amortization of noncompete agreements</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298,940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252,949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233,167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Merger-related and other charges</w:t>
            </w: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5,414</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13,901</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8,122</w:t>
            </w:r>
          </w:p>
        </w:tc>
        <w:tc>
          <w:tcPr>
            <w:tcW w:w="1580" w:type="dxa"/>
            <w:vAlign w:val="bottom"/>
            <w:tcBorders>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Amortization of noncompete agreements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80" w:type="dxa"/>
            <w:vAlign w:val="bottom"/>
            <w:tcBorders>
              <w:bottom w:val="single" w:sz="8" w:color="F0FFFF"/>
            </w:tcBorders>
          </w:tcPr>
          <w:p>
            <w:pPr>
              <w:spacing w:after="0"/>
              <w:rPr>
                <w:sz w:val="2"/>
                <w:szCs w:val="2"/>
                <w:color w:val="auto"/>
              </w:rPr>
            </w:pPr>
          </w:p>
        </w:tc>
      </w:tr>
      <w:tr>
        <w:trPr>
          <w:trHeight w:val="257"/>
        </w:trPr>
        <w:tc>
          <w:tcPr>
            <w:tcW w:w="5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noninterest expenses</w:t>
            </w:r>
          </w:p>
        </w:tc>
        <w:tc>
          <w:tcPr>
            <w:tcW w:w="30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306,285</w:t>
            </w:r>
          </w:p>
        </w:tc>
        <w:tc>
          <w:tcPr>
            <w:tcW w:w="100" w:type="dxa"/>
            <w:vAlign w:val="bottom"/>
            <w:tcBorders>
              <w:bottom w:val="single" w:sz="8" w:color="F0FFFF"/>
            </w:tcBorders>
            <w:shd w:val="clear" w:color="auto" w:fill="F0FFFF"/>
          </w:tcPr>
          <w:p>
            <w:pPr>
              <w:spacing w:after="0"/>
              <w:rPr>
                <w:sz w:val="22"/>
                <w:szCs w:val="22"/>
                <w:color w:val="auto"/>
              </w:rPr>
            </w:pPr>
          </w:p>
        </w:tc>
        <w:tc>
          <w:tcPr>
            <w:tcW w:w="32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267,611</w:t>
            </w:r>
          </w:p>
        </w:tc>
        <w:tc>
          <w:tcPr>
            <w:tcW w:w="12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241,289</w:t>
            </w:r>
          </w:p>
        </w:tc>
        <w:tc>
          <w:tcPr>
            <w:tcW w:w="158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14</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to 2017 comparison: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Noninterest expenses increased in 2018 compared to 2017 primarily due to the addition of operating expenses associated with the Acquisitions.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Salaries and employee benefits increased $27.9 million in 2018 due to a number of factors including additional staff resulting from the Acquisitions, as well as investments in additional staff and teams to expand Commercial Banking Solutions and other key areas. These factors contributed to an 8% increase in the full-time equivalent headcount to 2,312 at December 31, 2018 since the prior year-end.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FDIC assessments and other regulatory charges increased in 2018 as a result of a larger balance sheet and being assessed at the higher deposit insurance rate for banks exceeding $10 billion in assets for the full year in 2018. Amortization of intangibles increased relative to 2017 due to the additional amortization resulting from intangibles related to the HCSB and FOFN acquisitions. Professional fees increased primarily due to the Acquisitions, corporate and technology related projects, and increased legal fees associated with loan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8" w:name="page49"/>
    <w:bookmarkEnd w:id="48"/>
    <w:p>
      <w:pPr>
        <w:jc w:val="both"/>
        <w:ind w:right="20"/>
        <w:spacing w:after="0" w:line="277" w:lineRule="auto"/>
        <w:rPr>
          <w:sz w:val="20"/>
          <w:szCs w:val="20"/>
          <w:color w:val="auto"/>
        </w:rPr>
      </w:pPr>
      <w:r>
        <w:rPr>
          <w:rFonts w:ascii="Arial" w:cs="Arial" w:eastAsia="Arial" w:hAnsi="Arial"/>
          <w:sz w:val="18"/>
          <w:szCs w:val="18"/>
          <w:color w:val="auto"/>
        </w:rPr>
        <w:t>growth. Merger-related and other charges decreased $8.47 million from 2017 mostly as a result of a reduced level of merger-related activity in 2018 in comparison to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to 2016 comparison: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$26.3 million, or 11%, increase in total noninterest expenses from 2016 to 2017 was primarily due to the inclusion of operating expenses associated with the acquisitions of Tidelands, HCSB and FOFN.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Salaries and employee benefits expense for 2017 increased $14.3 million, or 10%, from 2016. The increase was due to a number of factors including investments in additional staff and additional staff resulting from the acquisitions of HCSB and FOFN. Full-time equivalent headcount totaled 2,137 at December 31, 2017 compared to 1,916 at December 31, 2016, an increase of 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noncompete intangibles increased due to the addition of HCSB and FOFN. Communications and equipment expense of $19.7 million for 2017 was up $1.31 million, or 7%, from 2016 due to higher software maintenance contracts and higher equipment depreciation charges mostly resulting from the 2017 and 2016 acquisitions.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FDIC assessments and other regulatory charges expense for 2017 increased $668,000, or 11%, from 2016 due to a larger balance sheet as well as the effect of the higher deposit insurance assessment imposed beginning in the third quarter of 2017 as a result of United’s exceeding the $10 billion asset size threshold.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merger-related and other charges consisted primarily of merger costs of $10.4 million associated with the acquisitions of HCSB and FOFN, impairment charges on surplus bank properties of $1.14 million, executive retirement costs of $1.53 million and branch closure costs of $831,000. The 2016 charges, which included severance, conversion and legal and professional fees were primarily related to the Palmetto Bancshares, Inc. and Tidelands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was $49.8 million in 2018, compared to $105 million in 2017 and $62.3 million in 2016. Income tax expense for 2018, 2017 and 2016 represents an effective tax rate of 23.1%, 60.8% and 38.2%, respectively. The abnormally high tax expense and effective tax rate in 2017 reflects a $38.2 million charge to remeasure United’s deferred tax assets at the new lower federal income tax rate of 21% following the passage of the Tax Act on December 22,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basis including operating losses and tax credit carryforwards. Net deferred tax assets (deferred tax assets net of deferred tax liabilities and valuation allowance) are reported in the consolidated balance sheets as a component of total assets.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assesses whether a valuation allowance should be established against the deferred tax asset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 Based on all evidence considered, as of December 31, 2018 and 2017, management concluded that it was more likely than not that nearly all of the net deferred tax asset would be realized. Management expects to generate levels of future taxable income that will allow for full utilization of most of United’s net operating loss carryforwards within the statutory carryforward periods. The valuation allowance of $3.37 million at December 31, 2018 was related to specific state income tax credits and certain acquired state net operating losses, both of which are expected to expire unused.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Fourth Quarter 2018 Discussion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interest revenue for the fourth quarter of 2018 increased $17.4 million, or 18%, to $115 million from the same period a year ago, which is primarily attributable to the increase in the loan portfolio and the increased yield on loans. The increase in loans is primarily attributable to organic loan growth and the acquisition of NLFC. The increase in yield on the loan portfolio reflects the effect of rising interest rates on floating rate loans and the acquisition of higher yielding loans from NLFC. The net interest margin for the fourth quarter of 2018 increased to 3.97% from 3.63% in the fourth quarter of 2017, reflecting the higher yields on earning assets, partially offset by a smaller increase in the average rate paid on interest-bearing liabilities.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recorded a provision for credit losses in the fourth quarter of 2018 of $2.10 million, compared to $1.20 million for the fourth quarter of 2017. The increase was primarily due to loan growth as credit quality remained stable.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Quarterly Noninterest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6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7"/>
        </w:trPr>
        <w:tc>
          <w:tcPr>
            <w:tcW w:w="586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0" w:type="dxa"/>
            <w:vAlign w:val="bottom"/>
            <w:tcBorders>
              <w:bottom w:val="single" w:sz="8" w:color="F0FFFF"/>
            </w:tcBorders>
          </w:tcPr>
          <w:p>
            <w:pPr>
              <w:spacing w:after="0"/>
              <w:rPr>
                <w:sz w:val="2"/>
                <w:szCs w:val="2"/>
                <w:color w:val="auto"/>
              </w:rPr>
            </w:pPr>
          </w:p>
        </w:tc>
      </w:tr>
      <w:tr>
        <w:trPr>
          <w:trHeight w:val="244"/>
        </w:trPr>
        <w:tc>
          <w:tcPr>
            <w:tcW w:w="586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8"/>
                <w:szCs w:val="18"/>
                <w:color w:val="auto"/>
              </w:rPr>
              <w:t>Overdraft fees</w:t>
            </w: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3,731</w:t>
            </w:r>
          </w:p>
        </w:tc>
        <w:tc>
          <w:tcPr>
            <w:tcW w:w="13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5 %</w:t>
            </w: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5860" w:type="dxa"/>
            <w:vAlign w:val="bottom"/>
          </w:tcPr>
          <w:p>
            <w:pPr>
              <w:ind w:left="1840"/>
              <w:spacing w:after="0"/>
              <w:rPr>
                <w:sz w:val="20"/>
                <w:szCs w:val="20"/>
                <w:color w:val="auto"/>
              </w:rPr>
            </w:pPr>
            <w:r>
              <w:rPr>
                <w:rFonts w:ascii="Arial" w:cs="Arial" w:eastAsia="Arial" w:hAnsi="Arial"/>
                <w:sz w:val="18"/>
                <w:szCs w:val="18"/>
                <w:color w:val="auto"/>
              </w:rPr>
              <w:t>ATM and debit card fees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3,188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80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6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8"/>
                <w:szCs w:val="18"/>
                <w:color w:val="auto"/>
              </w:rPr>
              <w:t>Other service charges and fees</w:t>
            </w:r>
          </w:p>
        </w:tc>
        <w:tc>
          <w:tcPr>
            <w:tcW w:w="26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1,851</w:t>
            </w:r>
          </w:p>
        </w:tc>
        <w:tc>
          <w:tcPr>
            <w:tcW w:w="1380" w:type="dxa"/>
            <w:vAlign w:val="bottom"/>
            <w:tcBorders>
              <w:bottom w:val="single" w:sz="8" w:color="F0FFFF"/>
            </w:tcBorders>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17</w:t>
            </w:r>
          </w:p>
        </w:tc>
        <w:tc>
          <w:tcPr>
            <w:tcW w:w="1800" w:type="dxa"/>
            <w:vAlign w:val="bottom"/>
            <w:tcBorders>
              <w:bottom w:val="single" w:sz="8" w:color="F0FFFF"/>
            </w:tcBorders>
            <w:shd w:val="clear" w:color="auto" w:fill="F0FFFF"/>
          </w:tcPr>
          <w:p>
            <w:pPr>
              <w:spacing w:after="0"/>
              <w:rPr>
                <w:sz w:val="23"/>
                <w:szCs w:val="23"/>
                <w:color w:val="auto"/>
              </w:rPr>
            </w:pPr>
          </w:p>
        </w:tc>
      </w:tr>
      <w:tr>
        <w:trPr>
          <w:trHeight w:val="237"/>
        </w:trPr>
        <w:tc>
          <w:tcPr>
            <w:tcW w:w="5860" w:type="dxa"/>
            <w:vAlign w:val="bottom"/>
          </w:tcPr>
          <w:p>
            <w:pPr>
              <w:ind w:left="2080"/>
              <w:spacing w:after="0"/>
              <w:rPr>
                <w:sz w:val="20"/>
                <w:szCs w:val="20"/>
                <w:color w:val="auto"/>
              </w:rPr>
            </w:pPr>
            <w:r>
              <w:rPr>
                <w:rFonts w:ascii="Arial" w:cs="Arial" w:eastAsia="Arial" w:hAnsi="Arial"/>
                <w:sz w:val="18"/>
                <w:szCs w:val="18"/>
                <w:color w:val="auto"/>
              </w:rPr>
              <w:t>Service charges and fees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8,770</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80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86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8"/>
                <w:szCs w:val="18"/>
                <w:color w:val="auto"/>
              </w:rPr>
              <w:t>Mortgage loan and related fees</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3,082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4,885</w:t>
            </w:r>
          </w:p>
        </w:tc>
        <w:tc>
          <w:tcPr>
            <w:tcW w:w="1380" w:type="dxa"/>
            <w:vAlign w:val="bottom"/>
            <w:tcBorders>
              <w:bottom w:val="single" w:sz="8" w:color="F0FFFF"/>
            </w:tcBorders>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(37)</w:t>
            </w: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5860" w:type="dxa"/>
            <w:vAlign w:val="bottom"/>
          </w:tcPr>
          <w:p>
            <w:pPr>
              <w:ind w:left="1840"/>
              <w:spacing w:after="0"/>
              <w:rPr>
                <w:sz w:val="20"/>
                <w:szCs w:val="20"/>
                <w:color w:val="auto"/>
              </w:rPr>
            </w:pPr>
            <w:r>
              <w:rPr>
                <w:rFonts w:ascii="Arial" w:cs="Arial" w:eastAsia="Arial" w:hAnsi="Arial"/>
                <w:sz w:val="18"/>
                <w:szCs w:val="18"/>
                <w:color w:val="auto"/>
              </w:rPr>
              <w:t>Brokerage fees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80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86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8"/>
                <w:szCs w:val="18"/>
                <w:color w:val="auto"/>
              </w:rPr>
              <w:t>Gains from sales of SBA/USDA loans</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3,102</w:t>
            </w:r>
          </w:p>
        </w:tc>
        <w:tc>
          <w:tcPr>
            <w:tcW w:w="1380" w:type="dxa"/>
            <w:vAlign w:val="bottom"/>
            <w:tcBorders>
              <w:bottom w:val="single" w:sz="8" w:color="F0FFFF"/>
            </w:tcBorders>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(20)</w:t>
            </w: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5860" w:type="dxa"/>
            <w:vAlign w:val="bottom"/>
          </w:tcPr>
          <w:p>
            <w:pPr>
              <w:ind w:left="1840"/>
              <w:spacing w:after="0"/>
              <w:rPr>
                <w:sz w:val="20"/>
                <w:szCs w:val="20"/>
                <w:color w:val="auto"/>
              </w:rPr>
            </w:pPr>
            <w:r>
              <w:rPr>
                <w:rFonts w:ascii="Arial" w:cs="Arial" w:eastAsia="Arial" w:hAnsi="Arial"/>
                <w:sz w:val="18"/>
                <w:szCs w:val="18"/>
                <w:color w:val="auto"/>
              </w:rPr>
              <w:t>Customer derivatives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86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8"/>
                <w:szCs w:val="18"/>
                <w:color w:val="auto"/>
              </w:rPr>
              <w:t>Securities gains (losses), net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5860" w:type="dxa"/>
            <w:vAlign w:val="bottom"/>
          </w:tcPr>
          <w:p>
            <w:pPr>
              <w:ind w:left="18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3,638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800" w:type="dxa"/>
            <w:vAlign w:val="bottom"/>
          </w:tcPr>
          <w:p>
            <w:pPr>
              <w:spacing w:after="0"/>
              <w:rPr>
                <w:sz w:val="21"/>
                <w:szCs w:val="21"/>
                <w:color w:val="auto"/>
              </w:rPr>
            </w:pPr>
          </w:p>
        </w:tc>
      </w:tr>
      <w:tr>
        <w:trPr>
          <w:trHeight w:val="27"/>
        </w:trPr>
        <w:tc>
          <w:tcPr>
            <w:tcW w:w="586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60" w:type="dxa"/>
            <w:vAlign w:val="bottom"/>
            <w:tcBorders>
              <w:bottom w:val="single" w:sz="8" w:color="F0FFFF"/>
            </w:tcBorders>
          </w:tcPr>
          <w:p>
            <w:pPr>
              <w:spacing w:after="0"/>
              <w:rPr>
                <w:sz w:val="2"/>
                <w:szCs w:val="2"/>
                <w:color w:val="auto"/>
              </w:rPr>
            </w:pPr>
          </w:p>
        </w:tc>
        <w:tc>
          <w:tcPr>
            <w:tcW w:w="1800" w:type="dxa"/>
            <w:vAlign w:val="bottom"/>
            <w:tcBorders>
              <w:bottom w:val="single" w:sz="8" w:color="F0FFFF"/>
            </w:tcBorders>
          </w:tcPr>
          <w:p>
            <w:pPr>
              <w:spacing w:after="0"/>
              <w:rPr>
                <w:sz w:val="2"/>
                <w:szCs w:val="2"/>
                <w:color w:val="auto"/>
              </w:rPr>
            </w:pPr>
          </w:p>
        </w:tc>
      </w:tr>
      <w:tr>
        <w:trPr>
          <w:trHeight w:val="257"/>
        </w:trPr>
        <w:tc>
          <w:tcPr>
            <w:tcW w:w="5860" w:type="dxa"/>
            <w:vAlign w:val="bottom"/>
            <w:tcBorders>
              <w:bottom w:val="single" w:sz="8" w:color="F0FFFF"/>
            </w:tcBorders>
            <w:shd w:val="clear" w:color="auto" w:fill="F0FFFF"/>
          </w:tcPr>
          <w:p>
            <w:pPr>
              <w:ind w:left="2080"/>
              <w:spacing w:after="0"/>
              <w:rPr>
                <w:sz w:val="20"/>
                <w:szCs w:val="20"/>
                <w:color w:val="auto"/>
              </w:rPr>
            </w:pPr>
            <w:r>
              <w:rPr>
                <w:rFonts w:ascii="Arial" w:cs="Arial" w:eastAsia="Arial" w:hAnsi="Arial"/>
                <w:sz w:val="18"/>
                <w:szCs w:val="18"/>
                <w:color w:val="auto"/>
              </w:rPr>
              <w:t>Total noninterest income</w:t>
            </w: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23,045</w:t>
            </w: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21,928</w:t>
            </w:r>
          </w:p>
        </w:tc>
        <w:tc>
          <w:tcPr>
            <w:tcW w:w="1380" w:type="dxa"/>
            <w:vAlign w:val="bottom"/>
            <w:tcBorders>
              <w:bottom w:val="single" w:sz="8" w:color="F0FFFF"/>
            </w:tcBorders>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F0FFFF"/>
            </w:tcBorders>
            <w:shd w:val="clear" w:color="auto" w:fill="F0FFFF"/>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Noninterest income for the fourth quarter of 2018 increased $1.12 million from the fourth quarter of 2017. Service charges and fees on deposit accounts increased from the fourth quarter of 2017, which was primarily attributable to volume driven increases provided by the acquisition of FOFN. The $1.80 million decrease in mortgage fees between the fourth quarter of 2017 and 2018 was primarily due to the decrease in the fair value of the mortgage servicing asset, resulting from higher expected prepayments on mortgage loans due to a sharp decrease in the 10-year U. S. Treasury rate in December of 2018. The increase in brokerage fees in the fourth quarter of 2018 compared with a year ago primarily related to the addition of financial advisors in 2018. Sales of $34.7 million in SBA/USDA loans in fourth quarter 2018 resulted in net gains of $2.49 million, compared to $33.6 million sold in fourth quarter 2017, resulting in net gains of $3.10 million. The primary driver in the increase in other noninterest income was the addition of other income from NLFC, which totaled approximately $1.46 million in the fourth quarter of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The following table presents noninterest expenses for the periods indicated.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6200" w:type="dxa"/>
            <w:vAlign w:val="bottom"/>
          </w:tcPr>
          <w:p>
            <w:pPr>
              <w:spacing w:after="0"/>
              <w:rPr>
                <w:sz w:val="20"/>
                <w:szCs w:val="20"/>
                <w:color w:val="auto"/>
              </w:rPr>
            </w:pPr>
            <w:r>
              <w:rPr>
                <w:rFonts w:ascii="Arial" w:cs="Arial" w:eastAsia="Arial" w:hAnsi="Arial"/>
                <w:sz w:val="18"/>
                <w:szCs w:val="18"/>
                <w:b w:val="1"/>
                <w:bCs w:val="1"/>
                <w:color w:val="auto"/>
              </w:rPr>
              <w:t>Table 7 - Quarterly Noninterest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0"/>
        </w:trPr>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r>
      <w:tr>
        <w:trPr>
          <w:trHeight w:val="237"/>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72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r>
      <w:tr>
        <w:trPr>
          <w:trHeight w:val="27"/>
        </w:trPr>
        <w:tc>
          <w:tcPr>
            <w:tcW w:w="62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F0FFFF"/>
            </w:tcBorders>
          </w:tcPr>
          <w:p>
            <w:pPr>
              <w:spacing w:after="0"/>
              <w:rPr>
                <w:sz w:val="2"/>
                <w:szCs w:val="2"/>
                <w:color w:val="auto"/>
              </w:rPr>
            </w:pPr>
          </w:p>
        </w:tc>
      </w:tr>
      <w:tr>
        <w:trPr>
          <w:trHeight w:val="244"/>
        </w:trPr>
        <w:tc>
          <w:tcPr>
            <w:tcW w:w="6200" w:type="dxa"/>
            <w:vAlign w:val="bottom"/>
            <w:tcBorders>
              <w:bottom w:val="single" w:sz="8" w:color="F0FFFF"/>
            </w:tcBorders>
            <w:shd w:val="clear" w:color="auto" w:fill="F0FFFF"/>
          </w:tcPr>
          <w:p>
            <w:pPr>
              <w:ind w:left="1600"/>
              <w:spacing w:after="0"/>
              <w:rPr>
                <w:sz w:val="20"/>
                <w:szCs w:val="20"/>
                <w:color w:val="auto"/>
              </w:rPr>
            </w:pPr>
            <w:r>
              <w:rPr>
                <w:rFonts w:ascii="Arial" w:cs="Arial" w:eastAsia="Arial" w:hAnsi="Arial"/>
                <w:sz w:val="18"/>
                <w:szCs w:val="18"/>
                <w:color w:val="auto"/>
              </w:rPr>
              <w:t>Salaries and employee benefits</w:t>
            </w: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45,631</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41,042</w:t>
            </w:r>
          </w:p>
        </w:tc>
        <w:tc>
          <w:tcPr>
            <w:tcW w:w="13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11 %</w:t>
            </w:r>
          </w:p>
        </w:tc>
        <w:tc>
          <w:tcPr>
            <w:tcW w:w="1480" w:type="dxa"/>
            <w:vAlign w:val="bottom"/>
            <w:tcBorders>
              <w:bottom w:val="single" w:sz="8" w:color="F0FFFF"/>
            </w:tcBorders>
            <w:shd w:val="clear" w:color="auto" w:fill="F0FFFF"/>
          </w:tcPr>
          <w:p>
            <w:pPr>
              <w:spacing w:after="0"/>
              <w:rPr>
                <w:sz w:val="21"/>
                <w:szCs w:val="21"/>
                <w:color w:val="auto"/>
              </w:rPr>
            </w:pPr>
          </w:p>
        </w:tc>
      </w:tr>
      <w:tr>
        <w:trPr>
          <w:trHeight w:val="243"/>
        </w:trPr>
        <w:tc>
          <w:tcPr>
            <w:tcW w:w="6200" w:type="dxa"/>
            <w:vAlign w:val="bottom"/>
          </w:tcPr>
          <w:p>
            <w:pPr>
              <w:ind w:left="1600"/>
              <w:spacing w:after="0"/>
              <w:rPr>
                <w:sz w:val="20"/>
                <w:szCs w:val="20"/>
                <w:color w:val="auto"/>
              </w:rPr>
            </w:pPr>
            <w:r>
              <w:rPr>
                <w:rFonts w:ascii="Arial" w:cs="Arial" w:eastAsia="Arial" w:hAnsi="Arial"/>
                <w:sz w:val="18"/>
                <w:szCs w:val="18"/>
                <w:color w:val="auto"/>
              </w:rPr>
              <w:t>Communications and equipment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5,217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4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00" w:type="dxa"/>
            <w:vAlign w:val="bottom"/>
            <w:tcBorders>
              <w:bottom w:val="single" w:sz="8" w:color="F0FFFF"/>
            </w:tcBorders>
            <w:shd w:val="clear" w:color="auto" w:fill="F0FFFF"/>
          </w:tcPr>
          <w:p>
            <w:pPr>
              <w:ind w:left="1600"/>
              <w:spacing w:after="0"/>
              <w:rPr>
                <w:sz w:val="20"/>
                <w:szCs w:val="20"/>
                <w:color w:val="auto"/>
              </w:rPr>
            </w:pPr>
            <w:r>
              <w:rPr>
                <w:rFonts w:ascii="Arial" w:cs="Arial" w:eastAsia="Arial" w:hAnsi="Arial"/>
                <w:sz w:val="18"/>
                <w:szCs w:val="18"/>
                <w:color w:val="auto"/>
              </w:rPr>
              <w:t>Occupancy</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5,542</w:t>
            </w:r>
          </w:p>
        </w:tc>
        <w:tc>
          <w:tcPr>
            <w:tcW w:w="136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5</w:t>
            </w:r>
          </w:p>
        </w:tc>
        <w:tc>
          <w:tcPr>
            <w:tcW w:w="1480" w:type="dxa"/>
            <w:vAlign w:val="bottom"/>
            <w:tcBorders>
              <w:bottom w:val="single" w:sz="8" w:color="F0FFFF"/>
            </w:tcBorders>
            <w:shd w:val="clear" w:color="auto" w:fill="F0FFFF"/>
          </w:tcPr>
          <w:p>
            <w:pPr>
              <w:spacing w:after="0"/>
              <w:rPr>
                <w:sz w:val="21"/>
                <w:szCs w:val="21"/>
                <w:color w:val="auto"/>
              </w:rPr>
            </w:pPr>
          </w:p>
        </w:tc>
      </w:tr>
      <w:tr>
        <w:trPr>
          <w:trHeight w:val="243"/>
        </w:trPr>
        <w:tc>
          <w:tcPr>
            <w:tcW w:w="6200" w:type="dxa"/>
            <w:vAlign w:val="bottom"/>
          </w:tcPr>
          <w:p>
            <w:pPr>
              <w:ind w:left="1600"/>
              <w:spacing w:after="0"/>
              <w:rPr>
                <w:sz w:val="20"/>
                <w:szCs w:val="20"/>
                <w:color w:val="auto"/>
              </w:rPr>
            </w:pPr>
            <w:r>
              <w:rPr>
                <w:rFonts w:ascii="Arial" w:cs="Arial" w:eastAsia="Arial" w:hAnsi="Arial"/>
                <w:sz w:val="18"/>
                <w:szCs w:val="18"/>
                <w:color w:val="auto"/>
              </w:rPr>
              <w:t>Advertising and public relations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c>
          <w:tcPr>
            <w:tcW w:w="14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00" w:type="dxa"/>
            <w:vAlign w:val="bottom"/>
            <w:tcBorders>
              <w:bottom w:val="single" w:sz="8" w:color="F0FFFF"/>
            </w:tcBorders>
            <w:shd w:val="clear" w:color="auto" w:fill="F0FFFF"/>
          </w:tcPr>
          <w:p>
            <w:pPr>
              <w:ind w:left="1600"/>
              <w:spacing w:after="0"/>
              <w:rPr>
                <w:sz w:val="20"/>
                <w:szCs w:val="20"/>
                <w:color w:val="auto"/>
              </w:rPr>
            </w:pPr>
            <w:r>
              <w:rPr>
                <w:rFonts w:ascii="Arial" w:cs="Arial" w:eastAsia="Arial" w:hAnsi="Arial"/>
                <w:sz w:val="18"/>
                <w:szCs w:val="18"/>
                <w:color w:val="auto"/>
              </w:rPr>
              <w:t>Postage, printing and supplies</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1,825</w:t>
            </w:r>
          </w:p>
        </w:tc>
        <w:tc>
          <w:tcPr>
            <w:tcW w:w="1360" w:type="dxa"/>
            <w:vAlign w:val="bottom"/>
            <w:tcBorders>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(17)</w:t>
            </w:r>
          </w:p>
        </w:tc>
        <w:tc>
          <w:tcPr>
            <w:tcW w:w="1480" w:type="dxa"/>
            <w:vAlign w:val="bottom"/>
            <w:tcBorders>
              <w:bottom w:val="single" w:sz="8" w:color="F0FFFF"/>
            </w:tcBorders>
            <w:shd w:val="clear" w:color="auto" w:fill="F0FFFF"/>
          </w:tcPr>
          <w:p>
            <w:pPr>
              <w:spacing w:after="0"/>
              <w:rPr>
                <w:sz w:val="21"/>
                <w:szCs w:val="21"/>
                <w:color w:val="auto"/>
              </w:rPr>
            </w:pPr>
          </w:p>
        </w:tc>
      </w:tr>
      <w:tr>
        <w:trPr>
          <w:trHeight w:val="243"/>
        </w:trPr>
        <w:tc>
          <w:tcPr>
            <w:tcW w:w="6200" w:type="dxa"/>
            <w:vAlign w:val="bottom"/>
          </w:tcPr>
          <w:p>
            <w:pPr>
              <w:ind w:left="160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3,683</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14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00" w:type="dxa"/>
            <w:vAlign w:val="bottom"/>
            <w:tcBorders>
              <w:bottom w:val="single" w:sz="8" w:color="F0FFFF"/>
            </w:tcBorders>
            <w:shd w:val="clear" w:color="auto" w:fill="F0FFFF"/>
          </w:tcPr>
          <w:p>
            <w:pPr>
              <w:ind w:left="1600"/>
              <w:spacing w:after="0"/>
              <w:rPr>
                <w:sz w:val="20"/>
                <w:szCs w:val="20"/>
                <w:color w:val="auto"/>
              </w:rPr>
            </w:pPr>
            <w:r>
              <w:rPr>
                <w:rFonts w:ascii="Arial" w:cs="Arial" w:eastAsia="Arial" w:hAnsi="Arial"/>
                <w:sz w:val="18"/>
                <w:szCs w:val="18"/>
                <w:color w:val="auto"/>
              </w:rPr>
              <w:t>FDIC assessments and other regulatory charges</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1,776</w:t>
            </w:r>
          </w:p>
        </w:tc>
        <w:tc>
          <w:tcPr>
            <w:tcW w:w="136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F0FFFF"/>
            </w:tcBorders>
            <w:shd w:val="clear" w:color="auto" w:fill="F0FFFF"/>
          </w:tcPr>
          <w:p>
            <w:pPr>
              <w:spacing w:after="0"/>
              <w:rPr>
                <w:sz w:val="21"/>
                <w:szCs w:val="21"/>
                <w:color w:val="auto"/>
              </w:rPr>
            </w:pPr>
          </w:p>
        </w:tc>
      </w:tr>
      <w:tr>
        <w:trPr>
          <w:trHeight w:val="243"/>
        </w:trPr>
        <w:tc>
          <w:tcPr>
            <w:tcW w:w="6200" w:type="dxa"/>
            <w:vAlign w:val="bottom"/>
          </w:tcPr>
          <w:p>
            <w:pPr>
              <w:ind w:left="1600"/>
              <w:spacing w:after="0"/>
              <w:rPr>
                <w:sz w:val="20"/>
                <w:szCs w:val="20"/>
                <w:color w:val="auto"/>
              </w:rPr>
            </w:pPr>
            <w:r>
              <w:rPr>
                <w:rFonts w:ascii="Arial" w:cs="Arial" w:eastAsia="Arial" w:hAnsi="Arial"/>
                <w:sz w:val="18"/>
                <w:szCs w:val="18"/>
                <w:color w:val="auto"/>
              </w:rPr>
              <w:t>Amortization of core deposit intangibles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1,243</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200" w:type="dxa"/>
            <w:vAlign w:val="bottom"/>
            <w:tcBorders>
              <w:bottom w:val="single" w:sz="8" w:color="F0FFFF"/>
            </w:tcBorders>
            <w:shd w:val="clear" w:color="auto" w:fill="F0FFFF"/>
          </w:tcPr>
          <w:p>
            <w:pPr>
              <w:ind w:left="16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9,089</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7,301</w:t>
            </w:r>
          </w:p>
        </w:tc>
        <w:tc>
          <w:tcPr>
            <w:tcW w:w="136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24</w:t>
            </w:r>
          </w:p>
        </w:tc>
        <w:tc>
          <w:tcPr>
            <w:tcW w:w="1480" w:type="dxa"/>
            <w:vAlign w:val="bottom"/>
            <w:tcBorders>
              <w:bottom w:val="single" w:sz="8" w:color="F0FFFF"/>
            </w:tcBorders>
            <w:shd w:val="clear" w:color="auto" w:fill="F0FFFF"/>
          </w:tcPr>
          <w:p>
            <w:pPr>
              <w:spacing w:after="0"/>
              <w:rPr>
                <w:sz w:val="23"/>
                <w:szCs w:val="23"/>
                <w:color w:val="auto"/>
              </w:rPr>
            </w:pPr>
          </w:p>
        </w:tc>
      </w:tr>
      <w:tr>
        <w:trPr>
          <w:trHeight w:val="209"/>
        </w:trPr>
        <w:tc>
          <w:tcPr>
            <w:tcW w:w="6200" w:type="dxa"/>
            <w:vAlign w:val="bottom"/>
          </w:tcPr>
          <w:p>
            <w:pPr>
              <w:ind w:left="1840"/>
              <w:spacing w:after="0"/>
              <w:rPr>
                <w:sz w:val="20"/>
                <w:szCs w:val="20"/>
                <w:color w:val="auto"/>
              </w:rPr>
            </w:pPr>
            <w:r>
              <w:rPr>
                <w:rFonts w:ascii="Arial" w:cs="Arial" w:eastAsia="Arial" w:hAnsi="Arial"/>
                <w:sz w:val="18"/>
                <w:szCs w:val="18"/>
                <w:color w:val="auto"/>
              </w:rPr>
              <w:t>Total excluding merger-related and other charges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6200" w:type="dxa"/>
            <w:vAlign w:val="bottom"/>
          </w:tcPr>
          <w:p>
            <w:pPr>
              <w:ind w:left="1840"/>
              <w:spacing w:after="0"/>
              <w:rPr>
                <w:sz w:val="20"/>
                <w:szCs w:val="20"/>
                <w:color w:val="auto"/>
              </w:rPr>
            </w:pPr>
            <w:r>
              <w:rPr>
                <w:rFonts w:ascii="Arial" w:cs="Arial" w:eastAsia="Arial" w:hAnsi="Arial"/>
                <w:sz w:val="18"/>
                <w:szCs w:val="18"/>
                <w:color w:val="auto"/>
              </w:rPr>
              <w:t>and amortization of noncompete agreements</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77,008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68,524</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4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00" w:type="dxa"/>
            <w:vAlign w:val="bottom"/>
            <w:tcBorders>
              <w:bottom w:val="single" w:sz="8" w:color="F0FFFF"/>
            </w:tcBorders>
            <w:shd w:val="clear" w:color="auto" w:fill="F0FFFF"/>
          </w:tcPr>
          <w:p>
            <w:pPr>
              <w:ind w:left="1600"/>
              <w:spacing w:after="0"/>
              <w:rPr>
                <w:sz w:val="20"/>
                <w:szCs w:val="20"/>
                <w:color w:val="auto"/>
              </w:rPr>
            </w:pPr>
            <w:r>
              <w:rPr>
                <w:rFonts w:ascii="Arial" w:cs="Arial" w:eastAsia="Arial" w:hAnsi="Arial"/>
                <w:sz w:val="18"/>
                <w:szCs w:val="18"/>
                <w:color w:val="auto"/>
              </w:rPr>
              <w:t>Merger-related and other charges</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6,841</w:t>
            </w:r>
          </w:p>
        </w:tc>
        <w:tc>
          <w:tcPr>
            <w:tcW w:w="12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spacing w:after="0"/>
              <w:rPr>
                <w:sz w:val="21"/>
                <w:szCs w:val="21"/>
                <w:color w:val="auto"/>
              </w:rPr>
            </w:pPr>
          </w:p>
        </w:tc>
        <w:tc>
          <w:tcPr>
            <w:tcW w:w="1480" w:type="dxa"/>
            <w:vAlign w:val="bottom"/>
            <w:tcBorders>
              <w:bottom w:val="single" w:sz="8" w:color="F0FFFF"/>
            </w:tcBorders>
            <w:shd w:val="clear" w:color="auto" w:fill="F0FFFF"/>
          </w:tcPr>
          <w:p>
            <w:pPr>
              <w:spacing w:after="0"/>
              <w:rPr>
                <w:sz w:val="21"/>
                <w:szCs w:val="21"/>
                <w:color w:val="auto"/>
              </w:rPr>
            </w:pPr>
          </w:p>
        </w:tc>
      </w:tr>
      <w:tr>
        <w:trPr>
          <w:trHeight w:val="243"/>
        </w:trPr>
        <w:tc>
          <w:tcPr>
            <w:tcW w:w="6200" w:type="dxa"/>
            <w:vAlign w:val="bottom"/>
          </w:tcPr>
          <w:p>
            <w:pPr>
              <w:ind w:left="1600"/>
              <w:spacing w:after="0"/>
              <w:rPr>
                <w:sz w:val="20"/>
                <w:szCs w:val="20"/>
                <w:color w:val="auto"/>
              </w:rPr>
            </w:pPr>
            <w:r>
              <w:rPr>
                <w:rFonts w:ascii="Arial" w:cs="Arial" w:eastAsia="Arial" w:hAnsi="Arial"/>
                <w:sz w:val="18"/>
                <w:szCs w:val="18"/>
                <w:color w:val="auto"/>
              </w:rPr>
              <w:t>Amortization of noncompete agreements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2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40" w:type="dxa"/>
            <w:vAlign w:val="bottom"/>
            <w:tcBorders>
              <w:bottom w:val="single" w:sz="8" w:color="F0FFFF"/>
            </w:tcBorders>
          </w:tcPr>
          <w:p>
            <w:pPr>
              <w:spacing w:after="0"/>
              <w:rPr>
                <w:sz w:val="2"/>
                <w:szCs w:val="2"/>
                <w:color w:val="auto"/>
              </w:rPr>
            </w:pPr>
          </w:p>
        </w:tc>
        <w:tc>
          <w:tcPr>
            <w:tcW w:w="1480" w:type="dxa"/>
            <w:vAlign w:val="bottom"/>
            <w:tcBorders>
              <w:bottom w:val="single" w:sz="8" w:color="F0FFFF"/>
            </w:tcBorders>
          </w:tcPr>
          <w:p>
            <w:pPr>
              <w:spacing w:after="0"/>
              <w:rPr>
                <w:sz w:val="2"/>
                <w:szCs w:val="2"/>
                <w:color w:val="auto"/>
              </w:rPr>
            </w:pPr>
          </w:p>
        </w:tc>
      </w:tr>
      <w:tr>
        <w:trPr>
          <w:trHeight w:val="257"/>
        </w:trPr>
        <w:tc>
          <w:tcPr>
            <w:tcW w:w="6200" w:type="dxa"/>
            <w:vAlign w:val="bottom"/>
            <w:tcBorders>
              <w:bottom w:val="single" w:sz="8" w:color="F0FFFF"/>
            </w:tcBorders>
            <w:shd w:val="clear" w:color="auto" w:fill="F0FFFF"/>
          </w:tcPr>
          <w:p>
            <w:pPr>
              <w:ind w:left="1840"/>
              <w:spacing w:after="0"/>
              <w:rPr>
                <w:sz w:val="20"/>
                <w:szCs w:val="20"/>
                <w:color w:val="auto"/>
              </w:rPr>
            </w:pPr>
            <w:r>
              <w:rPr>
                <w:rFonts w:ascii="Arial" w:cs="Arial" w:eastAsia="Arial" w:hAnsi="Arial"/>
                <w:sz w:val="18"/>
                <w:szCs w:val="18"/>
                <w:color w:val="auto"/>
              </w:rPr>
              <w:t>Total noninterest expenses</w:t>
            </w: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78,242</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75,882</w:t>
            </w:r>
          </w:p>
        </w:tc>
        <w:tc>
          <w:tcPr>
            <w:tcW w:w="1360" w:type="dxa"/>
            <w:vAlign w:val="bottom"/>
            <w:tcBorders>
              <w:bottom w:val="single" w:sz="8" w:color="F0FFFF"/>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3</w:t>
            </w:r>
          </w:p>
        </w:tc>
        <w:tc>
          <w:tcPr>
            <w:tcW w:w="1480" w:type="dxa"/>
            <w:vAlign w:val="bottom"/>
            <w:tcBorders>
              <w:bottom w:val="single" w:sz="8" w:color="F0FFFF"/>
            </w:tcBorders>
            <w:shd w:val="clear" w:color="auto" w:fill="F0FFFF"/>
          </w:tcPr>
          <w:p>
            <w:pPr>
              <w:spacing w:after="0"/>
              <w:rPr>
                <w:sz w:val="22"/>
                <w:szCs w:val="2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expenses excluding merger-related and other charges increased $8.48 million from the fourth quarter of 2017 to the fourth quarter of 2018, largely due to the acquisitions of FOFN and NLFC. $4.59 million of the increase was attributable to the increase in salaries and employee benefits, which was due to a number of factors including investments in additional staff and new teams to expand Commercial Banking Solutions and other key areas, additional staff resulting from the acquisitions, and incentive accruals. Communications and equipment expense increased $989,000 from the fourth quarter of 2017 primarily as a result of various technology related projects and higher software maintenance contracts. The increase in advertising and public relations was mostly due to the timing of advertising campaigns as well as an increase in sponsorships and charitable giving in the fourth quarter of 2018. Professional fees increased $422,000 in the fourth quarter of 2018 compared to fourth quarter of 2017 due to increased legal fees associated with loan growth. Other expenses were up $1.79 million from the fourth quarter of 2017 due to a number of factors including higher lending support costs resulting from higher loan production volume. Merger-related and other charges decreased by $5.88 million due to the lack of merger-related activity during the fourth quarter of 2018 compared to 2017, which included merger charges primarily related to HCSB and FOFN.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assets at December 31, 2018 were $12.6 billion, an increase of $658 million, or 6%, from December 31, 2017. On a daily average basis, total assets increased $1.27 billion, or 12%, from 2017 to 2018. Average interest-earning assets for 2018 and 2017 were $11.3 billion and $10.2 billion,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United’s loan portfolio is its largest category of interest-earning assets. Many of United’s loans are to customers located in the immediate market areas of its community banks in Georgia, South Carolina, North Carolina and Tennessee, including customers who have a seasonal residence in United’s market areas, or are generated by the Commercial Banking Solutions division that focuses on specific commercial loan businesses, such as SBA, franchise, and equipment finance lending that offer services nationwide. Approximately 74% of loans are secured by real estate. Total loans averaged $8.17 billion in 2018, compared with $7.15 billion in 2017, an increase of 14%. At December 31, 2018, total loans were $8.38 billion, an increase of 8%, from December 31, 2017. Loans increased year over year due to organic growth and the acquisition of NLFC.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Loans by Category</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1,647,904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1,923,993</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1,650,360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1,570,988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1,256,779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1,812,420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1,595,174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1,281,541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1,020,464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766,834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Commercial &amp; industrial</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1,278,347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1,130,990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1,069,715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784,870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709,615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711,936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633,921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364,564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Equipment financing</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564,614</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6,099,443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5,362,093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4,635,537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3,894,657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3,097,792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mortgage</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1,049,232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973,544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856,725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764,175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613,592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694,010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731,227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655,410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589,325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455,825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construction</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211,011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183,019</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190,043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176,202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131,382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127,504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104,899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Indirect auto</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207,692</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358,185</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459,354</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455,971</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268,629</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8,383,401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7,735,572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6,920,636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5,995,441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4,672,119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Loans by Market</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North Georgia</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980,968</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1,018,945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1,096,974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1,125,123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1,163,479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Atlanta MSA</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1,506,990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1,510,067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1,398,657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1,259,377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1,243,535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North Carolina</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1,071,790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1,049,592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544,792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548,591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552,527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Coastal Georgia</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629,919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581,138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536,598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455,709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Gainesville MSA</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246,715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248,060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247,410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254,016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257,449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East Tennessee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474,515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503,843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504,277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280,312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South Carolina</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1,645,567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1,485,632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1,233,185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819,560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29,786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Commercial Banking Solutions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1,658,288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960,657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855,283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491,928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420,693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Indirect auto</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207,692</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358,185</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459,354</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455,971</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268,629</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8,383,401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7,735,572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6,920,636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5,995,441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4,672,119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United’s 25 largest credit relationships consisted of loans and loan commitments ranging from $19.3 million to $45.5 million, with an aggregate total credit exposure of $628 million. Total credit exposure includes $183 million in unfunded commitments and $445 million in balances outstanding, excluding participations sold. United had 21 lending relationships whose total credit exposure exceeded $20 million of which only eight relationships were in excess of $25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3"/>
              </w:rPr>
              <w:t>Rate Structure for Loans</w:t>
            </w:r>
          </w:p>
        </w:tc>
      </w:tr>
      <w:tr>
        <w:trPr>
          <w:trHeight w:val="234"/>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Maturity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8"/>
              </w:rPr>
              <w:t>Maturing Over One Year</w:t>
            </w:r>
          </w:p>
        </w:tc>
      </w:tr>
      <w:tr>
        <w:trPr>
          <w:trHeight w:val="27"/>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One Year</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One through</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Over Five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or Less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Five Years</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Years</w:t>
            </w:r>
          </w:p>
        </w:tc>
        <w:tc>
          <w:tcPr>
            <w:tcW w:w="22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Fixed Rate</w:t>
            </w:r>
          </w:p>
        </w:tc>
        <w:tc>
          <w:tcPr>
            <w:tcW w:w="11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Floating Rate</w:t>
            </w: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Commercial (commercial and industrial)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262,523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625,941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389,883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1,278,347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368,645</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647,179</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Construction (commercial and residential)</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3"/>
              <w:spacing w:after="0"/>
              <w:rPr>
                <w:sz w:val="20"/>
                <w:szCs w:val="20"/>
                <w:color w:val="auto"/>
              </w:rPr>
            </w:pPr>
            <w:r>
              <w:rPr>
                <w:rFonts w:ascii="Arial" w:cs="Arial" w:eastAsia="Arial" w:hAnsi="Arial"/>
                <w:sz w:val="18"/>
                <w:szCs w:val="18"/>
                <w:color w:val="auto"/>
              </w:rPr>
              <w:t>402,672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33"/>
              <w:spacing w:after="0"/>
              <w:rPr>
                <w:sz w:val="20"/>
                <w:szCs w:val="20"/>
                <w:color w:val="auto"/>
              </w:rPr>
            </w:pPr>
            <w:r>
              <w:rPr>
                <w:rFonts w:ascii="Arial" w:cs="Arial" w:eastAsia="Arial" w:hAnsi="Arial"/>
                <w:sz w:val="18"/>
                <w:szCs w:val="18"/>
                <w:color w:val="auto"/>
              </w:rPr>
              <w:t>424,832</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33"/>
              <w:spacing w:after="0"/>
              <w:rPr>
                <w:sz w:val="20"/>
                <w:szCs w:val="20"/>
                <w:color w:val="auto"/>
              </w:rPr>
            </w:pPr>
            <w:r>
              <w:rPr>
                <w:rFonts w:ascii="Arial" w:cs="Arial" w:eastAsia="Arial" w:hAnsi="Arial"/>
                <w:sz w:val="18"/>
                <w:szCs w:val="18"/>
                <w:color w:val="auto"/>
              </w:rPr>
              <w:t>179,665</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32"/>
              <w:spacing w:after="0"/>
              <w:rPr>
                <w:sz w:val="20"/>
                <w:szCs w:val="20"/>
                <w:color w:val="auto"/>
              </w:rPr>
            </w:pPr>
            <w:r>
              <w:rPr>
                <w:rFonts w:ascii="Arial" w:cs="Arial" w:eastAsia="Arial" w:hAnsi="Arial"/>
                <w:sz w:val="18"/>
                <w:szCs w:val="18"/>
                <w:color w:val="auto"/>
                <w:w w:val="97"/>
              </w:rPr>
              <w:t>1,007,169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154,250</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450,247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43,224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475,774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45,616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564,614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521,390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33"/>
              <w:spacing w:after="0"/>
              <w:rPr>
                <w:sz w:val="20"/>
                <w:szCs w:val="20"/>
                <w:color w:val="auto"/>
              </w:rPr>
            </w:pPr>
            <w:r>
              <w:rPr>
                <w:rFonts w:ascii="Arial" w:cs="Arial" w:eastAsia="Arial" w:hAnsi="Arial"/>
                <w:sz w:val="18"/>
                <w:szCs w:val="18"/>
                <w:color w:val="auto"/>
              </w:rPr>
              <w:t>708,419</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F0FFFF"/>
          </w:tcPr>
          <w:p>
            <w:pPr>
              <w:jc w:val="right"/>
              <w:ind w:right="33"/>
              <w:spacing w:after="0"/>
              <w:rPr>
                <w:sz w:val="20"/>
                <w:szCs w:val="20"/>
                <w:color w:val="auto"/>
              </w:rPr>
            </w:pPr>
            <w:r>
              <w:rPr>
                <w:rFonts w:ascii="Arial" w:cs="Arial" w:eastAsia="Arial" w:hAnsi="Arial"/>
                <w:sz w:val="18"/>
                <w:szCs w:val="18"/>
                <w:color w:val="auto"/>
              </w:rPr>
              <w:t>1,526,547</w:t>
            </w: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33"/>
              <w:spacing w:after="0"/>
              <w:rPr>
                <w:sz w:val="20"/>
                <w:szCs w:val="20"/>
                <w:color w:val="auto"/>
              </w:rPr>
            </w:pPr>
            <w:r>
              <w:rPr>
                <w:rFonts w:ascii="Arial" w:cs="Arial" w:eastAsia="Arial" w:hAnsi="Arial"/>
                <w:sz w:val="18"/>
                <w:szCs w:val="18"/>
                <w:color w:val="auto"/>
              </w:rPr>
              <w:t>615,164</w:t>
            </w: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32"/>
              <w:spacing w:after="0"/>
              <w:rPr>
                <w:sz w:val="20"/>
                <w:szCs w:val="20"/>
                <w:color w:val="auto"/>
              </w:rPr>
            </w:pPr>
            <w:r>
              <w:rPr>
                <w:rFonts w:ascii="Arial" w:cs="Arial" w:eastAsia="Arial" w:hAnsi="Arial"/>
                <w:sz w:val="18"/>
                <w:szCs w:val="18"/>
                <w:color w:val="auto"/>
                <w:w w:val="97"/>
              </w:rPr>
              <w:t>2,850,130</w:t>
            </w: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31"/>
              <w:spacing w:after="0"/>
              <w:rPr>
                <w:sz w:val="20"/>
                <w:szCs w:val="20"/>
                <w:color w:val="auto"/>
              </w:rPr>
            </w:pPr>
            <w:r>
              <w:rPr>
                <w:rFonts w:ascii="Arial" w:cs="Arial" w:eastAsia="Arial" w:hAnsi="Arial"/>
                <w:sz w:val="18"/>
                <w:szCs w:val="18"/>
                <w:color w:val="auto"/>
              </w:rPr>
              <w:t>1,044,285</w:t>
            </w: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1,097,426</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8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concentration limits, establishing credit policies and procedures and enforcing the consistent application of these policies and procedures among all of the community banking and commercial banking solutions areas. Additional information on United’s credit administration function is included in Item 1 under the heading “Lending Activities.”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Home equity lines generally require the payment of interest only for a set period after origination. After this initial period, the outstanding balance begins amortizing and requires the payment of both principal and interest. At December 31, 2018 and 2017, the funded portion of home equity lines totaled $694 million and $731 million, respectively. Of the $694 million in balances outstanding at December 31, 2018, $414 million, or 60%, were first liens. At December 31, 2018, 52% of the total available home equity lines were drawn upon.</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United monitors the performance of its home equity loans and lines secured by second liens similar to other consumer loans and utilizes assumptions specific to these loans in determining the necessary allowance. United generally receives notification when the first lien holder is in the process of foreclosure and upon that notification, United determines its collection options by obtaining valuations to conclude if any additional charge-offs or reserves are warranted.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Performing Classified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By Category</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32,909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41,467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42,169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44,790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52,671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18,048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30,061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29,379</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37,638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Commercial construction</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9,549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8,264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14,263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commercial</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81,703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91,671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89,291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97,017</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103,792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Home equity lines of credit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5,060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Consumer direct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90,783</w:t>
            </w:r>
          </w:p>
        </w:tc>
        <w:tc>
          <w:tcPr>
            <w:tcW w:w="12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117,161</w:t>
            </w:r>
          </w:p>
        </w:tc>
        <w:tc>
          <w:tcPr>
            <w:tcW w:w="12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114,347</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127,527</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128,393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By Market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North Georgia</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16,477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30,952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39,438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55,821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Atlanta MSA</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North Carolina</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11,556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30,670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11,089</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14,087</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16,479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Coastal Georgia</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Gainesville MSA</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East Tennessee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South Carolina</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26,277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27,212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31,623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23,620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Commercial Banking Solutions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Indirect auto</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90,783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117,161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114,347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127,527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128,393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800" w:right="239" w:bottom="1440" w:gutter="0" w:footer="0" w:header="0"/>
          <w:type w:val="continuous"/>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At December 31, 2018, performing classified loans totaled $90.8 million. The decrease of $26.4 million from the prior year end coincides with the overall decrease in classified loans from December 31, 2017.</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TDRs,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 in the 2018 provision and the higher level of the allowance for loan losses compared to the previous year reflects loan growth, as credit quality remained stable.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allocation of the allowance for credit losses is based on historical data, subjective judgment and estimates and, therefore, is not necessarily indicative of the specific amounts or loan categories in which charge-offs may ultimately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credit losses for each of the past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Allocation of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Amount</w:t>
            </w: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Amount</w:t>
            </w: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r>
      <w:tr>
        <w:trPr>
          <w:trHeight w:val="27"/>
        </w:trPr>
        <w:tc>
          <w:tcPr>
            <w:tcW w:w="298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w w:val="92"/>
              </w:rPr>
              <w:t>Owner occupied commercial real estate</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12,207</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14,776</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16,446</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18,016</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18,174</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Income producing commercial real</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11,073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8,843</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14,517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Commercial &amp; industrial</w:t>
            </w: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3,252</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10,337</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10,523</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Equipment financing</w:t>
            </w:r>
          </w:p>
        </w:tc>
        <w:tc>
          <w:tcPr>
            <w:tcW w:w="140" w:type="dxa"/>
            <w:vAlign w:val="bottom"/>
            <w:tcBorders>
              <w:bottom w:val="single" w:sz="8" w:color="F0FFFF"/>
            </w:tcBorders>
            <w:shd w:val="clear" w:color="auto" w:fill="F0FFFF"/>
          </w:tcPr>
          <w:p>
            <w:pPr>
              <w:spacing w:after="0"/>
              <w:rPr>
                <w:sz w:val="23"/>
                <w:szCs w:val="23"/>
                <w:color w:val="auto"/>
              </w:rPr>
            </w:pP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5,452</w:t>
            </w:r>
          </w:p>
        </w:tc>
        <w:tc>
          <w:tcPr>
            <w:tcW w:w="12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43,871</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38,651</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42,504</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43,550</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mortgage</w:t>
            </w: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8,295</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10,097</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8,545</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12,719</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14,133</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5,956</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construction</w:t>
            </w: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2,433</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4,374</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Indirect auto</w:t>
            </w:r>
          </w:p>
        </w:tc>
        <w:tc>
          <w:tcPr>
            <w:tcW w:w="140" w:type="dxa"/>
            <w:vAlign w:val="bottom"/>
            <w:tcBorders>
              <w:bottom w:val="single" w:sz="8" w:color="F0FFFF"/>
            </w:tcBorders>
            <w:shd w:val="clear" w:color="auto" w:fill="F0FFFF"/>
          </w:tcPr>
          <w:p>
            <w:pPr>
              <w:spacing w:after="0"/>
              <w:rPr>
                <w:sz w:val="23"/>
                <w:szCs w:val="23"/>
                <w:color w:val="auto"/>
              </w:rPr>
            </w:pP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F0FFFF"/>
            </w:tcBorders>
            <w:shd w:val="clear" w:color="auto" w:fill="F0FFFF"/>
          </w:tcPr>
          <w:p>
            <w:pPr>
              <w:spacing w:after="0"/>
              <w:rPr>
                <w:sz w:val="23"/>
                <w:szCs w:val="23"/>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F0FFFF"/>
            </w:tcBorders>
            <w:shd w:val="clear" w:color="auto" w:fill="F0FFFF"/>
          </w:tcPr>
          <w:p>
            <w:pPr>
              <w:spacing w:after="0"/>
              <w:rPr>
                <w:sz w:val="23"/>
                <w:szCs w:val="23"/>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Borders>
              <w:top w:val="single" w:sz="8" w:color="auto"/>
              <w:bottom w:val="single" w:sz="8" w:color="F0FFFF"/>
            </w:tcBorders>
          </w:tcPr>
          <w:p>
            <w:pPr>
              <w:spacing w:after="0"/>
              <w:rPr>
                <w:sz w:val="24"/>
                <w:szCs w:val="24"/>
                <w:color w:val="auto"/>
              </w:rPr>
            </w:pPr>
          </w:p>
        </w:tc>
        <w:tc>
          <w:tcPr>
            <w:tcW w:w="800" w:type="dxa"/>
            <w:vAlign w:val="bottom"/>
            <w:tcBorders>
              <w:top w:val="single" w:sz="8" w:color="auto"/>
              <w:bottom w:val="single" w:sz="8" w:color="F0FFFF"/>
            </w:tcBorders>
          </w:tcPr>
          <w:p>
            <w:pPr>
              <w:jc w:val="right"/>
              <w:ind w:right="30"/>
              <w:spacing w:after="0"/>
              <w:rPr>
                <w:sz w:val="20"/>
                <w:szCs w:val="20"/>
                <w:color w:val="auto"/>
              </w:rPr>
            </w:pPr>
            <w:r>
              <w:rPr>
                <w:rFonts w:ascii="Arial" w:cs="Arial" w:eastAsia="Arial" w:hAnsi="Arial"/>
                <w:sz w:val="18"/>
                <w:szCs w:val="18"/>
                <w:color w:val="auto"/>
              </w:rPr>
              <w:t>61,203</w:t>
            </w:r>
          </w:p>
        </w:tc>
        <w:tc>
          <w:tcPr>
            <w:tcW w:w="120" w:type="dxa"/>
            <w:vAlign w:val="bottom"/>
            <w:tcBorders>
              <w:bottom w:val="single" w:sz="8" w:color="F0FF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F0FFFF"/>
            </w:tcBorders>
          </w:tcPr>
          <w:p>
            <w:pPr>
              <w:spacing w:after="0"/>
              <w:rPr>
                <w:sz w:val="24"/>
                <w:szCs w:val="24"/>
                <w:color w:val="auto"/>
              </w:rPr>
            </w:pPr>
          </w:p>
        </w:tc>
        <w:tc>
          <w:tcPr>
            <w:tcW w:w="800" w:type="dxa"/>
            <w:vAlign w:val="bottom"/>
            <w:tcBorders>
              <w:top w:val="single" w:sz="8" w:color="auto"/>
              <w:bottom w:val="single" w:sz="8" w:color="F0FFFF"/>
            </w:tcBorders>
          </w:tcPr>
          <w:p>
            <w:pPr>
              <w:jc w:val="right"/>
              <w:ind w:right="10"/>
              <w:spacing w:after="0"/>
              <w:rPr>
                <w:sz w:val="20"/>
                <w:szCs w:val="20"/>
                <w:color w:val="auto"/>
              </w:rPr>
            </w:pPr>
            <w:r>
              <w:rPr>
                <w:rFonts w:ascii="Arial" w:cs="Arial" w:eastAsia="Arial" w:hAnsi="Arial"/>
                <w:sz w:val="18"/>
                <w:szCs w:val="18"/>
                <w:color w:val="auto"/>
              </w:rPr>
              <w:t>58,914</w:t>
            </w:r>
          </w:p>
        </w:tc>
        <w:tc>
          <w:tcPr>
            <w:tcW w:w="100" w:type="dxa"/>
            <w:vAlign w:val="bottom"/>
            <w:tcBorders>
              <w:bottom w:val="single" w:sz="8" w:color="F0FF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F0FFFF"/>
            </w:tcBorders>
          </w:tcPr>
          <w:p>
            <w:pPr>
              <w:spacing w:after="0"/>
              <w:rPr>
                <w:sz w:val="24"/>
                <w:szCs w:val="24"/>
                <w:color w:val="auto"/>
              </w:rPr>
            </w:pPr>
          </w:p>
        </w:tc>
        <w:tc>
          <w:tcPr>
            <w:tcW w:w="760" w:type="dxa"/>
            <w:vAlign w:val="bottom"/>
            <w:tcBorders>
              <w:top w:val="single" w:sz="8" w:color="auto"/>
              <w:bottom w:val="single" w:sz="8" w:color="F0FFFF"/>
            </w:tcBorders>
          </w:tcPr>
          <w:p>
            <w:pPr>
              <w:jc w:val="right"/>
              <w:ind w:right="10"/>
              <w:spacing w:after="0"/>
              <w:rPr>
                <w:sz w:val="20"/>
                <w:szCs w:val="20"/>
                <w:color w:val="auto"/>
              </w:rPr>
            </w:pPr>
            <w:r>
              <w:rPr>
                <w:rFonts w:ascii="Arial" w:cs="Arial" w:eastAsia="Arial" w:hAnsi="Arial"/>
                <w:sz w:val="18"/>
                <w:szCs w:val="18"/>
                <w:color w:val="auto"/>
              </w:rPr>
              <w:t>61,422</w:t>
            </w:r>
          </w:p>
        </w:tc>
        <w:tc>
          <w:tcPr>
            <w:tcW w:w="120" w:type="dxa"/>
            <w:vAlign w:val="bottom"/>
            <w:tcBorders>
              <w:bottom w:val="single" w:sz="8" w:color="F0FF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F0FFFF"/>
            </w:tcBorders>
          </w:tcPr>
          <w:p>
            <w:pPr>
              <w:spacing w:after="0"/>
              <w:rPr>
                <w:sz w:val="24"/>
                <w:szCs w:val="24"/>
                <w:color w:val="auto"/>
              </w:rPr>
            </w:pPr>
          </w:p>
        </w:tc>
        <w:tc>
          <w:tcPr>
            <w:tcW w:w="780" w:type="dxa"/>
            <w:vAlign w:val="bottom"/>
            <w:tcBorders>
              <w:top w:val="single" w:sz="8" w:color="auto"/>
              <w:bottom w:val="single" w:sz="8" w:color="F0FFFF"/>
            </w:tcBorders>
          </w:tcPr>
          <w:p>
            <w:pPr>
              <w:jc w:val="right"/>
              <w:ind w:right="30"/>
              <w:spacing w:after="0"/>
              <w:rPr>
                <w:sz w:val="20"/>
                <w:szCs w:val="20"/>
                <w:color w:val="auto"/>
              </w:rPr>
            </w:pPr>
            <w:r>
              <w:rPr>
                <w:rFonts w:ascii="Arial" w:cs="Arial" w:eastAsia="Arial" w:hAnsi="Arial"/>
                <w:sz w:val="18"/>
                <w:szCs w:val="18"/>
                <w:color w:val="auto"/>
              </w:rPr>
              <w:t>68,448</w:t>
            </w:r>
          </w:p>
        </w:tc>
        <w:tc>
          <w:tcPr>
            <w:tcW w:w="100" w:type="dxa"/>
            <w:vAlign w:val="bottom"/>
            <w:tcBorders>
              <w:bottom w:val="single" w:sz="8" w:color="F0FF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F0FFFF"/>
            </w:tcBorders>
          </w:tcPr>
          <w:p>
            <w:pPr>
              <w:spacing w:after="0"/>
              <w:rPr>
                <w:sz w:val="24"/>
                <w:szCs w:val="24"/>
                <w:color w:val="auto"/>
              </w:rPr>
            </w:pPr>
          </w:p>
        </w:tc>
        <w:tc>
          <w:tcPr>
            <w:tcW w:w="780" w:type="dxa"/>
            <w:vAlign w:val="bottom"/>
            <w:tcBorders>
              <w:top w:val="single" w:sz="8" w:color="auto"/>
              <w:bottom w:val="single" w:sz="8" w:color="F0FFFF"/>
            </w:tcBorders>
          </w:tcPr>
          <w:p>
            <w:pPr>
              <w:jc w:val="right"/>
              <w:ind w:right="10"/>
              <w:spacing w:after="0"/>
              <w:rPr>
                <w:sz w:val="20"/>
                <w:szCs w:val="20"/>
                <w:color w:val="auto"/>
              </w:rPr>
            </w:pPr>
            <w:r>
              <w:rPr>
                <w:rFonts w:ascii="Arial" w:cs="Arial" w:eastAsia="Arial" w:hAnsi="Arial"/>
                <w:sz w:val="18"/>
                <w:szCs w:val="18"/>
                <w:color w:val="auto"/>
              </w:rPr>
              <w:t>71,619</w:t>
            </w:r>
          </w:p>
        </w:tc>
        <w:tc>
          <w:tcPr>
            <w:tcW w:w="120" w:type="dxa"/>
            <w:vAlign w:val="bottom"/>
            <w:tcBorders>
              <w:bottom w:val="single" w:sz="8" w:color="F0FF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189"/>
        </w:trPr>
        <w:tc>
          <w:tcPr>
            <w:tcW w:w="2980" w:type="dxa"/>
            <w:vAlign w:val="bottom"/>
            <w:shd w:val="clear" w:color="auto" w:fill="F0FFFF"/>
          </w:tcPr>
          <w:p>
            <w:pPr>
              <w:ind w:left="180"/>
              <w:spacing w:after="0" w:line="189" w:lineRule="exact"/>
              <w:rPr>
                <w:sz w:val="20"/>
                <w:szCs w:val="20"/>
                <w:color w:val="auto"/>
              </w:rPr>
            </w:pPr>
            <w:r>
              <w:rPr>
                <w:rFonts w:ascii="Arial" w:cs="Arial" w:eastAsia="Arial" w:hAnsi="Arial"/>
                <w:sz w:val="18"/>
                <w:szCs w:val="18"/>
                <w:color w:val="auto"/>
              </w:rPr>
              <w:t>Allowance for unfunded</w:t>
            </w:r>
          </w:p>
        </w:tc>
        <w:tc>
          <w:tcPr>
            <w:tcW w:w="14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r>
      <w:tr>
        <w:trPr>
          <w:trHeight w:val="257"/>
        </w:trPr>
        <w:tc>
          <w:tcPr>
            <w:tcW w:w="29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commitments</w:t>
            </w:r>
          </w:p>
        </w:tc>
        <w:tc>
          <w:tcPr>
            <w:tcW w:w="14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3,410</w:t>
            </w:r>
          </w:p>
        </w:tc>
        <w:tc>
          <w:tcPr>
            <w:tcW w:w="120" w:type="dxa"/>
            <w:vAlign w:val="bottom"/>
            <w:tcBorders>
              <w:bottom w:val="single" w:sz="8" w:color="F0FFFF"/>
            </w:tcBorders>
            <w:shd w:val="clear" w:color="auto" w:fill="F0FFFF"/>
          </w:tcPr>
          <w:p>
            <w:pPr>
              <w:spacing w:after="0"/>
              <w:rPr>
                <w:sz w:val="22"/>
                <w:szCs w:val="22"/>
                <w:color w:val="auto"/>
              </w:rPr>
            </w:pPr>
          </w:p>
        </w:tc>
        <w:tc>
          <w:tcPr>
            <w:tcW w:w="5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F0FFFF"/>
            </w:tcBorders>
            <w:shd w:val="clear" w:color="auto" w:fill="F0FFFF"/>
          </w:tcPr>
          <w:p>
            <w:pPr>
              <w:spacing w:after="0"/>
              <w:rPr>
                <w:sz w:val="22"/>
                <w:szCs w:val="22"/>
                <w:color w:val="auto"/>
              </w:rPr>
            </w:pPr>
          </w:p>
        </w:tc>
        <w:tc>
          <w:tcPr>
            <w:tcW w:w="5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7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2,002</w:t>
            </w:r>
          </w:p>
        </w:tc>
        <w:tc>
          <w:tcPr>
            <w:tcW w:w="120" w:type="dxa"/>
            <w:vAlign w:val="bottom"/>
            <w:tcBorders>
              <w:bottom w:val="single" w:sz="8" w:color="F0FFFF"/>
            </w:tcBorders>
            <w:shd w:val="clear" w:color="auto" w:fill="F0FFFF"/>
          </w:tcPr>
          <w:p>
            <w:pPr>
              <w:spacing w:after="0"/>
              <w:rPr>
                <w:sz w:val="22"/>
                <w:szCs w:val="22"/>
                <w:color w:val="auto"/>
              </w:rPr>
            </w:pPr>
          </w:p>
        </w:tc>
        <w:tc>
          <w:tcPr>
            <w:tcW w:w="56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F0FFFF"/>
            </w:tcBorders>
            <w:shd w:val="clear" w:color="auto" w:fill="F0FFFF"/>
          </w:tcPr>
          <w:p>
            <w:pPr>
              <w:spacing w:after="0"/>
              <w:rPr>
                <w:sz w:val="22"/>
                <w:szCs w:val="22"/>
                <w:color w:val="auto"/>
              </w:rPr>
            </w:pPr>
          </w:p>
        </w:tc>
        <w:tc>
          <w:tcPr>
            <w:tcW w:w="5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F0FFFF"/>
            </w:tcBorders>
            <w:shd w:val="clear" w:color="auto" w:fill="F0FFFF"/>
          </w:tcPr>
          <w:p>
            <w:pPr>
              <w:spacing w:after="0"/>
              <w:rPr>
                <w:sz w:val="22"/>
                <w:szCs w:val="22"/>
                <w:color w:val="auto"/>
              </w:rPr>
            </w:pPr>
          </w:p>
        </w:tc>
        <w:tc>
          <w:tcPr>
            <w:tcW w:w="560" w:type="dxa"/>
            <w:vAlign w:val="bottom"/>
            <w:tcBorders>
              <w:bottom w:val="single" w:sz="8" w:color="F0FFFF"/>
            </w:tcBorders>
            <w:shd w:val="clear" w:color="auto" w:fill="F0FFFF"/>
          </w:tcPr>
          <w:p>
            <w:pPr>
              <w:spacing w:after="0"/>
              <w:rPr>
                <w:sz w:val="22"/>
                <w:szCs w:val="22"/>
                <w:color w:val="auto"/>
              </w:rPr>
            </w:pPr>
          </w:p>
        </w:tc>
      </w:tr>
      <w:tr>
        <w:trPr>
          <w:trHeight w:val="257"/>
        </w:trPr>
        <w:tc>
          <w:tcPr>
            <w:tcW w:w="2980" w:type="dxa"/>
            <w:vAlign w:val="bottom"/>
          </w:tcPr>
          <w:p>
            <w:pPr>
              <w:ind w:left="28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64,613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61,226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63,424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70,990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73,549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Loan balance in each category, expressed as a percentage of total loans.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presents a summary of changes in the allowance for credit losses for each of the past five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Table 12 - Allowance for Credit Losses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Years Ended December 31,</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4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58,914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61,422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68,448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71,619</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76,762</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4,567</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Income producing commercial real estate</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2,671</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Commercial &amp; industrial</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2,145</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1,574</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Equipment financing</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5,011</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Home equity lines of credit</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2,314</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1,837</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Consumer direct</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2,008</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540</w:t>
            </w:r>
          </w:p>
        </w:tc>
      </w:tr>
      <w:tr>
        <w:trPr>
          <w:trHeight w:val="27"/>
        </w:trPr>
        <w:tc>
          <w:tcPr>
            <w:tcW w:w="4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loans charged-off</w:t>
            </w: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13,158</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12,202</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12,361</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spacing w:after="0"/>
              <w:rPr>
                <w:sz w:val="22"/>
                <w:szCs w:val="22"/>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13,415</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22,667</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3,343</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Income producing commercial real estate</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1,009</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Commercial &amp; industrial</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1,665</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503</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Equipment financing</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572</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Home equity lines of credit</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287</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135</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Consumer direct</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1,221</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4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recoveries</w:t>
            </w: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7,045</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6,204</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5,595</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spacing w:after="0"/>
              <w:rPr>
                <w:sz w:val="22"/>
                <w:szCs w:val="22"/>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7,156</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8,789</w:t>
            </w:r>
          </w:p>
        </w:tc>
      </w:tr>
      <w:tr>
        <w:trPr>
          <w:trHeight w:val="237"/>
        </w:trPr>
        <w:tc>
          <w:tcPr>
            <w:tcW w:w="4340" w:type="dxa"/>
            <w:vAlign w:val="bottom"/>
          </w:tcPr>
          <w:p>
            <w:pPr>
              <w:ind w:left="280"/>
              <w:spacing w:after="0"/>
              <w:rPr>
                <w:sz w:val="20"/>
                <w:szCs w:val="20"/>
                <w:color w:val="auto"/>
              </w:rPr>
            </w:pPr>
            <w:r>
              <w:rPr>
                <w:rFonts w:ascii="Arial" w:cs="Arial" w:eastAsia="Arial" w:hAnsi="Arial"/>
                <w:sz w:val="18"/>
                <w:szCs w:val="18"/>
                <w:color w:val="auto"/>
              </w:rPr>
              <w:t>Net charge-offs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6,259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13,878</w:t>
            </w:r>
          </w:p>
        </w:tc>
      </w:tr>
      <w:tr>
        <w:trPr>
          <w:trHeight w:val="27"/>
        </w:trPr>
        <w:tc>
          <w:tcPr>
            <w:tcW w:w="4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Provision for loan losses</w:t>
            </w: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8,402</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spacing w:after="0"/>
              <w:rPr>
                <w:sz w:val="22"/>
                <w:szCs w:val="22"/>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8,735</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61,203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58,914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61,422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68,448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71,619</w:t>
            </w:r>
          </w:p>
        </w:tc>
      </w:tr>
      <w:tr>
        <w:trPr>
          <w:trHeight w:val="27"/>
        </w:trPr>
        <w:tc>
          <w:tcPr>
            <w:tcW w:w="4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34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r>
      <w:tr>
        <w:trPr>
          <w:trHeight w:val="229"/>
        </w:trPr>
        <w:tc>
          <w:tcPr>
            <w:tcW w:w="4340" w:type="dxa"/>
            <w:vAlign w:val="bottom"/>
          </w:tcPr>
          <w:p>
            <w:pPr>
              <w:ind w:left="40"/>
              <w:spacing w:after="0"/>
              <w:rPr>
                <w:sz w:val="20"/>
                <w:szCs w:val="20"/>
                <w:color w:val="auto"/>
              </w:rPr>
            </w:pPr>
            <w:r>
              <w:rPr>
                <w:rFonts w:ascii="Arial" w:cs="Arial" w:eastAsia="Arial" w:hAnsi="Arial"/>
                <w:sz w:val="18"/>
                <w:szCs w:val="18"/>
                <w:color w:val="auto"/>
              </w:rPr>
              <w:t>Allowance for unfunded commitments at beginning of</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2,165</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Provision for unfunded commitments</w:t>
            </w:r>
          </w:p>
        </w:tc>
        <w:tc>
          <w:tcPr>
            <w:tcW w:w="26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(235)</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w w:val="99"/>
              </w:rPr>
              <w:t>Allowance for unfunded commitments at end of period</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1,930</w:t>
            </w:r>
          </w:p>
        </w:tc>
      </w:tr>
      <w:tr>
        <w:trPr>
          <w:trHeight w:val="27"/>
        </w:trPr>
        <w:tc>
          <w:tcPr>
            <w:tcW w:w="4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64,613</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61,226</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63,424</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70,990</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73,549</w:t>
            </w: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Total loans:</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At year-end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8,383,401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7,735,572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6,920,636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5,995,441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4,672,119</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Average</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8,170,143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7,150,211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rPr>
              <w:t>6,412,740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5,297,687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4,440,868</w:t>
            </w:r>
          </w:p>
        </w:tc>
      </w:tr>
      <w:tr>
        <w:trPr>
          <w:trHeight w:val="270"/>
        </w:trPr>
        <w:tc>
          <w:tcPr>
            <w:tcW w:w="4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4340" w:type="dxa"/>
            <w:vAlign w:val="bottom"/>
            <w:shd w:val="clear" w:color="auto" w:fill="F0FFFF"/>
          </w:tcPr>
          <w:p>
            <w:pPr>
              <w:ind w:left="40"/>
              <w:spacing w:after="0"/>
              <w:rPr>
                <w:sz w:val="20"/>
                <w:szCs w:val="20"/>
                <w:color w:val="auto"/>
              </w:rPr>
            </w:pPr>
            <w:r>
              <w:rPr>
                <w:rFonts w:ascii="Arial" w:cs="Arial" w:eastAsia="Arial" w:hAnsi="Arial"/>
                <w:sz w:val="18"/>
                <w:szCs w:val="18"/>
                <w:color w:val="auto"/>
                <w:w w:val="98"/>
              </w:rPr>
              <w:t>Allowance for loan losses as a percentage of year-end</w:t>
            </w: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r>
      <w:tr>
        <w:trPr>
          <w:trHeight w:val="237"/>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loans</w:t>
            </w:r>
          </w:p>
        </w:tc>
        <w:tc>
          <w:tcPr>
            <w:tcW w:w="26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0.89 %</w:t>
            </w: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4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As a percentage of average loans:</w:t>
            </w: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Net charge-offs</w:t>
            </w: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0.31</w:t>
            </w:r>
          </w:p>
        </w:tc>
      </w:tr>
      <w:tr>
        <w:trPr>
          <w:trHeight w:val="27"/>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340" w:type="dxa"/>
            <w:vAlign w:val="bottom"/>
            <w:shd w:val="clear" w:color="auto" w:fill="F0FFFF"/>
          </w:tcPr>
          <w:p>
            <w:pPr>
              <w:ind w:left="28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21"/>
                <w:szCs w:val="21"/>
                <w:color w:val="auto"/>
              </w:rPr>
            </w:pPr>
          </w:p>
        </w:tc>
        <w:tc>
          <w:tcPr>
            <w:tcW w:w="104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0.20</w:t>
            </w:r>
          </w:p>
        </w:tc>
      </w:tr>
      <w:tr>
        <w:trPr>
          <w:trHeight w:val="27"/>
        </w:trPr>
        <w:tc>
          <w:tcPr>
            <w:tcW w:w="434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6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which includes a portion related to unfunded commitments, totaled $64.6 million at December 31, 2018 compared with $61.2 million at December 31, 2017. At December 31, 2018, the allowance for loan losses was $61.2 million, or 0.73% of total loans, compared with $58.9 million, or 0.76%, of loans at December 31, 2017. The increase in the allowance for credit losses reflects the addition of the NLFC equipment financing loan portfolio and the impact of loan growth.</w:t>
      </w:r>
    </w:p>
    <w:p>
      <w:pPr>
        <w:sectPr>
          <w:pgSz w:w="11900" w:h="16838" w:orient="portrait"/>
          <w:cols w:equalWidth="0" w:num="1">
            <w:col w:w="11420"/>
          </w:cols>
          <w:pgMar w:left="240" w:top="584" w:right="239" w:bottom="312"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84" w:right="239" w:bottom="312" w:gutter="0" w:footer="0" w:header="0"/>
          <w:type w:val="continuous"/>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At December 31, 2018, for acquired loans that had no evidence of credit deterioration at the time of acquisition, the remaining unaccreted fair value discount was $4.31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the allowance for credit losses at December 31, 2018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Nonperforming loans totaled $23.8 million at December 31, 2018, compared with $23.7 million at December 31, 2017. At December 31, 2018 and 2017, the ratio of nonperforming loans to total loans was 0.28% and 0.31%, respectively. Nonperforming assets, which include nonperforming loans and foreclosed properties, totaled $25.1 million at December 31, 2018, compared with $26.9 million at December 31, 2017.</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policy is to place loans on nonaccrual status when, in the opinion of management, the full principal and interest on a loan is not likely to be collected or when the loan becomes 90 days past due. When a loan is placed on nonaccrual status, interest previously accrued but not collected is reversed against current interest revenue. Interest payments received on nonaccrual loans are applied to reduce the loan’s recorded investment.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PCI loans were not classified as nonaccrual at December 31, 2018 or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Generally, United does not commit to lend additional funds to customers whose loans are on nonaccrual status, although in certain isolated cases, United executes forbearance agreements whereby United will continue to fund construction loans to completion or other lines of credit as long as the borrower meets the conditions of the forbearance agreement. United may also fund other amounts necessary to protect collateral such as amounts to pay past due property taxes and insurance coverage. The table below summarizes nonperforming assets at year-end for the last five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44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Nonaccrual loans (NPLs)</w:t>
            </w: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23,778</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23,658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21,539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22,653</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17,881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Foreclosed properties</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7,949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1,726</w:t>
            </w:r>
          </w:p>
        </w:tc>
      </w:tr>
      <w:tr>
        <w:trPr>
          <w:trHeight w:val="27"/>
        </w:trPr>
        <w:tc>
          <w:tcPr>
            <w:tcW w:w="44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nonperforming assets (NPAs)</w:t>
            </w: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25,083</w:t>
            </w:r>
          </w:p>
        </w:tc>
        <w:tc>
          <w:tcPr>
            <w:tcW w:w="12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26,892</w:t>
            </w:r>
          </w:p>
        </w:tc>
        <w:tc>
          <w:tcPr>
            <w:tcW w:w="12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29,488</w:t>
            </w:r>
          </w:p>
        </w:tc>
        <w:tc>
          <w:tcPr>
            <w:tcW w:w="12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27,536</w:t>
            </w: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19,607</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4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NPLs as a percentage of total loans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0.38%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w w:val="95"/>
              </w:rPr>
              <w:t>NPAs as a percentage of loans and foreclosed properties</w:t>
            </w: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0.42</w:t>
            </w: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NPAs as a percentage of total assets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0.26</w:t>
            </w:r>
          </w:p>
        </w:tc>
      </w:tr>
      <w:tr>
        <w:trPr>
          <w:trHeight w:val="459"/>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following table summarizes nonperforming assets by category and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Nonperforming Assets by Category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w w:val="96"/>
              </w:rPr>
              <w:t>Nonaccrual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Foreclosed</w:t>
            </w:r>
          </w:p>
        </w:tc>
        <w:tc>
          <w:tcPr>
            <w:tcW w:w="260" w:type="dxa"/>
            <w:vAlign w:val="bottom"/>
          </w:tcPr>
          <w:p>
            <w:pPr>
              <w:spacing w:after="0"/>
              <w:rPr>
                <w:sz w:val="13"/>
                <w:szCs w:val="13"/>
                <w:color w:val="auto"/>
              </w:rPr>
            </w:pPr>
          </w:p>
        </w:tc>
        <w:tc>
          <w:tcPr>
            <w:tcW w:w="9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8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6"/>
              </w:rPr>
              <w:t>Nonaccrual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Foreclosed</w:t>
            </w:r>
          </w:p>
        </w:tc>
        <w:tc>
          <w:tcPr>
            <w:tcW w:w="260" w:type="dxa"/>
            <w:vAlign w:val="bottom"/>
          </w:tcPr>
          <w:p>
            <w:pPr>
              <w:spacing w:after="0"/>
              <w:rPr>
                <w:sz w:val="13"/>
                <w:szCs w:val="13"/>
                <w:color w:val="auto"/>
              </w:rPr>
            </w:pPr>
          </w:p>
        </w:tc>
        <w:tc>
          <w:tcPr>
            <w:tcW w:w="88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Total</w:t>
            </w: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11"/>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Properties</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NPAs</w:t>
            </w:r>
          </w:p>
        </w:tc>
        <w:tc>
          <w:tcPr>
            <w:tcW w:w="160" w:type="dxa"/>
            <w:vAlign w:val="bottom"/>
          </w:tcPr>
          <w:p>
            <w:pPr>
              <w:spacing w:after="0"/>
              <w:rPr>
                <w:sz w:val="16"/>
                <w:szCs w:val="16"/>
                <w:color w:val="auto"/>
              </w:rPr>
            </w:pPr>
          </w:p>
        </w:tc>
        <w:tc>
          <w:tcPr>
            <w:tcW w:w="980" w:type="dxa"/>
            <w:vAlign w:val="bottom"/>
          </w:tcPr>
          <w:p>
            <w:pPr>
              <w:jc w:val="right"/>
              <w:ind w:right="291"/>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Properties</w:t>
            </w: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NPAs</w:t>
            </w:r>
          </w:p>
        </w:tc>
      </w:tr>
      <w:tr>
        <w:trPr>
          <w:trHeight w:val="250"/>
        </w:trPr>
        <w:tc>
          <w:tcPr>
            <w:tcW w:w="4000" w:type="dxa"/>
            <w:vAlign w:val="bottom"/>
            <w:tcBorders>
              <w:top w:val="single" w:sz="8" w:color="F0FFFF"/>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BY CATEGORY</w:t>
            </w:r>
          </w:p>
        </w:tc>
        <w:tc>
          <w:tcPr>
            <w:tcW w:w="180" w:type="dxa"/>
            <w:vAlign w:val="bottom"/>
            <w:tcBorders>
              <w:top w:val="single" w:sz="8" w:color="auto"/>
              <w:bottom w:val="single" w:sz="8" w:color="F0FFFF"/>
            </w:tcBorders>
            <w:shd w:val="clear" w:color="auto" w:fill="F0FFFF"/>
          </w:tcPr>
          <w:p>
            <w:pPr>
              <w:spacing w:after="0"/>
              <w:rPr>
                <w:sz w:val="21"/>
                <w:szCs w:val="21"/>
                <w:color w:val="auto"/>
              </w:rPr>
            </w:pPr>
          </w:p>
        </w:tc>
        <w:tc>
          <w:tcPr>
            <w:tcW w:w="1000" w:type="dxa"/>
            <w:vAlign w:val="bottom"/>
            <w:tcBorders>
              <w:top w:val="single" w:sz="8" w:color="auto"/>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F0FFFF"/>
            </w:tcBorders>
            <w:shd w:val="clear" w:color="auto" w:fill="F0FFFF"/>
          </w:tcPr>
          <w:p>
            <w:pPr>
              <w:spacing w:after="0"/>
              <w:rPr>
                <w:sz w:val="21"/>
                <w:szCs w:val="21"/>
                <w:color w:val="auto"/>
              </w:rPr>
            </w:pPr>
          </w:p>
        </w:tc>
        <w:tc>
          <w:tcPr>
            <w:tcW w:w="98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F0FFFF"/>
            </w:tcBorders>
            <w:shd w:val="clear" w:color="auto" w:fill="F0FFFF"/>
          </w:tcPr>
          <w:p>
            <w:pPr>
              <w:spacing w:after="0"/>
              <w:rPr>
                <w:sz w:val="21"/>
                <w:szCs w:val="21"/>
                <w:color w:val="auto"/>
              </w:rPr>
            </w:pPr>
          </w:p>
        </w:tc>
        <w:tc>
          <w:tcPr>
            <w:tcW w:w="88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F0FFFF"/>
            </w:tcBorders>
            <w:shd w:val="clear" w:color="auto" w:fill="F0FFFF"/>
          </w:tcPr>
          <w:p>
            <w:pPr>
              <w:spacing w:after="0"/>
              <w:rPr>
                <w:sz w:val="21"/>
                <w:szCs w:val="21"/>
                <w:color w:val="auto"/>
              </w:rPr>
            </w:pPr>
          </w:p>
        </w:tc>
        <w:tc>
          <w:tcPr>
            <w:tcW w:w="98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F0FFFF"/>
            </w:tcBorders>
            <w:shd w:val="clear" w:color="auto" w:fill="F0FFFF"/>
          </w:tcPr>
          <w:p>
            <w:pPr>
              <w:spacing w:after="0"/>
              <w:rPr>
                <w:sz w:val="21"/>
                <w:szCs w:val="21"/>
                <w:color w:val="auto"/>
              </w:rPr>
            </w:pPr>
          </w:p>
        </w:tc>
        <w:tc>
          <w:tcPr>
            <w:tcW w:w="96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F0FFFF"/>
            </w:tcBorders>
            <w:shd w:val="clear" w:color="auto" w:fill="F0FFFF"/>
          </w:tcPr>
          <w:p>
            <w:pPr>
              <w:spacing w:after="0"/>
              <w:rPr>
                <w:sz w:val="21"/>
                <w:szCs w:val="21"/>
                <w:color w:val="auto"/>
              </w:rPr>
            </w:pPr>
          </w:p>
        </w:tc>
        <w:tc>
          <w:tcPr>
            <w:tcW w:w="880" w:type="dxa"/>
            <w:vAlign w:val="bottom"/>
            <w:tcBorders>
              <w:top w:val="single" w:sz="8" w:color="auto"/>
              <w:bottom w:val="single" w:sz="8" w:color="F0FFFF"/>
            </w:tcBorders>
            <w:shd w:val="clear" w:color="auto" w:fill="F0FF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4,923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6,878</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3,452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2,097</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Commercial construction</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1,642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commercial</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12,280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14,069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8,912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2,360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2,039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Consumer direct</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1,637</w:t>
            </w:r>
          </w:p>
        </w:tc>
      </w:tr>
      <w:tr>
        <w:trPr>
          <w:trHeight w:val="27"/>
        </w:trPr>
        <w:tc>
          <w:tcPr>
            <w:tcW w:w="40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F0FFFF"/>
          </w:tcPr>
          <w:p>
            <w:pPr>
              <w:ind w:left="280"/>
              <w:spacing w:after="0"/>
              <w:rPr>
                <w:sz w:val="20"/>
                <w:szCs w:val="20"/>
                <w:color w:val="auto"/>
              </w:rPr>
            </w:pPr>
            <w:r>
              <w:rPr>
                <w:rFonts w:ascii="Arial" w:cs="Arial" w:eastAsia="Arial" w:hAnsi="Arial"/>
                <w:sz w:val="18"/>
                <w:szCs w:val="18"/>
                <w:b w:val="1"/>
                <w:bCs w:val="1"/>
                <w:color w:val="auto"/>
              </w:rPr>
              <w:t>Total NPAs</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23,778</w:t>
            </w:r>
          </w:p>
        </w:tc>
        <w:tc>
          <w:tcPr>
            <w:tcW w:w="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25,083</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23,658</w:t>
            </w:r>
          </w:p>
        </w:tc>
        <w:tc>
          <w:tcPr>
            <w:tcW w:w="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F0FFFF"/>
          </w:tcPr>
          <w:p>
            <w:pPr>
              <w:jc w:val="right"/>
              <w:ind w:right="11"/>
              <w:spacing w:after="0"/>
              <w:rPr>
                <w:sz w:val="20"/>
                <w:szCs w:val="20"/>
                <w:color w:val="auto"/>
              </w:rPr>
            </w:pPr>
            <w:r>
              <w:rPr>
                <w:rFonts w:ascii="Arial" w:cs="Arial" w:eastAsia="Arial" w:hAnsi="Arial"/>
                <w:sz w:val="18"/>
                <w:szCs w:val="18"/>
                <w:color w:val="auto"/>
              </w:rPr>
              <w:t>26,892</w:t>
            </w:r>
          </w:p>
        </w:tc>
      </w:tr>
      <w:tr>
        <w:trPr>
          <w:trHeight w:val="20"/>
        </w:trPr>
        <w:tc>
          <w:tcPr>
            <w:tcW w:w="40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BY MARKET</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North Georgia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6,527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7,404</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Atlanta MSA</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1,674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5,756</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Coastal Georgia</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2,064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Gainesville MSA</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East Tennessee</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1,462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4,492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Commercial Banking Solutions</w:t>
            </w:r>
          </w:p>
        </w:tc>
        <w:tc>
          <w:tcPr>
            <w:tcW w:w="1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4,448</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1,664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1,637</w:t>
            </w:r>
          </w:p>
        </w:tc>
      </w:tr>
      <w:tr>
        <w:trPr>
          <w:trHeight w:val="27"/>
        </w:trPr>
        <w:tc>
          <w:tcPr>
            <w:tcW w:w="40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F0FFFF"/>
          </w:tcPr>
          <w:p>
            <w:pPr>
              <w:ind w:left="280"/>
              <w:spacing w:after="0"/>
              <w:rPr>
                <w:sz w:val="20"/>
                <w:szCs w:val="20"/>
                <w:color w:val="auto"/>
              </w:rPr>
            </w:pPr>
            <w:r>
              <w:rPr>
                <w:rFonts w:ascii="Arial" w:cs="Arial" w:eastAsia="Arial" w:hAnsi="Arial"/>
                <w:sz w:val="18"/>
                <w:szCs w:val="18"/>
                <w:b w:val="1"/>
                <w:bCs w:val="1"/>
                <w:color w:val="auto"/>
              </w:rPr>
              <w:t>Total NPAs</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23,778</w:t>
            </w:r>
          </w:p>
        </w:tc>
        <w:tc>
          <w:tcPr>
            <w:tcW w:w="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25,083</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23,658</w:t>
            </w:r>
          </w:p>
        </w:tc>
        <w:tc>
          <w:tcPr>
            <w:tcW w:w="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31"/>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F0FFFF"/>
          </w:tcPr>
          <w:p>
            <w:pPr>
              <w:jc w:val="right"/>
              <w:ind w:right="11"/>
              <w:spacing w:after="0"/>
              <w:rPr>
                <w:sz w:val="20"/>
                <w:szCs w:val="20"/>
                <w:color w:val="auto"/>
              </w:rPr>
            </w:pPr>
            <w:r>
              <w:rPr>
                <w:rFonts w:ascii="Arial" w:cs="Arial" w:eastAsia="Arial" w:hAnsi="Arial"/>
                <w:sz w:val="18"/>
                <w:szCs w:val="18"/>
                <w:color w:val="auto"/>
              </w:rPr>
              <w:t>26,892</w:t>
            </w:r>
          </w:p>
        </w:tc>
      </w:tr>
      <w:tr>
        <w:trPr>
          <w:trHeight w:val="20"/>
        </w:trPr>
        <w:tc>
          <w:tcPr>
            <w:tcW w:w="40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summarizes activity in nonperforming assets by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Activity in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Nonaccrual</w:t>
            </w:r>
          </w:p>
        </w:tc>
        <w:tc>
          <w:tcPr>
            <w:tcW w:w="14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Foreclosed</w:t>
            </w:r>
          </w:p>
        </w:tc>
        <w:tc>
          <w:tcPr>
            <w:tcW w:w="200" w:type="dxa"/>
            <w:vAlign w:val="bottom"/>
          </w:tcPr>
          <w:p>
            <w:pPr>
              <w:spacing w:after="0"/>
              <w:rPr>
                <w:sz w:val="13"/>
                <w:szCs w:val="13"/>
                <w:color w:val="auto"/>
              </w:rPr>
            </w:pPr>
          </w:p>
        </w:tc>
        <w:tc>
          <w:tcPr>
            <w:tcW w:w="8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Nonaccrual</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Foreclosed</w:t>
            </w:r>
          </w:p>
        </w:tc>
        <w:tc>
          <w:tcPr>
            <w:tcW w:w="200" w:type="dxa"/>
            <w:vAlign w:val="bottom"/>
          </w:tcPr>
          <w:p>
            <w:pPr>
              <w:spacing w:after="0"/>
              <w:rPr>
                <w:sz w:val="13"/>
                <w:szCs w:val="13"/>
                <w:color w:val="auto"/>
              </w:rPr>
            </w:pPr>
          </w:p>
        </w:tc>
        <w:tc>
          <w:tcPr>
            <w:tcW w:w="8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Nonaccrual</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Foreclosed</w:t>
            </w:r>
          </w:p>
        </w:tc>
        <w:tc>
          <w:tcPr>
            <w:tcW w:w="200" w:type="dxa"/>
            <w:vAlign w:val="bottom"/>
          </w:tcPr>
          <w:p>
            <w:pPr>
              <w:spacing w:after="0"/>
              <w:rPr>
                <w:sz w:val="13"/>
                <w:szCs w:val="13"/>
                <w:color w:val="auto"/>
              </w:rPr>
            </w:pPr>
          </w:p>
        </w:tc>
        <w:tc>
          <w:tcPr>
            <w:tcW w:w="70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Total</w:t>
            </w:r>
          </w:p>
        </w:tc>
      </w:tr>
      <w:tr>
        <w:trPr>
          <w:trHeight w:val="192"/>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NPAs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NPAs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20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NPAs</w:t>
            </w:r>
          </w:p>
        </w:tc>
      </w:tr>
      <w:tr>
        <w:trPr>
          <w:trHeight w:val="256"/>
        </w:trPr>
        <w:tc>
          <w:tcPr>
            <w:tcW w:w="162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Beginning Balance</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23,658</w:t>
            </w:r>
          </w:p>
        </w:tc>
        <w:tc>
          <w:tcPr>
            <w:tcW w:w="14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3,234</w:t>
            </w:r>
          </w:p>
        </w:tc>
        <w:tc>
          <w:tcPr>
            <w:tcW w:w="120" w:type="dxa"/>
            <w:vAlign w:val="bottom"/>
            <w:tcBorders>
              <w:top w:val="single" w:sz="8" w:color="F0FFFF"/>
            </w:tcBorders>
            <w:shd w:val="clear" w:color="auto" w:fill="F0FFFF"/>
          </w:tcPr>
          <w:p>
            <w:pPr>
              <w:spacing w:after="0"/>
              <w:rPr>
                <w:sz w:val="22"/>
                <w:szCs w:val="22"/>
                <w:color w:val="auto"/>
              </w:rPr>
            </w:pPr>
          </w:p>
        </w:tc>
        <w:tc>
          <w:tcPr>
            <w:tcW w:w="2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26,892</w:t>
            </w:r>
          </w:p>
        </w:tc>
        <w:tc>
          <w:tcPr>
            <w:tcW w:w="12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21,539</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7,949</w:t>
            </w:r>
          </w:p>
        </w:tc>
        <w:tc>
          <w:tcPr>
            <w:tcW w:w="100" w:type="dxa"/>
            <w:vAlign w:val="bottom"/>
            <w:tcBorders>
              <w:top w:val="single" w:sz="8" w:color="F0FFFF"/>
            </w:tcBorders>
            <w:shd w:val="clear" w:color="auto" w:fill="F0FFFF"/>
          </w:tcPr>
          <w:p>
            <w:pPr>
              <w:spacing w:after="0"/>
              <w:rPr>
                <w:sz w:val="22"/>
                <w:szCs w:val="22"/>
                <w:color w:val="auto"/>
              </w:rPr>
            </w:pPr>
          </w:p>
        </w:tc>
        <w:tc>
          <w:tcPr>
            <w:tcW w:w="2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29,488</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22,653</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4,883</w:t>
            </w:r>
          </w:p>
        </w:tc>
        <w:tc>
          <w:tcPr>
            <w:tcW w:w="100" w:type="dxa"/>
            <w:vAlign w:val="bottom"/>
            <w:tcBorders>
              <w:top w:val="single" w:sz="8" w:color="F0FFFF"/>
            </w:tcBorders>
            <w:shd w:val="clear" w:color="auto" w:fill="F0FFFF"/>
          </w:tcPr>
          <w:p>
            <w:pPr>
              <w:spacing w:after="0"/>
              <w:rPr>
                <w:sz w:val="22"/>
                <w:szCs w:val="22"/>
                <w:color w:val="auto"/>
              </w:rPr>
            </w:pPr>
          </w:p>
        </w:tc>
        <w:tc>
          <w:tcPr>
            <w:tcW w:w="2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27,536</w:t>
            </w: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6,998</w:t>
            </w:r>
          </w:p>
        </w:tc>
      </w:tr>
      <w:tr>
        <w:trPr>
          <w:trHeight w:val="163"/>
        </w:trPr>
        <w:tc>
          <w:tcPr>
            <w:tcW w:w="1620" w:type="dxa"/>
            <w:vAlign w:val="bottom"/>
            <w:shd w:val="clear" w:color="auto" w:fill="F0FFFF"/>
          </w:tcPr>
          <w:p>
            <w:pPr>
              <w:ind w:left="40"/>
              <w:spacing w:after="0"/>
              <w:rPr>
                <w:sz w:val="20"/>
                <w:szCs w:val="20"/>
                <w:color w:val="auto"/>
              </w:rPr>
            </w:pPr>
            <w:r>
              <w:rPr>
                <w:rFonts w:ascii="Arial" w:cs="Arial" w:eastAsia="Arial" w:hAnsi="Arial"/>
                <w:sz w:val="14"/>
                <w:szCs w:val="14"/>
                <w:color w:val="auto"/>
              </w:rPr>
              <w:t>Loans placed on non-</w:t>
            </w: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r>
      <w:tr>
        <w:trPr>
          <w:trHeight w:val="194"/>
        </w:trPr>
        <w:tc>
          <w:tcPr>
            <w:tcW w:w="1620" w:type="dxa"/>
            <w:vAlign w:val="bottom"/>
            <w:shd w:val="clear" w:color="auto" w:fill="F0FFFF"/>
          </w:tcPr>
          <w:p>
            <w:pPr>
              <w:ind w:left="40"/>
              <w:spacing w:after="0"/>
              <w:rPr>
                <w:sz w:val="20"/>
                <w:szCs w:val="20"/>
                <w:color w:val="auto"/>
              </w:rPr>
            </w:pPr>
            <w:r>
              <w:rPr>
                <w:rFonts w:ascii="Arial" w:cs="Arial" w:eastAsia="Arial" w:hAnsi="Arial"/>
                <w:sz w:val="14"/>
                <w:szCs w:val="14"/>
                <w:color w:val="auto"/>
              </w:rPr>
              <w:t>accrual</w:t>
            </w: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22,663</w:t>
            </w:r>
          </w:p>
        </w:tc>
        <w:tc>
          <w:tcPr>
            <w:tcW w:w="1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22,663</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28,621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28,621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24,583</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24,583</w:t>
            </w: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Payments received</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(14,723)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(14,723)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(13,783)</w:t>
            </w:r>
          </w:p>
        </w:tc>
      </w:tr>
      <w:tr>
        <w:trPr>
          <w:trHeight w:val="276"/>
        </w:trPr>
        <w:tc>
          <w:tcPr>
            <w:tcW w:w="1620" w:type="dxa"/>
            <w:vAlign w:val="bottom"/>
            <w:shd w:val="clear" w:color="auto" w:fill="F0FFFF"/>
          </w:tcPr>
          <w:p>
            <w:pPr>
              <w:ind w:left="40"/>
              <w:spacing w:after="0"/>
              <w:rPr>
                <w:sz w:val="20"/>
                <w:szCs w:val="20"/>
                <w:color w:val="auto"/>
              </w:rPr>
            </w:pPr>
            <w:r>
              <w:rPr>
                <w:rFonts w:ascii="Arial" w:cs="Arial" w:eastAsia="Arial" w:hAnsi="Arial"/>
                <w:sz w:val="14"/>
                <w:szCs w:val="14"/>
                <w:color w:val="auto"/>
              </w:rPr>
              <w:t>Loan charge-offs</w:t>
            </w:r>
          </w:p>
        </w:tc>
        <w:tc>
          <w:tcPr>
            <w:tcW w:w="14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(5,736)</w:t>
            </w:r>
          </w:p>
        </w:tc>
        <w:tc>
          <w:tcPr>
            <w:tcW w:w="14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(5,736)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(6,762)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(6,762)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(6,011)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(6,011)</w:t>
            </w: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Foreclosures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2,274</w:t>
            </w:r>
          </w:p>
        </w:tc>
      </w:tr>
      <w:tr>
        <w:trPr>
          <w:trHeight w:val="276"/>
        </w:trPr>
        <w:tc>
          <w:tcPr>
            <w:tcW w:w="1620" w:type="dxa"/>
            <w:vAlign w:val="bottom"/>
            <w:shd w:val="clear" w:color="auto" w:fill="F0FFFF"/>
          </w:tcPr>
          <w:p>
            <w:pPr>
              <w:ind w:left="40"/>
              <w:spacing w:after="0"/>
              <w:rPr>
                <w:sz w:val="20"/>
                <w:szCs w:val="20"/>
                <w:color w:val="auto"/>
              </w:rPr>
            </w:pPr>
            <w:r>
              <w:rPr>
                <w:rFonts w:ascii="Arial" w:cs="Arial" w:eastAsia="Arial" w:hAnsi="Arial"/>
                <w:sz w:val="14"/>
                <w:szCs w:val="14"/>
                <w:color w:val="auto"/>
              </w:rPr>
              <w:t>Capitalized costs</w:t>
            </w:r>
          </w:p>
        </w:tc>
        <w:tc>
          <w:tcPr>
            <w:tcW w:w="1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24"/>
                <w:szCs w:val="24"/>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24"/>
                <w:szCs w:val="24"/>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Note / property sales</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(4,664)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(12,238)</w:t>
            </w:r>
          </w:p>
        </w:tc>
      </w:tr>
      <w:tr>
        <w:trPr>
          <w:trHeight w:val="276"/>
        </w:trPr>
        <w:tc>
          <w:tcPr>
            <w:tcW w:w="1620" w:type="dxa"/>
            <w:vAlign w:val="bottom"/>
            <w:shd w:val="clear" w:color="auto" w:fill="F0FFFF"/>
          </w:tcPr>
          <w:p>
            <w:pPr>
              <w:ind w:left="40"/>
              <w:spacing w:after="0"/>
              <w:rPr>
                <w:sz w:val="20"/>
                <w:szCs w:val="20"/>
                <w:color w:val="auto"/>
              </w:rPr>
            </w:pPr>
            <w:r>
              <w:rPr>
                <w:rFonts w:ascii="Arial" w:cs="Arial" w:eastAsia="Arial" w:hAnsi="Arial"/>
                <w:sz w:val="14"/>
                <w:szCs w:val="14"/>
                <w:color w:val="auto"/>
              </w:rPr>
              <w:t>Write downs</w:t>
            </w:r>
          </w:p>
        </w:tc>
        <w:tc>
          <w:tcPr>
            <w:tcW w:w="1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(387)</w:t>
            </w:r>
          </w:p>
        </w:tc>
      </w:tr>
      <w:tr>
        <w:trPr>
          <w:trHeight w:val="264"/>
        </w:trPr>
        <w:tc>
          <w:tcPr>
            <w:tcW w:w="1620" w:type="dxa"/>
            <w:vAlign w:val="bottom"/>
          </w:tcPr>
          <w:p>
            <w:pPr>
              <w:ind w:left="40"/>
              <w:spacing w:after="0"/>
              <w:rPr>
                <w:sz w:val="20"/>
                <w:szCs w:val="20"/>
                <w:color w:val="auto"/>
              </w:rPr>
            </w:pPr>
            <w:r>
              <w:rPr>
                <w:rFonts w:ascii="Arial" w:cs="Arial" w:eastAsia="Arial" w:hAnsi="Arial"/>
                <w:sz w:val="14"/>
                <w:szCs w:val="14"/>
                <w:color w:val="auto"/>
              </w:rPr>
              <w:t>Net gains on sales</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389</w:t>
            </w:r>
          </w:p>
        </w:tc>
      </w:tr>
      <w:tr>
        <w:trPr>
          <w:trHeight w:val="243"/>
        </w:trPr>
        <w:tc>
          <w:tcPr>
            <w:tcW w:w="1620" w:type="dxa"/>
            <w:vAlign w:val="bottom"/>
            <w:tcBorders>
              <w:top w:val="single" w:sz="8" w:color="F0FFFF"/>
              <w:bottom w:val="single" w:sz="8" w:color="F0FFFF"/>
            </w:tcBorders>
            <w:shd w:val="clear" w:color="auto" w:fill="F0FFFF"/>
          </w:tcPr>
          <w:p>
            <w:pPr>
              <w:ind w:left="280"/>
              <w:spacing w:after="0"/>
              <w:rPr>
                <w:sz w:val="20"/>
                <w:szCs w:val="20"/>
                <w:color w:val="auto"/>
              </w:rPr>
            </w:pPr>
            <w:r>
              <w:rPr>
                <w:rFonts w:ascii="Arial" w:cs="Arial" w:eastAsia="Arial" w:hAnsi="Arial"/>
                <w:sz w:val="14"/>
                <w:szCs w:val="14"/>
                <w:b w:val="1"/>
                <w:bCs w:val="1"/>
                <w:color w:val="auto"/>
              </w:rPr>
              <w:t>Ending Balance</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23,778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1,305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25,083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23,658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3,234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26,892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21,539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7,949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29,488</w:t>
            </w:r>
          </w:p>
        </w:tc>
      </w:tr>
      <w:tr>
        <w:trPr>
          <w:trHeight w:val="20"/>
        </w:trPr>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and 2017 United had $52.4 million and $58.1 million, respectively, in loans with terms that have been modified in a TDR. Included therein were $7.09 million and $5.50 million, respectively, of TDRs that were classified as nonaccrual and were included in nonperforming loans. The remaining TDRs with an aggregate balance of $45.3 million and $52.6 million, respectively, were performing according to their modified terms and were therefore not considered to be nonperforming assets.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2018 and 2017, there were $55.4 million and $62.3 million, respectively, of loans that were individually evaluated for impairment (“impaired loans”), including TDRs which are by definition considered impaired. Included in impaired loans at December 31, 2018 and 2017 were $23.5 million and $9.37 million, respectively, that did not require specific reserves or had previously been charged down to net realizable value. The remaining balance of impaired loans at December 31, 2018 of $32.0 million had specific reserves that totaled $2.31 million and the balance of impaired loans at December 31, 2017 of $52.9 million had specific reserves that totaled $3.26 million. The average recorded investment in impaired loans for 2018, 2017 and 2016 was $59.7 million, $78.4 million and $90.4 million, respectively. During 2018, 2017 and 2016, United recognized $3.08 million, $3.63 million and $4.27 million, respectively, in interest revenue on impaired loans. United’s policy is to discontinue the recognition of interest revenue for loans classified as impaired when a loan meets the criteria for nonaccrual status. Impaired loans decreased 11% from 2017 to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December 31, 2018 decreased $34.1 million from a year ago.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and 2017, United had debt securities held-to-maturity with a carrying value of $274 million and $321 million, respectively, and debt securities available-for-sale totaling $2.63 billion and $2.62 billion, respectively. At December 31, 2018 and 2017, the securities portfolio represented approximately 23% and 25%, respectively, of total assets. At December 31, 2018, the effective duration of the investment portfolio was 3.34 years, compared with 3.41 years at December 31,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8"/>
              </w:rPr>
              <w:t>The following table shows the carrying value of United’s debt securities.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78"/>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Table 16 - Carrying Value of Debt Securities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As of December 31,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0"/>
        </w:trPr>
        <w:tc>
          <w:tcPr>
            <w:tcW w:w="5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0"/>
              </w:rPr>
              <w:t>December 31, 2018</w:t>
            </w:r>
          </w:p>
        </w:tc>
        <w:tc>
          <w:tcPr>
            <w:tcW w:w="9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Available-for-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Held-to-</w:t>
            </w:r>
          </w:p>
        </w:tc>
        <w:tc>
          <w:tcPr>
            <w:tcW w:w="160" w:type="dxa"/>
            <w:vAlign w:val="bottom"/>
          </w:tcPr>
          <w:p>
            <w:pPr>
              <w:spacing w:after="0"/>
              <w:rPr>
                <w:sz w:val="18"/>
                <w:szCs w:val="18"/>
                <w:color w:val="auto"/>
              </w:rPr>
            </w:pPr>
          </w:p>
        </w:tc>
        <w:tc>
          <w:tcPr>
            <w:tcW w:w="31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Sale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Maturity</w:t>
            </w:r>
          </w:p>
        </w:tc>
        <w:tc>
          <w:tcPr>
            <w:tcW w:w="160" w:type="dxa"/>
            <w:vAlign w:val="bottom"/>
          </w:tcPr>
          <w:p>
            <w:pPr>
              <w:spacing w:after="0"/>
              <w:rPr>
                <w:sz w:val="20"/>
                <w:szCs w:val="20"/>
                <w:color w:val="auto"/>
              </w:rPr>
            </w:pPr>
          </w:p>
        </w:tc>
        <w:tc>
          <w:tcPr>
            <w:tcW w:w="31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5"/>
              </w:rPr>
              <w:t>Securities</w:t>
            </w:r>
          </w:p>
        </w:tc>
      </w:tr>
      <w:tr>
        <w:trPr>
          <w:trHeight w:val="27"/>
        </w:trPr>
        <w:tc>
          <w:tcPr>
            <w:tcW w:w="56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r>
      <w:tr>
        <w:trPr>
          <w:trHeight w:val="244"/>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U.S. Treasuries</w:t>
            </w:r>
          </w:p>
        </w:tc>
        <w:tc>
          <w:tcPr>
            <w:tcW w:w="2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149,307</w:t>
            </w:r>
          </w:p>
        </w:tc>
        <w:tc>
          <w:tcPr>
            <w:tcW w:w="320" w:type="dxa"/>
            <w:vAlign w:val="bottom"/>
            <w:tcBorders>
              <w:bottom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149,307</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25,553</w:t>
            </w:r>
          </w:p>
        </w:tc>
        <w:tc>
          <w:tcPr>
            <w:tcW w:w="2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233,941</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68,551</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302,492</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1,445,910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176,488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1,622,398</w:t>
            </w:r>
          </w:p>
        </w:tc>
        <w:tc>
          <w:tcPr>
            <w:tcW w:w="2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391,917</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29,368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421,285</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199,163</w:t>
            </w:r>
          </w:p>
        </w:tc>
        <w:tc>
          <w:tcPr>
            <w:tcW w:w="2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182,676</w:t>
            </w:r>
          </w:p>
        </w:tc>
        <w:tc>
          <w:tcPr>
            <w:tcW w:w="6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182,676</w:t>
            </w:r>
          </w:p>
        </w:tc>
        <w:tc>
          <w:tcPr>
            <w:tcW w:w="2160" w:type="dxa"/>
            <w:vAlign w:val="bottom"/>
            <w:tcBorders>
              <w:bottom w:val="single" w:sz="8" w:color="F0FFFF"/>
            </w:tcBorders>
            <w:shd w:val="clear" w:color="auto" w:fill="F0FFFF"/>
          </w:tcPr>
          <w:p>
            <w:pPr>
              <w:spacing w:after="0"/>
              <w:rPr>
                <w:sz w:val="23"/>
                <w:szCs w:val="23"/>
                <w:color w:val="auto"/>
              </w:rPr>
            </w:pPr>
          </w:p>
        </w:tc>
      </w:tr>
      <w:tr>
        <w:trPr>
          <w:trHeight w:val="257"/>
        </w:trPr>
        <w:tc>
          <w:tcPr>
            <w:tcW w:w="5620" w:type="dxa"/>
            <w:vAlign w:val="bottom"/>
          </w:tcPr>
          <w:p>
            <w:pPr>
              <w:ind w:left="2340"/>
              <w:spacing w:after="0"/>
              <w:rPr>
                <w:sz w:val="20"/>
                <w:szCs w:val="20"/>
                <w:color w:val="auto"/>
              </w:rPr>
            </w:pPr>
            <w:r>
              <w:rPr>
                <w:rFonts w:ascii="Arial" w:cs="Arial" w:eastAsia="Arial" w:hAnsi="Arial"/>
                <w:sz w:val="18"/>
                <w:szCs w:val="18"/>
                <w:color w:val="auto"/>
              </w:rPr>
              <w:t>Total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2,628,467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274,407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2,902,874</w:t>
            </w:r>
          </w:p>
        </w:tc>
        <w:tc>
          <w:tcPr>
            <w:tcW w:w="2160" w:type="dxa"/>
            <w:vAlign w:val="bottom"/>
          </w:tcPr>
          <w:p>
            <w:pPr>
              <w:spacing w:after="0"/>
              <w:rPr>
                <w:sz w:val="22"/>
                <w:szCs w:val="2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81"/>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0"/>
              </w:rPr>
              <w:t>December 31, 2017</w:t>
            </w: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56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Available-for-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Held-to-</w:t>
            </w:r>
          </w:p>
        </w:tc>
        <w:tc>
          <w:tcPr>
            <w:tcW w:w="160" w:type="dxa"/>
            <w:vAlign w:val="bottom"/>
          </w:tcPr>
          <w:p>
            <w:pPr>
              <w:spacing w:after="0"/>
              <w:rPr>
                <w:sz w:val="18"/>
                <w:szCs w:val="18"/>
                <w:color w:val="auto"/>
              </w:rPr>
            </w:pPr>
          </w:p>
        </w:tc>
        <w:tc>
          <w:tcPr>
            <w:tcW w:w="31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Sale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Maturity</w:t>
            </w:r>
          </w:p>
        </w:tc>
        <w:tc>
          <w:tcPr>
            <w:tcW w:w="160" w:type="dxa"/>
            <w:vAlign w:val="bottom"/>
          </w:tcPr>
          <w:p>
            <w:pPr>
              <w:spacing w:after="0"/>
              <w:rPr>
                <w:sz w:val="20"/>
                <w:szCs w:val="20"/>
                <w:color w:val="auto"/>
              </w:rPr>
            </w:pPr>
          </w:p>
        </w:tc>
        <w:tc>
          <w:tcPr>
            <w:tcW w:w="314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85"/>
              </w:rPr>
              <w:t>Securities</w:t>
            </w:r>
          </w:p>
        </w:tc>
      </w:tr>
      <w:tr>
        <w:trPr>
          <w:trHeight w:val="27"/>
        </w:trPr>
        <w:tc>
          <w:tcPr>
            <w:tcW w:w="56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r>
      <w:tr>
        <w:trPr>
          <w:trHeight w:val="244"/>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U.S. Treasuries</w:t>
            </w:r>
          </w:p>
        </w:tc>
        <w:tc>
          <w:tcPr>
            <w:tcW w:w="2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121,113</w:t>
            </w:r>
          </w:p>
        </w:tc>
        <w:tc>
          <w:tcPr>
            <w:tcW w:w="320" w:type="dxa"/>
            <w:vAlign w:val="bottom"/>
            <w:tcBorders>
              <w:bottom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121,113</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26,372</w:t>
            </w:r>
          </w:p>
        </w:tc>
        <w:tc>
          <w:tcPr>
            <w:tcW w:w="2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197,286</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71,959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269,245</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1,311,733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1,520,538</w:t>
            </w:r>
          </w:p>
        </w:tc>
        <w:tc>
          <w:tcPr>
            <w:tcW w:w="2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415,478</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40,330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455,808</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306,353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306,353</w:t>
            </w:r>
          </w:p>
        </w:tc>
        <w:tc>
          <w:tcPr>
            <w:tcW w:w="2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620" w:type="dxa"/>
            <w:vAlign w:val="bottom"/>
            <w:tcBorders>
              <w:bottom w:val="single" w:sz="8" w:color="F0FFFF"/>
            </w:tcBorders>
            <w:shd w:val="clear" w:color="auto" w:fill="F0FFFF"/>
          </w:tcPr>
          <w:p>
            <w:pPr>
              <w:ind w:left="210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237,458</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237,458</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43"/>
        </w:trPr>
        <w:tc>
          <w:tcPr>
            <w:tcW w:w="5620" w:type="dxa"/>
            <w:vAlign w:val="bottom"/>
          </w:tcPr>
          <w:p>
            <w:pPr>
              <w:ind w:left="21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160" w:type="dxa"/>
            <w:vAlign w:val="bottom"/>
          </w:tcPr>
          <w:p>
            <w:pPr>
              <w:spacing w:after="0"/>
              <w:rPr>
                <w:sz w:val="21"/>
                <w:szCs w:val="21"/>
                <w:color w:val="auto"/>
              </w:rPr>
            </w:pPr>
          </w:p>
        </w:tc>
      </w:tr>
      <w:tr>
        <w:trPr>
          <w:trHeight w:val="27"/>
        </w:trPr>
        <w:tc>
          <w:tcPr>
            <w:tcW w:w="56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r>
      <w:tr>
        <w:trPr>
          <w:trHeight w:val="257"/>
        </w:trPr>
        <w:tc>
          <w:tcPr>
            <w:tcW w:w="5620" w:type="dxa"/>
            <w:vAlign w:val="bottom"/>
            <w:shd w:val="clear" w:color="auto" w:fill="F0FFFF"/>
          </w:tcPr>
          <w:p>
            <w:pPr>
              <w:ind w:left="2340"/>
              <w:spacing w:after="0"/>
              <w:rPr>
                <w:sz w:val="20"/>
                <w:szCs w:val="20"/>
                <w:color w:val="auto"/>
              </w:rPr>
            </w:pPr>
            <w:r>
              <w:rPr>
                <w:rFonts w:ascii="Arial" w:cs="Arial" w:eastAsia="Arial" w:hAnsi="Arial"/>
                <w:sz w:val="18"/>
                <w:szCs w:val="18"/>
                <w:color w:val="auto"/>
              </w:rPr>
              <w:t>Total securities</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2,615,850</w:t>
            </w:r>
          </w:p>
        </w:tc>
        <w:tc>
          <w:tcPr>
            <w:tcW w:w="3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321,094</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2,936,944</w:t>
            </w:r>
          </w:p>
        </w:tc>
        <w:tc>
          <w:tcPr>
            <w:tcW w:w="2160" w:type="dxa"/>
            <w:vAlign w:val="bottom"/>
            <w:shd w:val="clear" w:color="auto" w:fill="F0FFFF"/>
          </w:tcPr>
          <w:p>
            <w:pPr>
              <w:spacing w:after="0"/>
              <w:rPr>
                <w:sz w:val="22"/>
                <w:szCs w:val="22"/>
                <w:color w:val="auto"/>
              </w:rPr>
            </w:pP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Mortgage-backed securities, which include both U.S. Government sponsored agency and non-agency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that are backed by student loans.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other than temporarily impaired. In making this evaluation, management considers its ability and intent to hold securities to recover current market losses. Losses on fixed income securities at December 31, 2018 primarily reflect the effect of changes in interest rates. United did not recognize any other than temporary impairment losses on its investment securities in 2018, 2017 or 2016.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2018, United had 70% of its total investment securities portfolio in mortgage-backed securities, compared with 67% at December 31, 2017. United has continued to purchase mortgage-backed securities in order to obtain a favorable yield with low risk. United did not have debt obligations of any issuer in excess of 10% of equity at year-end 2018 or 2017, excluding U.S. Government sponsored entities. Approximately 2% of the securities portfolio is rated below “A” by at least one rating agency or unrated and 14% of securities, excluding government or agency securities, are rated “Aaa”. See Note 6 to the consolidated financial statements for further discussion of the investment portfolio and related fair value and maturity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 Management evaluates goodwill annually, or more frequently if necessary, to determine if any impairment exists.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the acquired deposit base, and noncompete agreements are amortizing intangible assets that are required to be tested for impairment only when events or circumstances indicate that impairment may exist. There were no events or circumstances that led management to believe that any impairment exists in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deposits are the primary source of funds for the continued growth of United’s earning assets. Management has focused on growing customer transaction deposit accounts relative to more costly time deposit balances. United’s high level of service, as evidenced by its strong customer satisfaction scores, has been instrumental in attracting and retaining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customer deposits, excluding brokered deposits, as of December 31, 2018 were $9.85 billion, an increase of $414 million from December 31, 2017. Total core transaction deposits (demand, NOW, money market and savings deposits, excluding public funds) of $6.96 billion increased $190 million, or 3%, from December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time deposits, excluding brokered deposits, as of December 31, 2018 were $1.60 billion, which represents an increase of $50 million from December 31, 2017. The increase is attributable to more competitive pricing and is a reflection of United’s organic deposit growth.</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Brokered deposits totaled $684 million as of December 31, 2018, an increase of $313 million from December 31, 2017, and included NOW accounts, money market deposits and certificates of deposit. Brokered certificates of deposit accounted for $544 million and $133 million of the balance at December 31, 2018 and 2017, respectively. The increase in brokered certificates of deposit reflects a strategy to diversify wholesale funding sources at a reasonable cost.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scheduled maturities of time deposits of $250,000 and greater and brokered time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17 - Maturities of Time Deposits of $250,000 and Greater and Brokered Time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100"/>
              <w:spacing w:after="0"/>
              <w:rPr>
                <w:sz w:val="20"/>
                <w:szCs w:val="20"/>
                <w:color w:val="auto"/>
              </w:rPr>
            </w:pPr>
            <w:r>
              <w:rPr>
                <w:rFonts w:ascii="Arial" w:cs="Arial" w:eastAsia="Arial" w:hAnsi="Arial"/>
                <w:sz w:val="18"/>
                <w:szCs w:val="18"/>
                <w:color w:val="auto"/>
              </w:rPr>
              <w:t>$250,000 and greater:</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8"/>
                <w:szCs w:val="18"/>
                <w:color w:val="auto"/>
              </w:rPr>
              <w:t>Three months or less</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63,510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37,982</w:t>
            </w:r>
          </w:p>
        </w:tc>
        <w:tc>
          <w:tcPr>
            <w:tcW w:w="2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40"/>
              <w:spacing w:after="0"/>
              <w:rPr>
                <w:sz w:val="20"/>
                <w:szCs w:val="20"/>
                <w:color w:val="auto"/>
              </w:rPr>
            </w:pPr>
            <w:r>
              <w:rPr>
                <w:rFonts w:ascii="Arial" w:cs="Arial" w:eastAsia="Arial" w:hAnsi="Arial"/>
                <w:sz w:val="18"/>
                <w:szCs w:val="18"/>
                <w:color w:val="auto"/>
              </w:rPr>
              <w:t>Three to six months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27,099</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8"/>
                <w:szCs w:val="18"/>
                <w:color w:val="auto"/>
              </w:rPr>
              <w:t>Six to twelve months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80,034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59,736</w:t>
            </w:r>
          </w:p>
        </w:tc>
        <w:tc>
          <w:tcPr>
            <w:tcW w:w="2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40"/>
              <w:spacing w:after="0"/>
              <w:rPr>
                <w:sz w:val="20"/>
                <w:szCs w:val="20"/>
                <w:color w:val="auto"/>
              </w:rPr>
            </w:pPr>
            <w:r>
              <w:rPr>
                <w:rFonts w:ascii="Arial" w:cs="Arial" w:eastAsia="Arial" w:hAnsi="Arial"/>
                <w:sz w:val="18"/>
                <w:szCs w:val="18"/>
                <w:color w:val="auto"/>
              </w:rPr>
              <w:t>Over one year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79,937</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F0FFFF"/>
            </w:tcBorders>
            <w:shd w:val="clear" w:color="auto" w:fill="F0FFFF"/>
          </w:tcPr>
          <w:p>
            <w:pPr>
              <w:ind w:left="2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262,390</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204,754</w:t>
            </w:r>
          </w:p>
        </w:tc>
        <w:tc>
          <w:tcPr>
            <w:tcW w:w="2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100"/>
              <w:spacing w:after="0"/>
              <w:rPr>
                <w:sz w:val="20"/>
                <w:szCs w:val="20"/>
                <w:color w:val="auto"/>
              </w:rPr>
            </w:pPr>
            <w:r>
              <w:rPr>
                <w:rFonts w:ascii="Arial" w:cs="Arial" w:eastAsia="Arial" w:hAnsi="Arial"/>
                <w:sz w:val="18"/>
                <w:szCs w:val="18"/>
                <w:color w:val="auto"/>
              </w:rPr>
              <w:t>Brokered time deposits: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8"/>
                <w:szCs w:val="18"/>
                <w:color w:val="auto"/>
              </w:rPr>
              <w:t>Three months or less</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249,833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30,932</w:t>
            </w:r>
          </w:p>
        </w:tc>
        <w:tc>
          <w:tcPr>
            <w:tcW w:w="2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40"/>
              <w:spacing w:after="0"/>
              <w:rPr>
                <w:sz w:val="20"/>
                <w:szCs w:val="20"/>
                <w:color w:val="auto"/>
              </w:rPr>
            </w:pPr>
            <w:r>
              <w:rPr>
                <w:rFonts w:ascii="Arial" w:cs="Arial" w:eastAsia="Arial" w:hAnsi="Arial"/>
                <w:sz w:val="18"/>
                <w:szCs w:val="18"/>
                <w:color w:val="auto"/>
              </w:rPr>
              <w:t>Three to six months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1,639</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8"/>
                <w:szCs w:val="18"/>
                <w:color w:val="auto"/>
              </w:rPr>
              <w:t>Six to twelve months</w:t>
            </w:r>
          </w:p>
        </w:tc>
        <w:tc>
          <w:tcPr>
            <w:tcW w:w="2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2,155</w:t>
            </w:r>
          </w:p>
        </w:tc>
        <w:tc>
          <w:tcPr>
            <w:tcW w:w="2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240"/>
              <w:spacing w:after="0"/>
              <w:rPr>
                <w:sz w:val="20"/>
                <w:szCs w:val="20"/>
                <w:color w:val="auto"/>
              </w:rPr>
            </w:pPr>
            <w:r>
              <w:rPr>
                <w:rFonts w:ascii="Arial" w:cs="Arial" w:eastAsia="Arial" w:hAnsi="Arial"/>
                <w:sz w:val="18"/>
                <w:szCs w:val="18"/>
                <w:color w:val="auto"/>
              </w:rPr>
              <w:t>Over one year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98,022</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F0FFFF"/>
            </w:tcBorders>
            <w:shd w:val="clear" w:color="auto" w:fill="F0FFFF"/>
          </w:tcPr>
          <w:p>
            <w:pPr>
              <w:ind w:left="2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543,922</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132,748</w:t>
            </w:r>
          </w:p>
        </w:tc>
        <w:tc>
          <w:tcPr>
            <w:tcW w:w="2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FHLB and, through this affiliation, had FHLB secured advances totaling $160 million and $505 million at December 31, 2018 and 2017, respectively. United anticipates continued use of this short and long-term source of funds. FHLB advances outstanding at December 31, 2018 had 2019 maturity dates and a weighted average interest rate of 2.52%. Additional information regarding FHLB advances is provided in Note 12 to the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At December 31, 2017 United had $50.0 million in federal funds purchased outstanding. At December 31, 2018, United had no federal funds purchased outstanding.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and 2017, United also had long-term debt outstanding of $267 million and $121 million, respectively, which includes senior debentures, subordinated debentures, trust preferred securities, and securitized notes payable. Additional information regarding these debt instruments is provided in Note 13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United maintains an unencumbered liquid asset reserve to help ensure its ability to meet its obligations under normal conditions for at least a 12-month period and under severely adverse liquidity conditions for a minimum of 30 days.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In 2018 and 2017, the Bank paid dividends of $162 million and $103 million, respectively, to the Holding Company. Holding Company liquidity is managed to a minimum of 15-months of positive cash flow after considering all of its liquidity needs over this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table below presents a summary of short-term borrowings over the last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18 - 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end</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 amounts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Period-end</w:t>
            </w: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at</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Weighted-average</w:t>
            </w:r>
          </w:p>
        </w:tc>
      </w:t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interest rate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any month-end</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during the year</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rate for the year</w:t>
            </w:r>
          </w:p>
        </w:tc>
      </w:tr>
      <w:tr>
        <w:trPr>
          <w:trHeight w:val="27"/>
        </w:trPr>
        <w:tc>
          <w:tcPr>
            <w:tcW w:w="338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33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2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5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3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3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560" w:type="dxa"/>
            <w:vAlign w:val="bottom"/>
            <w:tcBorders>
              <w:bottom w:val="single" w:sz="8" w:color="F0FFFF"/>
            </w:tcBorders>
            <w:shd w:val="clear" w:color="auto" w:fill="F0FFFF"/>
          </w:tcPr>
          <w:p>
            <w:pPr>
              <w:spacing w:after="0"/>
              <w:rPr>
                <w:sz w:val="22"/>
                <w:szCs w:val="22"/>
                <w:color w:val="auto"/>
              </w:rPr>
            </w:pP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55,799</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w w:val="93"/>
              </w:rPr>
              <w:t>1.98%</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48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Repurchase agreements</w:t>
            </w:r>
          </w:p>
        </w:tc>
        <w:tc>
          <w:tcPr>
            <w:tcW w:w="20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3"/>
                <w:szCs w:val="23"/>
                <w:color w:val="auto"/>
              </w:rPr>
            </w:pPr>
          </w:p>
        </w:tc>
        <w:tc>
          <w:tcPr>
            <w:tcW w:w="16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14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1,577</w:t>
            </w:r>
          </w:p>
        </w:tc>
        <w:tc>
          <w:tcPr>
            <w:tcW w:w="1660" w:type="dxa"/>
            <w:vAlign w:val="bottom"/>
            <w:tcBorders>
              <w:bottom w:val="single" w:sz="8" w:color="F0FFFF"/>
            </w:tcBorders>
            <w:gridSpan w:val="2"/>
            <w:shd w:val="clear" w:color="auto" w:fill="F0FFFF"/>
          </w:tcPr>
          <w:p>
            <w:pPr>
              <w:ind w:left="1160"/>
              <w:spacing w:after="0"/>
              <w:rPr>
                <w:sz w:val="20"/>
                <w:szCs w:val="20"/>
                <w:color w:val="auto"/>
              </w:rPr>
            </w:pPr>
            <w:r>
              <w:rPr>
                <w:rFonts w:ascii="Arial" w:cs="Arial" w:eastAsia="Arial" w:hAnsi="Arial"/>
                <w:sz w:val="18"/>
                <w:szCs w:val="18"/>
                <w:color w:val="auto"/>
              </w:rPr>
              <w:t>0.44</w:t>
            </w:r>
          </w:p>
        </w:tc>
      </w:tr>
      <w:tr>
        <w:trPr>
          <w:trHeight w:val="237"/>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57,376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7"/>
        </w:trPr>
        <w:tc>
          <w:tcPr>
            <w:tcW w:w="3380" w:type="dxa"/>
            <w:vAlign w:val="bottom"/>
            <w:tcBorders>
              <w:bottom w:val="single" w:sz="8" w:color="F0FFFF"/>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560" w:type="dxa"/>
            <w:vAlign w:val="bottom"/>
            <w:tcBorders>
              <w:bottom w:val="single" w:sz="8" w:color="F0FFFF"/>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40" w:type="dxa"/>
            <w:vAlign w:val="bottom"/>
            <w:tcBorders>
              <w:bottom w:val="single" w:sz="8" w:color="F0FFFF"/>
            </w:tcBorders>
          </w:tcPr>
          <w:p>
            <w:pPr>
              <w:spacing w:after="0"/>
              <w:rPr>
                <w:sz w:val="5"/>
                <w:szCs w:val="5"/>
                <w:color w:val="auto"/>
              </w:rPr>
            </w:pPr>
          </w:p>
        </w:tc>
        <w:tc>
          <w:tcPr>
            <w:tcW w:w="1340" w:type="dxa"/>
            <w:vAlign w:val="bottom"/>
            <w:tcBorders>
              <w:bottom w:val="single" w:sz="8" w:color="F0FFFF"/>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560" w:type="dxa"/>
            <w:vAlign w:val="bottom"/>
            <w:tcBorders>
              <w:bottom w:val="single" w:sz="8" w:color="F0FFFF"/>
            </w:tcBorders>
          </w:tcPr>
          <w:p>
            <w:pPr>
              <w:spacing w:after="0"/>
              <w:rPr>
                <w:sz w:val="5"/>
                <w:szCs w:val="5"/>
                <w:color w:val="auto"/>
              </w:rPr>
            </w:pPr>
          </w:p>
        </w:tc>
      </w:tr>
      <w:tr>
        <w:trPr>
          <w:trHeight w:val="251"/>
        </w:trPr>
        <w:tc>
          <w:tcPr>
            <w:tcW w:w="33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spacing w:after="0"/>
              <w:rPr>
                <w:sz w:val="21"/>
                <w:szCs w:val="21"/>
                <w:color w:val="auto"/>
              </w:rPr>
            </w:pP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84,575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26,853</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w w:val="93"/>
              </w:rPr>
              <w:t>1.19%</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48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Repurchase agreements</w:t>
            </w:r>
          </w:p>
        </w:tc>
        <w:tc>
          <w:tcPr>
            <w:tcW w:w="20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3"/>
                <w:szCs w:val="23"/>
                <w:color w:val="auto"/>
              </w:rPr>
            </w:pPr>
          </w:p>
        </w:tc>
        <w:tc>
          <w:tcPr>
            <w:tcW w:w="16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w:t>
            </w:r>
          </w:p>
        </w:tc>
        <w:tc>
          <w:tcPr>
            <w:tcW w:w="1660" w:type="dxa"/>
            <w:vAlign w:val="bottom"/>
            <w:tcBorders>
              <w:bottom w:val="single" w:sz="8" w:color="F0FFFF"/>
            </w:tcBorders>
            <w:gridSpan w:val="2"/>
            <w:shd w:val="clear" w:color="auto" w:fill="F0FFFF"/>
          </w:tcPr>
          <w:p>
            <w:pPr>
              <w:ind w:left="1160"/>
              <w:spacing w:after="0"/>
              <w:rPr>
                <w:sz w:val="20"/>
                <w:szCs w:val="20"/>
                <w:color w:val="auto"/>
              </w:rPr>
            </w:pPr>
            <w:r>
              <w:rPr>
                <w:rFonts w:ascii="Arial" w:cs="Arial" w:eastAsia="Arial" w:hAnsi="Arial"/>
                <w:sz w:val="18"/>
                <w:szCs w:val="18"/>
                <w:color w:val="auto"/>
              </w:rPr>
              <w:t>0.12</w:t>
            </w:r>
          </w:p>
        </w:tc>
      </w:tr>
      <w:tr>
        <w:trPr>
          <w:trHeight w:val="237"/>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26,856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7"/>
        </w:trPr>
        <w:tc>
          <w:tcPr>
            <w:tcW w:w="3380" w:type="dxa"/>
            <w:vAlign w:val="bottom"/>
            <w:tcBorders>
              <w:bottom w:val="single" w:sz="8" w:color="F0FFFF"/>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560" w:type="dxa"/>
            <w:vAlign w:val="bottom"/>
            <w:tcBorders>
              <w:bottom w:val="single" w:sz="8" w:color="F0FFFF"/>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40" w:type="dxa"/>
            <w:vAlign w:val="bottom"/>
            <w:tcBorders>
              <w:bottom w:val="single" w:sz="8" w:color="F0FFFF"/>
            </w:tcBorders>
          </w:tcPr>
          <w:p>
            <w:pPr>
              <w:spacing w:after="0"/>
              <w:rPr>
                <w:sz w:val="5"/>
                <w:szCs w:val="5"/>
                <w:color w:val="auto"/>
              </w:rPr>
            </w:pPr>
          </w:p>
        </w:tc>
        <w:tc>
          <w:tcPr>
            <w:tcW w:w="1340" w:type="dxa"/>
            <w:vAlign w:val="bottom"/>
            <w:tcBorders>
              <w:bottom w:val="single" w:sz="8" w:color="F0FFFF"/>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F0FFFF"/>
            </w:tcBorders>
          </w:tcPr>
          <w:p>
            <w:pPr>
              <w:spacing w:after="0"/>
              <w:rPr>
                <w:sz w:val="5"/>
                <w:szCs w:val="5"/>
                <w:color w:val="auto"/>
              </w:rPr>
            </w:pPr>
          </w:p>
        </w:tc>
        <w:tc>
          <w:tcPr>
            <w:tcW w:w="1560" w:type="dxa"/>
            <w:vAlign w:val="bottom"/>
            <w:tcBorders>
              <w:bottom w:val="single" w:sz="8" w:color="F0FFFF"/>
            </w:tcBorders>
          </w:tcPr>
          <w:p>
            <w:pPr>
              <w:spacing w:after="0"/>
              <w:rPr>
                <w:sz w:val="5"/>
                <w:szCs w:val="5"/>
                <w:color w:val="auto"/>
              </w:rPr>
            </w:pPr>
          </w:p>
        </w:tc>
      </w:tr>
      <w:tr>
        <w:trPr>
          <w:trHeight w:val="251"/>
        </w:trPr>
        <w:tc>
          <w:tcPr>
            <w:tcW w:w="33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spacing w:after="0"/>
              <w:rPr>
                <w:sz w:val="21"/>
                <w:szCs w:val="21"/>
                <w:color w:val="auto"/>
              </w:rPr>
            </w:pP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funds purchased</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27,572</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w w:val="93"/>
              </w:rPr>
              <w:t>0.66%</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48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Repurchase agreements</w:t>
            </w:r>
          </w:p>
        </w:tc>
        <w:tc>
          <w:tcPr>
            <w:tcW w:w="20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3"/>
                <w:szCs w:val="23"/>
                <w:color w:val="auto"/>
              </w:rPr>
            </w:pPr>
          </w:p>
        </w:tc>
        <w:tc>
          <w:tcPr>
            <w:tcW w:w="16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19,234</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7,334</w:t>
            </w:r>
          </w:p>
        </w:tc>
        <w:tc>
          <w:tcPr>
            <w:tcW w:w="1660" w:type="dxa"/>
            <w:vAlign w:val="bottom"/>
            <w:tcBorders>
              <w:bottom w:val="single" w:sz="8" w:color="F0FFFF"/>
            </w:tcBorders>
            <w:gridSpan w:val="2"/>
            <w:shd w:val="clear" w:color="auto" w:fill="F0FFFF"/>
          </w:tcPr>
          <w:p>
            <w:pPr>
              <w:ind w:left="1160"/>
              <w:spacing w:after="0"/>
              <w:rPr>
                <w:sz w:val="20"/>
                <w:szCs w:val="20"/>
                <w:color w:val="auto"/>
              </w:rPr>
            </w:pPr>
            <w:r>
              <w:rPr>
                <w:rFonts w:ascii="Arial" w:cs="Arial" w:eastAsia="Arial" w:hAnsi="Arial"/>
                <w:sz w:val="18"/>
                <w:szCs w:val="18"/>
                <w:color w:val="auto"/>
              </w:rPr>
              <w:t>0.15</w:t>
            </w:r>
          </w:p>
        </w:tc>
      </w:tr>
      <w:tr>
        <w:trPr>
          <w:trHeight w:val="237"/>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34,906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United had sufficient qualifying collateral to increase FHLB advances by $1.09 billion and Federal Reserve discount window capacity of $1.52 billion, as well as unpledged investment securities of $1.98 billion that could be used as collateral for additional borrowings. Management also has the ability to raise substantial funds through brokered deposits. In addition to these wholesale sources, United has the ability to attract retail deposits at any time by competing more aggressively on pricing.</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the consolidated statements of cash flows, net cash provided by operating activities was $270 million for the year ended December 31, 2018. Net income of $166 million for the year included non-cash expenses for the following: deferred income tax expense of $32.6 million, depreciation, amortization and accretion of $31.0 million, provision expense of $9.50 million, and stock-based compensation of $6.06 million. Other sources of cash from operating activities included a decrease in other assets and accrued interest receivable of $13.1 million, an increase in accrued expenses and other liabilities of $3.77 million, and a decrease in loans held for sale of $16.4 million. Net cash used in investing activities of $359 million consisted primarily of $566 million of purchases of debt securities available for sale and equity securities, a net increase in loans of $292 million and cash paid for acquisitions of $56.8 million. These uses of cash were partially offset by proceeds from sales of debt securities available for sale and equity securities of $169 million, maturities and calls of debt securities available for sale of $347 million, and maturities and calls of securities held to maturity of $58.6 million. The $102 million of net cash provided by financing activities consisted primarily of a net increase in deposits of $728 million and proceeds from the issuance of long-term debt of $98.2 million, partially offset by repayments of short-term borrowings of $265 million, a $344 million net reduction in FHLB advances, $71.8 million repayment of long-term debt and $41.6 million in common stock dividends. In the opinion of management, United’s liquidity position at December 31, 2018 was sufficient to meet its expected cash flow requirements.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following table shows United’s contractual obligations and other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19 - Contractual Obligations and Other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00"/>
              <w:spacing w:after="0"/>
              <w:rPr>
                <w:sz w:val="20"/>
                <w:szCs w:val="20"/>
                <w:color w:val="auto"/>
              </w:rPr>
            </w:pPr>
            <w:r>
              <w:rPr>
                <w:rFonts w:ascii="Arial" w:cs="Arial" w:eastAsia="Arial" w:hAnsi="Arial"/>
                <w:sz w:val="18"/>
                <w:szCs w:val="18"/>
                <w:color w:val="auto"/>
              </w:rPr>
              <w:t>Maturity By Years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2"/>
              </w:rPr>
              <w:t>Unamortized</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Premium</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(Discount)</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1 or 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1 to 3</w:t>
            </w: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3 to 5</w:t>
            </w:r>
          </w:p>
        </w:tc>
        <w:tc>
          <w:tcPr>
            <w:tcW w:w="2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Over 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Contractual Cash Obligations</w:t>
            </w: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FHLB advances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267,189</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(9,309)</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51,783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53,213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171,502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456,033</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(9,309)</w:t>
            </w:r>
          </w:p>
        </w:tc>
        <w:tc>
          <w:tcPr>
            <w:tcW w:w="1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165,352</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61,848</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61,603</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176,539</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Commitments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Commitments to extend credit</w:t>
            </w:r>
          </w:p>
        </w:tc>
        <w:tc>
          <w:tcPr>
            <w:tcW w:w="26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2,129,463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533,431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430,508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427,294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738,230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Commercial letters of credit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Uncertain tax positions</w:t>
            </w: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7"/>
        </w:trPr>
        <w:tc>
          <w:tcPr>
            <w:tcW w:w="3340" w:type="dxa"/>
            <w:vAlign w:val="bottom"/>
          </w:tcPr>
          <w:p>
            <w:pPr>
              <w:ind w:left="280"/>
              <w:spacing w:after="0"/>
              <w:rPr>
                <w:sz w:val="20"/>
                <w:szCs w:val="20"/>
                <w:color w:val="auto"/>
              </w:rPr>
            </w:pPr>
            <w:r>
              <w:rPr>
                <w:rFonts w:ascii="Arial" w:cs="Arial" w:eastAsia="Arial" w:hAnsi="Arial"/>
                <w:sz w:val="18"/>
                <w:szCs w:val="18"/>
                <w:color w:val="auto"/>
              </w:rPr>
              <w:t>Total other commitments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2,158,174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555,139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435,542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428,913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738,580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The following table presents the expected maturity of investment securities by date and average yields based on amortized cost (for all obligations on a fully taxable basis). The composition and maturity / repricing distribution of the securities portfolio is subject to change depending on rate sensitivity, capital and liquidity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20 - Maturity of Available-for-Sale and Held-to-Maturity Debt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Maturity By Years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 or Less</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1 to 5</w:t>
            </w:r>
          </w:p>
        </w:tc>
        <w:tc>
          <w:tcPr>
            <w:tcW w:w="2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5 to 10</w:t>
            </w:r>
          </w:p>
        </w:tc>
        <w:tc>
          <w:tcPr>
            <w:tcW w:w="24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Over 10</w:t>
            </w: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44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Available-for-Sale</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U.S. Treasuries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120,391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28,916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149,307</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U.S. Government agencies</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19,968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25,553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50,993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179,794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233,941</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12,424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1,071,414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337,843</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24,229</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1,445,910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294,215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93,154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391,917</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198,168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199,163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125,033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182,676</w:t>
            </w:r>
          </w:p>
        </w:tc>
      </w:tr>
      <w:tr>
        <w:trPr>
          <w:trHeight w:val="27"/>
        </w:trPr>
        <w:tc>
          <w:tcPr>
            <w:tcW w:w="44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securities available-for-sale</w:t>
            </w: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26,623</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1,807,928</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765,310</w:t>
            </w: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28,606</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2,628,467</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420" w:type="dxa"/>
            <w:vAlign w:val="bottom"/>
            <w:shd w:val="clear" w:color="auto" w:fill="F0FFFF"/>
          </w:tcPr>
          <w:p>
            <w:pPr>
              <w:ind w:left="40"/>
              <w:spacing w:after="0" w:line="270"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(1)</w:t>
            </w:r>
          </w:p>
        </w:tc>
        <w:tc>
          <w:tcPr>
            <w:tcW w:w="220" w:type="dxa"/>
            <w:vAlign w:val="bottom"/>
            <w:shd w:val="clear" w:color="auto" w:fill="F0FFFF"/>
          </w:tcPr>
          <w:p>
            <w:pPr>
              <w:spacing w:after="0"/>
              <w:rPr>
                <w:sz w:val="23"/>
                <w:szCs w:val="23"/>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F0FFFF"/>
          </w:tcPr>
          <w:p>
            <w:pPr>
              <w:spacing w:after="0"/>
              <w:rPr>
                <w:sz w:val="23"/>
                <w:szCs w:val="23"/>
                <w:color w:val="auto"/>
              </w:rPr>
            </w:pPr>
          </w:p>
        </w:tc>
        <w:tc>
          <w:tcPr>
            <w:tcW w:w="24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2.91%</w:t>
            </w:r>
          </w:p>
        </w:tc>
      </w:tr>
      <w:tr>
        <w:trPr>
          <w:trHeight w:val="324"/>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Held-to-Maturity</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19,801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30,001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68,551</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108,643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41,359</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25,665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176,488</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29,368</w:t>
            </w:r>
          </w:p>
        </w:tc>
      </w:tr>
      <w:tr>
        <w:trPr>
          <w:trHeight w:val="27"/>
        </w:trPr>
        <w:tc>
          <w:tcPr>
            <w:tcW w:w="44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securities held-to-maturity</w:t>
            </w: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26,946</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129,103</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61,160</w:t>
            </w: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57,198</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274,407</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420" w:type="dxa"/>
            <w:vAlign w:val="bottom"/>
            <w:shd w:val="clear" w:color="auto" w:fill="F0FFFF"/>
          </w:tcPr>
          <w:p>
            <w:pPr>
              <w:ind w:left="40"/>
              <w:spacing w:after="0" w:line="270"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(1)</w:t>
            </w:r>
          </w:p>
        </w:tc>
        <w:tc>
          <w:tcPr>
            <w:tcW w:w="220" w:type="dxa"/>
            <w:vAlign w:val="bottom"/>
            <w:shd w:val="clear" w:color="auto" w:fill="F0FFFF"/>
          </w:tcPr>
          <w:p>
            <w:pPr>
              <w:spacing w:after="0"/>
              <w:rPr>
                <w:sz w:val="23"/>
                <w:szCs w:val="23"/>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F0FFFF"/>
          </w:tcPr>
          <w:p>
            <w:pPr>
              <w:spacing w:after="0"/>
              <w:rPr>
                <w:sz w:val="23"/>
                <w:szCs w:val="23"/>
                <w:color w:val="auto"/>
              </w:rPr>
            </w:pPr>
          </w:p>
        </w:tc>
        <w:tc>
          <w:tcPr>
            <w:tcW w:w="24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2.96%</w:t>
            </w:r>
          </w:p>
        </w:tc>
      </w:tr>
      <w:tr>
        <w:trPr>
          <w:trHeight w:val="324"/>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Combined Portfolio</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U.S. Treasuries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120,391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28,916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149,307</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U.S. Government agencies</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19,968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25,553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63,912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199,595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30,001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302,492</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13,245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1,180,057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379,202</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49,894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1,622,398</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301,756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93,154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421,285</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rPr>
              <w:t>198,168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199,163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125,033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182,676</w:t>
            </w:r>
          </w:p>
        </w:tc>
      </w:tr>
      <w:tr>
        <w:trPr>
          <w:trHeight w:val="27"/>
        </w:trPr>
        <w:tc>
          <w:tcPr>
            <w:tcW w:w="44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securities</w:t>
            </w: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53,569</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1,937,031</w:t>
            </w:r>
          </w:p>
        </w:tc>
        <w:tc>
          <w:tcPr>
            <w:tcW w:w="10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826,470</w:t>
            </w: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85,804</w:t>
            </w:r>
          </w:p>
        </w:tc>
        <w:tc>
          <w:tcPr>
            <w:tcW w:w="1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2,902,874</w:t>
            </w: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420" w:type="dxa"/>
            <w:vAlign w:val="bottom"/>
            <w:shd w:val="clear" w:color="auto" w:fill="F0FFFF"/>
          </w:tcPr>
          <w:p>
            <w:pPr>
              <w:ind w:left="40"/>
              <w:spacing w:after="0" w:line="270"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(1)</w:t>
            </w:r>
          </w:p>
        </w:tc>
        <w:tc>
          <w:tcPr>
            <w:tcW w:w="220" w:type="dxa"/>
            <w:vAlign w:val="bottom"/>
            <w:shd w:val="clear" w:color="auto" w:fill="F0FFFF"/>
          </w:tcPr>
          <w:p>
            <w:pPr>
              <w:spacing w:after="0"/>
              <w:rPr>
                <w:sz w:val="23"/>
                <w:szCs w:val="23"/>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F0FFFF"/>
          </w:tcPr>
          <w:p>
            <w:pPr>
              <w:spacing w:after="0"/>
              <w:rPr>
                <w:sz w:val="23"/>
                <w:szCs w:val="23"/>
                <w:color w:val="auto"/>
              </w:rPr>
            </w:pPr>
          </w:p>
        </w:tc>
        <w:tc>
          <w:tcPr>
            <w:tcW w:w="24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2.91%</w:t>
            </w:r>
          </w:p>
        </w:tc>
      </w:tr>
    </w:tbl>
    <w:p>
      <w:pPr>
        <w:spacing w:after="0" w:line="19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Based on amortized cost, taxable equivalent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which included commitments to extend credit and letters of credit, totaled $2.15 billion at December 31,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84" w:right="239" w:bottom="1440" w:gutter="0" w:footer="0" w:header="0"/>
          <w:type w:val="continuous"/>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believes that it has adequate sources of liquidity to fund commitments that are drawn upon by the borrowers. United is not involved in off-balance sheet contractual relationships, other than those disclosed in this report, that could result in liquidity needs or other commitments, or that could significantly affect earnings. See Note 20 to the consolidated financial statements for additional information on off-balance sheet arrangements.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2018 and 2017, United had $50 million and $100 million, respectively, in offsetting repurchase agreements / reverse repurchase agreements that were netted in the consolidated balance sheets. United enters into these collateral swap arrangements from time to time as a source of additional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at December 31, 2018 was $1.46 billion, an increase of $154 million from December 31, 2017 primarily due to earnings and stock issued for acquisitions partially offset by dividends declared. Accumulated other comprehensive loss, which includes unrealized gains and losses on securities available-for-sale, the unrealized gains and losses on derivatives qualifying as cash flow hedges, and unamortized prior service cost and actuarial gains and losses on defined benefit retirement plans, is excluded in the calculation of regulatory capital ratios.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January 1, 2015, the Board of Governors of the Federal Reserve System and the FDIC implemented the Basel III Capital Rules establishing a new comprehensive capital framework applicable to all depository institutions, bank holding companies with total consolidated assets of $500 million or more and all savings and loan holding companies except for those that are substantially engaged in insurance underwriting or commercial activities. Under the Basel III Capital Rules, minimum requirements increased for both the quantity and quality of capital held by United. The Basel III Capital Rules include a new common equity Tier 1 capital to risk-weighted assets minimum ratio of 4.5% and, for prompt corrective action purposes, a “well capitalized” ratio of 6.5%, raise the minimum ratio of Tier 1 capital to risk-weighted assets from 4% to 6%, require a minimum ratio of Total Capital to risk-weighted assets of 8%, and require a minimum Tier 1 leverage ratio of 4%. A new capital conservation buffer, comprised of common equity Tier 1 capital, was also established above the regulatory minimum capital requirements. This capital conservation buffer has been phased in since January 1, 2016 and reached its final level of 2.5% on January 1, 2019. Strict eligibility criteria for regulatory capital instruments were also implemented under the Basel III Capital Rules. The Basel III Capital Rules also revised the definition and calculation of Tier 1 capital, Total Capital, and risk-weighted assets.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Tier 1 capital consists of shareholders’ equity, excluding accumulated other comprehensive income, intangible assets (goodwill and deposit-based intangibles), and disallowed deferred tax assets, plus qualifying capital securities. Tier 2 capital components include supplemental capital such as the qualifying portion of the allowance for loan losses and qualifying subordinated debt. Tier 1 capital plus Tier 2 capital is referred to as Total risk-based capital.</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has outstanding junior subordinated debentures related to trust preferred securities totaling $25.0 million at December 31, 2018. The related trust preferred securities of $24.3 million (excluding common securities) qualify as Tier 1 capital under risk-based capital guidelines provided that total trust preferred securities do not exceed certain quantitative limits. At December 31, 2018, all of United’s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trust preferred securities qualified as Tier 1 capital. Further information on trust preferred securities is provided in Note 13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 ratios, as calculated under regulatory guidelines in effect at the time, as of the dates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United Community Banks, Inc.</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b w:val="1"/>
                <w:bCs w:val="1"/>
                <w:color w:val="auto"/>
              </w:rPr>
              <w:t>Basel III Guidelines</w:t>
            </w:r>
          </w:p>
        </w:tc>
        <w:tc>
          <w:tcPr>
            <w:tcW w:w="240" w:type="dxa"/>
            <w:vAlign w:val="bottom"/>
          </w:tcPr>
          <w:p>
            <w:pPr>
              <w:spacing w:after="0"/>
              <w:rPr>
                <w:sz w:val="23"/>
                <w:szCs w:val="23"/>
                <w:color w:val="auto"/>
              </w:rPr>
            </w:pPr>
          </w:p>
        </w:tc>
        <w:tc>
          <w:tcPr>
            <w:tcW w:w="18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7"/>
              </w:rPr>
              <w:t>(consolidated)</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United Community Bank</w:t>
            </w:r>
          </w:p>
        </w:tc>
      </w:tr>
      <w:tr>
        <w:trPr>
          <w:trHeight w:val="27"/>
        </w:trPr>
        <w:tc>
          <w:tcPr>
            <w:tcW w:w="26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2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Well</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rPr>
              <w:t>Minimum</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Capitalized</w:t>
            </w: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2640" w:type="dxa"/>
            <w:vAlign w:val="bottom"/>
            <w:tcBorders>
              <w:bottom w:val="single" w:sz="8" w:color="F0FF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Risk-based ratios:</w:t>
            </w:r>
          </w:p>
        </w:tc>
        <w:tc>
          <w:tcPr>
            <w:tcW w:w="13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Common equity tier 1 capital</w:t>
            </w:r>
          </w:p>
        </w:tc>
        <w:tc>
          <w:tcPr>
            <w:tcW w:w="1300" w:type="dxa"/>
            <w:vAlign w:val="bottom"/>
          </w:tcPr>
          <w:p>
            <w:pPr>
              <w:ind w:left="880"/>
              <w:spacing w:after="0"/>
              <w:rPr>
                <w:sz w:val="20"/>
                <w:szCs w:val="20"/>
                <w:color w:val="auto"/>
              </w:rPr>
            </w:pPr>
            <w:r>
              <w:rPr>
                <w:rFonts w:ascii="Arial" w:cs="Arial" w:eastAsia="Arial" w:hAnsi="Arial"/>
                <w:sz w:val="18"/>
                <w:szCs w:val="18"/>
                <w:color w:val="auto"/>
                <w:w w:val="97"/>
              </w:rPr>
              <w:t>4.5%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Tier 1 capital</w:t>
            </w:r>
          </w:p>
        </w:tc>
        <w:tc>
          <w:tcPr>
            <w:tcW w:w="1300" w:type="dxa"/>
            <w:vAlign w:val="bottom"/>
            <w:tcBorders>
              <w:bottom w:val="single" w:sz="8" w:color="F0FFFF"/>
            </w:tcBorders>
            <w:shd w:val="clear" w:color="auto" w:fill="F0FFFF"/>
          </w:tcPr>
          <w:p>
            <w:pPr>
              <w:ind w:left="88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12.93</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1300" w:type="dxa"/>
            <w:vAlign w:val="bottom"/>
          </w:tcPr>
          <w:p>
            <w:pPr>
              <w:ind w:left="8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13.63</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Tier 1 leverage ratio</w:t>
            </w:r>
          </w:p>
        </w:tc>
        <w:tc>
          <w:tcPr>
            <w:tcW w:w="1300" w:type="dxa"/>
            <w:vAlign w:val="bottom"/>
            <w:tcBorders>
              <w:bottom w:val="single" w:sz="8" w:color="F0FFFF"/>
            </w:tcBorders>
            <w:shd w:val="clear" w:color="auto" w:fill="F0FFFF"/>
          </w:tcPr>
          <w:p>
            <w:pPr>
              <w:ind w:left="88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9.98</w:t>
            </w:r>
          </w:p>
        </w:tc>
      </w:tr>
      <w:tr>
        <w:trPr>
          <w:trHeight w:val="324"/>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26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Common equity tier 1 capital</w:t>
            </w:r>
          </w:p>
        </w:tc>
        <w:tc>
          <w:tcPr>
            <w:tcW w:w="13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1,148,355</w:t>
            </w: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1,053,983</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1,216,449</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1,135,728</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Tier 1 capital</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1,172,605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1,076,465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1,216,449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1,135,728</w:t>
            </w:r>
          </w:p>
        </w:tc>
      </w:tr>
      <w:tr>
        <w:trPr>
          <w:trHeight w:val="27"/>
        </w:trPr>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 capital</w:t>
            </w:r>
          </w:p>
        </w:tc>
        <w:tc>
          <w:tcPr>
            <w:tcW w:w="13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1,348,843</w:t>
            </w: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1,149,191</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1,281,062</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1,196,954</w:t>
            </w:r>
          </w:p>
        </w:tc>
      </w:tr>
      <w:tr>
        <w:trPr>
          <w:trHeight w:val="324"/>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26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Risk-weighted assets</w:t>
            </w:r>
          </w:p>
        </w:tc>
        <w:tc>
          <w:tcPr>
            <w:tcW w:w="13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9,441,622</w:t>
            </w: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8,797,387</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9,421,009</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rPr>
              <w:t>8,781,177</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Average total assets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12,207,986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11,403,248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9"/>
              </w:rPr>
              <w:t>12,183,341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9"/>
              </w:rPr>
              <w:t>11,385,716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its interest rate sensitivity position.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6" w:name="page67"/>
    <w:bookmarkEnd w:id="66"/>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profitability, primarily in United’s core community banking activities of extending loans and accepting deposits.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twelve-month time frame, longer time horizons are also modeled.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United’s interest sensitivity position at the dates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22 - Interest Sensitivity</w:t>
      </w:r>
    </w:p>
    <w:p>
      <w:pPr>
        <w:spacing w:after="0" w:line="171"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Increase (Decrease) in Net Interest Revenue from Base</w:t>
      </w:r>
    </w:p>
    <w:p>
      <w:pPr>
        <w:spacing w:after="0" w:line="27"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Scenario at</w:t>
      </w:r>
    </w:p>
    <w:p>
      <w:pPr>
        <w:spacing w:after="0" w:line="9" w:lineRule="exact"/>
        <w:rPr>
          <w:sz w:val="20"/>
          <w:szCs w:val="20"/>
          <w:color w:val="auto"/>
        </w:rPr>
      </w:pPr>
    </w:p>
    <w:p>
      <w:pPr>
        <w:jc w:val="center"/>
        <w:ind w:left="37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22860</wp:posOffset>
            </wp:positionV>
            <wp:extent cx="2804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500" w:type="dxa"/>
            <w:vAlign w:val="bottom"/>
          </w:tcPr>
          <w:p>
            <w:pPr>
              <w:spacing w:after="0"/>
              <w:rPr>
                <w:sz w:val="20"/>
                <w:szCs w:val="20"/>
                <w:color w:val="auto"/>
              </w:rPr>
            </w:pPr>
          </w:p>
        </w:tc>
        <w:tc>
          <w:tcPr>
            <w:tcW w:w="3880" w:type="dxa"/>
            <w:vAlign w:val="bottom"/>
            <w:gridSpan w:val="2"/>
          </w:tcPr>
          <w:p>
            <w:pPr>
              <w:ind w:left="1260"/>
              <w:spacing w:after="0"/>
              <w:rPr>
                <w:sz w:val="20"/>
                <w:szCs w:val="20"/>
                <w:color w:val="auto"/>
              </w:rPr>
            </w:pPr>
            <w:r>
              <w:rPr>
                <w:rFonts w:ascii="Arial" w:cs="Arial" w:eastAsia="Arial" w:hAnsi="Arial"/>
                <w:sz w:val="18"/>
                <w:szCs w:val="18"/>
                <w:b w:val="1"/>
                <w:bCs w:val="1"/>
                <w:color w:val="auto"/>
              </w:rPr>
              <w:t>Change in Rates</w:t>
            </w:r>
          </w:p>
        </w:tc>
        <w:tc>
          <w:tcPr>
            <w:tcW w:w="1340" w:type="dxa"/>
            <w:vAlign w:val="bottom"/>
            <w:gridSpan w:val="3"/>
          </w:tcPr>
          <w:p>
            <w:pPr>
              <w:ind w:left="280"/>
              <w:spacing w:after="0"/>
              <w:rPr>
                <w:sz w:val="20"/>
                <w:szCs w:val="20"/>
                <w:color w:val="auto"/>
              </w:rPr>
            </w:pPr>
            <w:r>
              <w:rPr>
                <w:rFonts w:ascii="Arial" w:cs="Arial" w:eastAsia="Arial" w:hAnsi="Arial"/>
                <w:sz w:val="18"/>
                <w:szCs w:val="18"/>
                <w:b w:val="1"/>
                <w:bCs w:val="1"/>
                <w:color w:val="auto"/>
              </w:rPr>
              <w:t>Shock</w:t>
            </w: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Ramp</w:t>
            </w:r>
          </w:p>
        </w:tc>
        <w:tc>
          <w:tcPr>
            <w:tcW w:w="13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Shock</w:t>
            </w:r>
          </w:p>
        </w:tc>
        <w:tc>
          <w:tcPr>
            <w:tcW w:w="2440" w:type="dxa"/>
            <w:vAlign w:val="bottom"/>
            <w:gridSpan w:val="2"/>
          </w:tcPr>
          <w:p>
            <w:pPr>
              <w:ind w:left="80"/>
              <w:spacing w:after="0"/>
              <w:rPr>
                <w:sz w:val="20"/>
                <w:szCs w:val="20"/>
                <w:color w:val="auto"/>
              </w:rPr>
            </w:pPr>
            <w:r>
              <w:rPr>
                <w:rFonts w:ascii="Arial" w:cs="Arial" w:eastAsia="Arial" w:hAnsi="Arial"/>
                <w:sz w:val="18"/>
                <w:szCs w:val="18"/>
                <w:b w:val="1"/>
                <w:bCs w:val="1"/>
                <w:color w:val="auto"/>
              </w:rPr>
              <w:t>Ramp</w:t>
            </w:r>
          </w:p>
        </w:tc>
      </w:tr>
      <w:tr>
        <w:trPr>
          <w:trHeight w:val="27"/>
        </w:trPr>
        <w:tc>
          <w:tcPr>
            <w:tcW w:w="1500" w:type="dxa"/>
            <w:vAlign w:val="bottom"/>
            <w:tcBorders>
              <w:bottom w:val="single" w:sz="8" w:color="F0FF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20" w:type="dxa"/>
            <w:vAlign w:val="bottom"/>
            <w:tcBorders>
              <w:bottom w:val="single" w:sz="8" w:color="F0FFFF"/>
            </w:tcBorders>
          </w:tcPr>
          <w:p>
            <w:pPr>
              <w:spacing w:after="0"/>
              <w:rPr>
                <w:sz w:val="2"/>
                <w:szCs w:val="2"/>
                <w:color w:val="auto"/>
              </w:rPr>
            </w:pPr>
          </w:p>
        </w:tc>
      </w:tr>
      <w:tr>
        <w:trPr>
          <w:trHeight w:val="244"/>
        </w:trPr>
        <w:tc>
          <w:tcPr>
            <w:tcW w:w="1500" w:type="dxa"/>
            <w:vAlign w:val="bottom"/>
            <w:tcBorders>
              <w:bottom w:val="single" w:sz="8" w:color="F0FFFF"/>
            </w:tcBorders>
            <w:shd w:val="clear" w:color="auto" w:fill="F0FFFF"/>
          </w:tcPr>
          <w:p>
            <w:pPr>
              <w:spacing w:after="0"/>
              <w:rPr>
                <w:sz w:val="21"/>
                <w:szCs w:val="21"/>
                <w:color w:val="auto"/>
              </w:rPr>
            </w:pPr>
          </w:p>
        </w:tc>
        <w:tc>
          <w:tcPr>
            <w:tcW w:w="38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100 basis point increase</w:t>
            </w:r>
          </w:p>
        </w:tc>
        <w:tc>
          <w:tcPr>
            <w:tcW w:w="1020" w:type="dxa"/>
            <w:vAlign w:val="bottom"/>
            <w:tcBorders>
              <w:bottom w:val="single" w:sz="8" w:color="F0FFFF"/>
            </w:tcBorders>
            <w:shd w:val="clear" w:color="auto" w:fill="F0FFFF"/>
          </w:tcPr>
          <w:p>
            <w:pPr>
              <w:ind w:left="420"/>
              <w:spacing w:after="0"/>
              <w:rPr>
                <w:sz w:val="20"/>
                <w:szCs w:val="20"/>
                <w:color w:val="auto"/>
              </w:rPr>
            </w:pPr>
            <w:r>
              <w:rPr>
                <w:rFonts w:ascii="Arial" w:cs="Arial" w:eastAsia="Arial" w:hAnsi="Arial"/>
                <w:sz w:val="18"/>
                <w:szCs w:val="18"/>
                <w:color w:val="auto"/>
                <w:w w:val="91"/>
              </w:rPr>
              <w:t>(0.37)%</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w w:val="95"/>
              </w:rPr>
              <w:t>(0.81)%</w:t>
            </w:r>
          </w:p>
        </w:tc>
        <w:tc>
          <w:tcPr>
            <w:tcW w:w="1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0.11 %</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w w:val="95"/>
              </w:rPr>
              <w:t>(0.33)%</w:t>
            </w:r>
          </w:p>
        </w:tc>
        <w:tc>
          <w:tcPr>
            <w:tcW w:w="1620" w:type="dxa"/>
            <w:vAlign w:val="bottom"/>
            <w:tcBorders>
              <w:bottom w:val="single" w:sz="8" w:color="F0FFFF"/>
            </w:tcBorders>
            <w:shd w:val="clear" w:color="auto" w:fill="F0FF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100 basis point decrease</w:t>
            </w:r>
          </w:p>
        </w:tc>
        <w:tc>
          <w:tcPr>
            <w:tcW w:w="1020" w:type="dxa"/>
            <w:vAlign w:val="bottom"/>
          </w:tcPr>
          <w:p>
            <w:pPr>
              <w:ind w:left="42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(6.24)</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United pays a variable rate (or fixed rate, as the case may be) and receives a fixed rate (or variable rate, as the case may be). In addition, investment securities and wholesale funding strategies are used to manage interest rate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$198,000 will be reclassified as an increase to interest expense over the next twelve months related to these terminated cash flow hedges.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registrant and report of independent registered public accounting firm are included herein on the pages that follow.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8" w:name="page69"/>
    <w:bookmarkEnd w:id="68"/>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19519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46"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has assessed the effectiveness of the internal control over financial reporting as of December 31, 2018. In making this assessment, we used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assessment, management concluded that as of December 31, 2018, United Community Banks, Inc.’s internal control over financial reporting is effective based on those criteria.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accountants have audited the effectiveness of the company’s internal control over financial reporting as stated in their report, which is included in Item 8 of this Annual Report on Form 10-K.</w:t>
      </w:r>
    </w:p>
    <w:p>
      <w:pPr>
        <w:spacing w:after="0" w:line="200" w:lineRule="exact"/>
        <w:rPr>
          <w:sz w:val="20"/>
          <w:szCs w:val="20"/>
          <w:color w:val="auto"/>
        </w:rPr>
      </w:pPr>
    </w:p>
    <w:p>
      <w:pPr>
        <w:spacing w:after="0" w:line="349"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 H. Lynn Harton</w:t>
            </w:r>
          </w:p>
        </w:tc>
        <w:tc>
          <w:tcPr>
            <w:tcW w:w="10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 Jefferson L. Harralson</w:t>
            </w:r>
          </w:p>
        </w:tc>
      </w:tr>
      <w:tr>
        <w:trPr>
          <w:trHeight w:val="27"/>
        </w:trPr>
        <w:tc>
          <w:tcPr>
            <w:tcW w:w="3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H. Lynn Harton</w:t>
            </w:r>
          </w:p>
        </w:tc>
        <w:tc>
          <w:tcPr>
            <w:tcW w:w="10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6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65</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43610"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43610" cy="79756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United Community Banks,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United Community Banks, Inc. and its subsidiaries (the “Company”) as of December 31, 2018 and 2017, and the related consolidated statements of income, of comprehensive income (loss), of changes in shareholders’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Management's assessment and our audit of United Community Banks, Inc.'s internal control over financial reporting also included controls over the preparation of financial statements in accordance with the instructions to the Consolidated Financial Statements for Bank Holding Companies (Form FR Y-9C) to comply with the reporting requirements of Section 112 of the Federal Deposit Insurance Corporation Improvement Act (FDICIA).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ectPr>
          <w:pgSz w:w="11900" w:h="16838" w:orient="portrait"/>
          <w:cols w:equalWidth="0" w:num="1">
            <w:col w:w="11420"/>
          </w:cols>
          <w:pgMar w:left="240" w:top="1440" w:right="239" w:bottom="613"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125"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Interest revenue:</w:t>
            </w:r>
          </w:p>
        </w:tc>
        <w:tc>
          <w:tcPr>
            <w:tcW w:w="32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Loans, including fees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420,383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315,050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268,382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Investment securities: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Taxable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73,496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70,172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63,413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Tax exempt</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4,189</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614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Deposits in banks and short-term investments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2,611</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Total interest revenue</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500,080</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389,720</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335,020</w:t>
            </w: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NOW and interest-bearing demand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1,903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Money market</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12,097</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7,033</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4,982</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Savings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Time</w:t>
            </w:r>
          </w:p>
        </w:tc>
        <w:tc>
          <w:tcPr>
            <w:tcW w:w="32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19,906</w:t>
            </w:r>
          </w:p>
        </w:tc>
        <w:tc>
          <w:tcPr>
            <w:tcW w:w="12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6,529</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3,136</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Total deposit interest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39,543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17,062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10,156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Short-term borrowings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399</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Federal Home Loan Bank advances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3,676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14,330</w:t>
            </w:r>
          </w:p>
        </w:tc>
        <w:tc>
          <w:tcPr>
            <w:tcW w:w="12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10,226</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11,005</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25,236</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Net interest revenue</w:t>
            </w:r>
          </w:p>
        </w:tc>
        <w:tc>
          <w:tcPr>
            <w:tcW w:w="32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438,750</w:t>
            </w:r>
          </w:p>
        </w:tc>
        <w:tc>
          <w:tcPr>
            <w:tcW w:w="12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355,985</w:t>
            </w: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309,784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Provision for (release of) credit losses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Net interest revenue after provision for credit losses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429,250</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352,185</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310,584</w:t>
            </w: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Service charges and fees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35,997</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38,295</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42,113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Mortgage loan and other related fees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19,010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18,320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20,292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Brokerage fees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5,191</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4,633</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4,280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Gains from sales of SBA/USDA loans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9,545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Securities (losses) gains, net</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982</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24,142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16,485</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Total noninterest income</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92,961</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88,260</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93,697</w:t>
            </w:r>
          </w:p>
        </w:tc>
      </w:tr>
      <w:tr>
        <w:trPr>
          <w:trHeight w:val="217"/>
        </w:trPr>
        <w:tc>
          <w:tcPr>
            <w:tcW w:w="7080" w:type="dxa"/>
            <w:vAlign w:val="bottom"/>
          </w:tcPr>
          <w:p>
            <w:pPr>
              <w:ind w:left="500"/>
              <w:spacing w:after="0"/>
              <w:rPr>
                <w:sz w:val="20"/>
                <w:szCs w:val="20"/>
                <w:color w:val="auto"/>
              </w:rPr>
            </w:pPr>
            <w:r>
              <w:rPr>
                <w:rFonts w:ascii="Arial" w:cs="Arial" w:eastAsia="Arial" w:hAnsi="Arial"/>
                <w:sz w:val="16"/>
                <w:szCs w:val="16"/>
                <w:color w:val="auto"/>
              </w:rPr>
              <w:t>Total revenue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522,211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440,445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404,281</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Noninterest expenses: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Salaries and employee benefits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181,015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153,098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138,789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Occupancy</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22,781</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20,344</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19,603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Communications and equipment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21,277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18,355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FDIC assessments and other regulatory charges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8,491</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6,534</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5,866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15,540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11,822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Postage, printing and supplies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6,416</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5,952</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5,382</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Advertising and public relations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4,426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Amortization of intangibles</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6,846</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4,845</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4,182</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Merger-related and other charges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13,901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8,122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32,514</w:t>
            </w:r>
          </w:p>
        </w:tc>
        <w:tc>
          <w:tcPr>
            <w:tcW w:w="12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26,961</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24,742</w:t>
            </w: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rPr>
              <w:t>Total noninterest expenses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306,285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267,611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241,289</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215,926</w:t>
            </w:r>
          </w:p>
        </w:tc>
        <w:tc>
          <w:tcPr>
            <w:tcW w:w="12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172,834</w:t>
            </w: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162,992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49,815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62,336</w:t>
            </w:r>
          </w:p>
        </w:tc>
      </w:tr>
      <w:tr>
        <w:trPr>
          <w:trHeight w:val="33"/>
        </w:trPr>
        <w:tc>
          <w:tcPr>
            <w:tcW w:w="70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166,111</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67,821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100,656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b w:val="1"/>
                <w:bCs w:val="1"/>
                <w:color w:val="auto"/>
              </w:rPr>
              <w:t>Net income available to common shareholders</w:t>
            </w: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164,927</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67,250</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100,635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70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Income per common share:</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79,662</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73,247</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71,910</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79,671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73,259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71,915</w:t>
            </w:r>
          </w:p>
        </w:tc>
      </w:tr>
    </w:tbl>
    <w:p>
      <w:pPr>
        <w:sectPr>
          <w:pgSz w:w="11900" w:h="16838" w:orient="portrait"/>
          <w:cols w:equalWidth="0" w:num="1">
            <w:col w:w="11420"/>
          </w:cols>
          <w:pgMar w:left="240" w:top="580" w:right="239" w:bottom="0" w:gutter="0" w:footer="0" w:header="0"/>
        </w:sectPr>
      </w:pPr>
    </w:p>
    <w:bookmarkStart w:id="72" w:name="page73"/>
    <w:bookmarkEnd w:id="72"/>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3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9019"/>
          </w:cols>
          <w:pgMar w:left="1440" w:top="341" w:right="1440"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31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Before-</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Tax</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Net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Before-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Tax</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Net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Before-</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Tax</w:t>
            </w:r>
          </w:p>
        </w:tc>
        <w:tc>
          <w:tcPr>
            <w:tcW w:w="120" w:type="dxa"/>
            <w:vAlign w:val="bottom"/>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Net of</w:t>
            </w:r>
          </w:p>
        </w:tc>
      </w:tr>
      <w:tr>
        <w:trPr>
          <w:trHeight w:val="216"/>
        </w:trPr>
        <w:tc>
          <w:tcPr>
            <w:tcW w:w="31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tax</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(Expense)</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Tax</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tax</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(Expense)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Tax</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tax</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(Expense)</w:t>
            </w:r>
          </w:p>
        </w:tc>
        <w:tc>
          <w:tcPr>
            <w:tcW w:w="120" w:type="dxa"/>
            <w:vAlign w:val="bottom"/>
          </w:tcPr>
          <w:p>
            <w:pPr>
              <w:spacing w:after="0"/>
              <w:rPr>
                <w:sz w:val="18"/>
                <w:szCs w:val="18"/>
                <w:color w:val="auto"/>
              </w:rPr>
            </w:pPr>
          </w:p>
        </w:tc>
        <w:tc>
          <w:tcPr>
            <w:tcW w:w="7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Tax</w:t>
            </w:r>
          </w:p>
        </w:tc>
      </w:tr>
      <w:tr>
        <w:trPr>
          <w:trHeight w:val="234"/>
        </w:trPr>
        <w:tc>
          <w:tcPr>
            <w:tcW w:w="314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Benefit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Benefit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Benefit</w:t>
            </w: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31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3"/>
              </w:rPr>
              <w:t>$215,926</w:t>
            </w:r>
          </w:p>
        </w:tc>
        <w:tc>
          <w:tcPr>
            <w:tcW w:w="12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0"/>
              </w:rPr>
              <w:t>$ (49,815)</w:t>
            </w:r>
          </w:p>
        </w:tc>
        <w:tc>
          <w:tcPr>
            <w:tcW w:w="12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4"/>
              </w:rPr>
              <w:t>$ 166,111</w:t>
            </w:r>
          </w:p>
        </w:tc>
        <w:tc>
          <w:tcPr>
            <w:tcW w:w="10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3"/>
              </w:rPr>
              <w:t>$172,834</w:t>
            </w:r>
          </w:p>
        </w:tc>
        <w:tc>
          <w:tcPr>
            <w:tcW w:w="1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1"/>
              </w:rPr>
              <w:t>$(105,013)</w:t>
            </w:r>
          </w:p>
        </w:tc>
        <w:tc>
          <w:tcPr>
            <w:tcW w:w="10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6"/>
              </w:rPr>
              <w:t>$ 67,821</w:t>
            </w:r>
          </w:p>
        </w:tc>
        <w:tc>
          <w:tcPr>
            <w:tcW w:w="10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3"/>
              </w:rPr>
              <w:t>$162,992</w:t>
            </w:r>
          </w:p>
        </w:tc>
        <w:tc>
          <w:tcPr>
            <w:tcW w:w="12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0"/>
              </w:rPr>
              <w:t>$ (62,336)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89"/>
              </w:rPr>
              <w:t>100,656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3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w w:val="99"/>
              </w:rPr>
              <w:t>Unrealized (losses) gains on available-</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r>
      <w:tr>
        <w:trPr>
          <w:trHeight w:val="237"/>
        </w:trPr>
        <w:tc>
          <w:tcPr>
            <w:tcW w:w="31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for- sale securities:</w:t>
            </w: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700" w:type="dxa"/>
            <w:vAlign w:val="bottom"/>
            <w:tcBorders>
              <w:bottom w:val="single" w:sz="8" w:color="F0FFFF"/>
            </w:tcBorders>
            <w:shd w:val="clear" w:color="auto" w:fill="F0FFFF"/>
          </w:tcPr>
          <w:p>
            <w:pPr>
              <w:spacing w:after="0"/>
              <w:rPr>
                <w:sz w:val="20"/>
                <w:szCs w:val="20"/>
                <w:color w:val="auto"/>
              </w:rPr>
            </w:pPr>
          </w:p>
        </w:tc>
      </w:tr>
      <w:tr>
        <w:trPr>
          <w:trHeight w:val="229"/>
        </w:trPr>
        <w:tc>
          <w:tcPr>
            <w:tcW w:w="3140" w:type="dxa"/>
            <w:vAlign w:val="bottom"/>
          </w:tcPr>
          <w:p>
            <w:pPr>
              <w:ind w:left="180"/>
              <w:spacing w:after="0"/>
              <w:rPr>
                <w:sz w:val="20"/>
                <w:szCs w:val="20"/>
                <w:color w:val="auto"/>
              </w:rPr>
            </w:pPr>
            <w:r>
              <w:rPr>
                <w:rFonts w:ascii="Arial" w:cs="Arial" w:eastAsia="Arial" w:hAnsi="Arial"/>
                <w:sz w:val="18"/>
                <w:szCs w:val="18"/>
                <w:color w:val="auto"/>
                <w:w w:val="90"/>
              </w:rPr>
              <w:t>Unrealized holding (losses) gains arising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during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(24,990)</w:t>
            </w:r>
          </w:p>
        </w:tc>
        <w:tc>
          <w:tcPr>
            <w:tcW w:w="1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(18,909)</w:t>
            </w:r>
          </w:p>
        </w:tc>
        <w:tc>
          <w:tcPr>
            <w:tcW w:w="1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7"/>
        </w:trPr>
        <w:tc>
          <w:tcPr>
            <w:tcW w:w="3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140" w:type="dxa"/>
            <w:vAlign w:val="bottom"/>
            <w:shd w:val="clear" w:color="auto" w:fill="F0FFFF"/>
          </w:tcPr>
          <w:p>
            <w:pPr>
              <w:ind w:left="180"/>
              <w:spacing w:after="0"/>
              <w:rPr>
                <w:sz w:val="20"/>
                <w:szCs w:val="20"/>
                <w:color w:val="auto"/>
              </w:rPr>
            </w:pPr>
            <w:r>
              <w:rPr>
                <w:rFonts w:ascii="Arial" w:cs="Arial" w:eastAsia="Arial" w:hAnsi="Arial"/>
                <w:sz w:val="18"/>
                <w:szCs w:val="18"/>
                <w:color w:val="auto"/>
                <w:w w:val="97"/>
              </w:rPr>
              <w:t>Reclassification adjustment for losses</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r>
      <w:tr>
        <w:trPr>
          <w:trHeight w:val="257"/>
        </w:trPr>
        <w:tc>
          <w:tcPr>
            <w:tcW w:w="31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(gains) included in net income</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F0FFFF"/>
            </w:tcBorders>
            <w:shd w:val="clear" w:color="auto" w:fill="F0FFFF"/>
          </w:tcPr>
          <w:p>
            <w:pPr>
              <w:spacing w:after="0"/>
              <w:rPr>
                <w:sz w:val="22"/>
                <w:szCs w:val="22"/>
                <w:color w:val="auto"/>
              </w:rPr>
            </w:pPr>
          </w:p>
        </w:tc>
        <w:tc>
          <w:tcPr>
            <w:tcW w:w="8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(611)</w:t>
            </w: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color w:val="auto"/>
              </w:rPr>
              <w:t>Net unrealized (losses) gains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r>
      <w:tr>
        <w:trPr>
          <w:trHeight w:val="27"/>
        </w:trPr>
        <w:tc>
          <w:tcPr>
            <w:tcW w:w="3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rPr>
              <w:t>Amortization of losses included in net</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r>
      <w:tr>
        <w:trPr>
          <w:trHeight w:val="216"/>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rPr>
              <w:t>income on available-for-sale securities</w:t>
            </w: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r>
      <w:tr>
        <w:trPr>
          <w:trHeight w:val="237"/>
        </w:trPr>
        <w:tc>
          <w:tcPr>
            <w:tcW w:w="31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transferred to held to maturity</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7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1,097</w:t>
            </w:r>
          </w:p>
        </w:tc>
      </w:tr>
      <w:tr>
        <w:trPr>
          <w:trHeight w:val="229"/>
        </w:trPr>
        <w:tc>
          <w:tcPr>
            <w:tcW w:w="3140" w:type="dxa"/>
            <w:vAlign w:val="bottom"/>
          </w:tcPr>
          <w:p>
            <w:pPr>
              <w:ind w:left="40"/>
              <w:spacing w:after="0"/>
              <w:rPr>
                <w:sz w:val="20"/>
                <w:szCs w:val="20"/>
                <w:color w:val="auto"/>
              </w:rPr>
            </w:pPr>
            <w:r>
              <w:rPr>
                <w:rFonts w:ascii="Arial" w:cs="Arial" w:eastAsia="Arial" w:hAnsi="Arial"/>
                <w:sz w:val="18"/>
                <w:szCs w:val="18"/>
                <w:color w:val="auto"/>
              </w:rPr>
              <w:t>Amortization of losses included in net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3140" w:type="dxa"/>
            <w:vAlign w:val="bottom"/>
          </w:tcPr>
          <w:p>
            <w:pPr>
              <w:ind w:left="40"/>
              <w:spacing w:after="0"/>
              <w:rPr>
                <w:sz w:val="20"/>
                <w:szCs w:val="20"/>
                <w:color w:val="auto"/>
              </w:rPr>
            </w:pPr>
            <w:r>
              <w:rPr>
                <w:rFonts w:ascii="Arial" w:cs="Arial" w:eastAsia="Arial" w:hAnsi="Arial"/>
                <w:sz w:val="18"/>
                <w:szCs w:val="18"/>
                <w:color w:val="auto"/>
                <w:w w:val="94"/>
              </w:rPr>
              <w:t>income on terminated derivative financial</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140" w:type="dxa"/>
            <w:vAlign w:val="bottom"/>
          </w:tcPr>
          <w:p>
            <w:pPr>
              <w:ind w:left="40"/>
              <w:spacing w:after="0"/>
              <w:rPr>
                <w:sz w:val="20"/>
                <w:szCs w:val="20"/>
                <w:color w:val="auto"/>
              </w:rPr>
            </w:pPr>
            <w:r>
              <w:rPr>
                <w:rFonts w:ascii="Arial" w:cs="Arial" w:eastAsia="Arial" w:hAnsi="Arial"/>
                <w:sz w:val="18"/>
                <w:szCs w:val="18"/>
                <w:color w:val="auto"/>
              </w:rPr>
              <w:t>instruments that were previously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3140" w:type="dxa"/>
            <w:vAlign w:val="bottom"/>
          </w:tcPr>
          <w:p>
            <w:pPr>
              <w:ind w:left="40"/>
              <w:spacing w:after="0"/>
              <w:rPr>
                <w:sz w:val="20"/>
                <w:szCs w:val="20"/>
                <w:color w:val="auto"/>
              </w:rPr>
            </w:pPr>
            <w:r>
              <w:rPr>
                <w:rFonts w:ascii="Arial" w:cs="Arial" w:eastAsia="Arial" w:hAnsi="Arial"/>
                <w:sz w:val="18"/>
                <w:szCs w:val="18"/>
                <w:color w:val="auto"/>
              </w:rPr>
              <w:t>accounted for as cash flow hedges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3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w w:val="99"/>
              </w:rPr>
              <w:t>Reclassification of disproportionate tax</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r>
      <w:tr>
        <w:trPr>
          <w:trHeight w:val="216"/>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w w:val="99"/>
              </w:rPr>
              <w:t>effect related to terminated and current</w:t>
            </w: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r>
      <w:tr>
        <w:trPr>
          <w:trHeight w:val="257"/>
        </w:trPr>
        <w:tc>
          <w:tcPr>
            <w:tcW w:w="31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cash flow hedges</w:t>
            </w:r>
          </w:p>
        </w:tc>
        <w:tc>
          <w:tcPr>
            <w:tcW w:w="9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F0FFFF"/>
            </w:tcBorders>
            <w:shd w:val="clear" w:color="auto" w:fill="F0FFFF"/>
          </w:tcPr>
          <w:p>
            <w:pPr>
              <w:spacing w:after="0"/>
              <w:rPr>
                <w:sz w:val="22"/>
                <w:szCs w:val="22"/>
                <w:color w:val="auto"/>
              </w:rPr>
            </w:pPr>
          </w:p>
        </w:tc>
        <w:tc>
          <w:tcPr>
            <w:tcW w:w="9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2"/>
                <w:szCs w:val="22"/>
                <w:color w:val="auto"/>
              </w:rPr>
            </w:pPr>
          </w:p>
        </w:tc>
        <w:tc>
          <w:tcPr>
            <w:tcW w:w="7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color w:val="auto"/>
              </w:rPr>
              <w:t>Net cash flow hedge activity</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3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w w:val="97"/>
              </w:rPr>
              <w:t>Amendments to defined benefit pension</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r>
      <w:tr>
        <w:trPr>
          <w:trHeight w:val="237"/>
        </w:trPr>
        <w:tc>
          <w:tcPr>
            <w:tcW w:w="31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plans</w:t>
            </w: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7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3140" w:type="dxa"/>
            <w:vAlign w:val="bottom"/>
          </w:tcPr>
          <w:p>
            <w:pPr>
              <w:ind w:left="40"/>
              <w:spacing w:after="0"/>
              <w:rPr>
                <w:sz w:val="20"/>
                <w:szCs w:val="20"/>
                <w:color w:val="auto"/>
              </w:rPr>
            </w:pPr>
            <w:r>
              <w:rPr>
                <w:rFonts w:ascii="Arial" w:cs="Arial" w:eastAsia="Arial" w:hAnsi="Arial"/>
                <w:sz w:val="18"/>
                <w:szCs w:val="18"/>
                <w:color w:val="auto"/>
              </w:rPr>
              <w:t>Net actuarial gain (loss) on defined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140" w:type="dxa"/>
            <w:vAlign w:val="bottom"/>
          </w:tcPr>
          <w:p>
            <w:pPr>
              <w:ind w:left="40"/>
              <w:spacing w:after="0"/>
              <w:rPr>
                <w:sz w:val="20"/>
                <w:szCs w:val="20"/>
                <w:color w:val="auto"/>
              </w:rPr>
            </w:pPr>
            <w:r>
              <w:rPr>
                <w:rFonts w:ascii="Arial" w:cs="Arial" w:eastAsia="Arial" w:hAnsi="Arial"/>
                <w:sz w:val="18"/>
                <w:szCs w:val="18"/>
                <w:color w:val="auto"/>
              </w:rPr>
              <w:t>benefit pension plans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3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rPr>
              <w:t>Amortization of prior service cost</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r>
      <w:tr>
        <w:trPr>
          <w:trHeight w:val="216"/>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rPr>
              <w:t>and actuarial losses included in net</w:t>
            </w: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r>
      <w:tr>
        <w:trPr>
          <w:trHeight w:val="216"/>
        </w:trPr>
        <w:tc>
          <w:tcPr>
            <w:tcW w:w="3140" w:type="dxa"/>
            <w:vAlign w:val="bottom"/>
            <w:shd w:val="clear" w:color="auto" w:fill="F0FFFF"/>
          </w:tcPr>
          <w:p>
            <w:pPr>
              <w:ind w:left="40"/>
              <w:spacing w:after="0"/>
              <w:rPr>
                <w:sz w:val="20"/>
                <w:szCs w:val="20"/>
                <w:color w:val="auto"/>
              </w:rPr>
            </w:pPr>
            <w:r>
              <w:rPr>
                <w:rFonts w:ascii="Arial" w:cs="Arial" w:eastAsia="Arial" w:hAnsi="Arial"/>
                <w:sz w:val="18"/>
                <w:szCs w:val="18"/>
                <w:color w:val="auto"/>
                <w:w w:val="96"/>
              </w:rPr>
              <w:t>periodic pension cost for defined benefit</w:t>
            </w: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r>
      <w:tr>
        <w:trPr>
          <w:trHeight w:val="257"/>
        </w:trPr>
        <w:tc>
          <w:tcPr>
            <w:tcW w:w="31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pension plans</w:t>
            </w: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F0FFFF"/>
            </w:tcBorders>
            <w:shd w:val="clear" w:color="auto" w:fill="F0FFFF"/>
          </w:tcPr>
          <w:p>
            <w:pPr>
              <w:spacing w:after="0"/>
              <w:rPr>
                <w:sz w:val="22"/>
                <w:szCs w:val="22"/>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522</w:t>
            </w: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color w:val="auto"/>
                <w:w w:val="92"/>
              </w:rPr>
              <w:t>Net defined benefit pension plan activity</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31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1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w w:val="90"/>
              </w:rPr>
              <w:t>Total other comprehensive (loss) income</w:t>
            </w: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(21,587)</w:t>
            </w:r>
          </w:p>
        </w:tc>
        <w:tc>
          <w:tcPr>
            <w:tcW w:w="12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F0FFFF"/>
            </w:tcBorders>
            <w:shd w:val="clear" w:color="auto" w:fill="F0FFFF"/>
          </w:tcPr>
          <w:p>
            <w:pPr>
              <w:spacing w:after="0"/>
              <w:rPr>
                <w:sz w:val="22"/>
                <w:szCs w:val="22"/>
                <w:color w:val="auto"/>
              </w:rPr>
            </w:pPr>
          </w:p>
        </w:tc>
        <w:tc>
          <w:tcPr>
            <w:tcW w:w="8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F0FFFF"/>
            </w:tcBorders>
            <w:shd w:val="clear" w:color="auto" w:fill="F0FFFF"/>
          </w:tcPr>
          <w:p>
            <w:pPr>
              <w:spacing w:after="0"/>
              <w:rPr>
                <w:sz w:val="22"/>
                <w:szCs w:val="22"/>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(1,031)</w:t>
            </w:r>
          </w:p>
        </w:tc>
      </w:tr>
      <w:tr>
        <w:trPr>
          <w:trHeight w:val="257"/>
        </w:trPr>
        <w:tc>
          <w:tcPr>
            <w:tcW w:w="314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$194,339</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(44,576)</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$149,763</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$173,039</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$(101,949)</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$ 71,090</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$161,500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(61,875)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99,625</w:t>
            </w:r>
          </w:p>
        </w:tc>
      </w:tr>
      <w:tr>
        <w:trPr>
          <w:trHeight w:val="20"/>
        </w:trPr>
        <w:tc>
          <w:tcPr>
            <w:tcW w:w="3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402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81"/>
              </w:rPr>
              <w:t>Assets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Cash and due from banks</w:t>
            </w:r>
          </w:p>
        </w:tc>
        <w:tc>
          <w:tcPr>
            <w:tcW w:w="340" w:type="dxa"/>
            <w:vAlign w:val="bottom"/>
            <w:tcBorders>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126,083</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129,108</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Interest-bearing deposits in banks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185,167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F0FFFF"/>
            </w:tcBorders>
            <w:gridSpan w:val="5"/>
            <w:shd w:val="clear" w:color="auto" w:fill="F0FF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327,265</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314,275</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Debt securities available-for-sale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2,628,467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2,615,850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Debt securities held-to-maturity (fair value $268,803 and $321,276)</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274,407</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321,094</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Loans held for sale (includes $18,935 and $26,252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32,734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Loans, net of unearned income</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8,383,401</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7,735,572</w:t>
            </w:r>
          </w:p>
        </w:tc>
        <w:tc>
          <w:tcPr>
            <w:tcW w:w="0" w:type="dxa"/>
            <w:vAlign w:val="bottom"/>
          </w:tcPr>
          <w:p>
            <w:pPr>
              <w:spacing w:after="0"/>
              <w:rPr>
                <w:sz w:val="1"/>
                <w:szCs w:val="1"/>
                <w:color w:val="auto"/>
              </w:rPr>
            </w:pPr>
          </w:p>
        </w:tc>
      </w:tr>
      <w:tr>
        <w:trPr>
          <w:trHeight w:val="243"/>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Less allowance for loan losses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(58,914)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F0FFFF"/>
            </w:tcBorders>
            <w:gridSpan w:val="5"/>
            <w:shd w:val="clear" w:color="auto" w:fill="F0FFFF"/>
          </w:tcPr>
          <w:p>
            <w:pPr>
              <w:ind w:left="280"/>
              <w:spacing w:after="0"/>
              <w:rPr>
                <w:sz w:val="20"/>
                <w:szCs w:val="20"/>
                <w:color w:val="auto"/>
              </w:rPr>
            </w:pPr>
            <w:r>
              <w:rPr>
                <w:rFonts w:ascii="Arial" w:cs="Arial" w:eastAsia="Arial" w:hAnsi="Arial"/>
                <w:sz w:val="18"/>
                <w:szCs w:val="18"/>
                <w:color w:val="auto"/>
              </w:rPr>
              <w:t>Loans, net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8,322,198</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7,676,658</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Premises and equipment,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208,852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Bank owned life insurance</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192,616</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188,970</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Accrued interest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32,459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64,224</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88,049</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22,721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Goodwill and other intangible assets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324,072</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244,397</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169,401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F0FFFF"/>
            </w:tcBorders>
            <w:gridSpan w:val="5"/>
            <w:shd w:val="clear" w:color="auto" w:fill="F0FFFF"/>
          </w:tcPr>
          <w:p>
            <w:pPr>
              <w:ind w:left="2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12,573,192</w:t>
            </w:r>
          </w:p>
        </w:tc>
        <w:tc>
          <w:tcPr>
            <w:tcW w:w="100" w:type="dxa"/>
            <w:vAlign w:val="bottom"/>
            <w:tcBorders>
              <w:bottom w:val="single" w:sz="8" w:color="F0FFFF"/>
            </w:tcBorders>
            <w:shd w:val="clear" w:color="auto" w:fill="F0FFFF"/>
          </w:tcPr>
          <w:p>
            <w:pPr>
              <w:spacing w:after="0"/>
              <w:rPr>
                <w:sz w:val="22"/>
                <w:szCs w:val="22"/>
                <w:color w:val="auto"/>
              </w:rPr>
            </w:pPr>
          </w:p>
        </w:tc>
        <w:tc>
          <w:tcPr>
            <w:tcW w:w="34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11,915,460</w:t>
            </w:r>
          </w:p>
        </w:tc>
        <w:tc>
          <w:tcPr>
            <w:tcW w:w="0" w:type="dxa"/>
            <w:vAlign w:val="bottom"/>
          </w:tcPr>
          <w:p>
            <w:pPr>
              <w:spacing w:after="0"/>
              <w:rPr>
                <w:sz w:val="1"/>
                <w:szCs w:val="1"/>
                <w:color w:val="auto"/>
              </w:rPr>
            </w:pPr>
          </w:p>
        </w:tc>
      </w:tr>
      <w:tr>
        <w:trPr>
          <w:trHeight w:val="20"/>
        </w:trPr>
        <w:tc>
          <w:tcPr>
            <w:tcW w:w="8340" w:type="dxa"/>
            <w:vAlign w:val="bottom"/>
            <w:gridSpan w:val="5"/>
            <w:vMerge w:val="restart"/>
          </w:tcPr>
          <w:p>
            <w:pPr>
              <w:jc w:val="center"/>
              <w:ind w:left="3010"/>
              <w:spacing w:after="0" w:line="202" w:lineRule="exact"/>
              <w:rPr>
                <w:sz w:val="20"/>
                <w:szCs w:val="20"/>
                <w:color w:val="auto"/>
              </w:rPr>
            </w:pPr>
            <w:r>
              <w:rPr>
                <w:rFonts w:ascii="Arial" w:cs="Arial" w:eastAsia="Arial" w:hAnsi="Arial"/>
                <w:sz w:val="18"/>
                <w:szCs w:val="18"/>
                <w:b w:val="1"/>
                <w:bCs w:val="1"/>
                <w:color w:val="auto"/>
                <w:w w:val="91"/>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3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Deposits: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180"/>
              <w:spacing w:after="0"/>
              <w:rPr>
                <w:sz w:val="20"/>
                <w:szCs w:val="20"/>
                <w:color w:val="auto"/>
              </w:rPr>
            </w:pPr>
            <w:r>
              <w:rPr>
                <w:rFonts w:ascii="Arial" w:cs="Arial" w:eastAsia="Arial" w:hAnsi="Arial"/>
                <w:sz w:val="18"/>
                <w:szCs w:val="18"/>
                <w:color w:val="auto"/>
              </w:rPr>
              <w:t>Noninterest-bearing demand</w:t>
            </w:r>
          </w:p>
        </w:tc>
        <w:tc>
          <w:tcPr>
            <w:tcW w:w="340" w:type="dxa"/>
            <w:vAlign w:val="bottom"/>
            <w:tcBorders>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3,210,220</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3,087,797</w:t>
            </w:r>
          </w:p>
        </w:tc>
        <w:tc>
          <w:tcPr>
            <w:tcW w:w="0" w:type="dxa"/>
            <w:vAlign w:val="bottom"/>
          </w:tcPr>
          <w:p>
            <w:pPr>
              <w:spacing w:after="0"/>
              <w:rPr>
                <w:sz w:val="1"/>
                <w:szCs w:val="1"/>
                <w:color w:val="auto"/>
              </w:rPr>
            </w:pPr>
          </w:p>
        </w:tc>
      </w:tr>
      <w:tr>
        <w:trPr>
          <w:trHeight w:val="243"/>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NOW and interest-bearing demand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2,274,775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2,131,939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180"/>
              <w:spacing w:after="0"/>
              <w:rPr>
                <w:sz w:val="20"/>
                <w:szCs w:val="20"/>
                <w:color w:val="auto"/>
              </w:rPr>
            </w:pPr>
            <w:r>
              <w:rPr>
                <w:rFonts w:ascii="Arial" w:cs="Arial" w:eastAsia="Arial" w:hAnsi="Arial"/>
                <w:sz w:val="18"/>
                <w:szCs w:val="18"/>
                <w:color w:val="auto"/>
              </w:rPr>
              <w:t>Money market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2,097,526</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2,016,748</w:t>
            </w:r>
          </w:p>
        </w:tc>
        <w:tc>
          <w:tcPr>
            <w:tcW w:w="0" w:type="dxa"/>
            <w:vAlign w:val="bottom"/>
          </w:tcPr>
          <w:p>
            <w:pPr>
              <w:spacing w:after="0"/>
              <w:rPr>
                <w:sz w:val="1"/>
                <w:szCs w:val="1"/>
                <w:color w:val="auto"/>
              </w:rPr>
            </w:pPr>
          </w:p>
        </w:tc>
      </w:tr>
      <w:tr>
        <w:trPr>
          <w:trHeight w:val="243"/>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Savings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669,886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651,742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180"/>
              <w:spacing w:after="0"/>
              <w:rPr>
                <w:sz w:val="20"/>
                <w:szCs w:val="20"/>
                <w:color w:val="auto"/>
              </w:rPr>
            </w:pPr>
            <w:r>
              <w:rPr>
                <w:rFonts w:ascii="Arial" w:cs="Arial" w:eastAsia="Arial" w:hAnsi="Arial"/>
                <w:sz w:val="18"/>
                <w:szCs w:val="18"/>
                <w:color w:val="auto"/>
              </w:rPr>
              <w:t>Time</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1,598,391</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1,548,460</w:t>
            </w:r>
          </w:p>
        </w:tc>
        <w:tc>
          <w:tcPr>
            <w:tcW w:w="0" w:type="dxa"/>
            <w:vAlign w:val="bottom"/>
          </w:tcPr>
          <w:p>
            <w:pPr>
              <w:spacing w:after="0"/>
              <w:rPr>
                <w:sz w:val="1"/>
                <w:szCs w:val="1"/>
                <w:color w:val="auto"/>
              </w:rPr>
            </w:pPr>
          </w:p>
        </w:tc>
      </w:tr>
      <w:tr>
        <w:trPr>
          <w:trHeight w:val="243"/>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Brokered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683,715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371,011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F0FFFF"/>
            </w:tcBorders>
            <w:gridSpan w:val="5"/>
            <w:shd w:val="clear" w:color="auto" w:fill="F0FFFF"/>
          </w:tcPr>
          <w:p>
            <w:pPr>
              <w:ind w:left="280"/>
              <w:spacing w:after="0"/>
              <w:rPr>
                <w:sz w:val="20"/>
                <w:szCs w:val="20"/>
                <w:color w:val="auto"/>
              </w:rPr>
            </w:pPr>
            <w:r>
              <w:rPr>
                <w:rFonts w:ascii="Arial" w:cs="Arial" w:eastAsia="Arial" w:hAnsi="Arial"/>
                <w:sz w:val="18"/>
                <w:szCs w:val="18"/>
                <w:color w:val="auto"/>
              </w:rPr>
              <w:t>Total deposits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10,534,513</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9,807,697</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Federal Home Loan Bank advances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160,000</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504,651</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120,545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26,433</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103,857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F0FFFF"/>
            </w:tcBorders>
            <w:gridSpan w:val="5"/>
            <w:shd w:val="clear" w:color="auto" w:fill="F0FFFF"/>
          </w:tcPr>
          <w:p>
            <w:pPr>
              <w:ind w:left="28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11,115,638</w:t>
            </w:r>
          </w:p>
        </w:tc>
        <w:tc>
          <w:tcPr>
            <w:tcW w:w="100" w:type="dxa"/>
            <w:vAlign w:val="bottom"/>
            <w:tcBorders>
              <w:bottom w:val="single" w:sz="8" w:color="F0FFFF"/>
            </w:tcBorders>
            <w:shd w:val="clear" w:color="auto" w:fill="F0FFFF"/>
          </w:tcPr>
          <w:p>
            <w:pPr>
              <w:spacing w:after="0"/>
              <w:rPr>
                <w:sz w:val="22"/>
                <w:szCs w:val="22"/>
                <w:color w:val="auto"/>
              </w:rPr>
            </w:pPr>
          </w:p>
        </w:tc>
        <w:tc>
          <w:tcPr>
            <w:tcW w:w="34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10,612,126</w:t>
            </w:r>
          </w:p>
        </w:tc>
        <w:tc>
          <w:tcPr>
            <w:tcW w:w="0" w:type="dxa"/>
            <w:vAlign w:val="bottom"/>
          </w:tcPr>
          <w:p>
            <w:pPr>
              <w:spacing w:after="0"/>
              <w:rPr>
                <w:sz w:val="1"/>
                <w:szCs w:val="1"/>
                <w:color w:val="auto"/>
              </w:rPr>
            </w:pPr>
          </w:p>
        </w:tc>
      </w:tr>
      <w:tr>
        <w:trPr>
          <w:trHeight w:val="277"/>
        </w:trPr>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Common stock, $1 par value; 150,000,000 shares authorized;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5"/>
          </w:tcPr>
          <w:p>
            <w:pPr>
              <w:ind w:left="360"/>
              <w:spacing w:after="0"/>
              <w:rPr>
                <w:sz w:val="20"/>
                <w:szCs w:val="20"/>
                <w:color w:val="auto"/>
              </w:rPr>
            </w:pPr>
            <w:r>
              <w:rPr>
                <w:rFonts w:ascii="Arial" w:cs="Arial" w:eastAsia="Arial" w:hAnsi="Arial"/>
                <w:sz w:val="18"/>
                <w:szCs w:val="18"/>
                <w:color w:val="auto"/>
              </w:rPr>
              <w:t>79,234,077 and 77,579,561 shares issued and outstanding</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79,234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180"/>
              <w:spacing w:after="0"/>
              <w:rPr>
                <w:sz w:val="20"/>
                <w:szCs w:val="20"/>
                <w:color w:val="auto"/>
              </w:rPr>
            </w:pPr>
            <w:r>
              <w:rPr>
                <w:rFonts w:ascii="Arial" w:cs="Arial" w:eastAsia="Arial" w:hAnsi="Arial"/>
                <w:sz w:val="18"/>
                <w:szCs w:val="18"/>
                <w:color w:val="auto"/>
              </w:rPr>
              <w:t>Common stock issuable; 674,499 and 607,869 shares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43"/>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Capital surplus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1,499,584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1,451,814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gridSpan w:val="5"/>
            <w:shd w:val="clear" w:color="auto" w:fill="F0FFFF"/>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(90,419)</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(209,902)</w:t>
            </w:r>
          </w:p>
        </w:tc>
        <w:tc>
          <w:tcPr>
            <w:tcW w:w="0" w:type="dxa"/>
            <w:vAlign w:val="bottom"/>
          </w:tcPr>
          <w:p>
            <w:pPr>
              <w:spacing w:after="0"/>
              <w:rPr>
                <w:sz w:val="1"/>
                <w:szCs w:val="1"/>
                <w:color w:val="auto"/>
              </w:rPr>
            </w:pPr>
          </w:p>
        </w:tc>
      </w:tr>
      <w:tr>
        <w:trPr>
          <w:trHeight w:val="243"/>
        </w:trPr>
        <w:tc>
          <w:tcPr>
            <w:tcW w:w="8340" w:type="dxa"/>
            <w:vAlign w:val="bottom"/>
            <w:gridSpan w:val="5"/>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116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F0FFFF"/>
            </w:tcBorders>
            <w:gridSpan w:val="5"/>
            <w:shd w:val="clear" w:color="auto" w:fill="F0FFFF"/>
          </w:tcPr>
          <w:p>
            <w:pPr>
              <w:ind w:left="28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1,457,554</w:t>
            </w:r>
          </w:p>
        </w:tc>
        <w:tc>
          <w:tcPr>
            <w:tcW w:w="100" w:type="dxa"/>
            <w:vAlign w:val="bottom"/>
            <w:tcBorders>
              <w:bottom w:val="single" w:sz="8" w:color="F0FFFF"/>
            </w:tcBorders>
            <w:shd w:val="clear" w:color="auto" w:fill="F0FFFF"/>
          </w:tcPr>
          <w:p>
            <w:pPr>
              <w:spacing w:after="0"/>
              <w:rPr>
                <w:sz w:val="22"/>
                <w:szCs w:val="22"/>
                <w:color w:val="auto"/>
              </w:rPr>
            </w:pPr>
          </w:p>
        </w:tc>
        <w:tc>
          <w:tcPr>
            <w:tcW w:w="34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1,303,334</w:t>
            </w:r>
          </w:p>
        </w:tc>
        <w:tc>
          <w:tcPr>
            <w:tcW w:w="0" w:type="dxa"/>
            <w:vAlign w:val="bottom"/>
          </w:tcPr>
          <w:p>
            <w:pPr>
              <w:spacing w:after="0"/>
              <w:rPr>
                <w:sz w:val="1"/>
                <w:szCs w:val="1"/>
                <w:color w:val="auto"/>
              </w:rPr>
            </w:pPr>
          </w:p>
        </w:tc>
      </w:tr>
      <w:tr>
        <w:trPr>
          <w:trHeight w:val="257"/>
        </w:trPr>
        <w:tc>
          <w:tcPr>
            <w:tcW w:w="8340" w:type="dxa"/>
            <w:vAlign w:val="bottom"/>
            <w:gridSpan w:val="5"/>
          </w:tcPr>
          <w:p>
            <w:pPr>
              <w:ind w:left="28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12,573,192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11,915,460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98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80" w:right="239" w:bottom="987"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Series H</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Non-Voting</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Retained Earnings</w:t>
            </w:r>
          </w:p>
        </w:tc>
        <w:tc>
          <w:tcPr>
            <w:tcW w:w="13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Accumulated 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(Accumulated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Issuable</w:t>
            </w: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Surplus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Deficit)</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(Loss) Income</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57"/>
        </w:trPr>
        <w:tc>
          <w:tcPr>
            <w:tcW w:w="334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3"/>
                <w:szCs w:val="13"/>
                <w:b w:val="1"/>
                <w:bCs w:val="1"/>
                <w:color w:val="auto"/>
              </w:rPr>
              <w:t>Balance, December 31, 2015</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9,992</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66,198</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5,286</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F0FFFF"/>
          </w:tcPr>
          <w:p>
            <w:pPr>
              <w:jc w:val="right"/>
              <w:ind w:right="37"/>
              <w:spacing w:after="0"/>
              <w:rPr>
                <w:sz w:val="20"/>
                <w:szCs w:val="20"/>
                <w:color w:val="auto"/>
              </w:rPr>
            </w:pPr>
            <w:r>
              <w:rPr>
                <w:rFonts w:ascii="Arial" w:cs="Arial" w:eastAsia="Arial" w:hAnsi="Arial"/>
                <w:sz w:val="13"/>
                <w:szCs w:val="13"/>
                <w:color w:val="auto"/>
              </w:rPr>
              <w:t>6,779</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F0FFFF"/>
          </w:tcPr>
          <w:p>
            <w:pPr>
              <w:jc w:val="right"/>
              <w:ind w:right="37"/>
              <w:spacing w:after="0"/>
              <w:rPr>
                <w:sz w:val="20"/>
                <w:szCs w:val="20"/>
                <w:color w:val="auto"/>
              </w:rPr>
            </w:pPr>
            <w:r>
              <w:rPr>
                <w:rFonts w:ascii="Arial" w:cs="Arial" w:eastAsia="Arial" w:hAnsi="Arial"/>
                <w:sz w:val="13"/>
                <w:szCs w:val="13"/>
                <w:color w:val="auto"/>
                <w:w w:val="93"/>
              </w:rPr>
              <w:t>1,286,361</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F0FFFF"/>
          </w:tcPr>
          <w:p>
            <w:pPr>
              <w:jc w:val="right"/>
              <w:ind w:right="17"/>
              <w:spacing w:after="0"/>
              <w:rPr>
                <w:sz w:val="20"/>
                <w:szCs w:val="20"/>
                <w:color w:val="auto"/>
              </w:rPr>
            </w:pPr>
            <w:r>
              <w:rPr>
                <w:rFonts w:ascii="Arial" w:cs="Arial" w:eastAsia="Arial" w:hAnsi="Arial"/>
                <w:sz w:val="13"/>
                <w:szCs w:val="13"/>
                <w:color w:val="auto"/>
              </w:rPr>
              <w:t>(330,879)</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(25,452)</w:t>
            </w:r>
          </w:p>
        </w:tc>
        <w:tc>
          <w:tcPr>
            <w:tcW w:w="100" w:type="dxa"/>
            <w:vAlign w:val="bottom"/>
            <w:tcBorders>
              <w:top w:val="single" w:sz="8" w:color="F0FFFF"/>
            </w:tcBorders>
            <w:shd w:val="clear" w:color="auto" w:fill="F0FFFF"/>
          </w:tcPr>
          <w:p>
            <w:pPr>
              <w:spacing w:after="0"/>
              <w:rPr>
                <w:sz w:val="22"/>
                <w:szCs w:val="22"/>
                <w:color w:val="auto"/>
              </w:rPr>
            </w:pPr>
          </w:p>
        </w:tc>
        <w:tc>
          <w:tcPr>
            <w:tcW w:w="200" w:type="dxa"/>
            <w:vAlign w:val="bottom"/>
            <w:tcBorders>
              <w:top w:val="single" w:sz="8" w:color="auto"/>
            </w:tcBorders>
            <w:shd w:val="clear" w:color="auto" w:fill="F0FF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F0FFFF"/>
          </w:tcPr>
          <w:p>
            <w:pPr>
              <w:jc w:val="right"/>
              <w:ind w:right="37"/>
              <w:spacing w:after="0"/>
              <w:rPr>
                <w:sz w:val="20"/>
                <w:szCs w:val="20"/>
                <w:color w:val="auto"/>
              </w:rPr>
            </w:pPr>
            <w:r>
              <w:rPr>
                <w:rFonts w:ascii="Arial" w:cs="Arial" w:eastAsia="Arial" w:hAnsi="Arial"/>
                <w:sz w:val="13"/>
                <w:szCs w:val="13"/>
                <w:color w:val="auto"/>
              </w:rPr>
              <w:t>1,018,285</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100,656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100,656</w:t>
            </w:r>
          </w:p>
        </w:tc>
      </w:tr>
      <w:tr>
        <w:trPr>
          <w:trHeight w:val="278"/>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(1,031)</w:t>
            </w: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(1,031)</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Common stock issued to Dividend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3340" w:type="dxa"/>
            <w:vAlign w:val="bottom"/>
          </w:tcPr>
          <w:p>
            <w:pPr>
              <w:ind w:left="120"/>
              <w:spacing w:after="0" w:line="135" w:lineRule="exact"/>
              <w:rPr>
                <w:sz w:val="20"/>
                <w:szCs w:val="20"/>
                <w:color w:val="auto"/>
              </w:rPr>
            </w:pPr>
            <w:r>
              <w:rPr>
                <w:rFonts w:ascii="Arial" w:cs="Arial" w:eastAsia="Arial" w:hAnsi="Arial"/>
                <w:sz w:val="13"/>
                <w:szCs w:val="13"/>
                <w:color w:val="auto"/>
              </w:rPr>
              <w:t>Reinvestment Plan and employee benefit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3340" w:type="dxa"/>
            <w:vAlign w:val="bottom"/>
          </w:tcPr>
          <w:p>
            <w:pPr>
              <w:ind w:left="120"/>
              <w:spacing w:after="0"/>
              <w:rPr>
                <w:sz w:val="20"/>
                <w:szCs w:val="20"/>
                <w:color w:val="auto"/>
              </w:rPr>
            </w:pPr>
            <w:r>
              <w:rPr>
                <w:rFonts w:ascii="Arial" w:cs="Arial" w:eastAsia="Arial" w:hAnsi="Arial"/>
                <w:sz w:val="13"/>
                <w:szCs w:val="13"/>
                <w:color w:val="auto"/>
              </w:rPr>
              <w:t>plans (20,500 common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366</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Conversion of non-voting common stock to</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voting common stock (5,285,516 shares)</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5,286</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jc w:val="right"/>
              <w:ind w:right="17"/>
              <w:spacing w:after="0"/>
              <w:rPr>
                <w:sz w:val="20"/>
                <w:szCs w:val="20"/>
                <w:color w:val="auto"/>
              </w:rPr>
            </w:pPr>
            <w:r>
              <w:rPr>
                <w:rFonts w:ascii="Arial" w:cs="Arial" w:eastAsia="Arial" w:hAnsi="Arial"/>
                <w:sz w:val="13"/>
                <w:szCs w:val="13"/>
                <w:color w:val="auto"/>
              </w:rPr>
              <w:t>(5,286)</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Redemption of Series H preferred stock (9,992</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(9,992)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(9,992)</w:t>
            </w:r>
          </w:p>
        </w:tc>
      </w:tr>
      <w:tr>
        <w:trPr>
          <w:trHeight w:val="278"/>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Purchases of common stock (764,000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7"/>
              <w:spacing w:after="0"/>
              <w:rPr>
                <w:sz w:val="20"/>
                <w:szCs w:val="20"/>
                <w:color w:val="auto"/>
              </w:rPr>
            </w:pPr>
            <w:r>
              <w:rPr>
                <w:rFonts w:ascii="Arial" w:cs="Arial" w:eastAsia="Arial" w:hAnsi="Arial"/>
                <w:sz w:val="13"/>
                <w:szCs w:val="13"/>
                <w:color w:val="auto"/>
              </w:rPr>
              <w:t>(764)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(12,895)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(13,659)</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Amortization of stock options and restricted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4,496</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Vesting of restricted stock awards, net of</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35"/>
        </w:trPr>
        <w:tc>
          <w:tcPr>
            <w:tcW w:w="3340" w:type="dxa"/>
            <w:vAlign w:val="bottom"/>
            <w:shd w:val="clear" w:color="auto" w:fill="F0FFFF"/>
          </w:tcPr>
          <w:p>
            <w:pPr>
              <w:ind w:left="200"/>
              <w:spacing w:after="0" w:line="135" w:lineRule="exact"/>
              <w:rPr>
                <w:sz w:val="20"/>
                <w:szCs w:val="20"/>
                <w:color w:val="auto"/>
              </w:rPr>
            </w:pPr>
            <w:r>
              <w:rPr>
                <w:rFonts w:ascii="Arial" w:cs="Arial" w:eastAsia="Arial" w:hAnsi="Arial"/>
                <w:sz w:val="13"/>
                <w:szCs w:val="13"/>
                <w:color w:val="auto"/>
              </w:rPr>
              <w:t>shares surrendered to cover payroll taxes</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r>
      <w:tr>
        <w:trPr>
          <w:trHeight w:val="135"/>
        </w:trPr>
        <w:tc>
          <w:tcPr>
            <w:tcW w:w="3340" w:type="dxa"/>
            <w:vAlign w:val="bottom"/>
            <w:shd w:val="clear" w:color="auto" w:fill="F0FFFF"/>
          </w:tcPr>
          <w:p>
            <w:pPr>
              <w:ind w:left="200"/>
              <w:spacing w:after="0" w:line="135" w:lineRule="exact"/>
              <w:rPr>
                <w:sz w:val="20"/>
                <w:szCs w:val="20"/>
                <w:color w:val="auto"/>
              </w:rPr>
            </w:pPr>
            <w:r>
              <w:rPr>
                <w:rFonts w:ascii="Arial" w:cs="Arial" w:eastAsia="Arial" w:hAnsi="Arial"/>
                <w:sz w:val="13"/>
                <w:szCs w:val="13"/>
                <w:color w:val="auto"/>
              </w:rPr>
              <w:t>(96,722 common shares issued, 106,771</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r>
      <w:tr>
        <w:trPr>
          <w:trHeight w:val="176"/>
        </w:trPr>
        <w:tc>
          <w:tcPr>
            <w:tcW w:w="3340" w:type="dxa"/>
            <w:vAlign w:val="bottom"/>
            <w:shd w:val="clear" w:color="auto" w:fill="F0FFFF"/>
          </w:tcPr>
          <w:p>
            <w:pPr>
              <w:ind w:left="200"/>
              <w:spacing w:after="0"/>
              <w:rPr>
                <w:sz w:val="20"/>
                <w:szCs w:val="20"/>
                <w:color w:val="auto"/>
              </w:rPr>
            </w:pPr>
            <w:r>
              <w:rPr>
                <w:rFonts w:ascii="Arial" w:cs="Arial" w:eastAsia="Arial" w:hAnsi="Arial"/>
                <w:sz w:val="13"/>
                <w:szCs w:val="13"/>
                <w:color w:val="auto"/>
              </w:rPr>
              <w:t>common shares deferred)</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1,597</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(2,883)</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(1,189)</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Deferred compensation plan, net, including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dividend equivalents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385</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Shares issued from deferred compensation</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plan (61,899 shares)</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(1,434)</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1,372</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Common stock dividends ($0.30 per share)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(21,613)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(21,613)</w:t>
            </w:r>
          </w:p>
        </w:tc>
      </w:tr>
      <w:tr>
        <w:trPr>
          <w:trHeight w:val="278"/>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Tax on option exercise and restricted stock vesting</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(948)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(948)</w:t>
            </w:r>
          </w:p>
        </w:tc>
      </w:tr>
      <w:tr>
        <w:trPr>
          <w:trHeight w:val="264"/>
        </w:trPr>
        <w:tc>
          <w:tcPr>
            <w:tcW w:w="3340" w:type="dxa"/>
            <w:vAlign w:val="bottom"/>
            <w:tcBorders>
              <w:bottom w:val="single" w:sz="8" w:color="F0FFFF"/>
            </w:tcBorders>
          </w:tcPr>
          <w:p>
            <w:pPr>
              <w:ind w:left="40"/>
              <w:spacing w:after="0"/>
              <w:rPr>
                <w:sz w:val="20"/>
                <w:szCs w:val="20"/>
                <w:color w:val="auto"/>
              </w:rPr>
            </w:pPr>
            <w:r>
              <w:rPr>
                <w:rFonts w:ascii="Arial" w:cs="Arial" w:eastAsia="Arial" w:hAnsi="Arial"/>
                <w:sz w:val="13"/>
                <w:szCs w:val="13"/>
                <w:color w:val="auto"/>
              </w:rPr>
              <w:t>Preferred stock dividends, Series H</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257"/>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b w:val="1"/>
                <w:bCs w:val="1"/>
                <w:color w:val="auto"/>
              </w:rPr>
              <w:t>Balance, December 31, 2016</w:t>
            </w:r>
          </w:p>
        </w:tc>
        <w:tc>
          <w:tcPr>
            <w:tcW w:w="120" w:type="dxa"/>
            <w:vAlign w:val="bottom"/>
            <w:shd w:val="clear" w:color="auto" w:fill="F0FFFF"/>
          </w:tcPr>
          <w:p>
            <w:pPr>
              <w:spacing w:after="0"/>
              <w:rPr>
                <w:sz w:val="22"/>
                <w:szCs w:val="22"/>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70,899</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22"/>
                <w:szCs w:val="22"/>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7,327</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w w:val="93"/>
              </w:rPr>
              <w:t>1,275,849</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00" w:type="dxa"/>
            <w:vAlign w:val="bottom"/>
            <w:shd w:val="clear" w:color="auto" w:fill="F0FFFF"/>
          </w:tcPr>
          <w:p>
            <w:pPr>
              <w:jc w:val="right"/>
              <w:ind w:right="17"/>
              <w:spacing w:after="0"/>
              <w:rPr>
                <w:sz w:val="20"/>
                <w:szCs w:val="20"/>
                <w:color w:val="auto"/>
              </w:rPr>
            </w:pPr>
            <w:r>
              <w:rPr>
                <w:rFonts w:ascii="Arial" w:cs="Arial" w:eastAsia="Arial" w:hAnsi="Arial"/>
                <w:sz w:val="13"/>
                <w:szCs w:val="13"/>
                <w:color w:val="auto"/>
              </w:rPr>
              <w:t>(251,857)</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(26,483)</w:t>
            </w:r>
          </w:p>
        </w:tc>
        <w:tc>
          <w:tcPr>
            <w:tcW w:w="10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1,075,735</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67,821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67,821</w:t>
            </w:r>
          </w:p>
        </w:tc>
      </w:tr>
      <w:tr>
        <w:trPr>
          <w:trHeight w:val="278"/>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1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3,269</w:t>
            </w: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3,269</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Common stock issued to Dividend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3340" w:type="dxa"/>
            <w:vAlign w:val="bottom"/>
          </w:tcPr>
          <w:p>
            <w:pPr>
              <w:ind w:left="160"/>
              <w:spacing w:after="0" w:line="135" w:lineRule="exact"/>
              <w:rPr>
                <w:sz w:val="20"/>
                <w:szCs w:val="20"/>
                <w:color w:val="auto"/>
              </w:rPr>
            </w:pPr>
            <w:r>
              <w:rPr>
                <w:rFonts w:ascii="Arial" w:cs="Arial" w:eastAsia="Arial" w:hAnsi="Arial"/>
                <w:sz w:val="13"/>
                <w:szCs w:val="13"/>
                <w:color w:val="auto"/>
              </w:rPr>
              <w:t>Reinvestment Plan and employee benefit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plans (17,826 common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450</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Common stock issued for acquisitions</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(6,515,505 common shares)</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6,516</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172,949</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179,465</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Amortization of stock options and restricted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5,827</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Vesting of restricted stock awards, net of</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35"/>
        </w:trPr>
        <w:tc>
          <w:tcPr>
            <w:tcW w:w="3340" w:type="dxa"/>
            <w:vAlign w:val="bottom"/>
            <w:shd w:val="clear" w:color="auto" w:fill="F0FFFF"/>
          </w:tcPr>
          <w:p>
            <w:pPr>
              <w:ind w:left="160"/>
              <w:spacing w:after="0" w:line="135" w:lineRule="exact"/>
              <w:rPr>
                <w:sz w:val="20"/>
                <w:szCs w:val="20"/>
                <w:color w:val="auto"/>
              </w:rPr>
            </w:pPr>
            <w:r>
              <w:rPr>
                <w:rFonts w:ascii="Arial" w:cs="Arial" w:eastAsia="Arial" w:hAnsi="Arial"/>
                <w:sz w:val="13"/>
                <w:szCs w:val="13"/>
                <w:color w:val="auto"/>
              </w:rPr>
              <w:t>shares surrendered to cover payroll taxes</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r>
      <w:tr>
        <w:trPr>
          <w:trHeight w:val="135"/>
        </w:trPr>
        <w:tc>
          <w:tcPr>
            <w:tcW w:w="3340" w:type="dxa"/>
            <w:vAlign w:val="bottom"/>
            <w:shd w:val="clear" w:color="auto" w:fill="F0FFFF"/>
          </w:tcPr>
          <w:p>
            <w:pPr>
              <w:ind w:left="160"/>
              <w:spacing w:after="0" w:line="135" w:lineRule="exact"/>
              <w:rPr>
                <w:sz w:val="20"/>
                <w:szCs w:val="20"/>
                <w:color w:val="auto"/>
              </w:rPr>
            </w:pPr>
            <w:r>
              <w:rPr>
                <w:rFonts w:ascii="Arial" w:cs="Arial" w:eastAsia="Arial" w:hAnsi="Arial"/>
                <w:sz w:val="13"/>
                <w:szCs w:val="13"/>
                <w:color w:val="auto"/>
              </w:rPr>
              <w:t>(114,837 common shares issued, 111,090</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common shares deferred)</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1,763</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(3,472)</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(1,594)</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Deferred compensation plan, net, including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dividend equivalents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361</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Shares issued from deferred compensation</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plan (32,279 shares)</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(107)</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Common stock dividends ($0.38 per share)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(28,330)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(28,330)</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Reclassification of disproportionate tax effects</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35"/>
        </w:trPr>
        <w:tc>
          <w:tcPr>
            <w:tcW w:w="3340" w:type="dxa"/>
            <w:vAlign w:val="bottom"/>
            <w:shd w:val="clear" w:color="auto" w:fill="F0FFFF"/>
          </w:tcPr>
          <w:p>
            <w:pPr>
              <w:ind w:left="160"/>
              <w:spacing w:after="0" w:line="135" w:lineRule="exact"/>
              <w:rPr>
                <w:sz w:val="20"/>
                <w:szCs w:val="20"/>
                <w:color w:val="auto"/>
              </w:rPr>
            </w:pPr>
            <w:r>
              <w:rPr>
                <w:rFonts w:ascii="Arial" w:cs="Arial" w:eastAsia="Arial" w:hAnsi="Arial"/>
                <w:sz w:val="13"/>
                <w:szCs w:val="13"/>
                <w:color w:val="auto"/>
              </w:rPr>
              <w:t>resulting from the Tax Cuts and Jobs Act of</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2017 pursuant to ASU 2018-02</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2,027</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(2,027)</w:t>
            </w: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3340" w:type="dxa"/>
            <w:vAlign w:val="bottom"/>
            <w:tcBorders>
              <w:bottom w:val="single" w:sz="8" w:color="F0FFFF"/>
            </w:tcBorders>
          </w:tcPr>
          <w:p>
            <w:pPr>
              <w:ind w:left="40"/>
              <w:spacing w:after="0"/>
              <w:rPr>
                <w:sz w:val="20"/>
                <w:szCs w:val="20"/>
                <w:color w:val="auto"/>
              </w:rPr>
            </w:pPr>
            <w:r>
              <w:rPr>
                <w:rFonts w:ascii="Arial" w:cs="Arial" w:eastAsia="Arial" w:hAnsi="Arial"/>
                <w:sz w:val="13"/>
                <w:szCs w:val="13"/>
                <w:color w:val="auto"/>
              </w:rPr>
              <w:t>Cumulative effect of change in accounting principle</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437</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437</w:t>
            </w:r>
          </w:p>
        </w:tc>
      </w:tr>
      <w:tr>
        <w:trPr>
          <w:trHeight w:val="257"/>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b w:val="1"/>
                <w:bCs w:val="1"/>
                <w:color w:val="auto"/>
              </w:rPr>
              <w:t>Balance, December 31, 2017</w:t>
            </w:r>
          </w:p>
        </w:tc>
        <w:tc>
          <w:tcPr>
            <w:tcW w:w="120" w:type="dxa"/>
            <w:vAlign w:val="bottom"/>
            <w:shd w:val="clear" w:color="auto" w:fill="F0FFFF"/>
          </w:tcPr>
          <w:p>
            <w:pPr>
              <w:spacing w:after="0"/>
              <w:rPr>
                <w:sz w:val="22"/>
                <w:szCs w:val="22"/>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77,580</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22"/>
                <w:szCs w:val="22"/>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9,083</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w w:val="93"/>
              </w:rPr>
              <w:t>1,451,814</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00" w:type="dxa"/>
            <w:vAlign w:val="bottom"/>
            <w:shd w:val="clear" w:color="auto" w:fill="F0FFFF"/>
          </w:tcPr>
          <w:p>
            <w:pPr>
              <w:jc w:val="right"/>
              <w:ind w:right="17"/>
              <w:spacing w:after="0"/>
              <w:rPr>
                <w:sz w:val="20"/>
                <w:szCs w:val="20"/>
                <w:color w:val="auto"/>
              </w:rPr>
            </w:pPr>
            <w:r>
              <w:rPr>
                <w:rFonts w:ascii="Arial" w:cs="Arial" w:eastAsia="Arial" w:hAnsi="Arial"/>
                <w:sz w:val="13"/>
                <w:szCs w:val="13"/>
                <w:color w:val="auto"/>
              </w:rPr>
              <w:t>(209,902)</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(25,241)</w:t>
            </w:r>
          </w:p>
        </w:tc>
        <w:tc>
          <w:tcPr>
            <w:tcW w:w="10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1,303,334</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166,111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166,111</w:t>
            </w:r>
          </w:p>
        </w:tc>
      </w:tr>
      <w:tr>
        <w:trPr>
          <w:trHeight w:val="278"/>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(16,348)</w:t>
            </w: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(16,348)</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Common stock issued to Dividend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3340" w:type="dxa"/>
            <w:vAlign w:val="bottom"/>
          </w:tcPr>
          <w:p>
            <w:pPr>
              <w:ind w:left="160"/>
              <w:spacing w:after="0" w:line="135" w:lineRule="exact"/>
              <w:rPr>
                <w:sz w:val="20"/>
                <w:szCs w:val="20"/>
                <w:color w:val="auto"/>
              </w:rPr>
            </w:pPr>
            <w:r>
              <w:rPr>
                <w:rFonts w:ascii="Arial" w:cs="Arial" w:eastAsia="Arial" w:hAnsi="Arial"/>
                <w:sz w:val="13"/>
                <w:szCs w:val="13"/>
                <w:color w:val="auto"/>
              </w:rPr>
              <w:t>Reinvestment Plan and employee benefit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plans (25,248 common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679</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Common stock issued for acquisitions</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(1,443,987 common shares)</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1,444</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44,302</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45,746</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Amortization of stock options and restricted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6,057</w:t>
            </w:r>
          </w:p>
        </w:tc>
      </w:tr>
      <w:tr>
        <w:trPr>
          <w:trHeight w:val="278"/>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Exercise of stock options (12,000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142</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Vesting of restricted stock awards, net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3340" w:type="dxa"/>
            <w:vAlign w:val="bottom"/>
          </w:tcPr>
          <w:p>
            <w:pPr>
              <w:ind w:left="160"/>
              <w:spacing w:after="0" w:line="135" w:lineRule="exact"/>
              <w:rPr>
                <w:sz w:val="20"/>
                <w:szCs w:val="20"/>
                <w:color w:val="auto"/>
              </w:rPr>
            </w:pPr>
            <w:r>
              <w:rPr>
                <w:rFonts w:ascii="Arial" w:cs="Arial" w:eastAsia="Arial" w:hAnsi="Arial"/>
                <w:sz w:val="13"/>
                <w:szCs w:val="13"/>
                <w:color w:val="auto"/>
              </w:rPr>
              <w:t>shares surrendered to cover payroll taxes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340" w:type="dxa"/>
            <w:vAlign w:val="bottom"/>
          </w:tcPr>
          <w:p>
            <w:pPr>
              <w:ind w:left="160"/>
              <w:spacing w:after="0" w:line="135" w:lineRule="exact"/>
              <w:rPr>
                <w:sz w:val="20"/>
                <w:szCs w:val="20"/>
                <w:color w:val="auto"/>
              </w:rPr>
            </w:pPr>
            <w:r>
              <w:rPr>
                <w:rFonts w:ascii="Arial" w:cs="Arial" w:eastAsia="Arial" w:hAnsi="Arial"/>
                <w:sz w:val="13"/>
                <w:szCs w:val="13"/>
                <w:color w:val="auto"/>
              </w:rPr>
              <w:t>(125,067 common shares issued, 99,779</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common shares deferred)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(1,988)</w:t>
            </w:r>
          </w:p>
        </w:tc>
      </w:tr>
      <w:tr>
        <w:trPr>
          <w:trHeight w:val="156"/>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Deferred compensation plan, net, including</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r>
      <w:tr>
        <w:trPr>
          <w:trHeight w:val="176"/>
        </w:trPr>
        <w:tc>
          <w:tcPr>
            <w:tcW w:w="3340" w:type="dxa"/>
            <w:vAlign w:val="bottom"/>
            <w:shd w:val="clear" w:color="auto" w:fill="F0FFFF"/>
          </w:tcPr>
          <w:p>
            <w:pPr>
              <w:ind w:left="160"/>
              <w:spacing w:after="0"/>
              <w:rPr>
                <w:sz w:val="20"/>
                <w:szCs w:val="20"/>
                <w:color w:val="auto"/>
              </w:rPr>
            </w:pPr>
            <w:r>
              <w:rPr>
                <w:rFonts w:ascii="Arial" w:cs="Arial" w:eastAsia="Arial" w:hAnsi="Arial"/>
                <w:sz w:val="13"/>
                <w:szCs w:val="13"/>
                <w:color w:val="auto"/>
              </w:rPr>
              <w:t>dividend equivalents</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00" w:type="dxa"/>
            <w:vAlign w:val="bottom"/>
            <w:shd w:val="clear" w:color="auto" w:fill="F0FFFF"/>
          </w:tcPr>
          <w:p>
            <w:pPr>
              <w:jc w:val="right"/>
              <w:ind w:right="37"/>
              <w:spacing w:after="0"/>
              <w:rPr>
                <w:sz w:val="20"/>
                <w:szCs w:val="20"/>
                <w:color w:val="auto"/>
              </w:rPr>
            </w:pPr>
            <w:r>
              <w:rPr>
                <w:rFonts w:ascii="Arial" w:cs="Arial" w:eastAsia="Arial" w:hAnsi="Arial"/>
                <w:sz w:val="13"/>
                <w:szCs w:val="13"/>
                <w:color w:val="auto"/>
              </w:rPr>
              <w:t>459</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rPr>
              <w:t>Shares issued from deferred compensation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8"/>
        </w:trPr>
        <w:tc>
          <w:tcPr>
            <w:tcW w:w="3340" w:type="dxa"/>
            <w:vAlign w:val="bottom"/>
          </w:tcPr>
          <w:p>
            <w:pPr>
              <w:ind w:left="160"/>
              <w:spacing w:after="0"/>
              <w:rPr>
                <w:sz w:val="20"/>
                <w:szCs w:val="20"/>
                <w:color w:val="auto"/>
              </w:rPr>
            </w:pPr>
            <w:r>
              <w:rPr>
                <w:rFonts w:ascii="Arial" w:cs="Arial" w:eastAsia="Arial" w:hAnsi="Arial"/>
                <w:sz w:val="13"/>
                <w:szCs w:val="13"/>
                <w:color w:val="auto"/>
              </w:rPr>
              <w:t>plan (48,214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72"/>
        </w:trPr>
        <w:tc>
          <w:tcPr>
            <w:tcW w:w="3340" w:type="dxa"/>
            <w:vAlign w:val="bottom"/>
            <w:shd w:val="clear" w:color="auto" w:fill="F0FFFF"/>
          </w:tcPr>
          <w:p>
            <w:pPr>
              <w:ind w:left="40"/>
              <w:spacing w:after="0"/>
              <w:rPr>
                <w:sz w:val="20"/>
                <w:szCs w:val="20"/>
                <w:color w:val="auto"/>
              </w:rPr>
            </w:pPr>
            <w:r>
              <w:rPr>
                <w:rFonts w:ascii="Arial" w:cs="Arial" w:eastAsia="Arial" w:hAnsi="Arial"/>
                <w:sz w:val="13"/>
                <w:szCs w:val="13"/>
                <w:color w:val="auto"/>
              </w:rPr>
              <w:t>Common stock dividends ($0.58 per share)</w:t>
            </w: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66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660" w:type="dxa"/>
            <w:vAlign w:val="bottom"/>
            <w:tcBorders>
              <w:bottom w:val="single" w:sz="8" w:color="auto"/>
            </w:tcBorders>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00" w:type="dxa"/>
            <w:vAlign w:val="bottom"/>
            <w:tcBorders>
              <w:bottom w:val="single" w:sz="8" w:color="auto"/>
            </w:tcBorders>
            <w:shd w:val="clear" w:color="auto" w:fill="F0FFFF"/>
          </w:tcPr>
          <w:p>
            <w:pPr>
              <w:jc w:val="right"/>
              <w:ind w:right="17"/>
              <w:spacing w:after="0"/>
              <w:rPr>
                <w:sz w:val="20"/>
                <w:szCs w:val="20"/>
                <w:color w:val="auto"/>
              </w:rPr>
            </w:pPr>
            <w:r>
              <w:rPr>
                <w:rFonts w:ascii="Arial" w:cs="Arial" w:eastAsia="Arial" w:hAnsi="Arial"/>
                <w:sz w:val="13"/>
                <w:szCs w:val="13"/>
                <w:color w:val="auto"/>
              </w:rPr>
              <w:t>(46,628)</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100" w:type="dxa"/>
            <w:vAlign w:val="bottom"/>
            <w:tcBorders>
              <w:bottom w:val="single" w:sz="8" w:color="auto"/>
            </w:tcBorders>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(46,628)</w:t>
            </w: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December 31, 2018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79,234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10,744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1,499,584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(90,419)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(41,589)</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1,457,554</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027"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0" w:right="239" w:bottom="1027" w:gutter="0" w:footer="0" w:header="0"/>
          <w:type w:val="continuous"/>
        </w:sectPr>
      </w:pPr>
    </w:p>
    <w:bookmarkStart w:id="76" w:name="page77"/>
    <w:bookmarkEnd w:id="76"/>
    <w:p>
      <w:pPr>
        <w:ind w:left="354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For the Years Ended December 31, 2018, 2017 and 2016</w:t>
      </w:r>
    </w:p>
    <w:p>
      <w:pPr>
        <w:spacing w:after="0" w:line="5" w:lineRule="exact"/>
        <w:rPr>
          <w:sz w:val="20"/>
          <w:szCs w:val="20"/>
          <w:color w:val="auto"/>
        </w:rPr>
      </w:pPr>
    </w:p>
    <w:p>
      <w:pPr>
        <w:ind w:left="5420"/>
        <w:spacing w:after="0"/>
        <w:rPr>
          <w:sz w:val="20"/>
          <w:szCs w:val="20"/>
          <w:color w:val="auto"/>
        </w:rPr>
      </w:pPr>
      <w:r>
        <w:rPr>
          <w:rFonts w:ascii="Arial" w:cs="Arial" w:eastAsia="Arial" w:hAnsi="Arial"/>
          <w:sz w:val="16"/>
          <w:szCs w:val="16"/>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F0FF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56"/>
        </w:trPr>
        <w:tc>
          <w:tcPr>
            <w:tcW w:w="70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166,111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67,821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100,656</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30,971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27,494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29,974</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Provision for (release of) credit losses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3,800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(800)</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Stock based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4,496</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Deferred income tax expense</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32,630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99,562</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59,727</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Securities losses (gains), net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(982)</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Gains from sales of government guaranteed loans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(9,277)</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(10,493)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(9,545)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Net (gains) losses on sales and write downs of other assets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Net losses (gains) on sales and write downs of other real estate owned</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Changes in assets and liabilities: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380"/>
              <w:spacing w:after="0"/>
              <w:rPr>
                <w:sz w:val="20"/>
                <w:szCs w:val="20"/>
                <w:color w:val="auto"/>
              </w:rPr>
            </w:pPr>
            <w:r>
              <w:rPr>
                <w:rFonts w:ascii="Arial" w:cs="Arial" w:eastAsia="Arial" w:hAnsi="Arial"/>
                <w:sz w:val="14"/>
                <w:szCs w:val="14"/>
                <w:color w:val="auto"/>
              </w:rPr>
              <w:t>Decrease (increase) in other assets and accrued interest receivable</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13,064</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(18,299)</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(39,007)</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Increase in accrued expenses and other liabilities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24,280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1,299</w:t>
            </w:r>
          </w:p>
        </w:tc>
      </w:tr>
      <w:tr>
        <w:trPr>
          <w:trHeight w:val="276"/>
        </w:trPr>
        <w:tc>
          <w:tcPr>
            <w:tcW w:w="7080" w:type="dxa"/>
            <w:vAlign w:val="bottom"/>
            <w:shd w:val="clear" w:color="auto" w:fill="F0FFFF"/>
          </w:tcPr>
          <w:p>
            <w:pPr>
              <w:ind w:left="380"/>
              <w:spacing w:after="0"/>
              <w:rPr>
                <w:sz w:val="20"/>
                <w:szCs w:val="20"/>
                <w:color w:val="auto"/>
              </w:rPr>
            </w:pPr>
            <w:r>
              <w:rPr>
                <w:rFonts w:ascii="Arial" w:cs="Arial" w:eastAsia="Arial" w:hAnsi="Arial"/>
                <w:sz w:val="14"/>
                <w:szCs w:val="14"/>
                <w:color w:val="auto"/>
              </w:rPr>
              <w:t>Decrease (increase) in loans held for sale</w:t>
            </w:r>
          </w:p>
        </w:tc>
        <w:tc>
          <w:tcPr>
            <w:tcW w:w="340" w:type="dxa"/>
            <w:vAlign w:val="bottom"/>
            <w:tcBorders>
              <w:bottom w:val="single" w:sz="8" w:color="auto"/>
            </w:tcBorders>
            <w:shd w:val="clear" w:color="auto" w:fill="F0FFFF"/>
          </w:tcPr>
          <w:p>
            <w:pPr>
              <w:spacing w:after="0"/>
              <w:rPr>
                <w:sz w:val="24"/>
                <w:szCs w:val="24"/>
                <w:color w:val="auto"/>
              </w:rPr>
            </w:pPr>
          </w:p>
        </w:tc>
        <w:tc>
          <w:tcPr>
            <w:tcW w:w="10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16,391</w:t>
            </w:r>
          </w:p>
        </w:tc>
        <w:tc>
          <w:tcPr>
            <w:tcW w:w="120" w:type="dxa"/>
            <w:vAlign w:val="bottom"/>
            <w:shd w:val="clear" w:color="auto" w:fill="F0FFFF"/>
          </w:tcPr>
          <w:p>
            <w:pPr>
              <w:spacing w:after="0"/>
              <w:rPr>
                <w:sz w:val="24"/>
                <w:szCs w:val="24"/>
                <w:color w:val="auto"/>
              </w:rPr>
            </w:pPr>
          </w:p>
        </w:tc>
        <w:tc>
          <w:tcPr>
            <w:tcW w:w="320" w:type="dxa"/>
            <w:vAlign w:val="bottom"/>
            <w:tcBorders>
              <w:bottom w:val="single" w:sz="8" w:color="auto"/>
            </w:tcBorders>
            <w:shd w:val="clear" w:color="auto" w:fill="F0FFFF"/>
          </w:tcPr>
          <w:p>
            <w:pPr>
              <w:spacing w:after="0"/>
              <w:rPr>
                <w:sz w:val="24"/>
                <w:szCs w:val="24"/>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5,238</w:t>
            </w:r>
          </w:p>
        </w:tc>
        <w:tc>
          <w:tcPr>
            <w:tcW w:w="100" w:type="dxa"/>
            <w:vAlign w:val="bottom"/>
            <w:shd w:val="clear" w:color="auto" w:fill="F0FFFF"/>
          </w:tcPr>
          <w:p>
            <w:pPr>
              <w:spacing w:after="0"/>
              <w:rPr>
                <w:sz w:val="24"/>
                <w:szCs w:val="24"/>
                <w:color w:val="auto"/>
              </w:rPr>
            </w:pPr>
          </w:p>
        </w:tc>
        <w:tc>
          <w:tcPr>
            <w:tcW w:w="320" w:type="dxa"/>
            <w:vAlign w:val="bottom"/>
            <w:tcBorders>
              <w:bottom w:val="single" w:sz="8" w:color="auto"/>
            </w:tcBorders>
            <w:shd w:val="clear" w:color="auto" w:fill="F0FFFF"/>
          </w:tcPr>
          <w:p>
            <w:pPr>
              <w:spacing w:after="0"/>
              <w:rPr>
                <w:sz w:val="24"/>
                <w:szCs w:val="24"/>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(5,505)</w:t>
            </w:r>
          </w:p>
        </w:tc>
      </w:tr>
      <w:tr>
        <w:trPr>
          <w:trHeight w:val="244"/>
        </w:trPr>
        <w:tc>
          <w:tcPr>
            <w:tcW w:w="7080" w:type="dxa"/>
            <w:vAlign w:val="bottom"/>
            <w:tcBorders>
              <w:bottom w:val="single" w:sz="8" w:color="F0FFFF"/>
            </w:tcBorders>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270,006</w:t>
            </w:r>
          </w:p>
        </w:tc>
        <w:tc>
          <w:tcPr>
            <w:tcW w:w="12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207,962</w:t>
            </w:r>
          </w:p>
        </w:tc>
        <w:tc>
          <w:tcPr>
            <w:tcW w:w="10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139,914</w:t>
            </w:r>
          </w:p>
        </w:tc>
      </w:tr>
      <w:tr>
        <w:trPr>
          <w:trHeight w:val="243"/>
        </w:trPr>
        <w:tc>
          <w:tcPr>
            <w:tcW w:w="70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Debt securities held-to-maturity:</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maturities and calls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58,605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56,917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68,232</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Purchases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(11,983)</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(36,638)</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(24,021)</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Debt securities available-for-sale and equity securities: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Proceeds from sales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168,891</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340,540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199,864</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maturities and calls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346,505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605,889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392,575</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Purchases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(566,333)</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(936,947)</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(692,983)</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increase in loans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(291,890)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(109,433)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(657,650)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Net cash (paid) received for acquisitions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(56,800)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53,678</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1,912</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Purchase of bank owned life insurance</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Purchases of premises and equipment</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(17,617)</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(22,183)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(17,375)</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sales of premises and equipment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6,483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5,077</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Proceeds from sale of other real estate owned</w:t>
            </w:r>
          </w:p>
        </w:tc>
        <w:tc>
          <w:tcPr>
            <w:tcW w:w="340" w:type="dxa"/>
            <w:vAlign w:val="bottom"/>
            <w:tcBorders>
              <w:bottom w:val="single" w:sz="8" w:color="auto"/>
            </w:tcBorders>
            <w:shd w:val="clear" w:color="auto" w:fill="F0FFFF"/>
          </w:tcPr>
          <w:p>
            <w:pPr>
              <w:spacing w:after="0"/>
              <w:rPr>
                <w:sz w:val="24"/>
                <w:szCs w:val="24"/>
                <w:color w:val="auto"/>
              </w:rPr>
            </w:pPr>
          </w:p>
        </w:tc>
        <w:tc>
          <w:tcPr>
            <w:tcW w:w="10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4,664</w:t>
            </w:r>
          </w:p>
        </w:tc>
        <w:tc>
          <w:tcPr>
            <w:tcW w:w="120" w:type="dxa"/>
            <w:vAlign w:val="bottom"/>
            <w:shd w:val="clear" w:color="auto" w:fill="F0FFFF"/>
          </w:tcPr>
          <w:p>
            <w:pPr>
              <w:spacing w:after="0"/>
              <w:rPr>
                <w:sz w:val="24"/>
                <w:szCs w:val="24"/>
                <w:color w:val="auto"/>
              </w:rPr>
            </w:pPr>
          </w:p>
        </w:tc>
        <w:tc>
          <w:tcPr>
            <w:tcW w:w="320" w:type="dxa"/>
            <w:vAlign w:val="bottom"/>
            <w:tcBorders>
              <w:bottom w:val="single" w:sz="8" w:color="auto"/>
            </w:tcBorders>
            <w:shd w:val="clear" w:color="auto" w:fill="F0FFFF"/>
          </w:tcPr>
          <w:p>
            <w:pPr>
              <w:spacing w:after="0"/>
              <w:rPr>
                <w:sz w:val="24"/>
                <w:szCs w:val="24"/>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9,534</w:t>
            </w:r>
          </w:p>
        </w:tc>
        <w:tc>
          <w:tcPr>
            <w:tcW w:w="100" w:type="dxa"/>
            <w:vAlign w:val="bottom"/>
            <w:shd w:val="clear" w:color="auto" w:fill="F0FFFF"/>
          </w:tcPr>
          <w:p>
            <w:pPr>
              <w:spacing w:after="0"/>
              <w:rPr>
                <w:sz w:val="24"/>
                <w:szCs w:val="24"/>
                <w:color w:val="auto"/>
              </w:rPr>
            </w:pPr>
          </w:p>
        </w:tc>
        <w:tc>
          <w:tcPr>
            <w:tcW w:w="320" w:type="dxa"/>
            <w:vAlign w:val="bottom"/>
            <w:tcBorders>
              <w:bottom w:val="single" w:sz="8" w:color="auto"/>
            </w:tcBorders>
            <w:shd w:val="clear" w:color="auto" w:fill="F0FFFF"/>
          </w:tcPr>
          <w:p>
            <w:pPr>
              <w:spacing w:after="0"/>
              <w:rPr>
                <w:sz w:val="24"/>
                <w:szCs w:val="24"/>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12,043</w:t>
            </w:r>
          </w:p>
        </w:tc>
      </w:tr>
      <w:tr>
        <w:trPr>
          <w:trHeight w:val="244"/>
        </w:trPr>
        <w:tc>
          <w:tcPr>
            <w:tcW w:w="7080" w:type="dxa"/>
            <w:vAlign w:val="bottom"/>
            <w:tcBorders>
              <w:bottom w:val="single" w:sz="8" w:color="F0FF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(359,475)</w:t>
            </w:r>
          </w:p>
        </w:tc>
        <w:tc>
          <w:tcPr>
            <w:tcW w:w="12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(45,506)</w:t>
            </w:r>
          </w:p>
        </w:tc>
        <w:tc>
          <w:tcPr>
            <w:tcW w:w="10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(732,326)</w:t>
            </w:r>
          </w:p>
        </w:tc>
      </w:tr>
      <w:tr>
        <w:trPr>
          <w:trHeight w:val="243"/>
        </w:trPr>
        <w:tc>
          <w:tcPr>
            <w:tcW w:w="70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Net increase in deposits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727,839</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287,073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365,531</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(decrease) increase in short-term borrowings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(264,923)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43,859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(21,640)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Proceeds from Federal Home Loan Bank advances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2,860,000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4,000,000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9,780,000</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Repayment of Federal Home Loan Bank advances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(3,204,003)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(4,294,000)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(9,514,125)</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Repayment of long-term debt</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(71,831)</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issuance of long-term debt, net of issuance costs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98,188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366</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Cash paid for shares withheld to cover payroll taxes upon vesting of restricted stock</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(1,189)</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(13,659)</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Retirement of preferred stock</w:t>
            </w:r>
          </w:p>
        </w:tc>
        <w:tc>
          <w:tcPr>
            <w:tcW w:w="34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(9,992)</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(41,634)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(15,849)</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Cash dividends on preferred stock</w:t>
            </w:r>
          </w:p>
        </w:tc>
        <w:tc>
          <w:tcPr>
            <w:tcW w:w="34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w:t>
            </w:r>
          </w:p>
        </w:tc>
      </w:tr>
      <w:tr>
        <w:trPr>
          <w:trHeight w:val="244"/>
        </w:trPr>
        <w:tc>
          <w:tcPr>
            <w:tcW w:w="7080" w:type="dxa"/>
            <w:vAlign w:val="bottom"/>
            <w:tcBorders>
              <w:bottom w:val="single" w:sz="8" w:color="F0FFFF"/>
            </w:tcBorders>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102,459</w:t>
            </w:r>
          </w:p>
        </w:tc>
        <w:tc>
          <w:tcPr>
            <w:tcW w:w="120" w:type="dxa"/>
            <w:vAlign w:val="bottom"/>
            <w:tcBorders>
              <w:bottom w:val="single" w:sz="8" w:color="F0FF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(65,529)</w:t>
            </w:r>
          </w:p>
        </w:tc>
        <w:tc>
          <w:tcPr>
            <w:tcW w:w="100" w:type="dxa"/>
            <w:vAlign w:val="bottom"/>
            <w:tcBorders>
              <w:bottom w:val="single" w:sz="8" w:color="F0FF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569,397</w:t>
            </w:r>
          </w:p>
        </w:tc>
      </w:tr>
      <w:tr>
        <w:trPr>
          <w:trHeight w:val="243"/>
        </w:trPr>
        <w:tc>
          <w:tcPr>
            <w:tcW w:w="70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12,990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96,927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(23,015)</w:t>
            </w:r>
          </w:p>
        </w:tc>
      </w:tr>
      <w:tr>
        <w:trPr>
          <w:trHeight w:val="270"/>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Cash and cash equivalents, including restricted cash, at beginning of year</w:t>
            </w:r>
          </w:p>
        </w:tc>
        <w:tc>
          <w:tcPr>
            <w:tcW w:w="340" w:type="dxa"/>
            <w:vAlign w:val="bottom"/>
            <w:tcBorders>
              <w:bottom w:val="single" w:sz="8" w:color="auto"/>
            </w:tcBorders>
            <w:shd w:val="clear" w:color="auto" w:fill="F0FFFF"/>
          </w:tcPr>
          <w:p>
            <w:pPr>
              <w:spacing w:after="0"/>
              <w:rPr>
                <w:sz w:val="23"/>
                <w:szCs w:val="23"/>
                <w:color w:val="auto"/>
              </w:rPr>
            </w:pPr>
          </w:p>
        </w:tc>
        <w:tc>
          <w:tcPr>
            <w:tcW w:w="10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314,275</w:t>
            </w:r>
          </w:p>
        </w:tc>
        <w:tc>
          <w:tcPr>
            <w:tcW w:w="12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217,348</w:t>
            </w:r>
          </w:p>
        </w:tc>
        <w:tc>
          <w:tcPr>
            <w:tcW w:w="10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240,363</w:t>
            </w:r>
          </w:p>
        </w:tc>
      </w:tr>
      <w:tr>
        <w:trPr>
          <w:trHeight w:val="283"/>
        </w:trPr>
        <w:tc>
          <w:tcPr>
            <w:tcW w:w="7080" w:type="dxa"/>
            <w:vAlign w:val="bottom"/>
            <w:tcBorders>
              <w:bottom w:val="single" w:sz="8" w:color="F0FFFF"/>
            </w:tcBorders>
          </w:tcPr>
          <w:p>
            <w:pPr>
              <w:ind w:left="40"/>
              <w:spacing w:after="0"/>
              <w:rPr>
                <w:sz w:val="20"/>
                <w:szCs w:val="20"/>
                <w:color w:val="auto"/>
              </w:rPr>
            </w:pPr>
            <w:r>
              <w:rPr>
                <w:rFonts w:ascii="Arial" w:cs="Arial" w:eastAsia="Arial" w:hAnsi="Arial"/>
                <w:sz w:val="14"/>
                <w:szCs w:val="14"/>
                <w:b w:val="1"/>
                <w:bCs w:val="1"/>
                <w:color w:val="auto"/>
              </w:rPr>
              <w:t>Cash and cash equivalents, including restricted cash, at end of year</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327,265</w:t>
            </w:r>
          </w:p>
        </w:tc>
        <w:tc>
          <w:tcPr>
            <w:tcW w:w="120" w:type="dxa"/>
            <w:vAlign w:val="bottom"/>
            <w:tcBorders>
              <w:bottom w:val="single" w:sz="8" w:color="F0FF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314,275</w:t>
            </w:r>
          </w:p>
        </w:tc>
        <w:tc>
          <w:tcPr>
            <w:tcW w:w="100" w:type="dxa"/>
            <w:vAlign w:val="bottom"/>
            <w:tcBorders>
              <w:bottom w:val="single" w:sz="8" w:color="F0FF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217,348</w:t>
            </w:r>
          </w:p>
        </w:tc>
      </w:tr>
      <w:tr>
        <w:trPr>
          <w:trHeight w:val="224"/>
        </w:trPr>
        <w:tc>
          <w:tcPr>
            <w:tcW w:w="708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during the period for:</w:t>
      </w:r>
    </w:p>
    <w:p>
      <w:pPr>
        <w:sectPr>
          <w:pgSz w:w="11900" w:h="16838" w:orient="portrait"/>
          <w:cols w:equalWidth="0" w:num="1">
            <w:col w:w="11420"/>
          </w:cols>
          <w:pgMar w:left="240" w:top="585" w:right="23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2"/>
        </w:trPr>
        <w:tc>
          <w:tcPr>
            <w:tcW w:w="2620" w:type="dxa"/>
            <w:vAlign w:val="bottom"/>
          </w:tcPr>
          <w:p>
            <w:pPr>
              <w:ind w:left="280"/>
              <w:spacing w:after="0"/>
              <w:rPr>
                <w:sz w:val="20"/>
                <w:szCs w:val="20"/>
                <w:color w:val="auto"/>
              </w:rPr>
            </w:pPr>
            <w:r>
              <w:rPr>
                <w:rFonts w:ascii="Arial" w:cs="Arial" w:eastAsia="Arial" w:hAnsi="Arial"/>
                <w:sz w:val="14"/>
                <w:szCs w:val="14"/>
                <w:color w:val="auto"/>
              </w:rPr>
              <w:t>Interest</w:t>
            </w:r>
          </w:p>
        </w:tc>
        <w:tc>
          <w:tcPr>
            <w:tcW w:w="50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56,830</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34,657</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32,141</w:t>
            </w:r>
          </w:p>
        </w:tc>
      </w:tr>
      <w:tr>
        <w:trPr>
          <w:trHeight w:val="80"/>
        </w:trPr>
        <w:tc>
          <w:tcPr>
            <w:tcW w:w="26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70"/>
        </w:trPr>
        <w:tc>
          <w:tcPr>
            <w:tcW w:w="2620" w:type="dxa"/>
            <w:vAlign w:val="bottom"/>
            <w:shd w:val="clear" w:color="auto" w:fill="F0FFFF"/>
          </w:tcPr>
          <w:p>
            <w:pPr>
              <w:ind w:left="280"/>
              <w:spacing w:after="0"/>
              <w:rPr>
                <w:sz w:val="20"/>
                <w:szCs w:val="20"/>
                <w:color w:val="auto"/>
              </w:rPr>
            </w:pPr>
            <w:r>
              <w:rPr>
                <w:rFonts w:ascii="Arial" w:cs="Arial" w:eastAsia="Arial" w:hAnsi="Arial"/>
                <w:sz w:val="14"/>
                <w:szCs w:val="14"/>
                <w:color w:val="auto"/>
              </w:rPr>
              <w:t>Income taxes paid</w:t>
            </w:r>
          </w:p>
        </w:tc>
        <w:tc>
          <w:tcPr>
            <w:tcW w:w="508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7,880</w:t>
            </w:r>
          </w:p>
        </w:tc>
        <w:tc>
          <w:tcPr>
            <w:tcW w:w="60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6,514</w:t>
            </w:r>
          </w:p>
        </w:tc>
        <w:tc>
          <w:tcPr>
            <w:tcW w:w="560" w:type="dxa"/>
            <w:vAlign w:val="bottom"/>
            <w:shd w:val="clear" w:color="auto" w:fill="F0FFFF"/>
          </w:tcPr>
          <w:p>
            <w:pPr>
              <w:spacing w:after="0"/>
              <w:rPr>
                <w:sz w:val="23"/>
                <w:szCs w:val="23"/>
                <w:color w:val="auto"/>
              </w:rPr>
            </w:pPr>
          </w:p>
        </w:tc>
        <w:tc>
          <w:tcPr>
            <w:tcW w:w="8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3,948</w:t>
            </w:r>
          </w:p>
        </w:tc>
      </w:tr>
      <w:tr>
        <w:trPr>
          <w:trHeight w:val="191"/>
        </w:trPr>
        <w:tc>
          <w:tcPr>
            <w:tcW w:w="2620" w:type="dxa"/>
            <w:vAlign w:val="bottom"/>
          </w:tcPr>
          <w:p>
            <w:pPr>
              <w:spacing w:after="0"/>
              <w:rPr>
                <w:sz w:val="16"/>
                <w:szCs w:val="16"/>
                <w:color w:val="auto"/>
              </w:rPr>
            </w:pPr>
          </w:p>
        </w:tc>
        <w:tc>
          <w:tcPr>
            <w:tcW w:w="5080" w:type="dxa"/>
            <w:vAlign w:val="bottom"/>
          </w:tcPr>
          <w:p>
            <w:pPr>
              <w:jc w:val="right"/>
              <w:ind w:right="168"/>
              <w:spacing w:after="0"/>
              <w:rPr>
                <w:sz w:val="20"/>
                <w:szCs w:val="20"/>
                <w:color w:val="auto"/>
              </w:rPr>
            </w:pPr>
            <w:r>
              <w:rPr>
                <w:rFonts w:ascii="Arial" w:cs="Arial" w:eastAsia="Arial" w:hAnsi="Arial"/>
                <w:sz w:val="14"/>
                <w:szCs w:val="14"/>
                <w:color w:val="auto"/>
              </w:rPr>
              <w:t>See accompanying notes to consolidated financial statements.</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principles followed by United Community Banks, Inc. and its subsidiaries (collectively referred to herein as “United”) and the methods of applying these principles conform with accounting principles generally accepted in the United States of America (“GAAP”) and with general practices within the banking industry. The following is a description of the significant policies.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Community Banks, Inc. (the “Holding Company”) is a bank holding company subject to the regulation of the Board of Governors of the Federal Reserve System (the “Federal Reserve”) whose principal business is conducted by its wholly-owned commercial bank subsidiary, United Community Bank (the “Bank”). United is subject to regulation under the Bank Holding Company Act of 1956. The consolidated financial statements include the accounts of the Holding Company, the Bank and other wholly-owned subsidiaries. All significant intercompany accounts and transactions have been eliminated in consolidation.</w:t>
      </w:r>
    </w:p>
    <w:p>
      <w:pPr>
        <w:spacing w:after="0" w:line="19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Bank is a Georgia state chartered commercial bank that serves both rural and metropolitan markets in Georgia, South Carolina, North Carolina and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27" w:lineRule="exact"/>
        <w:rPr>
          <w:rFonts w:ascii="Arial" w:cs="Arial" w:eastAsia="Arial" w:hAnsi="Arial"/>
          <w:sz w:val="18"/>
          <w:szCs w:val="18"/>
          <w:b w:val="1"/>
          <w:bCs w:val="1"/>
          <w:color w:val="auto"/>
        </w:rPr>
      </w:pPr>
    </w:p>
    <w:p>
      <w:pPr>
        <w:jc w:val="both"/>
        <w:ind w:left="3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acquired loans,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Segments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are therefore considered to be one operating segment.</w:t>
      </w:r>
    </w:p>
    <w:p>
      <w:pPr>
        <w:spacing w:after="0" w:line="191"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Additionally management assessed other operating units to determine if they should be classified and reported as segments. They include Mortgage, Advisory Services and Commercial Banking Solutions. Each was assessed for separate reporting on both a qualitative and a quantitative basis in accordance with Financial Accounting Standards Boards (“FASB”) Accounting Standards Codification (“ASC”) Topic 280 Segment Reporting (“ASC 280”). Qualitatively, these business units are currently operating in the same geographic footprint as the community banks and face many of the same customers as the community banks. While the chief operating decision maker does have some limited production information for these entities, that information is not complete since it does not include a full allocation of revenue, costs and capital from key corporate functions. The business units are currently viewed more as a product line extension of the community banks. However, management will continue to evaluate these business units for separate reporting as facts and circumstances change. On a quantitative basis, ASC 280 provides a threshold of 10% of Revenue, Net Income or Assets where a breach of any of these thresholds would trigger segment reporting. Under this requirement none of the entities reached the threshold.</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Based on this analysis, United concluded that it has one operating and reportable segment.</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Variable Interest Entities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also include the results of a bankruptcy-remote securitization entity, Navitas Equipment Receivables LLC 2016-1 (“NER 16-1”), acquired with NLFC Holdings Corp. (“NLFC”). NER 16-1 was formed solely to receive loans transferred from NLFC to be used as collateral for a term note securitization. NLFC is the primary beneficiary of NER 16-1. As a result, while the transfer of the loans meets the criteria of a sale, NER 16-1 is consolidated on United’s books and therefore the transfer is accounted for as a secured borrowing. NER 16-1 differs from other entities included in United’s consolidated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because the assets it holds are legally isolated. At December 31, 2018, NER 16-1 had total assets of $65.5 million and total liabilities of $55.3 million.</w:t>
      </w:r>
    </w:p>
    <w:p>
      <w:pPr>
        <w:spacing w:after="0" w:line="24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27" w:lineRule="exact"/>
        <w:rPr>
          <w:rFonts w:ascii="Arial" w:cs="Arial" w:eastAsia="Arial" w:hAnsi="Arial"/>
          <w:sz w:val="18"/>
          <w:szCs w:val="18"/>
          <w:b w:val="1"/>
          <w:bCs w:val="1"/>
          <w:color w:val="auto"/>
        </w:rPr>
      </w:pPr>
    </w:p>
    <w:p>
      <w:pPr>
        <w:jc w:val="both"/>
        <w:ind w:left="3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 A portion of the cash on hand and on deposit with the Federal Reserve Bank of Atlanta was required to meet regulatory reserve requirements.</w:t>
      </w:r>
    </w:p>
    <w:p>
      <w:pPr>
        <w:spacing w:after="0" w:line="16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terms of securitizations acquired with NLFC require various restricted cash accounts. These cash accounts were funded from either a portion of the proceeds from the issuance of notes or from the collections on leases and loans that were conveyed in the securitization. These restricted cash accounts provide additional collateral to the note holders under specific provisions of the securitizations which govern when funds in these accounts may be released as well as conditions under which collections on contracts transferred to the securitizations may be used to fund deposits into the restricted cash accounts. At December 31, 2018, these restricted cash accounts totaled $6.70 million and were included in interest-bearing deposits in banks on the consolidated balance sheet.</w:t>
      </w:r>
    </w:p>
    <w:p>
      <w:pPr>
        <w:spacing w:after="0" w:line="18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classifies its debt securities in one of three categories: trading, held-to-maturity or available-for-sale. United does not currently hold any trading securities that are bought and held principally for the purpose of selling them in the near term. Held-to-maturity securities are those securities for which United has the ability and intent to hold until maturity. All other securities are classified as available-for-sale.</w:t>
      </w:r>
    </w:p>
    <w:p>
      <w:pPr>
        <w:spacing w:after="0" w:line="190"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Held-to-maturity securities are recorded at cost, adjusted for the amortization or accretion of premiums or discounts. Available-for-sale securities are recorded at fair value. Unrealized holding gains and losses, net of the related tax effect, on available-for-sale securities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sheets.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8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Management evaluates investment securities for other than temporary impairment on a quarterly basis. A decline in the fair value of available-for-sale and held-to-maturity securities below cost that is deemed other than temporary is charged to earnings for a decline in value deemed to be credit related. The decline in value attributed to non-credit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available-for-sale and held-to-maturity are included in net income and derived using the specific identification method for determining the cost of the securities sold.</w:t>
      </w:r>
    </w:p>
    <w:p>
      <w:pPr>
        <w:spacing w:after="0" w:line="193"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Equity securities are included in other assets on the consolidated balance sheets. Those with readily determinable fair values are carried at fair value with changes in fair value recognized in net income. Those without readily determinable fair values include, among others, Federal Home Loan Bank (“FHLB”) stock held to meet FHLB requirements related to outstanding advances and Community Reinvestment Act (“CRA”) equity investments, including those where the returns are primarily derived from low income housing tax credits (“LIHTC”). Our investment in FHLB stock is accounted for using the cost method of accounting. Our LIHTC investments are accounted for using the proportional amortization method of accounting for qualified affordable housing investments which results in the amortization being reported as a component of income tax expense. Our obligations related to unfunded commitments for our LIHTC investments are reported in other liabilities. Our other CRA investments are accounted for using the equity method of accounting. As conditions warrant, we review our investments for impairment and will adjust the carrying value of the investment if it is deemed to be impaired.</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Held for Sale</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has elected the fair value option for most of its newly originated mortgage loans held for sale in order to reduce certain timing differences and match changes in fair values of the loans with changes in the fair value of derivative instruments used to economically hedge them. Also included in loans held for sale at December 31, 2017 were $4.61 million in loans received through the acquisition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of Four Oaks FinCorp, Inc. that United held with the intent to sell. Those loans were carried on the balance sheet at the lower of cost or fair value.</w:t>
      </w:r>
    </w:p>
    <w:p>
      <w:pPr>
        <w:spacing w:after="0" w:line="23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Leases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186" w:lineRule="exact"/>
        <w:rPr>
          <w:rFonts w:ascii="Arial" w:cs="Arial" w:eastAsia="Arial" w:hAnsi="Arial"/>
          <w:sz w:val="18"/>
          <w:szCs w:val="18"/>
          <w:b w:val="1"/>
          <w:bCs w:val="1"/>
          <w:color w:val="auto"/>
        </w:rPr>
      </w:pPr>
    </w:p>
    <w:p>
      <w:pPr>
        <w:jc w:val="both"/>
        <w:ind w:left="340"/>
        <w:spacing w:after="0" w:line="292"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Equipment Financing Lease Receivables: </w:t>
      </w:r>
      <w:r>
        <w:rPr>
          <w:rFonts w:ascii="Arial" w:cs="Arial" w:eastAsia="Arial" w:hAnsi="Arial"/>
          <w:sz w:val="16"/>
          <w:szCs w:val="16"/>
          <w:color w:val="auto"/>
        </w:rPr>
        <w:t>Equipment financing lease receivables are recorded as the sum of the future minimum lease payments,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costs and estimated or contractual residual values less unearned income and security deposits.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w:t>
      </w:r>
    </w:p>
    <w:p>
      <w:pPr>
        <w:spacing w:after="0" w:line="161" w:lineRule="exact"/>
        <w:rPr>
          <w:rFonts w:ascii="Arial" w:cs="Arial" w:eastAsia="Arial" w:hAnsi="Arial"/>
          <w:sz w:val="18"/>
          <w:szCs w:val="18"/>
          <w:b w:val="1"/>
          <w:bCs w:val="1"/>
          <w:color w:val="auto"/>
        </w:rPr>
      </w:pPr>
    </w:p>
    <w:p>
      <w:pPr>
        <w:jc w:val="both"/>
        <w:ind w:left="3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Purchased Loans With Evidence of Credit Deterioration: </w:t>
      </w:r>
      <w:r>
        <w:rPr>
          <w:rFonts w:ascii="Arial" w:cs="Arial" w:eastAsia="Arial" w:hAnsi="Arial"/>
          <w:sz w:val="18"/>
          <w:szCs w:val="18"/>
          <w:color w:val="auto"/>
        </w:rPr>
        <w:t>United from time to time purchases loans, primarily through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transactions. Some of those purchased loans show evidence of credit deterioration since origination and are accounted for pursuant to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These purchased credit impaired (“PCI”) loans are recorded at their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at date of purchase. After acquisition, further losses evidenced by decreases in expected cash flows are recognized by an increase in the allowance for loan losses.</w:t>
      </w:r>
    </w:p>
    <w:p>
      <w:pPr>
        <w:spacing w:after="0" w:line="187"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PCI loans are aggregated into pools of loans based on common risk characteristics such as the type of loan, payment status, or collateral type. United estimates the amount and timing of expected cash flows for each purchased loan pool and the expected cash flows in excess of the amount paid are recorded as interest income over the remaining life of the pool (accretable yield). The excess of the pool’s contractual principal and interest over expected cash flows is not recorded (nonaccretable difference).</w:t>
      </w:r>
    </w:p>
    <w:p>
      <w:pPr>
        <w:spacing w:after="0" w:line="186"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Over the life of the loan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11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Nonaccrual Loans: </w:t>
      </w:r>
      <w:r>
        <w:rPr>
          <w:rFonts w:ascii="Arial" w:cs="Arial" w:eastAsia="Arial" w:hAnsi="Arial"/>
          <w:sz w:val="17"/>
          <w:szCs w:val="17"/>
          <w:color w:val="auto"/>
        </w:rPr>
        <w:t>The accrual of interest is discontinued when a loan becomes 90 days past due and is not well collateralized and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there is a sustained period of repayment performance and future payments are reasonably assured. Nonaccrual loans include smaller balance homogeneous loans that are collectively evaluated for impairment and individually classified impaired loans. Contractually delinquent PCI loans are not classified as nonaccrual as long as the related discount continues to be accreted.</w:t>
      </w:r>
    </w:p>
    <w:p>
      <w:pPr>
        <w:spacing w:after="0" w:line="172"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With the exception of PCI loans, a loan is considered impaired when, based on current events and circumstances, it is probable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according to the contractual terms of the loan, will not be collected. Individually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178"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PCI loans are considered to be impaired when it is probable that United will be unable to collect all the cash flows expected at acquisition, plus additional cash flows expected to be collected arising from changes in estimates after acquisition. Loans that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accounted for in pools are evaluated collectively for impairment on a pool by pool basis based on expected pool cash flows. Discounts continue to be accreted as long as there are expected future cash flows in excess of the current carrying amount of the specifically-reviewed loan or pool.</w:t>
      </w:r>
    </w:p>
    <w:p>
      <w:pPr>
        <w:spacing w:after="0" w:line="142"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Approximately 74% of United’s loan portfolio is secured by real estate and is therefore susceptible to changes in real estate valuations.</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27" w:lineRule="exact"/>
        <w:rPr>
          <w:rFonts w:ascii="Arial" w:cs="Arial" w:eastAsia="Arial" w:hAnsi="Arial"/>
          <w:sz w:val="18"/>
          <w:szCs w:val="18"/>
          <w:b w:val="1"/>
          <w:bCs w:val="1"/>
          <w:color w:val="auto"/>
        </w:rPr>
      </w:pPr>
    </w:p>
    <w:p>
      <w:pPr>
        <w:jc w:val="both"/>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allowance for credit losses includes the allowance for loan losses and the allowance for unfunded commitments included in other liabilities. Increases to the allowance for loan losses and allowance for unfunded commitments are established through a provision for credit losses charged to income. Loans are charged down against the allowance for loan losses when available information confirms that the collectability of the principal is unlikely. The allowance for loan losses represents an amount, which, in management’s judgment, is adequate to absorb probable losses on existing loans as of the date of the balance sheet. The allowance for unfunded commitments represents expected losses on unfunded commitments and is reported in the consolidated balance sheets in other liabilities.</w:t>
      </w:r>
    </w:p>
    <w:p>
      <w:pPr>
        <w:spacing w:after="0" w:line="194"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allowance for loan losses is composed of general reserves, specific reserves, and PCI reserves. General reserves are determined by applying loss percentages to the individual loan categories that are based on actual historical loss experience.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nonaccrual loan relationships greater than $500,000 and all troubled debt restructurings (“TDRs”).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167"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PCI loans, a valuation allowance is established when it is probable that the Company will be unable to collect all the cash flows expected at acquisition plus additional cash flows expected to be collected arising from changes in estimate after acquisition.</w:t>
      </w:r>
    </w:p>
    <w:p>
      <w:pPr>
        <w:spacing w:after="0" w:line="170"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allocation of the allowance for loan losses is based on historical data, subjective judgment and estimates and, therefore, is not necessarily indicative of the specific amounts or loan categories in which charge-offs may ultimately occur.</w:t>
      </w:r>
    </w:p>
    <w:p>
      <w:pPr>
        <w:spacing w:after="0" w:line="170"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purposes of determining general reserves, United segments the loan portfolio into broad categories with similar risk elements. Those categories and their specific risks are described below.</w:t>
      </w:r>
    </w:p>
    <w:p>
      <w:pPr>
        <w:spacing w:after="0" w:line="166"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declines in occupancy rates, business failure and general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lack of suitable alternative use for the property.</w:t>
      </w:r>
    </w:p>
    <w:p>
      <w:pPr>
        <w:spacing w:after="0" w:line="161" w:lineRule="exact"/>
        <w:rPr>
          <w:rFonts w:ascii="Arial" w:cs="Arial" w:eastAsia="Arial" w:hAnsi="Arial"/>
          <w:sz w:val="18"/>
          <w:szCs w:val="18"/>
          <w:b w:val="1"/>
          <w:bCs w:val="1"/>
          <w:color w:val="auto"/>
        </w:rPr>
      </w:pPr>
    </w:p>
    <w:p>
      <w:pPr>
        <w:jc w:val="both"/>
        <w:ind w:left="340" w:right="2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Commercial &amp; industrial </w:t>
      </w:r>
      <w:r>
        <w:rPr>
          <w:rFonts w:ascii="Arial" w:cs="Arial" w:eastAsia="Arial" w:hAnsi="Arial"/>
          <w:sz w:val="17"/>
          <w:szCs w:val="17"/>
          <w:color w:val="auto"/>
        </w:rPr>
        <w:t>– Risks to this loan category include industry concentrations and the inability to monitor the condition of the collateral which</w:t>
      </w:r>
      <w:r>
        <w:rPr>
          <w:rFonts w:ascii="Arial" w:cs="Arial" w:eastAsia="Arial" w:hAnsi="Arial"/>
          <w:sz w:val="17"/>
          <w:szCs w:val="17"/>
          <w:b w:val="1"/>
          <w:bCs w:val="1"/>
          <w:color w:val="auto"/>
        </w:rPr>
        <w:t xml:space="preserve"> </w:t>
      </w:r>
      <w:r>
        <w:rPr>
          <w:rFonts w:ascii="Arial" w:cs="Arial" w:eastAsia="Arial" w:hAnsi="Arial"/>
          <w:sz w:val="17"/>
          <w:szCs w:val="17"/>
          <w:color w:val="auto"/>
        </w:rPr>
        <w:t>often consists of inventory, accounts receivable and other non-real estate assets. Equipment and inventory obsolescence can also pose a risk. Declines in general economic conditions and other events can cause cash flows to fall to levels insufficient to service debt.</w:t>
      </w:r>
    </w:p>
    <w:p>
      <w:pPr>
        <w:spacing w:after="0" w:line="158"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construction </w:t>
      </w:r>
      <w:r>
        <w:rPr>
          <w:rFonts w:ascii="Arial" w:cs="Arial" w:eastAsia="Arial" w:hAnsi="Arial"/>
          <w:sz w:val="18"/>
          <w:szCs w:val="18"/>
          <w:color w:val="auto"/>
        </w:rPr>
        <w:t>– Risks common to commercial construction loans are cost overruns, changes in market demand for property,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financing arrangements and declines in real estate values.</w:t>
      </w:r>
    </w:p>
    <w:p>
      <w:pPr>
        <w:spacing w:after="0" w:line="161" w:lineRule="exact"/>
        <w:rPr>
          <w:rFonts w:ascii="Arial" w:cs="Arial" w:eastAsia="Arial" w:hAnsi="Arial"/>
          <w:sz w:val="18"/>
          <w:szCs w:val="18"/>
          <w:b w:val="1"/>
          <w:bCs w:val="1"/>
          <w:color w:val="auto"/>
        </w:rPr>
      </w:pPr>
    </w:p>
    <w:p>
      <w:pPr>
        <w:ind w:left="34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Equipment financing </w:t>
      </w:r>
      <w:r>
        <w:rPr>
          <w:rFonts w:ascii="Arial" w:cs="Arial" w:eastAsia="Arial" w:hAnsi="Arial"/>
          <w:sz w:val="17"/>
          <w:szCs w:val="17"/>
          <w:color w:val="auto"/>
        </w:rPr>
        <w:t>- Risks associated with equipment financing are similar to those described for commercial and industrial loans, including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as well as appropriate lien priority on equipment, equipment obsolescence and the general mobility of the collateral.</w:t>
      </w:r>
    </w:p>
    <w:p>
      <w:pPr>
        <w:spacing w:after="0" w:line="138"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Residential mortgage </w:t>
      </w:r>
      <w:r>
        <w:rPr>
          <w:rFonts w:ascii="Arial" w:cs="Arial" w:eastAsia="Arial" w:hAnsi="Arial"/>
          <w:sz w:val="18"/>
          <w:szCs w:val="18"/>
          <w:color w:val="auto"/>
        </w:rPr>
        <w:t>– Residential mortgage loans are susceptible to weakening general economic conditions and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including an increase in unemployment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rates, and declining real estate values which reduce or eliminate the borrower’s home equity.</w:t>
      </w:r>
    </w:p>
    <w:p>
      <w:pPr>
        <w:spacing w:after="0" w:line="161"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Residential construction </w:t>
      </w:r>
      <w:r>
        <w:rPr>
          <w:rFonts w:ascii="Arial" w:cs="Arial" w:eastAsia="Arial" w:hAnsi="Arial"/>
          <w:sz w:val="18"/>
          <w:szCs w:val="18"/>
          <w:color w:val="auto"/>
        </w:rPr>
        <w:t>– Residential construction loans are susceptible to the same risks as residential mortgage loans. Changes in market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leads to longer marketing times resulting in higher carrying costs, declining values, and higher interest rates.</w:t>
      </w:r>
    </w:p>
    <w:p>
      <w:pPr>
        <w:spacing w:after="0" w:line="161"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direct </w:t>
      </w:r>
      <w:r>
        <w:rPr>
          <w:rFonts w:ascii="Arial" w:cs="Arial" w:eastAsia="Arial" w:hAnsi="Arial"/>
          <w:sz w:val="18"/>
          <w:szCs w:val="18"/>
          <w:color w:val="auto"/>
        </w:rPr>
        <w:t>– Risks common to consumer direct loans include regulatory risks, unemployment and changes in local economic conditions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inability to monitor collateral consisting of personal property.</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Indirect auto - </w:t>
      </w:r>
      <w:r>
        <w:rPr>
          <w:rFonts w:ascii="Arial" w:cs="Arial" w:eastAsia="Arial" w:hAnsi="Arial"/>
          <w:sz w:val="18"/>
          <w:szCs w:val="18"/>
          <w:color w:val="auto"/>
        </w:rPr>
        <w:t>Risks common to indirect auto loans include unemployment and changes in local economic conditions as well as the inability to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w:t>
      </w:r>
    </w:p>
    <w:p>
      <w:pPr>
        <w:spacing w:after="0" w:line="16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Management outsources a significant portion of its loan review to ensure objectivity in the loan review process and to challenge and corroborate the loan grading system. The loan review function provides additional analysis used in determining the adequacy of the allowance for loan losses. To supplement the outsourced loan review, management also has an internal loan review department that is independent of the lending function.</w:t>
      </w:r>
    </w:p>
    <w:p>
      <w:pPr>
        <w:spacing w:after="0" w:line="165"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believes the allowance for loan losses is appropriate at December 31, 2018.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Premises and equipment are stated at cost less accumulated depreciation. Depreciation is computed primarily using the straight 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Foreclosed Properties (Other Real Estate Owned, or “OREO”)</w:t>
      </w:r>
    </w:p>
    <w:p>
      <w:pPr>
        <w:spacing w:after="0" w:line="27" w:lineRule="exact"/>
        <w:rPr>
          <w:rFonts w:ascii="Arial" w:cs="Arial" w:eastAsia="Arial" w:hAnsi="Arial"/>
          <w:sz w:val="18"/>
          <w:szCs w:val="18"/>
          <w:b w:val="1"/>
          <w:bCs w:val="1"/>
          <w:color w:val="auto"/>
        </w:rPr>
      </w:pPr>
    </w:p>
    <w:p>
      <w:pPr>
        <w:jc w:val="both"/>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ASC Topic 610, Subtopic 20, </w:t>
      </w:r>
      <w:r>
        <w:rPr>
          <w:rFonts w:ascii="Arial" w:cs="Arial" w:eastAsia="Arial" w:hAnsi="Arial"/>
          <w:sz w:val="18"/>
          <w:szCs w:val="18"/>
          <w:i w:val="1"/>
          <w:iCs w:val="1"/>
          <w:color w:val="auto"/>
        </w:rPr>
        <w:t>Gains and losses from the derecognition of nonfinancial assets</w:t>
      </w:r>
      <w:r>
        <w:rPr>
          <w:rFonts w:ascii="Arial" w:cs="Arial" w:eastAsia="Arial" w:hAnsi="Arial"/>
          <w:sz w:val="18"/>
          <w:szCs w:val="18"/>
          <w:color w:val="auto"/>
        </w:rPr>
        <w:t xml:space="preserve"> (“ASC 610-20”).</w:t>
      </w:r>
    </w:p>
    <w:p>
      <w:pPr>
        <w:spacing w:after="0" w:line="1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7"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8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Other intangible assets, which are initially recorded at fair value, consist of core deposit intangible assets and noncompete agreements resulting from acquisitions. Core deposit intangible assets are amortized on a sum-of-the-years-digits basis over their estimated useful lives. Noncompete agreements are amortized on a straight line basis over their estimated useful lives.</w:t>
      </w:r>
    </w:p>
    <w:p>
      <w:pPr>
        <w:spacing w:after="0" w:line="18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evaluates other intangible assets for impairment whenever events or changes in circumstances indicate the carrying amount of the asset may not be recoverable.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of Financial Assets</w:t>
      </w:r>
    </w:p>
    <w:p>
      <w:pPr>
        <w:spacing w:after="0" w:line="27"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 Rights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records a separate servicing asset for Small Business Administration (“SBA”) loans, United States Department of Agriculture (“USDA”) loans, and residential mortgage loans when the loan is sold but servicing is retained. This asset represents the right to service the loans and receive a fee in compensation. Servicing assets are 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9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has elected to subsequently measure the servicing assets for government guaranteed loans at fair value. There is no aggregation of the loans into pools for the valuation of the servicing asset, but rather the servicing asset value is measured at a loan level.</w:t>
      </w:r>
    </w:p>
    <w:p>
      <w:pPr>
        <w:spacing w:after="0" w:line="170"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Effective January 1, 2017, management elected to begin measuring residential mortgage servicing rights at fair value. The cumulative effect adjustment of this election to retained earnings, net of income tax effect, was $437,000. Prior to 2017, impairment valuations were based on projections using a discounted cash flow method that included assumptions regarding prepayments, interest rates, servicing costs and other factors. Impairment was measured on a disaggregated basis for each stratum of the servicing rights, which was segregated based on predominant risk characteristics including interest rate and loan type. Subsequent increases in value were recognized to the extent of previously recorded impairment for each stratum.</w:t>
      </w:r>
    </w:p>
    <w:p>
      <w:pPr>
        <w:spacing w:after="0" w:line="158"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Owned Life Insurance</w:t>
      </w:r>
    </w:p>
    <w:p>
      <w:pPr>
        <w:spacing w:after="0" w:line="27"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has purchased life insurance policies on certain key executives and members of management. United has also received life insurance policies on members of acquired bank management teams through acquisitions of other banks.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Commitments and Related Financial Instruments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from Contracts with Customers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In addition to lending and related activities, United offers various services to customers that generate revenue, certain of which are governed by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United’s services that fall within the scope of ASC 606 are presented within noninterest income and include service charges and fees, brokerage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170"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the future tax consequences of differences between the financial reporting bases and the tax bases of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prudent and feasible tax planning strategies. Management weighs both the positive and negative evidence, giving more weight to evidence that can be objectively verified.</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income tax benefit or expense is the total of the current year income tax due or refundable and the change in deferred tax assets and liabilities.</w:t>
      </w:r>
    </w:p>
    <w:p>
      <w:pPr>
        <w:spacing w:after="0" w:line="236"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United recognizes interest and / or penalties related to income tax matters in income tax expense.</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rFonts w:ascii="Arial" w:cs="Arial" w:eastAsia="Arial" w:hAnsi="Arial"/>
          <w:sz w:val="18"/>
          <w:szCs w:val="18"/>
          <w:b w:val="1"/>
          <w:bCs w:val="1"/>
          <w:color w:val="auto"/>
        </w:rPr>
      </w:pPr>
    </w:p>
    <w:p>
      <w:pPr>
        <w:jc w:val="both"/>
        <w:ind w:left="3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The objective is to manage interest rate sensitivity by modifying the repricing or maturity characteristics of certain balance sheet assets and liabilities so that net interest revenue is not, on a material basis, adversely affected by movements in interest rates. United views this strategy as a prudent management of interest rate risk, such that net income is not exposed to undue risk presented by changes in interest rates.</w:t>
      </w:r>
    </w:p>
    <w:p>
      <w:pPr>
        <w:spacing w:after="0" w:line="161"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carrying out this part of its interest rate risk management strategy, management uses derivatives, primarily interest rate swaps. Interest rate swaps generally involve the exchange of fixed- and variable-rate interest payments between two parties, based on a common notional principal amount and maturity date. United has also occasionally used interest rate caps to serve as an economic macro hedge of exposure to rising interest rates.</w:t>
      </w:r>
    </w:p>
    <w:p>
      <w:pPr>
        <w:spacing w:after="0" w:line="146"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w:t>
      </w:r>
    </w:p>
    <w:p>
      <w:pPr>
        <w:spacing w:after="0" w:line="188"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To accommodate customers, United enters into interest rate swaps or caps with certain commercial loan customers, with offsetting positions to dealers under a back-to-back swap/cap program. In addition,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9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on the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United uses the “long-haul method” to assess hedge effectiveness. Management documents, both at inception and over the life of the hedge, at least quarterly, its analysis of actual and expected hedge effectiveness. This analysis includes techniques such as regression analysis and hypothetical derivatives to demonstrate that the hedge has been, and is expected to be, highly effective in offsetting corresponding changes in the fair value or cash flows of the hedged item. For a qualifying fair value hedge, changes in the value of derivatives that have been highly effective as hedges are recognized in current period earnings along with the corresponding changes in the fair value of the designated hedged item attributable to the risk being hedged. For a qualifying cash flow hedge, the portion of changes in the fair value of the derivatives that have been highly effective are recognized in other comprehensive income until the related cash flows from the hedged item are recognized in earnings.</w:t>
      </w:r>
    </w:p>
    <w:p>
      <w:pPr>
        <w:spacing w:after="0" w:line="17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189"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management. United also requires the counterparties to pledge cash as collateral to cover the net exposure. All newly eligible derivatives entered into are cleared through a central clearinghouse, which reduces counterparty exposure.</w:t>
      </w:r>
    </w:p>
    <w:p>
      <w:pPr>
        <w:spacing w:after="0" w:line="164"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Derivative activities are monitored by the Asset/Liability Management Committee (“ALCO”) as part its oversight of asset/liability and treasury functions.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186"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designated as a hedge are accounted for in the net income of the period of the change.</w:t>
      </w:r>
    </w:p>
    <w:p>
      <w:pPr>
        <w:spacing w:after="0" w:line="16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Activities</w:t>
      </w:r>
    </w:p>
    <w:p>
      <w:pPr>
        <w:spacing w:after="0" w:line="27"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 The determination of the fair value of loans acquired takes into account credit quality deterioration and probability of loss; therefore, the related allowance for loan losses is not carried forward.</w:t>
      </w:r>
    </w:p>
    <w:p>
      <w:pPr>
        <w:spacing w:after="0" w:line="164"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w:t>
      </w:r>
    </w:p>
    <w:p>
      <w:pPr>
        <w:spacing w:after="0" w:line="27"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Accordingly, net income available to common shareholders is calculated pursuant to the two-class method, whereby net income is allocated between common shareholders and participating securities. Diluted earnings per common share includes the dilutive effect of additional potential shares of common stock issuable under stock options, unvested restricted stock without nonforfeitable rights to dividends, warrants and securities convertible into common stock.</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 Contingencies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Restrictions</w:t>
      </w:r>
    </w:p>
    <w:p>
      <w:pPr>
        <w:spacing w:after="0" w:line="27" w:lineRule="exact"/>
        <w:rPr>
          <w:rFonts w:ascii="Arial" w:cs="Arial" w:eastAsia="Arial" w:hAnsi="Arial"/>
          <w:sz w:val="18"/>
          <w:szCs w:val="18"/>
          <w:b w:val="1"/>
          <w:bCs w:val="1"/>
          <w:color w:val="auto"/>
        </w:rPr>
      </w:pPr>
    </w:p>
    <w:p>
      <w:pPr>
        <w:jc w:val="both"/>
        <w:ind w:left="3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Banking regulations require maintaining certain capital levels and may limit dividends paid by the Bank to the Holding Company or by the Holding Company to shareholders. Specifically, dividends paid by the Bank to the Holding Company require pre-approval of the Georgia Department of Banking and Finance and the FDIC during periods in which the Bank has an accumulated deficit (negative retained earnings).</w:t>
      </w:r>
    </w:p>
    <w:p>
      <w:pPr>
        <w:spacing w:after="0" w:line="16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7"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Fair values of financial instruments are estimated using relevant market information and other assumptions as more fully disclosed in Note 23.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5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7" w:lineRule="exact"/>
        <w:rPr>
          <w:rFonts w:ascii="Arial" w:cs="Arial" w:eastAsia="Arial" w:hAnsi="Arial"/>
          <w:sz w:val="18"/>
          <w:szCs w:val="18"/>
          <w:b w:val="1"/>
          <w:bCs w:val="1"/>
          <w:color w:val="auto"/>
        </w:rPr>
      </w:pPr>
    </w:p>
    <w:p>
      <w:pPr>
        <w:ind w:lef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United uses the fair value method of recognizing expense for stock-based compensation based on the fair value of option and restricted stock awards at the date of grant. United accounts for forfeitures as they occur.</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Reclassifications</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Certain amounts have been reclassified to conform to the 2018 presentation.</w:t>
      </w:r>
    </w:p>
    <w:p>
      <w:pPr>
        <w:spacing w:after="0" w:line="206" w:lineRule="exact"/>
        <w:rPr>
          <w:rFonts w:ascii="Arial" w:cs="Arial" w:eastAsia="Arial" w:hAnsi="Arial"/>
          <w:sz w:val="18"/>
          <w:szCs w:val="18"/>
          <w:b w:val="1"/>
          <w:bCs w:val="1"/>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and Recently Adopted Standards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Standards Updates</w:t>
      </w:r>
    </w:p>
    <w:p>
      <w:pPr>
        <w:spacing w:after="0" w:line="27"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In February 2016,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guidance was further modified in 2018 by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ASU No. 2018-11, </w:t>
      </w:r>
      <w:r>
        <w:rPr>
          <w:rFonts w:ascii="Arial" w:cs="Arial" w:eastAsia="Arial" w:hAnsi="Arial"/>
          <w:sz w:val="16"/>
          <w:szCs w:val="16"/>
          <w:i w:val="1"/>
          <w:iCs w:val="1"/>
          <w:color w:val="auto"/>
        </w:rPr>
        <w:t>Leases (Topic 842): Targeted Improvement</w:t>
      </w:r>
      <w:r>
        <w:rPr>
          <w:rFonts w:ascii="Arial" w:cs="Arial" w:eastAsia="Arial" w:hAnsi="Arial"/>
          <w:sz w:val="16"/>
          <w:szCs w:val="16"/>
          <w:color w:val="auto"/>
        </w:rPr>
        <w:t xml:space="preserve">s, and ASU No. 2018-20, </w:t>
      </w:r>
      <w:r>
        <w:rPr>
          <w:rFonts w:ascii="Arial" w:cs="Arial" w:eastAsia="Arial" w:hAnsi="Arial"/>
          <w:sz w:val="16"/>
          <w:szCs w:val="16"/>
          <w:i w:val="1"/>
          <w:iCs w:val="1"/>
          <w:color w:val="auto"/>
        </w:rPr>
        <w:t>Leases (Topic 842): Narrow-Scope Improvements for Lessors</w:t>
      </w:r>
      <w:r>
        <w:rPr>
          <w:rFonts w:ascii="Arial" w:cs="Arial" w:eastAsia="Arial" w:hAnsi="Arial"/>
          <w:sz w:val="16"/>
          <w:szCs w:val="16"/>
          <w:color w:val="auto"/>
        </w:rPr>
        <w:t>. These standards require a lessee to recognize in the consolidated balance sheet a liability to make lease payments (the lease liability) and a right-of-use asset representing its right to use the underlying asset for the lease term. United adopted the standard on January 1, 2019 using the optional transition method, which allowed for a modified retrospective method of adoption with a cumulative effect adjustment to shareholders’ equity without restating comparable periods. United also elected the relief package of practical expedients for which there is no requirement to reassess existence of leases, their classification, and initial direct costs as well as an exemption for short-term leases with a term of less than one year, whereby United does not recognize a lease liability or right-of-use asset on the consolidated balance sheet but instead recognizes lease payments as an expense over the lease term as appropriate. The adoption of this guidance resulted in recognition of a right-of-use asset of $23.7 million, a lease liability of $26.7 million and a reduction of shareholders’ equity of $738,000. In the opinion of management, the changes described above resulting from the adoption of the standard did not have a material impact on the consolidated financial statements.</w:t>
      </w:r>
    </w:p>
    <w:p>
      <w:pPr>
        <w:spacing w:after="0" w:line="166"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guidance was further modified in November 2018 by ASU No. 2018-19,</w:t>
      </w:r>
      <w:r>
        <w:rPr>
          <w:rFonts w:ascii="Arial" w:cs="Arial" w:eastAsia="Arial" w:hAnsi="Arial"/>
          <w:sz w:val="18"/>
          <w:szCs w:val="18"/>
          <w:i w:val="1"/>
          <w:iCs w:val="1"/>
          <w:color w:val="auto"/>
        </w:rPr>
        <w:t xml:space="preserve"> Codification Improvements to Topic 326, Financial Instruments - Credit Losses. </w:t>
      </w:r>
      <w:r>
        <w:rPr>
          <w:rFonts w:ascii="Arial" w:cs="Arial" w:eastAsia="Arial" w:hAnsi="Arial"/>
          <w:sz w:val="18"/>
          <w:szCs w:val="18"/>
          <w:color w:val="auto"/>
        </w:rPr>
        <w:t>The new guidance replaces the incurred loss impairment methodology in current GAAP with an expected credit loss</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and requires consideration of a broader range of information to determine credit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and Recently Adopted Standards,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will be applied on a prospective basis. For public entities, this update is effective for fiscal years beginning after December 15, 2019. Upon adoption, United expects that the allowance for credit losses may be higher given the change to estimated losses for the estimated life of the financial asset; however, management is still in the process of determining the impact. Management has formed a steering committee and completed a gap assessment and a full project plan. The steering committee has selected a software provider and is in the process of populating relevant data, building models and documenting processes and controls in preparation for a loan-focused parallel run in the first quarter of 2019. United expects to run a full parallel run for the remaining three quarters of 2019 to ensure it is prepared for implementation by the effective date. During monthly steering committee meetings, management regularly reviews project status, gap remediation efforts and project priorities.</w:t>
      </w:r>
    </w:p>
    <w:p>
      <w:pPr>
        <w:spacing w:after="0" w:line="187"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 – 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Purchased Callable Debt Securities</w:t>
      </w:r>
      <w:r>
        <w:rPr>
          <w:rFonts w:ascii="Arial" w:cs="Arial" w:eastAsia="Arial" w:hAnsi="Arial"/>
          <w:sz w:val="17"/>
          <w:szCs w:val="17"/>
          <w:color w:val="auto"/>
        </w:rPr>
        <w:t>. This update shortens the amortization period for certain callable debt securities held at a premium. Specifically,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the premium to be amortized to the earliest call date. For securities held at a discount, the discount will continue to be amortized to maturity. For public entities, this update is effective for fiscal years beginning after December 15, 2018, with modified retrospective application. The adoption of this update on January 1, 2019 did not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This update expands and refines hedge accounting for both nonfinancial and financial risk components and aligns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the effects of the hedging instrument and the hedged item in the financial statements. This update also makes certain targeted improvements to simplify the application of hedge accounting guidance and ease the administrative burden of hedge documentation requirements and assessing hedge effectiveness. For public entities, this update is effective for fiscal years beginning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The amended presentation and disclosure guidance is required prospectively. The adoption of this update on January 1, 2019 did not have a material impact on the consolidated financial statements.</w:t>
      </w:r>
    </w:p>
    <w:p>
      <w:pPr>
        <w:spacing w:after="0" w:line="181"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2018, the FASB issued ASU No. 2018-06, </w:t>
      </w:r>
      <w:r>
        <w:rPr>
          <w:rFonts w:ascii="Arial" w:cs="Arial" w:eastAsia="Arial" w:hAnsi="Arial"/>
          <w:sz w:val="18"/>
          <w:szCs w:val="18"/>
          <w:i w:val="1"/>
          <w:iCs w:val="1"/>
          <w:color w:val="auto"/>
        </w:rPr>
        <w:t>Codification Improvements to Topic 942, Financial Services - Depository and Lending</w:t>
      </w:r>
      <w:r>
        <w:rPr>
          <w:rFonts w:ascii="Arial" w:cs="Arial" w:eastAsia="Arial" w:hAnsi="Arial"/>
          <w:sz w:val="18"/>
          <w:szCs w:val="18"/>
          <w:color w:val="auto"/>
        </w:rPr>
        <w:t>. This update superseded outdated guidance related to the Office of the Comptroller of the Currency’s Banking Circular 202, Accounting for Net Deferred Tax Charges. United does not expect the new guidance to have a material impact on the consolidated financial statements.</w:t>
      </w:r>
    </w:p>
    <w:p>
      <w:pPr>
        <w:spacing w:after="0" w:line="18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This update expands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As a result, nonemployee share-based payment awards will be measured at the grant-date fair value of the equity instruments that an entity is obligated to issue when the service has been rendered, subject to the probability of satisfying performance conditions when applicable. For public entities, this update is effective for fiscal years beginning after December 15, 2018. The adoption of the new guidance on January 1, 2019 did not have a material impact on the consolidated financial statements as United does not currently grant equity awards to nonemployees other than directors and does not anticipate doing so.</w:t>
      </w:r>
    </w:p>
    <w:p>
      <w:pPr>
        <w:spacing w:after="0" w:line="189"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June 2018, the FASB issued ASU No. 2018-08, </w:t>
      </w:r>
      <w:r>
        <w:rPr>
          <w:rFonts w:ascii="Arial" w:cs="Arial" w:eastAsia="Arial" w:hAnsi="Arial"/>
          <w:sz w:val="17"/>
          <w:szCs w:val="17"/>
          <w:i w:val="1"/>
          <w:iCs w:val="1"/>
          <w:color w:val="auto"/>
        </w:rPr>
        <w:t>Not for Profit Entities (Topic 958): Clarifying the Scope and the Accounting Guidance for</w:t>
      </w:r>
      <w:r>
        <w:rPr>
          <w:rFonts w:ascii="Arial" w:cs="Arial" w:eastAsia="Arial" w:hAnsi="Arial"/>
          <w:sz w:val="17"/>
          <w:szCs w:val="17"/>
          <w:color w:val="auto"/>
        </w:rPr>
        <w:t xml:space="preserve"> </w:t>
      </w:r>
      <w:r>
        <w:rPr>
          <w:rFonts w:ascii="Arial" w:cs="Arial" w:eastAsia="Arial" w:hAnsi="Arial"/>
          <w:sz w:val="17"/>
          <w:szCs w:val="17"/>
          <w:i w:val="1"/>
          <w:iCs w:val="1"/>
          <w:color w:val="auto"/>
        </w:rPr>
        <w:t>Contributions Received and Contributions Made</w:t>
      </w:r>
      <w:r>
        <w:rPr>
          <w:rFonts w:ascii="Arial" w:cs="Arial" w:eastAsia="Arial" w:hAnsi="Arial"/>
          <w:sz w:val="17"/>
          <w:szCs w:val="17"/>
          <w:color w:val="auto"/>
        </w:rPr>
        <w:t>. This update clarifies the guidance about whether a transfer of assets (or the reduction, settlement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of liabilities) is a contribution or an exchange transaction. In addition, the guidance clarifies the determination of whether a transaction is conditional. For public entities, this update is effective for contributions made in fiscal years beginning after December 15, 2018. The adoption of the new guidance on January 1, 2019 did not have a material impact on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and Recently Adopted Standards,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July 2018, the FASB issued ASU No. 2018-09,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to address stakeholder suggestions for minor corrections and clarifications within the codification. The transition and effective date guidance is based on the facts and circumstances of each amendment. Some of the amendments in this update do not require transition guidance and will be effective upon issuance of this update. However, many of the amendments in this update do have transition guidance with effective dates for annual periods beginning after December 15, 2018, for public business entities. The adoption of the new guidance on January 1, 2019 did not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update removes disclosures that are no longer considered cost beneficial, modifies certain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disclosures, and adds disclosure requirements identified as relevant. For public entities, this guidance is effective for fiscal years ending after December 15, 2019 and, depending on the provision, requires either prospective or retrospective application to prior periods presented. United does not expect the new guidance to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The update removes disclosures that are no longer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cost beneficial, clarifies specific requirements of disclosures, and adds disclosure requirements identified as relevant. For public entities, this guidance is effective for fiscal years ending after December 15, 2020 and requires retrospective application to prior periods presented. United does not expect the new guidance to have a material impact on the consolidated financial statements.</w:t>
      </w:r>
    </w:p>
    <w:p>
      <w:pPr>
        <w:spacing w:after="0" w:line="188"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 (a consensus of the FASB Emerging Issues Task Force)</w:t>
      </w:r>
      <w:r>
        <w:rPr>
          <w:rFonts w:ascii="Arial" w:cs="Arial" w:eastAsia="Arial" w:hAnsi="Arial"/>
          <w:sz w:val="18"/>
          <w:szCs w:val="18"/>
          <w:color w:val="auto"/>
        </w:rPr>
        <w:t>. This update aligns the requirements for capitalizing implementation costs incurred in a hosting arrangement that is a service contract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to develop or obtain internal use software. For public entities, this guidance is effective for fiscal years ending after December 15, 2019 with either retrospective or prospective application. United does not expect the new guidance to have a material impact on the consolidated financial statements.</w:t>
      </w:r>
    </w:p>
    <w:p>
      <w:pPr>
        <w:spacing w:after="0" w:line="193"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October 2018, the FASB issued ASU No. 2018-16, </w:t>
      </w:r>
      <w:r>
        <w:rPr>
          <w:rFonts w:ascii="Arial" w:cs="Arial" w:eastAsia="Arial" w:hAnsi="Arial"/>
          <w:sz w:val="17"/>
          <w:szCs w:val="17"/>
          <w:i w:val="1"/>
          <w:iCs w:val="1"/>
          <w:color w:val="auto"/>
        </w:rPr>
        <w:t>Derivatives and Hedging (Topic 815): Inclusion of the Secured Overnight Financing Rate (SOFR)</w:t>
      </w:r>
      <w:r>
        <w:rPr>
          <w:rFonts w:ascii="Arial" w:cs="Arial" w:eastAsia="Arial" w:hAnsi="Arial"/>
          <w:sz w:val="17"/>
          <w:szCs w:val="17"/>
          <w:color w:val="auto"/>
        </w:rPr>
        <w:t xml:space="preserve"> </w:t>
      </w:r>
      <w:r>
        <w:rPr>
          <w:rFonts w:ascii="Arial" w:cs="Arial" w:eastAsia="Arial" w:hAnsi="Arial"/>
          <w:sz w:val="17"/>
          <w:szCs w:val="17"/>
          <w:i w:val="1"/>
          <w:iCs w:val="1"/>
          <w:color w:val="auto"/>
        </w:rPr>
        <w:t>Overnight Index Swap (OIS) Rate as a Benchmark Interest Rate for Hedge Accounting Purposes</w:t>
      </w:r>
      <w:r>
        <w:rPr>
          <w:rFonts w:ascii="Arial" w:cs="Arial" w:eastAsia="Arial" w:hAnsi="Arial"/>
          <w:sz w:val="17"/>
          <w:szCs w:val="17"/>
          <w:color w:val="auto"/>
        </w:rPr>
        <w:t>. This update permits the use of the OIS rate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SOFR as a U.S. benchmark interest rate for hedge accounting purposes. For public entities, this guidance is effective for fiscal years beginning after December 15, 2018 and should be applied on a prospective basis for qualifying new or redesignated hedging relationships. The adoption of this update on January 1, 2019 did not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October 2018, the FASB issued ASU No. 2018-17, </w:t>
      </w:r>
      <w:r>
        <w:rPr>
          <w:rFonts w:ascii="Arial" w:cs="Arial" w:eastAsia="Arial" w:hAnsi="Arial"/>
          <w:sz w:val="18"/>
          <w:szCs w:val="18"/>
          <w:i w:val="1"/>
          <w:iCs w:val="1"/>
          <w:color w:val="auto"/>
        </w:rPr>
        <w:t>Consolidation (Topic 810): Targeted Improvements to Related Party Guidance for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 In addition to expanding the private company accounting alternative for applying variable interest entities (“VIE”) guidance, this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modifies the evaluation of decision-making fees for all entities applying VIE guidance. For public entities, this guidance is effective for fiscal years beginning after December 31, 2019 with retrospective application. United does not expect the new guidance to have a material impact on the consolidated financial statements.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Standards Adopted in 2018</w:t>
      </w:r>
    </w:p>
    <w:p>
      <w:pPr>
        <w:spacing w:after="0" w:line="27"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ASU provides guidance on the recognition of revenue from contracts with customers.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was effective for public entities for annual reporting periods beginning after December 15, 2017, including interim periods within that reporting period, and was applied retrospectively either to each prior reporting period or with a cumulative effect recognized at the date of initial application. On January 1, 2018, United adopted ASU 2014-09 and all subsequent amendments to the ASU (collectively, ASC 606) using the modified retrospective approach. Because the guidance did not apply to revenue associated with financial instruments, including loans, leases, derivatives and securities, and revenue sources within scope were not materially affected, the new revenue recognition guidance did not have a material impact on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and Recently Adopted Standards,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In January 2016, the FASB issued ASU 2016-1,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Liabilities</w:t>
      </w:r>
      <w:r>
        <w:rPr>
          <w:rFonts w:ascii="Arial" w:cs="Arial" w:eastAsia="Arial" w:hAnsi="Arial"/>
          <w:sz w:val="16"/>
          <w:szCs w:val="16"/>
          <w:color w:val="auto"/>
        </w:rPr>
        <w:t>. The guidance in this update requires that equity investments (except those accounted for under the equity method of accounting) be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The guidance also simplifies the impairment assessment of equity investments without readily determinable fair values by requiring a qualitative assessment to identify impairment. In addition, the guidance addresses various disclosure and presentation issues related to financial instruments. For public entities, this update was effective for fiscal years beginning after December 15, 2017 with early application permitted. The adoption of this update did not have a material impact on the consolidated financial statements. There was no opening balance sheet adjustment as a result of the adoption and the remainder of the standard was applied prospectively.</w:t>
      </w:r>
    </w:p>
    <w:p>
      <w:pPr>
        <w:spacing w:after="0" w:line="166"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w:t>
      </w:r>
      <w:r>
        <w:rPr>
          <w:rFonts w:ascii="Arial" w:cs="Arial" w:eastAsia="Arial" w:hAnsi="Arial"/>
          <w:sz w:val="16"/>
          <w:szCs w:val="16"/>
          <w:color w:val="auto"/>
        </w:rPr>
        <w:t xml:space="preserve"> </w:t>
      </w:r>
      <w:r>
        <w:rPr>
          <w:rFonts w:ascii="Arial" w:cs="Arial" w:eastAsia="Arial" w:hAnsi="Arial"/>
          <w:sz w:val="16"/>
          <w:szCs w:val="16"/>
          <w:i w:val="1"/>
          <w:iCs w:val="1"/>
          <w:color w:val="auto"/>
        </w:rPr>
        <w:t>Task Force)</w:t>
      </w:r>
      <w:r>
        <w:rPr>
          <w:rFonts w:ascii="Arial" w:cs="Arial" w:eastAsia="Arial" w:hAnsi="Arial"/>
          <w:sz w:val="16"/>
          <w:szCs w:val="16"/>
          <w:color w:val="auto"/>
        </w:rPr>
        <w:t>. This ASU requires that the statement of cash flows explain the change during the period in the total of cash, cash equivalents, and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described as restricted cash or restricted cash equivalents. This guidance was effective for public entities for fiscal years beginning after December 15, 2017, including interim periods within that reporting period, and was applied retrospectively to each period presented. The adoption of this update did not have a material impact on the consolidated financial statements. There was no adjustment to prior periods as a result of the adoption.</w:t>
      </w:r>
    </w:p>
    <w:p>
      <w:pPr>
        <w:spacing w:after="0" w:line="158"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 Improving the Presentation of Net Periodic</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Cost and Net Periodic Postretirement Benefit Cost</w:t>
      </w:r>
      <w:r>
        <w:rPr>
          <w:rFonts w:ascii="Arial" w:cs="Arial" w:eastAsia="Arial" w:hAnsi="Arial"/>
          <w:sz w:val="16"/>
          <w:szCs w:val="16"/>
          <w:color w:val="auto"/>
        </w:rPr>
        <w:t>. This ASU requires that an employer disaggregate the service cost component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of net benefit cost. The amendments also provide explicit guidance on how to present the service cost component and the other components of net benefit cost and allow only the service cost component to be eligible for capitalization. For public entities, this update was effective for fiscal years beginning after December 15, 2017, with retrospective presentation of the service cost and other components and prospective application for any capitalization of service cost. The adoption of this update did not have a material impact on the consolidated financial statements.</w:t>
      </w:r>
    </w:p>
    <w:p>
      <w:pPr>
        <w:spacing w:after="0" w:line="164"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This update clarifies which changes to the terms or conditions of a share-based payment award require an entity to apply modification accounting. Specifically, modification accounting should be applied unless the fair value of the modified award is the same as the original award immediately before modification, the vesting conditions of the modified award are the same as the original award immediately before modification, and the classification of the modified award as an equity instrument or a liability instrument is the same as the classification of the original award immediately before modification. For public entities, this update is effective for fiscal years beginning after December 15, 2017, with prospective application. The adoption of this update did not have a material impact on the consolidated financial statements.</w:t>
      </w:r>
    </w:p>
    <w:p>
      <w:pPr>
        <w:spacing w:after="0" w:line="185" w:lineRule="exact"/>
        <w:rPr>
          <w:rFonts w:ascii="Arial" w:cs="Arial" w:eastAsia="Arial" w:hAnsi="Arial"/>
          <w:sz w:val="18"/>
          <w:szCs w:val="18"/>
          <w:b w:val="1"/>
          <w:bCs w:val="1"/>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NLFC Holdings Corp.</w:t>
      </w:r>
    </w:p>
    <w:p>
      <w:pPr>
        <w:spacing w:after="0" w:line="27"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February 1, 2018, United completed the acquisition of NLFC and its wholly-owned subsidiary, Navitas Credit Corp (“Navitas”). Navitas is a specialty lending company providing equipment finance credit services to small and medium-sized businesses nationwide. In connection with the acquisition, United acquired $393 million of assets and assumed $350 million of liabilities. Under the terms of the merger agreement, NLFC shareholders received $130 million in total consideration, of which $84.5 million was paid in cash and $45.7 million was paid in United common stock. The fair value of consideration paid exceeded the fair value of the identifiable assets and liabilities acquired and resulted in the establishment of goodwill in the amount of $87.4 million, representing the intangible value of NLFC’s business and reputation within the markets it served. None of the goodwill recognized is expected to be deductible for income tax purposes.</w:t>
      </w:r>
    </w:p>
    <w:p>
      <w:pPr>
        <w:spacing w:after="0" w:line="180"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United’s operating results for the year ended December 31, 2018 include the operating results of the acquired assets and assumed liabilities for the period subsequent to the acquisition date of February 1, 2018.</w:t>
      </w:r>
    </w:p>
    <w:p>
      <w:pPr>
        <w:spacing w:after="0" w:line="17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Since the acquisition date, within the one-year measurement period, United received additional information regarding the fair value of loans. As a result, the provisional value assigned to the acquired loans was reduced by $526,000, partially offset by acquisition-related adjustments to deferred tax assets. The net of the adjustments was reflected as a $390,000 increase to goodwill.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As Recorded by</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Fair Value</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As Recorded by</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NLFC</w:t>
            </w:r>
          </w:p>
        </w:tc>
        <w:tc>
          <w:tcPr>
            <w:tcW w:w="1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40" w:type="dxa"/>
            <w:vAlign w:val="bottom"/>
          </w:tcPr>
          <w:p>
            <w:pPr>
              <w:spacing w:after="0"/>
              <w:rPr>
                <w:sz w:val="21"/>
                <w:szCs w:val="21"/>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230"/>
        </w:trPr>
        <w:tc>
          <w:tcPr>
            <w:tcW w:w="6000" w:type="dxa"/>
            <w:vAlign w:val="bottom"/>
            <w:tcBorders>
              <w:top w:val="single" w:sz="8" w:color="F0FFFF"/>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bottom w:val="single" w:sz="8" w:color="F0FFFF"/>
            </w:tcBorders>
            <w:shd w:val="clear" w:color="auto" w:fill="F0FFFF"/>
          </w:tcPr>
          <w:p>
            <w:pPr>
              <w:spacing w:after="0"/>
              <w:rPr>
                <w:sz w:val="20"/>
                <w:szCs w:val="20"/>
                <w:color w:val="auto"/>
              </w:rPr>
            </w:pPr>
          </w:p>
        </w:tc>
        <w:tc>
          <w:tcPr>
            <w:tcW w:w="1360" w:type="dxa"/>
            <w:vAlign w:val="bottom"/>
            <w:tcBorders>
              <w:top w:val="single" w:sz="8" w:color="auto"/>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F0FFFF"/>
            </w:tcBorders>
            <w:shd w:val="clear" w:color="auto" w:fill="F0FFFF"/>
          </w:tcPr>
          <w:p>
            <w:pPr>
              <w:spacing w:after="0"/>
              <w:rPr>
                <w:sz w:val="20"/>
                <w:szCs w:val="20"/>
                <w:color w:val="auto"/>
              </w:rPr>
            </w:pPr>
          </w:p>
        </w:tc>
        <w:tc>
          <w:tcPr>
            <w:tcW w:w="1320" w:type="dxa"/>
            <w:vAlign w:val="bottom"/>
            <w:tcBorders>
              <w:top w:val="single" w:sz="8" w:color="auto"/>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F0FFFF"/>
            </w:tcBorders>
            <w:shd w:val="clear" w:color="auto" w:fill="F0FFFF"/>
          </w:tcPr>
          <w:p>
            <w:pPr>
              <w:spacing w:after="0"/>
              <w:rPr>
                <w:sz w:val="20"/>
                <w:szCs w:val="20"/>
                <w:color w:val="auto"/>
              </w:rPr>
            </w:pPr>
          </w:p>
        </w:tc>
        <w:tc>
          <w:tcPr>
            <w:tcW w:w="1340" w:type="dxa"/>
            <w:vAlign w:val="bottom"/>
            <w:tcBorders>
              <w:top w:val="single" w:sz="8" w:color="auto"/>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27,700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27,700</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Loans and leases, net</w:t>
            </w:r>
          </w:p>
        </w:tc>
        <w:tc>
          <w:tcPr>
            <w:tcW w:w="1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365,533</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358,352</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160" w:type="dxa"/>
            <w:vAlign w:val="bottom"/>
            <w:tcBorders>
              <w:bottom w:val="single" w:sz="8" w:color="F0FFFF"/>
            </w:tcBorders>
            <w:shd w:val="clear" w:color="auto" w:fill="F0FFFF"/>
          </w:tcPr>
          <w:p>
            <w:pPr>
              <w:spacing w:after="0"/>
              <w:rPr>
                <w:sz w:val="21"/>
                <w:szCs w:val="21"/>
                <w:color w:val="auto"/>
              </w:rPr>
            </w:pPr>
          </w:p>
        </w:tc>
        <w:tc>
          <w:tcPr>
            <w:tcW w:w="14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2,873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398,978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(5,678)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393,300</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Short-term borrowings</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214,923</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214,923</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119,402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119,402</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17,059</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16,108</w:t>
            </w:r>
          </w:p>
        </w:tc>
        <w:tc>
          <w:tcPr>
            <w:tcW w:w="0" w:type="dxa"/>
            <w:vAlign w:val="bottom"/>
          </w:tcPr>
          <w:p>
            <w:pPr>
              <w:spacing w:after="0"/>
              <w:rPr>
                <w:sz w:val="1"/>
                <w:szCs w:val="1"/>
                <w:color w:val="auto"/>
              </w:rPr>
            </w:pPr>
          </w:p>
        </w:tc>
      </w:tr>
      <w:tr>
        <w:trPr>
          <w:trHeight w:val="217"/>
        </w:trPr>
        <w:tc>
          <w:tcPr>
            <w:tcW w:w="6000" w:type="dxa"/>
            <w:vAlign w:val="bottom"/>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351,384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350,433</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47,594</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Arial" w:cs="Arial" w:eastAsia="Arial" w:hAnsi="Arial"/>
                <w:sz w:val="16"/>
                <w:szCs w:val="16"/>
                <w:color w:val="auto"/>
              </w:rPr>
              <w:t>Aggregate fair value adjustments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(4,727)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tcBorders>
              <w:bottom w:val="single" w:sz="8" w:color="F0FFFF"/>
            </w:tcBorders>
            <w:vMerge w:val="continue"/>
          </w:tcPr>
          <w:p>
            <w:pPr>
              <w:spacing w:after="0"/>
              <w:rPr>
                <w:sz w:val="24"/>
                <w:szCs w:val="24"/>
                <w:color w:val="auto"/>
              </w:rPr>
            </w:pPr>
          </w:p>
        </w:tc>
        <w:tc>
          <w:tcPr>
            <w:tcW w:w="160" w:type="dxa"/>
            <w:vAlign w:val="bottom"/>
            <w:tcBorders>
              <w:bottom w:val="single" w:sz="8" w:color="F0FFFF"/>
            </w:tcBorders>
          </w:tcPr>
          <w:p>
            <w:pPr>
              <w:spacing w:after="0"/>
              <w:rPr>
                <w:sz w:val="24"/>
                <w:szCs w:val="24"/>
                <w:color w:val="auto"/>
              </w:rPr>
            </w:pPr>
          </w:p>
        </w:tc>
        <w:tc>
          <w:tcPr>
            <w:tcW w:w="136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F0FFFF"/>
            </w:tcBorders>
          </w:tcPr>
          <w:p>
            <w:pPr>
              <w:spacing w:after="0"/>
              <w:rPr>
                <w:sz w:val="24"/>
                <w:szCs w:val="24"/>
                <w:color w:val="auto"/>
              </w:rPr>
            </w:pPr>
          </w:p>
        </w:tc>
        <w:tc>
          <w:tcPr>
            <w:tcW w:w="134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bottom w:val="single" w:sz="8" w:color="F0FFFF"/>
            </w:tcBorders>
            <w:shd w:val="clear" w:color="auto" w:fill="F0FFFF"/>
          </w:tcPr>
          <w:p>
            <w:pPr>
              <w:spacing w:after="0"/>
              <w:rPr>
                <w:sz w:val="22"/>
                <w:szCs w:val="22"/>
                <w:color w:val="auto"/>
              </w:rPr>
            </w:pPr>
          </w:p>
        </w:tc>
        <w:tc>
          <w:tcPr>
            <w:tcW w:w="13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3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42,867</w:t>
            </w:r>
          </w:p>
        </w:tc>
        <w:tc>
          <w:tcPr>
            <w:tcW w:w="0" w:type="dxa"/>
            <w:vAlign w:val="bottom"/>
          </w:tcPr>
          <w:p>
            <w:pPr>
              <w:spacing w:after="0"/>
              <w:rPr>
                <w:sz w:val="1"/>
                <w:szCs w:val="1"/>
                <w:color w:val="auto"/>
              </w:rPr>
            </w:pPr>
          </w:p>
        </w:tc>
      </w:tr>
      <w:tr>
        <w:trPr>
          <w:trHeight w:val="231"/>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84,500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Common stock issued (1,443,987 shares)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45,746</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3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130,246</w:t>
            </w:r>
          </w:p>
        </w:tc>
        <w:tc>
          <w:tcPr>
            <w:tcW w:w="0" w:type="dxa"/>
            <w:vAlign w:val="bottom"/>
          </w:tcPr>
          <w:p>
            <w:pPr>
              <w:spacing w:after="0"/>
              <w:rPr>
                <w:sz w:val="1"/>
                <w:szCs w:val="1"/>
                <w:color w:val="auto"/>
              </w:rPr>
            </w:pPr>
          </w:p>
        </w:tc>
      </w:tr>
      <w:tr>
        <w:trPr>
          <w:trHeight w:val="244"/>
        </w:trPr>
        <w:tc>
          <w:tcPr>
            <w:tcW w:w="6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87,379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20" w:hanging="8"/>
        <w:spacing w:after="0" w:line="246" w:lineRule="auto"/>
        <w:tabs>
          <w:tab w:leader="none" w:pos="493"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and lease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1, 2018</w:t>
            </w:r>
          </w:p>
        </w:tc>
      </w:tr>
      <w:tr>
        <w:trPr>
          <w:trHeight w:val="33"/>
        </w:trPr>
        <w:tc>
          <w:tcPr>
            <w:tcW w:w="718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160" w:type="dxa"/>
            <w:vAlign w:val="bottom"/>
            <w:tcBorders>
              <w:bottom w:val="single" w:sz="8" w:color="F0FFFF"/>
            </w:tcBorders>
            <w:shd w:val="clear" w:color="auto" w:fill="F0FFFF"/>
          </w:tcPr>
          <w:p>
            <w:pPr>
              <w:spacing w:after="0"/>
              <w:rPr>
                <w:sz w:val="20"/>
                <w:szCs w:val="20"/>
                <w:color w:val="auto"/>
              </w:rPr>
            </w:pPr>
          </w:p>
        </w:tc>
        <w:tc>
          <w:tcPr>
            <w:tcW w:w="144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24,711</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160" w:type="dxa"/>
            <w:vAlign w:val="bottom"/>
            <w:tcBorders>
              <w:bottom w:val="single" w:sz="8" w:color="F0FFFF"/>
            </w:tcBorders>
            <w:shd w:val="clear" w:color="auto" w:fill="F0FFFF"/>
          </w:tcPr>
          <w:p>
            <w:pPr>
              <w:spacing w:after="0"/>
              <w:rPr>
                <w:sz w:val="23"/>
                <w:szCs w:val="23"/>
                <w:color w:val="auto"/>
              </w:rPr>
            </w:pPr>
          </w:p>
        </w:tc>
        <w:tc>
          <w:tcPr>
            <w:tcW w:w="14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5,505</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19,206</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160" w:type="dxa"/>
            <w:vAlign w:val="bottom"/>
            <w:tcBorders>
              <w:bottom w:val="single" w:sz="8" w:color="F0FFFF"/>
            </w:tcBorders>
            <w:shd w:val="clear" w:color="auto" w:fill="F0FFFF"/>
          </w:tcPr>
          <w:p>
            <w:pPr>
              <w:spacing w:after="0"/>
              <w:rPr>
                <w:sz w:val="23"/>
                <w:szCs w:val="23"/>
                <w:color w:val="auto"/>
              </w:rPr>
            </w:pPr>
          </w:p>
        </w:tc>
        <w:tc>
          <w:tcPr>
            <w:tcW w:w="14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1,977</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17,229</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44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341,123</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389,432</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160" w:type="dxa"/>
            <w:vAlign w:val="bottom"/>
            <w:shd w:val="clear" w:color="auto" w:fill="F0FFFF"/>
          </w:tcPr>
          <w:p>
            <w:pPr>
              <w:spacing w:after="0"/>
              <w:rPr>
                <w:sz w:val="20"/>
                <w:szCs w:val="20"/>
                <w:color w:val="auto"/>
              </w:rPr>
            </w:pPr>
          </w:p>
        </w:tc>
        <w:tc>
          <w:tcPr>
            <w:tcW w:w="14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8,624</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 January 2018, after announcement of its intention to acquire NLFC but prior to the completion of the acquisition, United purchased $19.9 million in loans from NLFC in a transaction separate from the business combination.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Four Oaks FinCorp,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November 1, 2017, United completed the acquisition of Four Oaks FinCorp, Inc. (“FOFN”) and its wholly-owned bank subsidiary, Four Oaks Bank</w:t>
      </w:r>
    </w:p>
    <w:p>
      <w:pPr>
        <w:spacing w:after="0" w:line="32" w:lineRule="exact"/>
        <w:rPr>
          <w:sz w:val="20"/>
          <w:szCs w:val="20"/>
          <w:color w:val="auto"/>
        </w:rPr>
      </w:pPr>
    </w:p>
    <w:p>
      <w:pPr>
        <w:jc w:val="both"/>
        <w:ind w:left="340" w:hanging="8"/>
        <w:spacing w:after="0" w:line="268" w:lineRule="auto"/>
        <w:tabs>
          <w:tab w:leader="none" w:pos="5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Trust Company. FOFN operated 14 banking offices in the Raleigh, North Carolina area. In connection with the acquisition, United acquired $730 million of assets and assumed $658 million of liabilities. Under the terms of the merger agreement, FOFN shareholders received 0.6178 shares of United common stock and $1.90 for each share of FOFN common stock issued and outstanding at the closing date. The fair value of consideration paid exceeded the fair value of the identifiable assets and liabilities acquired and resulted in the establishment of goodwill in the amount of $53.5 million, representing the intangible value of FOFN’s business and reputation within the market it served. None of the goodwill recognized is expected to be deductible for income tax purposes. United will amortize the related core deposit intangible of $7.83 million using the sum-of-the-years-digits method over 11.5 years, which represents the expected useful life of the asset. United will amortize the related noncompete agreement intangibles of $908,000 using the straight line method over the one year terms of the agreements. In connection with the acquisition, United</w:t>
      </w:r>
    </w:p>
    <w:p>
      <w:pPr>
        <w:sectPr>
          <w:pgSz w:w="11900" w:h="16838" w:orient="portrait"/>
          <w:cols w:equalWidth="0" w:num="1">
            <w:col w:w="11420"/>
          </w:cols>
          <w:pgMar w:left="240" w:top="121" w:right="239" w:bottom="339"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339"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assumed $11.5 million in subordinated debentures and $12.4 million in trust preferred securities. See Note 13 for further information on long-term debt.</w:t>
      </w:r>
    </w:p>
    <w:p>
      <w:pPr>
        <w:spacing w:after="0" w:line="248"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within the one-year measurement period, United received additional information regarding the acquisition date fair values of loans held for sale and servicing assets. As a result, the provisional values assigned to the acquired loans held for sale and servicing assets have been adjusted to $10.7 million and $65,000, respectively, which represent an increase of $2.59 million and a decrease of $354,000, respectively, from amounts previously disclosed. The tax effect of these adjustments was reflected as a decrease to the deferred tax asset of $1.08 million, with the net amount of $1.16 million reflected as a decrease to goodwill.</w:t>
      </w:r>
    </w:p>
    <w:p>
      <w:pPr>
        <w:spacing w:after="0" w:line="18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Recorded by</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Fair Value</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As Recorded by</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FOFN</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24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2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48,652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48,658</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Securities</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114,190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114,972</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Loans, net</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491,721</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(5,477)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486,244</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11,251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12,398</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Bank owned life insurance</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20,339</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4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20,339</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18,333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17,334</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Intangibles</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8,738</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real estate owned</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8,723</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730,285</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730,491</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Deposits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563,840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565,205</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Federal Home Loan Bank advances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65,224</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23,872</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19,747</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7,330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660,042</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(2,476)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657,566</w:t>
            </w:r>
          </w:p>
        </w:tc>
        <w:tc>
          <w:tcPr>
            <w:tcW w:w="0" w:type="dxa"/>
            <w:vAlign w:val="bottom"/>
          </w:tcPr>
          <w:p>
            <w:pPr>
              <w:spacing w:after="0"/>
              <w:rPr>
                <w:sz w:val="1"/>
                <w:szCs w:val="1"/>
                <w:color w:val="auto"/>
              </w:rPr>
            </w:pPr>
          </w:p>
        </w:tc>
      </w:tr>
      <w:tr>
        <w:trPr>
          <w:trHeight w:val="284"/>
        </w:trPr>
        <w:tc>
          <w:tcPr>
            <w:tcW w:w="64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70,243</w:t>
            </w:r>
          </w:p>
        </w:tc>
        <w:tc>
          <w:tcPr>
            <w:tcW w:w="100" w:type="dxa"/>
            <w:vAlign w:val="bottom"/>
            <w:tcBorders>
              <w:bottom w:val="single" w:sz="8" w:color="F0FFFF"/>
            </w:tcBorders>
          </w:tcPr>
          <w:p>
            <w:pPr>
              <w:spacing w:after="0"/>
              <w:rPr>
                <w:sz w:val="24"/>
                <w:szCs w:val="24"/>
                <w:color w:val="auto"/>
              </w:rPr>
            </w:pPr>
          </w:p>
        </w:tc>
        <w:tc>
          <w:tcPr>
            <w:tcW w:w="200" w:type="dxa"/>
            <w:vAlign w:val="bottom"/>
            <w:tcBorders>
              <w:top w:val="single" w:sz="8" w:color="auto"/>
              <w:bottom w:val="single" w:sz="8" w:color="F0FFFF"/>
            </w:tcBorders>
          </w:tcPr>
          <w:p>
            <w:pPr>
              <w:spacing w:after="0"/>
              <w:rPr>
                <w:sz w:val="24"/>
                <w:szCs w:val="24"/>
                <w:color w:val="auto"/>
              </w:rPr>
            </w:pPr>
          </w:p>
        </w:tc>
        <w:tc>
          <w:tcPr>
            <w:tcW w:w="1280" w:type="dxa"/>
            <w:vAlign w:val="bottom"/>
            <w:tcBorders>
              <w:top w:val="single" w:sz="8" w:color="auto"/>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F0FFFF"/>
            </w:tcBorders>
          </w:tcPr>
          <w:p>
            <w:pPr>
              <w:spacing w:after="0"/>
              <w:rPr>
                <w:sz w:val="24"/>
                <w:szCs w:val="24"/>
                <w:color w:val="auto"/>
              </w:rPr>
            </w:pPr>
          </w:p>
        </w:tc>
        <w:tc>
          <w:tcPr>
            <w:tcW w:w="1020" w:type="dxa"/>
            <w:vAlign w:val="bottom"/>
            <w:tcBorders>
              <w:top w:val="single" w:sz="8" w:color="auto"/>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Aggregate fair value adjustments</w:t>
            </w:r>
          </w:p>
        </w:tc>
        <w:tc>
          <w:tcPr>
            <w:tcW w:w="2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2,682</w:t>
            </w: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6"/>
                <w:szCs w:val="16"/>
                <w:color w:val="auto"/>
              </w:rPr>
              <w:t>Total identifiable net assets</w:t>
            </w: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72,925</w:t>
            </w: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Cash</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12,802</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Common stock issued (4,145,343 shares)</w:t>
            </w:r>
          </w:p>
        </w:tc>
        <w:tc>
          <w:tcPr>
            <w:tcW w:w="28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28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113,665</w:t>
            </w:r>
          </w:p>
        </w:tc>
        <w:tc>
          <w:tcPr>
            <w:tcW w:w="0" w:type="dxa"/>
            <w:vAlign w:val="bottom"/>
          </w:tcPr>
          <w:p>
            <w:pPr>
              <w:spacing w:after="0"/>
              <w:rPr>
                <w:sz w:val="1"/>
                <w:szCs w:val="1"/>
                <w:color w:val="auto"/>
              </w:rPr>
            </w:pPr>
          </w:p>
        </w:tc>
      </w:tr>
      <w:tr>
        <w:trPr>
          <w:trHeight w:val="217"/>
        </w:trPr>
        <w:tc>
          <w:tcPr>
            <w:tcW w:w="6420" w:type="dxa"/>
            <w:vAlign w:val="bottom"/>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126,467</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53,542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1, 2017</w:t>
            </w:r>
          </w:p>
        </w:tc>
      </w:tr>
      <w:tr>
        <w:trPr>
          <w:trHeight w:val="33"/>
        </w:trPr>
        <w:tc>
          <w:tcPr>
            <w:tcW w:w="718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140" w:type="dxa"/>
            <w:vAlign w:val="bottom"/>
            <w:tcBorders>
              <w:bottom w:val="single" w:sz="8" w:color="F0FFFF"/>
            </w:tcBorders>
            <w:shd w:val="clear" w:color="auto" w:fill="F0FFFF"/>
          </w:tcPr>
          <w:p>
            <w:pPr>
              <w:spacing w:after="0"/>
              <w:rPr>
                <w:sz w:val="20"/>
                <w:szCs w:val="20"/>
                <w:color w:val="auto"/>
              </w:rPr>
            </w:pPr>
          </w:p>
        </w:tc>
        <w:tc>
          <w:tcPr>
            <w:tcW w:w="146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49,377</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140" w:type="dxa"/>
            <w:vAlign w:val="bottom"/>
            <w:tcBorders>
              <w:bottom w:val="single" w:sz="8" w:color="F0FFFF"/>
            </w:tcBorders>
            <w:shd w:val="clear" w:color="auto" w:fill="F0FFFF"/>
          </w:tcPr>
          <w:p>
            <w:pPr>
              <w:spacing w:after="0"/>
              <w:rPr>
                <w:sz w:val="23"/>
                <w:szCs w:val="23"/>
                <w:color w:val="auto"/>
              </w:rPr>
            </w:pPr>
          </w:p>
        </w:tc>
        <w:tc>
          <w:tcPr>
            <w:tcW w:w="1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8,244</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41,133</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140" w:type="dxa"/>
            <w:vAlign w:val="bottom"/>
            <w:tcBorders>
              <w:bottom w:val="single" w:sz="8" w:color="F0FFFF"/>
            </w:tcBorders>
            <w:shd w:val="clear" w:color="auto" w:fill="F0FFFF"/>
          </w:tcPr>
          <w:p>
            <w:pPr>
              <w:spacing w:after="0"/>
              <w:rPr>
                <w:sz w:val="23"/>
                <w:szCs w:val="23"/>
                <w:color w:val="auto"/>
              </w:rPr>
            </w:pPr>
          </w:p>
        </w:tc>
        <w:tc>
          <w:tcPr>
            <w:tcW w:w="1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3,313</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37,820</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46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448,462</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509,629</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140" w:type="dxa"/>
            <w:vAlign w:val="bottom"/>
            <w:shd w:val="clear" w:color="auto" w:fill="F0FFFF"/>
          </w:tcPr>
          <w:p>
            <w:pPr>
              <w:spacing w:after="0"/>
              <w:rPr>
                <w:sz w:val="20"/>
                <w:szCs w:val="20"/>
                <w:color w:val="auto"/>
              </w:rPr>
            </w:pPr>
          </w:p>
        </w:tc>
        <w:tc>
          <w:tcPr>
            <w:tcW w:w="14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6,081</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46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2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23"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HCSB Financial Corporation</w:t>
      </w:r>
    </w:p>
    <w:p>
      <w:pPr>
        <w:spacing w:after="0" w:line="27"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July 31, 2017, United completed the acquisition of HCSB Financial Corporation (“HCSB”) and its wholly-owned bank subsidiary, Horry County State Bank. HCSB operated eight branches in coastal South Carolina. In connection with the acquisition, United acquired $389 million of assets and assumed $347 million of liabilities. Under the terms of the merger agreement, HCSB shareholders received 0.0050 shares of United common stock for each share of HCSB common stock issued and outstanding at the closing date. The fair value of consideration paid exceeded the fair value of the identifiable assets and liabilities acquired and resulted in the establishment of goodwill in the amount of $24.2 million, representing the intangible value of HCSB’s business and reputation within the market it served. None of the goodwill recognized is expected to be deductible for income tax purposes. United will amortize the related core deposit intangible of $3.48 million using the sum-of-the-years-digits method over six years, which represents the expected useful life of the asset. United will amortize the related noncompete agreement intangibles of $2.24 million using the straight line method over the terms of the agreements, which vary between one year and two years.</w:t>
      </w:r>
    </w:p>
    <w:p>
      <w:pPr>
        <w:spacing w:after="0" w:line="182"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second quarter 2018, within the one-year measurement period, United received additional information regarding the acquisition date fair value of premises and equipment. As a result, the provisional value assigned to the acquired premises and equipment has been adjusted to $7.42 million, which represents a decrease of $493,000 from the amount previously disclosed. The tax effect of this adjustment was reflected as an increase to the deferred tax asset of $190,000, resulting in a net $303,000 increase to goodwill.</w:t>
      </w:r>
    </w:p>
    <w:p>
      <w:pPr>
        <w:spacing w:after="0" w:line="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Recorded by</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Fair Value</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As Recorded by</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HCSB</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24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101,462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101,320</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Loans, net</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215,947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Premises and equipment, net</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(6,606)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Bank owned life insurance</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11,827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Accrued interest receivable</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25,579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25,579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Intangibles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Other real estate owned</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84"/>
        </w:trPr>
        <w:tc>
          <w:tcPr>
            <w:tcW w:w="6640" w:type="dxa"/>
            <w:vAlign w:val="bottom"/>
            <w:tcBorders>
              <w:bottom w:val="single" w:sz="8" w:color="F0FFFF"/>
            </w:tcBorders>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378,106</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11,330</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389,436</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Deposits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318,512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318,942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Repurchase agreements</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Federal Home Loan Bank advances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24,517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1,955</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7"/>
        </w:trPr>
        <w:tc>
          <w:tcPr>
            <w:tcW w:w="6640" w:type="dxa"/>
            <w:vAlign w:val="bottom"/>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345,608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346,646</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32,498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6"/>
                <w:szCs w:val="16"/>
                <w:color w:val="auto"/>
              </w:rPr>
              <w:t>Aggregate fair value adjustments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10,292</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40" w:type="dxa"/>
            <w:vAlign w:val="bottom"/>
            <w:tcBorders>
              <w:bottom w:val="single" w:sz="8" w:color="F0FFFF"/>
            </w:tcBorders>
            <w:vMerge w:val="continue"/>
          </w:tcPr>
          <w:p>
            <w:pPr>
              <w:spacing w:after="0"/>
              <w:rPr>
                <w:sz w:val="24"/>
                <w:szCs w:val="24"/>
                <w:color w:val="auto"/>
              </w:rPr>
            </w:pPr>
          </w:p>
        </w:tc>
        <w:tc>
          <w:tcPr>
            <w:tcW w:w="260" w:type="dxa"/>
            <w:vAlign w:val="bottom"/>
            <w:tcBorders>
              <w:bottom w:val="single" w:sz="8" w:color="F0FFFF"/>
            </w:tcBorders>
          </w:tcPr>
          <w:p>
            <w:pPr>
              <w:spacing w:after="0"/>
              <w:rPr>
                <w:sz w:val="24"/>
                <w:szCs w:val="24"/>
                <w:color w:val="auto"/>
              </w:rPr>
            </w:pPr>
          </w:p>
        </w:tc>
        <w:tc>
          <w:tcPr>
            <w:tcW w:w="104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40" w:type="dxa"/>
            <w:vAlign w:val="bottom"/>
            <w:tcBorders>
              <w:bottom w:val="single" w:sz="8" w:color="F0FFFF"/>
            </w:tcBorders>
          </w:tcPr>
          <w:p>
            <w:pPr>
              <w:spacing w:after="0"/>
              <w:rPr>
                <w:sz w:val="24"/>
                <w:szCs w:val="24"/>
                <w:color w:val="auto"/>
              </w:rPr>
            </w:pPr>
          </w:p>
        </w:tc>
        <w:tc>
          <w:tcPr>
            <w:tcW w:w="10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identifiable net assets</w:t>
            </w:r>
          </w:p>
        </w:tc>
        <w:tc>
          <w:tcPr>
            <w:tcW w:w="260" w:type="dxa"/>
            <w:vAlign w:val="bottom"/>
            <w:tcBorders>
              <w:bottom w:val="single" w:sz="8" w:color="F0FFFF"/>
            </w:tcBorders>
            <w:shd w:val="clear" w:color="auto" w:fill="F0FFFF"/>
          </w:tcPr>
          <w:p>
            <w:pPr>
              <w:spacing w:after="0"/>
              <w:rPr>
                <w:sz w:val="22"/>
                <w:szCs w:val="22"/>
                <w:color w:val="auto"/>
              </w:rPr>
            </w:pPr>
          </w:p>
        </w:tc>
        <w:tc>
          <w:tcPr>
            <w:tcW w:w="10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42,790</w:t>
            </w:r>
          </w:p>
        </w:tc>
        <w:tc>
          <w:tcPr>
            <w:tcW w:w="0" w:type="dxa"/>
            <w:vAlign w:val="bottom"/>
          </w:tcPr>
          <w:p>
            <w:pPr>
              <w:spacing w:after="0"/>
              <w:rPr>
                <w:sz w:val="1"/>
                <w:szCs w:val="1"/>
                <w:color w:val="auto"/>
              </w:rPr>
            </w:pPr>
          </w:p>
        </w:tc>
      </w:tr>
      <w:tr>
        <w:trPr>
          <w:trHeight w:val="231"/>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Common stock issued (2,370,331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65,800</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1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65,831</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Equity interest in HCSB held before the business combination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1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24,166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31, 2017</w:t>
            </w:r>
          </w:p>
        </w:tc>
      </w:tr>
      <w:tr>
        <w:trPr>
          <w:trHeight w:val="33"/>
        </w:trPr>
        <w:tc>
          <w:tcPr>
            <w:tcW w:w="71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220" w:type="dxa"/>
            <w:vAlign w:val="bottom"/>
            <w:tcBorders>
              <w:bottom w:val="single" w:sz="8" w:color="F0FFFF"/>
            </w:tcBorders>
            <w:shd w:val="clear" w:color="auto" w:fill="F0FFFF"/>
          </w:tcPr>
          <w:p>
            <w:pPr>
              <w:spacing w:after="0"/>
              <w:rPr>
                <w:sz w:val="20"/>
                <w:szCs w:val="20"/>
                <w:color w:val="auto"/>
              </w:rPr>
            </w:pPr>
          </w:p>
        </w:tc>
        <w:tc>
          <w:tcPr>
            <w:tcW w:w="138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46,069</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220" w:type="dxa"/>
            <w:vAlign w:val="bottom"/>
            <w:tcBorders>
              <w:bottom w:val="single" w:sz="8" w:color="F0FFFF"/>
            </w:tcBorders>
            <w:shd w:val="clear" w:color="auto" w:fill="F0FFFF"/>
          </w:tcPr>
          <w:p>
            <w:pPr>
              <w:spacing w:after="0"/>
              <w:rPr>
                <w:sz w:val="23"/>
                <w:szCs w:val="23"/>
                <w:color w:val="auto"/>
              </w:rPr>
            </w:pPr>
          </w:p>
        </w:tc>
        <w:tc>
          <w:tcPr>
            <w:tcW w:w="13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12,413</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33,656</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220" w:type="dxa"/>
            <w:vAlign w:val="bottom"/>
            <w:tcBorders>
              <w:bottom w:val="single" w:sz="8" w:color="F0FFFF"/>
            </w:tcBorders>
            <w:shd w:val="clear" w:color="auto" w:fill="F0FFFF"/>
          </w:tcPr>
          <w:p>
            <w:pPr>
              <w:spacing w:after="0"/>
              <w:rPr>
                <w:sz w:val="23"/>
                <w:szCs w:val="23"/>
                <w:color w:val="auto"/>
              </w:rPr>
            </w:pPr>
          </w:p>
        </w:tc>
        <w:tc>
          <w:tcPr>
            <w:tcW w:w="13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3,410</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30,246</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38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185,701</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212,780</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220" w:type="dxa"/>
            <w:vAlign w:val="bottom"/>
            <w:shd w:val="clear" w:color="auto" w:fill="F0FFFF"/>
          </w:tcPr>
          <w:p>
            <w:pPr>
              <w:spacing w:after="0"/>
              <w:rPr>
                <w:sz w:val="20"/>
                <w:szCs w:val="20"/>
                <w:color w:val="auto"/>
              </w:rPr>
            </w:pPr>
          </w:p>
        </w:tc>
        <w:tc>
          <w:tcPr>
            <w:tcW w:w="13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3,985</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38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Tidelands Bancshares, Inc.</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On July 1, 2016, United completed the acquisition of Tidelands Bancshares, Inc. (“Tidelands”) and its wholly-owned bank subsidiary, Tidelands Bank. Tidelands operated seven branches in coastal South Carolina. In connection with the acquisition, United acquired $440 million of assets and assumed $440 million of liabilities. Under the terms of the merger agreement, Tidelands shareholders received cash equal to $0.52 per common share, or an aggregate of $2.22 million. Additionally, at closing, United redeemed all of Tidelands’ fixed-rate cumulative preferred stock that was issued to the U.S. Department of the Treasury (the “Treasury”) under the Treasury’s Capital Purchase Program, plus unpaid dividends, for $8.98 million in aggregate. The fair value of consideration paid exceeded the fair value of the identifiable assets and liabilities acquired and resulted in the establishment of goodwill in the amount of $10.7 million, representing the intangible value of Tidelands’ business and reputation within the market it served. None of the goodwill recognized is expected to be deductible for income tax purposes. United will amortize the related core deposit intangible of $1.57 million using the sum-of-the-years-digits method over five years, which represents the expected useful life of the asset.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Recorded by</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Fair Value</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As Recorded by</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Tidelands</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24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13,121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13,121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Securities</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65,676</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65,521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Loans, net</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317,938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(12,035)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305,903</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11,189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Bank owned life insurance</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16,917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16,917</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15,639</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15,712</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real estate owned</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9,881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7,495</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445,884</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(5,639)</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440,245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Deposits</w:t>
            </w: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398,108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399,873</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10,155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13,354</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10,766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11,587</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(5,986)</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5,601</w:t>
            </w:r>
          </w:p>
        </w:tc>
        <w:tc>
          <w:tcPr>
            <w:tcW w:w="0" w:type="dxa"/>
            <w:vAlign w:val="bottom"/>
          </w:tcPr>
          <w:p>
            <w:pPr>
              <w:spacing w:after="0"/>
              <w:rPr>
                <w:sz w:val="1"/>
                <w:szCs w:val="1"/>
                <w:color w:val="auto"/>
              </w:rPr>
            </w:pPr>
          </w:p>
        </w:tc>
      </w:tr>
      <w:tr>
        <w:trPr>
          <w:trHeight w:val="217"/>
        </w:trPr>
        <w:tc>
          <w:tcPr>
            <w:tcW w:w="6640" w:type="dxa"/>
            <w:vAlign w:val="bottom"/>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447,129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439,749</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6"/>
                <w:szCs w:val="16"/>
                <w:color w:val="auto"/>
              </w:rPr>
              <w:t>Aggregate fair value adjustments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40" w:type="dxa"/>
            <w:vAlign w:val="bottom"/>
            <w:tcBorders>
              <w:bottom w:val="single" w:sz="8" w:color="F0FFFF"/>
            </w:tcBorders>
            <w:vMerge w:val="continue"/>
          </w:tcPr>
          <w:p>
            <w:pPr>
              <w:spacing w:after="0"/>
              <w:rPr>
                <w:sz w:val="24"/>
                <w:szCs w:val="24"/>
                <w:color w:val="auto"/>
              </w:rPr>
            </w:pPr>
          </w:p>
        </w:tc>
        <w:tc>
          <w:tcPr>
            <w:tcW w:w="200" w:type="dxa"/>
            <w:vAlign w:val="bottom"/>
            <w:tcBorders>
              <w:bottom w:val="single" w:sz="8" w:color="F0FFFF"/>
            </w:tcBorders>
          </w:tcPr>
          <w:p>
            <w:pPr>
              <w:spacing w:after="0"/>
              <w:rPr>
                <w:sz w:val="24"/>
                <w:szCs w:val="24"/>
                <w:color w:val="auto"/>
              </w:rPr>
            </w:pPr>
          </w:p>
        </w:tc>
        <w:tc>
          <w:tcPr>
            <w:tcW w:w="110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40" w:type="dxa"/>
            <w:vAlign w:val="bottom"/>
            <w:tcBorders>
              <w:bottom w:val="single" w:sz="8" w:color="F0FFFF"/>
            </w:tcBorders>
          </w:tcPr>
          <w:p>
            <w:pPr>
              <w:spacing w:after="0"/>
              <w:rPr>
                <w:sz w:val="24"/>
                <w:szCs w:val="24"/>
                <w:color w:val="auto"/>
              </w:rPr>
            </w:pPr>
          </w:p>
        </w:tc>
        <w:tc>
          <w:tcPr>
            <w:tcW w:w="10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identifiable net assets</w:t>
            </w:r>
          </w:p>
        </w:tc>
        <w:tc>
          <w:tcPr>
            <w:tcW w:w="200" w:type="dxa"/>
            <w:vAlign w:val="bottom"/>
            <w:tcBorders>
              <w:bottom w:val="single" w:sz="8" w:color="F0FFFF"/>
            </w:tcBorders>
            <w:shd w:val="clear" w:color="auto" w:fill="F0FFFF"/>
          </w:tcPr>
          <w:p>
            <w:pPr>
              <w:spacing w:after="0"/>
              <w:rPr>
                <w:sz w:val="22"/>
                <w:szCs w:val="22"/>
                <w:color w:val="auto"/>
              </w:rPr>
            </w:pPr>
          </w:p>
        </w:tc>
        <w:tc>
          <w:tcPr>
            <w:tcW w:w="1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1"/>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Cash paid to redeem common stock</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Cash paid to redeem preferred stock issued under the Treasury’s Capital Purchase Program</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1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1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11,209</w:t>
            </w:r>
          </w:p>
        </w:tc>
        <w:tc>
          <w:tcPr>
            <w:tcW w:w="0" w:type="dxa"/>
            <w:vAlign w:val="bottom"/>
          </w:tcPr>
          <w:p>
            <w:pPr>
              <w:spacing w:after="0"/>
              <w:rPr>
                <w:sz w:val="1"/>
                <w:szCs w:val="1"/>
                <w:color w:val="auto"/>
              </w:rPr>
            </w:pPr>
          </w:p>
        </w:tc>
      </w:tr>
      <w:tr>
        <w:trPr>
          <w:trHeight w:val="244"/>
        </w:trPr>
        <w:tc>
          <w:tcPr>
            <w:tcW w:w="66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10,713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1, 2016</w:t>
            </w:r>
          </w:p>
        </w:tc>
      </w:tr>
      <w:tr>
        <w:trPr>
          <w:trHeight w:val="33"/>
        </w:trPr>
        <w:tc>
          <w:tcPr>
            <w:tcW w:w="718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240" w:type="dxa"/>
            <w:vAlign w:val="bottom"/>
            <w:tcBorders>
              <w:bottom w:val="single" w:sz="8" w:color="F0FFFF"/>
            </w:tcBorders>
            <w:shd w:val="clear" w:color="auto" w:fill="F0FFFF"/>
          </w:tcPr>
          <w:p>
            <w:pPr>
              <w:spacing w:after="0"/>
              <w:rPr>
                <w:sz w:val="20"/>
                <w:szCs w:val="20"/>
                <w:color w:val="auto"/>
              </w:rPr>
            </w:pPr>
          </w:p>
        </w:tc>
        <w:tc>
          <w:tcPr>
            <w:tcW w:w="136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50,660</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24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13,483</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37,177</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24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2,113</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35,064</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136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270,839</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302,331</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240" w:type="dxa"/>
            <w:vAlign w:val="bottom"/>
            <w:shd w:val="clear" w:color="auto" w:fill="F0FFFF"/>
          </w:tcPr>
          <w:p>
            <w:pPr>
              <w:spacing w:after="0"/>
              <w:rPr>
                <w:sz w:val="20"/>
                <w:szCs w:val="20"/>
                <w:color w:val="auto"/>
              </w:rPr>
            </w:pPr>
          </w:p>
        </w:tc>
        <w:tc>
          <w:tcPr>
            <w:tcW w:w="13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3,859</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36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information - unaudited</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table discloses the impact of the mergers with NLFC, FOFN, HCSB, and Tidelands since the respective acquisition dates through December 31 of the year of acquisition. The table also presents certain pro forma information as if NLFC had been acquired on January 1, 2017, FOFN and HCSB had been acquired on January 1, 2016, and Tidelands had been acquired on January 1, 2015. These results combine the historical results of the acquired entities with United’s consolidated statements of income and, while certain adjustments were made for the estimated impact of certain fair value adjustments and other acquisition-related activity, they are not necessarily indicative of what would have occurred had the acquisitions taken place in earlier years.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For purposes of pro forma information, merger-related costs incurred in the year of acquisition are excluded from the actual acquisition year results and included in the pro forma acquisition year results. As a result, merger-related costs related to the acquisition of NLFC of $4.98 million are reflected in 2017 pro forma information and merger-related costs related to the acquisition of FOFN and HCSB of $8.71 million are reflected in 2016 pro forma results. Merger-related costs of $4.07 million related to the Tidelands acquisition have been excluded from the 2016 pro forma information presented below. The following table presents the actual results and pro forma information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99"/>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839"/>
              <w:spacing w:after="0"/>
              <w:rPr>
                <w:sz w:val="20"/>
                <w:szCs w:val="20"/>
                <w:color w:val="auto"/>
              </w:rPr>
            </w:pPr>
            <w:r>
              <w:rPr>
                <w:rFonts w:ascii="Arial" w:cs="Arial" w:eastAsia="Arial" w:hAnsi="Arial"/>
                <w:sz w:val="16"/>
                <w:szCs w:val="16"/>
                <w:i w:val="1"/>
                <w:iCs w:val="1"/>
                <w:color w:val="auto"/>
              </w:rPr>
              <w:t>(Unaudited)</w:t>
            </w:r>
          </w:p>
        </w:tc>
      </w:tr>
      <w:tr>
        <w:trPr>
          <w:trHeight w:val="210"/>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Net Income</w:t>
            </w:r>
          </w:p>
        </w:tc>
      </w:tr>
      <w:tr>
        <w:trPr>
          <w:trHeight w:val="33"/>
        </w:trPr>
        <w:tc>
          <w:tcPr>
            <w:tcW w:w="80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r>
      <w:tr>
        <w:trPr>
          <w:trHeight w:val="217"/>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Actual NLFC results included in the statement of income since acquisition date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7,149</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Supplemental consolidated pro forma as if NLFC had been acquired January 1, 2017</w:t>
            </w: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526,137</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168,445</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020" w:type="dxa"/>
            <w:vAlign w:val="bottom"/>
            <w:tcBorders>
              <w:bottom w:val="single" w:sz="8" w:color="auto"/>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100" w:type="dxa"/>
            <w:vAlign w:val="bottom"/>
            <w:tcBorders>
              <w:bottom w:val="single" w:sz="8" w:color="F0FFFF"/>
            </w:tcBorders>
          </w:tcPr>
          <w:p>
            <w:pPr>
              <w:spacing w:after="0"/>
              <w:rPr>
                <w:sz w:val="2"/>
                <w:szCs w:val="2"/>
                <w:color w:val="auto"/>
              </w:rPr>
            </w:pPr>
          </w:p>
        </w:tc>
      </w:tr>
      <w:tr>
        <w:trPr>
          <w:trHeight w:val="23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Actual FOFN results included in statement of income since acquisition date</w:t>
            </w: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5,265</w:t>
            </w: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1,406</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Actual HCSB results included in statement of income since acquisition date</w:t>
            </w:r>
          </w:p>
        </w:tc>
        <w:tc>
          <w:tcPr>
            <w:tcW w:w="2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1,385</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020" w:type="dxa"/>
            <w:vAlign w:val="bottom"/>
            <w:shd w:val="clear" w:color="auto" w:fill="F0FFFF"/>
          </w:tcPr>
          <w:p>
            <w:pPr>
              <w:ind w:left="20"/>
              <w:spacing w:after="0"/>
              <w:rPr>
                <w:sz w:val="20"/>
                <w:szCs w:val="20"/>
                <w:color w:val="auto"/>
              </w:rPr>
            </w:pPr>
            <w:r>
              <w:rPr>
                <w:rFonts w:ascii="Arial" w:cs="Arial" w:eastAsia="Arial" w:hAnsi="Arial"/>
                <w:sz w:val="16"/>
                <w:szCs w:val="16"/>
                <w:color w:val="auto"/>
                <w:w w:val="95"/>
              </w:rPr>
              <w:t>Supplemental consolidated pro forma as if FOFN and HCSB had been acquired January 1, 2016 and NLFC had been</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r>
      <w:tr>
        <w:trPr>
          <w:trHeight w:val="219"/>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acquired January 1, 2017</w:t>
            </w:r>
          </w:p>
        </w:tc>
        <w:tc>
          <w:tcPr>
            <w:tcW w:w="240" w:type="dxa"/>
            <w:vAlign w:val="bottom"/>
            <w:tcBorders>
              <w:bottom w:val="single" w:sz="8" w:color="F0FFFF"/>
            </w:tcBorders>
            <w:shd w:val="clear" w:color="auto" w:fill="F0FFFF"/>
          </w:tcPr>
          <w:p>
            <w:pPr>
              <w:spacing w:after="0"/>
              <w:rPr>
                <w:sz w:val="19"/>
                <w:szCs w:val="19"/>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495,052</w:t>
            </w:r>
          </w:p>
        </w:tc>
        <w:tc>
          <w:tcPr>
            <w:tcW w:w="1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78,958</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020" w:type="dxa"/>
            <w:vAlign w:val="bottom"/>
            <w:tcBorders>
              <w:bottom w:val="single" w:sz="8" w:color="auto"/>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100" w:type="dxa"/>
            <w:vAlign w:val="bottom"/>
            <w:tcBorders>
              <w:bottom w:val="single" w:sz="8" w:color="F0FFFF"/>
            </w:tcBorders>
          </w:tcPr>
          <w:p>
            <w:pPr>
              <w:spacing w:after="0"/>
              <w:rPr>
                <w:sz w:val="2"/>
                <w:szCs w:val="2"/>
                <w:color w:val="auto"/>
              </w:rPr>
            </w:pPr>
          </w:p>
        </w:tc>
      </w:tr>
      <w:tr>
        <w:trPr>
          <w:trHeight w:val="23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Actual Tidelands results included in statement of income since acquisition date</w:t>
            </w: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7,512</w:t>
            </w: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1,189</w:t>
            </w:r>
          </w:p>
        </w:tc>
      </w:tr>
      <w:tr>
        <w:trPr>
          <w:trHeight w:val="220"/>
        </w:trPr>
        <w:tc>
          <w:tcPr>
            <w:tcW w:w="8020" w:type="dxa"/>
            <w:vAlign w:val="bottom"/>
          </w:tcPr>
          <w:p>
            <w:pPr>
              <w:ind w:left="20"/>
              <w:spacing w:after="0"/>
              <w:rPr>
                <w:sz w:val="20"/>
                <w:szCs w:val="20"/>
                <w:color w:val="auto"/>
              </w:rPr>
            </w:pPr>
            <w:r>
              <w:rPr>
                <w:rFonts w:ascii="Arial" w:cs="Arial" w:eastAsia="Arial" w:hAnsi="Arial"/>
                <w:sz w:val="16"/>
                <w:szCs w:val="16"/>
                <w:color w:val="auto"/>
                <w:w w:val="92"/>
              </w:rPr>
              <w:t>Supplemental consolidated pro forma as if FOFN and HCSB had been acquired January 1, 2016 and Tidelands had been</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acquired January 1, 2015</w:t>
            </w:r>
          </w:p>
        </w:tc>
        <w:tc>
          <w:tcPr>
            <w:tcW w:w="2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452,713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89,200</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Flows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2018, 2017 and 2016, loans having a value of $3.02 million, $4.15 million and $8.18 million, respectively, were transferred to foreclosed property.</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accounts for sales of SBA/USDA loans on the trade date. At December 31, 2018, 2017 and 2016, United had unsettled sales of SBA/USDA loans of $32.9 million, $27.5 million and $29.9 million, respectively.</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During 2018, United acquired, through a business combination, assets with a fair value totaling $481 million and liabilities with a fair value totaling $350 million, for net assets acquired of $130 million. Common stock issued pursuant to this business combination in 2018 totaled $45.7 million. During 2017, United acquired, through business combinations, assets with a fair value totaling $1.12 billion and liabilities with a fair value totaling $1.00 billion, for net assets acquired of $115 million. Common stock issued pursuant to these business combinations in 2017 totaled $179 million. During 2016, United acquired, through business combinations, assets with a fair value totaling $451 million and liabilities with a fair value totaling $440 million, for net assets acquired of $11.2 million.</w:t>
      </w:r>
    </w:p>
    <w:p>
      <w:pPr>
        <w:spacing w:after="0" w:line="18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Offsetting and Repurchase Agreements Accounted for as Secured Borrowings</w:t>
      </w:r>
    </w:p>
    <w:p>
      <w:pPr>
        <w:spacing w:after="0" w:line="229"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United enters into reverse repurchase agreements in order to invest short-term funds. In addition,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6"/>
          <w:szCs w:val="16"/>
          <w:i w:val="1"/>
          <w:iCs w:val="1"/>
          <w:color w:val="auto"/>
        </w:rPr>
        <w:t>Offsetting.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Offsetting and Repurchase Agreements Accounted for as Secured Borrowings, continued</w:t>
      </w:r>
    </w:p>
    <w:p>
      <w:pPr>
        <w:spacing w:after="0" w:line="200" w:lineRule="exact"/>
        <w:rPr>
          <w:sz w:val="20"/>
          <w:szCs w:val="20"/>
          <w:color w:val="auto"/>
        </w:rPr>
      </w:pPr>
    </w:p>
    <w:p>
      <w:pPr>
        <w:spacing w:after="0" w:line="272"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Gross Amounts</w:t>
            </w: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89"/>
              </w:rPr>
              <w:t>of Recognized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89"/>
              </w:rPr>
              <w:t>Net Asset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line="169" w:lineRule="exact"/>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 2018</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1"/>
              </w:rPr>
              <w:t>Assets</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90"/>
              </w:rPr>
              <w:t>Balance</w:t>
            </w:r>
          </w:p>
        </w:tc>
        <w:tc>
          <w:tcPr>
            <w:tcW w:w="100" w:type="dxa"/>
            <w:vAlign w:val="bottom"/>
            <w:tcBorders>
              <w:bottom w:val="single" w:sz="8" w:color="F0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w w:val="93"/>
              </w:rPr>
              <w:t>Instruments</w:t>
            </w:r>
          </w:p>
        </w:tc>
        <w:tc>
          <w:tcPr>
            <w:tcW w:w="12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w w:val="87"/>
              </w:rPr>
              <w:t>Received</w:t>
            </w:r>
          </w:p>
        </w:tc>
        <w:tc>
          <w:tcPr>
            <w:tcW w:w="100" w:type="dxa"/>
            <w:vAlign w:val="bottom"/>
            <w:tcBorders>
              <w:bottom w:val="single" w:sz="8" w:color="F0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17"/>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4"/>
              </w:rPr>
              <w:t>Repurchase agreements / reverse repurchase</w:t>
            </w: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0FFFF"/>
            </w:tcBorders>
            <w:shd w:val="clear" w:color="auto" w:fill="F0FFFF"/>
          </w:tcPr>
          <w:p>
            <w:pPr>
              <w:jc w:val="right"/>
              <w:ind w:right="81"/>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24,705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24,705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15,703</w:t>
            </w:r>
          </w:p>
        </w:tc>
      </w:tr>
      <w:tr>
        <w:trPr>
          <w:trHeight w:val="33"/>
        </w:trPr>
        <w:tc>
          <w:tcPr>
            <w:tcW w:w="30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F0FFFF"/>
          </w:tcPr>
          <w:p>
            <w:pPr>
              <w:jc w:val="right"/>
              <w:ind w:right="81"/>
              <w:spacing w:after="0"/>
              <w:rPr>
                <w:sz w:val="20"/>
                <w:szCs w:val="20"/>
                <w:color w:val="auto"/>
              </w:rPr>
            </w:pPr>
            <w:r>
              <w:rPr>
                <w:rFonts w:ascii="Arial" w:cs="Arial" w:eastAsia="Arial" w:hAnsi="Arial"/>
                <w:sz w:val="16"/>
                <w:szCs w:val="16"/>
                <w:color w:val="auto"/>
              </w:rPr>
              <w:t>74,705</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24,705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15,703</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Weighted average interest rate of reverse</w:t>
            </w:r>
          </w:p>
        </w:tc>
        <w:tc>
          <w:tcPr>
            <w:tcW w:w="1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r>
      <w:tr>
        <w:trPr>
          <w:trHeight w:val="496"/>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Gross Amounts</w:t>
            </w: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89"/>
              </w:rPr>
              <w:t>of Recognized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6"/>
              </w:rPr>
              <w:t>Net Liability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line="169" w:lineRule="exact"/>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Liabilities</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Balance</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Instruments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Pledged</w:t>
            </w:r>
          </w:p>
        </w:tc>
        <w:tc>
          <w:tcPr>
            <w:tcW w:w="220" w:type="dxa"/>
            <w:vAlign w:val="bottom"/>
          </w:tcPr>
          <w:p>
            <w:pPr>
              <w:spacing w:after="0"/>
              <w:rPr>
                <w:sz w:val="17"/>
                <w:szCs w:val="17"/>
                <w:color w:val="auto"/>
              </w:rPr>
            </w:pPr>
          </w:p>
        </w:tc>
        <w:tc>
          <w:tcPr>
            <w:tcW w:w="940" w:type="dxa"/>
            <w:vAlign w:val="bottom"/>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04"/>
        </w:trPr>
        <w:tc>
          <w:tcPr>
            <w:tcW w:w="3120" w:type="dxa"/>
            <w:vAlign w:val="bottom"/>
            <w:tcBorders>
              <w:top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w w:val="94"/>
              </w:rPr>
              <w:t>Repurchase agreements / reverse repurchase</w:t>
            </w:r>
          </w:p>
        </w:tc>
        <w:tc>
          <w:tcPr>
            <w:tcW w:w="120" w:type="dxa"/>
            <w:vAlign w:val="bottom"/>
            <w:tcBorders>
              <w:top w:val="single" w:sz="8" w:color="auto"/>
            </w:tcBorders>
            <w:shd w:val="clear" w:color="auto" w:fill="F0FFFF"/>
          </w:tcPr>
          <w:p>
            <w:pPr>
              <w:spacing w:after="0"/>
              <w:rPr>
                <w:sz w:val="17"/>
                <w:szCs w:val="17"/>
                <w:color w:val="auto"/>
              </w:rPr>
            </w:pPr>
          </w:p>
        </w:tc>
        <w:tc>
          <w:tcPr>
            <w:tcW w:w="11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0FFFF"/>
            </w:tcBorders>
            <w:shd w:val="clear" w:color="auto" w:fill="F0FFFF"/>
          </w:tcPr>
          <w:p>
            <w:pPr>
              <w:jc w:val="right"/>
              <w:ind w:right="81"/>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26,433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26,433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9,334</w:t>
            </w:r>
          </w:p>
        </w:tc>
      </w:tr>
      <w:tr>
        <w:trPr>
          <w:trHeight w:val="33"/>
        </w:trPr>
        <w:tc>
          <w:tcPr>
            <w:tcW w:w="30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F0FFFF"/>
          </w:tcPr>
          <w:p>
            <w:pPr>
              <w:jc w:val="right"/>
              <w:ind w:right="81"/>
              <w:spacing w:after="0"/>
              <w:rPr>
                <w:sz w:val="20"/>
                <w:szCs w:val="20"/>
                <w:color w:val="auto"/>
              </w:rPr>
            </w:pPr>
            <w:r>
              <w:rPr>
                <w:rFonts w:ascii="Arial" w:cs="Arial" w:eastAsia="Arial" w:hAnsi="Arial"/>
                <w:sz w:val="16"/>
                <w:szCs w:val="16"/>
                <w:color w:val="auto"/>
              </w:rPr>
              <w:t>76,433</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26,433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9,334</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5"/>
              </w:rPr>
              <w:t>Weighted average interest rate of repurchase</w:t>
            </w:r>
          </w:p>
        </w:tc>
        <w:tc>
          <w:tcPr>
            <w:tcW w:w="1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r>
      <w:tr>
        <w:trPr>
          <w:trHeight w:val="307"/>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Gross Amounts</w:t>
            </w: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89"/>
              </w:rPr>
              <w:t>of Recognized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89"/>
              </w:rPr>
              <w:t>Net Asset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line="169" w:lineRule="exact"/>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 2017</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1"/>
              </w:rPr>
              <w:t>Assets</w:t>
            </w:r>
          </w:p>
        </w:tc>
        <w:tc>
          <w:tcPr>
            <w:tcW w:w="10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90"/>
              </w:rPr>
              <w:t>Balance</w:t>
            </w:r>
          </w:p>
        </w:tc>
        <w:tc>
          <w:tcPr>
            <w:tcW w:w="100" w:type="dxa"/>
            <w:vAlign w:val="bottom"/>
            <w:tcBorders>
              <w:bottom w:val="single" w:sz="8" w:color="F0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w w:val="93"/>
              </w:rPr>
              <w:t>Instruments</w:t>
            </w:r>
          </w:p>
        </w:tc>
        <w:tc>
          <w:tcPr>
            <w:tcW w:w="12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w w:val="87"/>
              </w:rPr>
              <w:t>Received</w:t>
            </w:r>
          </w:p>
        </w:tc>
        <w:tc>
          <w:tcPr>
            <w:tcW w:w="100" w:type="dxa"/>
            <w:vAlign w:val="bottom"/>
            <w:tcBorders>
              <w:bottom w:val="single" w:sz="8" w:color="F0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17"/>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4"/>
              </w:rPr>
              <w:t>Repurchase agreements / reverse repurchase</w:t>
            </w: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0FFFF"/>
            </w:tcBorders>
            <w:shd w:val="clear" w:color="auto" w:fill="F0FFFF"/>
          </w:tcPr>
          <w:p>
            <w:pPr>
              <w:jc w:val="right"/>
              <w:ind w:right="81"/>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22,721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22,721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14,862</w:t>
            </w:r>
          </w:p>
        </w:tc>
      </w:tr>
      <w:tr>
        <w:trPr>
          <w:trHeight w:val="33"/>
        </w:trPr>
        <w:tc>
          <w:tcPr>
            <w:tcW w:w="3120" w:type="dxa"/>
            <w:vAlign w:val="bottom"/>
            <w:tcBorders>
              <w:bottom w:val="single" w:sz="8" w:color="F0FF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F0FFFF"/>
          </w:tcPr>
          <w:p>
            <w:pPr>
              <w:jc w:val="right"/>
              <w:ind w:right="81"/>
              <w:spacing w:after="0"/>
              <w:rPr>
                <w:sz w:val="20"/>
                <w:szCs w:val="20"/>
                <w:color w:val="auto"/>
              </w:rPr>
            </w:pPr>
            <w:r>
              <w:rPr>
                <w:rFonts w:ascii="Arial" w:cs="Arial" w:eastAsia="Arial" w:hAnsi="Arial"/>
                <w:sz w:val="16"/>
                <w:szCs w:val="16"/>
                <w:color w:val="auto"/>
              </w:rPr>
              <w:t>122,721</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22,721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(6,369)</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14,862</w:t>
            </w:r>
          </w:p>
        </w:tc>
      </w:tr>
      <w:tr>
        <w:trPr>
          <w:trHeight w:val="20"/>
        </w:trPr>
        <w:tc>
          <w:tcPr>
            <w:tcW w:w="31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Weighted average interest rate of reverse</w:t>
            </w:r>
          </w:p>
        </w:tc>
        <w:tc>
          <w:tcPr>
            <w:tcW w:w="1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r>
      <w:tr>
        <w:trPr>
          <w:trHeight w:val="496"/>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Gross Amounts</w:t>
            </w: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89"/>
              </w:rPr>
              <w:t>of Recognized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6"/>
              </w:rPr>
              <w:t>Net Liability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line="169" w:lineRule="exact"/>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Liabilities</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Balance</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Instruments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Pledged</w:t>
            </w:r>
          </w:p>
        </w:tc>
        <w:tc>
          <w:tcPr>
            <w:tcW w:w="220" w:type="dxa"/>
            <w:vAlign w:val="bottom"/>
          </w:tcPr>
          <w:p>
            <w:pPr>
              <w:spacing w:after="0"/>
              <w:rPr>
                <w:sz w:val="17"/>
                <w:szCs w:val="17"/>
                <w:color w:val="auto"/>
              </w:rPr>
            </w:pPr>
          </w:p>
        </w:tc>
        <w:tc>
          <w:tcPr>
            <w:tcW w:w="940" w:type="dxa"/>
            <w:vAlign w:val="bottom"/>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04"/>
        </w:trPr>
        <w:tc>
          <w:tcPr>
            <w:tcW w:w="3120" w:type="dxa"/>
            <w:vAlign w:val="bottom"/>
            <w:tcBorders>
              <w:top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w w:val="94"/>
              </w:rPr>
              <w:t>Repurchase agreements / reverse repurchase</w:t>
            </w:r>
          </w:p>
        </w:tc>
        <w:tc>
          <w:tcPr>
            <w:tcW w:w="120" w:type="dxa"/>
            <w:vAlign w:val="bottom"/>
            <w:tcBorders>
              <w:top w:val="single" w:sz="8" w:color="auto"/>
            </w:tcBorders>
            <w:shd w:val="clear" w:color="auto" w:fill="F0FFFF"/>
          </w:tcPr>
          <w:p>
            <w:pPr>
              <w:spacing w:after="0"/>
              <w:rPr>
                <w:sz w:val="17"/>
                <w:szCs w:val="17"/>
                <w:color w:val="auto"/>
              </w:rPr>
            </w:pPr>
          </w:p>
        </w:tc>
        <w:tc>
          <w:tcPr>
            <w:tcW w:w="11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0FFFF"/>
            </w:tcBorders>
            <w:shd w:val="clear" w:color="auto" w:fill="F0FFFF"/>
          </w:tcPr>
          <w:p>
            <w:pPr>
              <w:jc w:val="right"/>
              <w:ind w:right="81"/>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25,376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25,376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6,696</w:t>
            </w:r>
          </w:p>
        </w:tc>
      </w:tr>
      <w:tr>
        <w:trPr>
          <w:trHeight w:val="33"/>
        </w:trPr>
        <w:tc>
          <w:tcPr>
            <w:tcW w:w="3120" w:type="dxa"/>
            <w:vAlign w:val="bottom"/>
            <w:tcBorders>
              <w:bottom w:val="single" w:sz="8" w:color="F0FF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F0FFFF"/>
          </w:tcPr>
          <w:p>
            <w:pPr>
              <w:jc w:val="right"/>
              <w:ind w:right="81"/>
              <w:spacing w:after="0"/>
              <w:rPr>
                <w:sz w:val="20"/>
                <w:szCs w:val="20"/>
                <w:color w:val="auto"/>
              </w:rPr>
            </w:pPr>
            <w:r>
              <w:rPr>
                <w:rFonts w:ascii="Arial" w:cs="Arial" w:eastAsia="Arial" w:hAnsi="Arial"/>
                <w:sz w:val="16"/>
                <w:szCs w:val="16"/>
                <w:color w:val="auto"/>
              </w:rPr>
              <w:t>125,376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25,376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(17,190)</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6,696</w:t>
            </w:r>
          </w:p>
        </w:tc>
      </w:tr>
      <w:tr>
        <w:trPr>
          <w:trHeight w:val="20"/>
        </w:trPr>
        <w:tc>
          <w:tcPr>
            <w:tcW w:w="31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5"/>
              </w:rPr>
              <w:t>Weighted average interest rate of repurchase</w:t>
            </w:r>
          </w:p>
        </w:tc>
        <w:tc>
          <w:tcPr>
            <w:tcW w:w="1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06"/>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shd w:val="clear" w:color="auto" w:fill="F0FFFF"/>
          </w:tcPr>
          <w:p>
            <w:pPr>
              <w:spacing w:after="0"/>
              <w:rPr>
                <w:sz w:val="17"/>
                <w:szCs w:val="17"/>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r>
      <w:tr>
        <w:trPr>
          <w:trHeight w:val="33"/>
        </w:trPr>
        <w:tc>
          <w:tcPr>
            <w:tcW w:w="30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Offsetting and Repurchase Agreements Accounted for as Secured Borrowings,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At December 31, 2018, United recognized the right to reclaim cash collateral of $16.1 million and the obligation to return cash collateral of $8.03 million. At December 31, 2017, United recognized the right to reclaim cash collateral of $17.2 million and the obligation to return cash collateral of $6.37 million. The right to reclaim cash collateral and the obligation to return cash collateral were included in the consolidated balance sheets in other assets and other liabilities, respectively.</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60" w:type="dxa"/>
            <w:vAlign w:val="bottom"/>
            <w:gridSpan w:val="12"/>
          </w:tcPr>
          <w:p>
            <w:pPr>
              <w:jc w:val="center"/>
              <w:ind w:right="90"/>
              <w:spacing w:after="0"/>
              <w:rPr>
                <w:sz w:val="20"/>
                <w:szCs w:val="20"/>
                <w:color w:val="auto"/>
              </w:rPr>
            </w:pPr>
            <w:r>
              <w:rPr>
                <w:rFonts w:ascii="Arial" w:cs="Arial" w:eastAsia="Arial" w:hAnsi="Arial"/>
                <w:sz w:val="18"/>
                <w:szCs w:val="18"/>
                <w:b w:val="1"/>
                <w:bCs w:val="1"/>
                <w:color w:val="auto"/>
                <w:w w:val="91"/>
              </w:rPr>
              <w:t>Remaining Contractual Maturity of the Agreements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Overnight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Continuous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Up to 30 Days</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30 to 90 Days</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91 to 110 Days</w:t>
            </w:r>
          </w:p>
        </w:tc>
        <w:tc>
          <w:tcPr>
            <w:tcW w:w="26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F0FFFF"/>
            </w:tcBorders>
          </w:tcPr>
          <w:p>
            <w:pPr>
              <w:spacing w:after="0"/>
              <w:rPr>
                <w:sz w:val="2"/>
                <w:szCs w:val="2"/>
                <w:color w:val="auto"/>
              </w:rPr>
            </w:pPr>
          </w:p>
        </w:tc>
        <w:tc>
          <w:tcPr>
            <w:tcW w:w="1900" w:type="dxa"/>
            <w:vAlign w:val="bottom"/>
            <w:tcBorders>
              <w:bottom w:val="single" w:sz="8" w:color="F0FFFF"/>
            </w:tcBorders>
          </w:tcPr>
          <w:p>
            <w:pPr>
              <w:spacing w:after="0"/>
              <w:rPr>
                <w:sz w:val="2"/>
                <w:szCs w:val="2"/>
                <w:color w:val="auto"/>
              </w:rPr>
            </w:pPr>
          </w:p>
        </w:tc>
        <w:tc>
          <w:tcPr>
            <w:tcW w:w="248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1900" w:type="dxa"/>
            <w:vAlign w:val="bottom"/>
            <w:tcBorders>
              <w:bottom w:val="single" w:sz="8" w:color="auto"/>
            </w:tcBorders>
            <w:shd w:val="clear" w:color="auto" w:fill="F0FFFF"/>
          </w:tcPr>
          <w:p>
            <w:pPr>
              <w:spacing w:after="0" w:line="196" w:lineRule="exact"/>
              <w:rPr>
                <w:sz w:val="20"/>
                <w:szCs w:val="20"/>
                <w:color w:val="auto"/>
              </w:rPr>
            </w:pPr>
            <w:r>
              <w:rPr>
                <w:rFonts w:ascii="Arial" w:cs="Arial" w:eastAsia="Arial" w:hAnsi="Arial"/>
                <w:sz w:val="18"/>
                <w:szCs w:val="18"/>
                <w:b w:val="1"/>
                <w:bCs w:val="1"/>
                <w:color w:val="auto"/>
                <w:w w:val="88"/>
              </w:rPr>
              <w:t>As of December 31, 2018</w:t>
            </w:r>
          </w:p>
        </w:tc>
        <w:tc>
          <w:tcPr>
            <w:tcW w:w="24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20" w:type="dxa"/>
            <w:vAlign w:val="bottom"/>
            <w:tcBorders>
              <w:bottom w:val="single" w:sz="8" w:color="F0FFFF"/>
            </w:tcBorders>
            <w:shd w:val="clear" w:color="auto" w:fill="F0FFFF"/>
          </w:tcPr>
          <w:p>
            <w:pPr>
              <w:spacing w:after="0"/>
              <w:rPr>
                <w:sz w:val="21"/>
                <w:szCs w:val="21"/>
                <w:color w:val="auto"/>
              </w:rPr>
            </w:pPr>
          </w:p>
        </w:tc>
        <w:tc>
          <w:tcPr>
            <w:tcW w:w="6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0" w:type="dxa"/>
            <w:vAlign w:val="bottom"/>
            <w:tcBorders>
              <w:bottom w:val="single" w:sz="8" w:color="F0FFFF"/>
            </w:tcBorders>
          </w:tcPr>
          <w:p>
            <w:pPr>
              <w:spacing w:after="0"/>
              <w:rPr>
                <w:sz w:val="2"/>
                <w:szCs w:val="2"/>
                <w:color w:val="auto"/>
              </w:rPr>
            </w:pPr>
          </w:p>
        </w:tc>
        <w:tc>
          <w:tcPr>
            <w:tcW w:w="1900" w:type="dxa"/>
            <w:vAlign w:val="bottom"/>
            <w:tcBorders>
              <w:bottom w:val="single" w:sz="8" w:color="F0FFFF"/>
            </w:tcBorders>
          </w:tcPr>
          <w:p>
            <w:pPr>
              <w:spacing w:after="0"/>
              <w:rPr>
                <w:sz w:val="2"/>
                <w:szCs w:val="2"/>
                <w:color w:val="auto"/>
              </w:rPr>
            </w:pPr>
          </w:p>
        </w:tc>
        <w:tc>
          <w:tcPr>
            <w:tcW w:w="248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F0FFFF"/>
          </w:tcPr>
          <w:p>
            <w:pPr>
              <w:spacing w:after="0"/>
              <w:rPr>
                <w:sz w:val="22"/>
                <w:szCs w:val="22"/>
                <w:color w:val="auto"/>
              </w:rPr>
            </w:pPr>
          </w:p>
        </w:tc>
        <w:tc>
          <w:tcPr>
            <w:tcW w:w="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1900" w:type="dxa"/>
            <w:vAlign w:val="bottom"/>
            <w:tcBorders>
              <w:top w:val="single" w:sz="8" w:color="F0FFFF"/>
            </w:tcBorders>
          </w:tcPr>
          <w:p>
            <w:pPr>
              <w:spacing w:after="0" w:line="20" w:lineRule="exact"/>
              <w:rPr>
                <w:sz w:val="1"/>
                <w:szCs w:val="1"/>
                <w:color w:val="auto"/>
              </w:rPr>
            </w:pPr>
          </w:p>
        </w:tc>
        <w:tc>
          <w:tcPr>
            <w:tcW w:w="24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F0FFFF"/>
          </w:tcPr>
          <w:p>
            <w:pPr>
              <w:spacing w:after="0"/>
              <w:rPr>
                <w:sz w:val="19"/>
                <w:szCs w:val="19"/>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amount of recognized liabilities for repurchase</w:t>
            </w:r>
          </w:p>
        </w:tc>
        <w:tc>
          <w:tcPr>
            <w:tcW w:w="120" w:type="dxa"/>
            <w:vAlign w:val="bottom"/>
            <w:shd w:val="clear" w:color="auto" w:fill="F0FFFF"/>
          </w:tcPr>
          <w:p>
            <w:pPr>
              <w:spacing w:after="0"/>
              <w:rPr>
                <w:sz w:val="19"/>
                <w:szCs w:val="19"/>
                <w:color w:val="auto"/>
              </w:rPr>
            </w:pPr>
          </w:p>
        </w:tc>
        <w:tc>
          <w:tcPr>
            <w:tcW w:w="1000" w:type="dxa"/>
            <w:vAlign w:val="bottom"/>
            <w:shd w:val="clear" w:color="auto" w:fill="F0FFFF"/>
          </w:tcPr>
          <w:p>
            <w:pPr>
              <w:spacing w:after="0"/>
              <w:rPr>
                <w:sz w:val="19"/>
                <w:szCs w:val="19"/>
                <w:color w:val="auto"/>
              </w:rPr>
            </w:pPr>
          </w:p>
        </w:tc>
        <w:tc>
          <w:tcPr>
            <w:tcW w:w="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5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520" w:type="dxa"/>
            <w:vAlign w:val="bottom"/>
            <w:shd w:val="clear" w:color="auto" w:fill="F0FFFF"/>
          </w:tcPr>
          <w:p>
            <w:pPr>
              <w:spacing w:after="0"/>
              <w:rPr>
                <w:sz w:val="19"/>
                <w:szCs w:val="19"/>
                <w:color w:val="auto"/>
              </w:rPr>
            </w:pPr>
          </w:p>
        </w:tc>
        <w:tc>
          <w:tcPr>
            <w:tcW w:w="6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vMerge w:val="restart"/>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F0FF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20" w:type="dxa"/>
            <w:vAlign w:val="bottom"/>
            <w:tcBorders>
              <w:bottom w:val="single" w:sz="8" w:color="F0FFFF"/>
            </w:tcBorders>
            <w:shd w:val="clear" w:color="auto" w:fill="F0FFFF"/>
          </w:tcPr>
          <w:p>
            <w:pPr>
              <w:spacing w:after="0"/>
              <w:rPr>
                <w:sz w:val="20"/>
                <w:szCs w:val="20"/>
                <w:color w:val="auto"/>
              </w:rPr>
            </w:pPr>
          </w:p>
        </w:tc>
        <w:tc>
          <w:tcPr>
            <w:tcW w:w="438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agreements in offsetting disclosure</w:t>
            </w:r>
          </w:p>
        </w:tc>
        <w:tc>
          <w:tcPr>
            <w:tcW w:w="12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50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52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vMerge w:val="continue"/>
            <w:shd w:val="clear" w:color="auto" w:fill="F0FFFF"/>
          </w:tcPr>
          <w:p>
            <w:pPr>
              <w:spacing w:after="0"/>
              <w:rPr>
                <w:sz w:val="20"/>
                <w:szCs w:val="20"/>
                <w:color w:val="auto"/>
              </w:rPr>
            </w:pPr>
          </w:p>
        </w:tc>
        <w:tc>
          <w:tcPr>
            <w:tcW w:w="920" w:type="dxa"/>
            <w:vAlign w:val="bottom"/>
            <w:tcBorders>
              <w:bottom w:val="single" w:sz="8" w:color="auto"/>
            </w:tcBorders>
            <w:vMerge w:val="continue"/>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gridSpan w:val="2"/>
            <w:vMerge w:val="restart"/>
          </w:tcPr>
          <w:p>
            <w:pPr>
              <w:spacing w:after="0"/>
              <w:rPr>
                <w:sz w:val="20"/>
                <w:szCs w:val="20"/>
                <w:color w:val="auto"/>
              </w:rPr>
            </w:pPr>
            <w:r>
              <w:rPr>
                <w:rFonts w:ascii="Arial" w:cs="Arial" w:eastAsia="Arial" w:hAnsi="Arial"/>
                <w:sz w:val="18"/>
                <w:szCs w:val="18"/>
                <w:color w:val="auto"/>
                <w:w w:val="96"/>
              </w:rPr>
              <w:t>Amounts related to agreements not included in offsetting</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Borders>
              <w:bottom w:val="single" w:sz="8" w:color="F0FFFF"/>
            </w:tcBorders>
          </w:tcPr>
          <w:p>
            <w:pPr>
              <w:spacing w:after="0"/>
              <w:rPr>
                <w:sz w:val="24"/>
                <w:szCs w:val="24"/>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disclosure</w:t>
            </w:r>
          </w:p>
        </w:tc>
        <w:tc>
          <w:tcPr>
            <w:tcW w:w="120" w:type="dxa"/>
            <w:vAlign w:val="bottom"/>
            <w:tcBorders>
              <w:bottom w:val="single" w:sz="8" w:color="F0FFFF"/>
            </w:tcBorders>
          </w:tcPr>
          <w:p>
            <w:pPr>
              <w:spacing w:after="0"/>
              <w:rPr>
                <w:sz w:val="24"/>
                <w:szCs w:val="24"/>
                <w:color w:val="auto"/>
              </w:rPr>
            </w:pPr>
          </w:p>
        </w:tc>
        <w:tc>
          <w:tcPr>
            <w:tcW w:w="1000" w:type="dxa"/>
            <w:vAlign w:val="bottom"/>
            <w:tcBorders>
              <w:bottom w:val="single" w:sz="8" w:color="F0FFFF"/>
            </w:tcBorders>
          </w:tcPr>
          <w:p>
            <w:pPr>
              <w:spacing w:after="0"/>
              <w:rPr>
                <w:sz w:val="24"/>
                <w:szCs w:val="24"/>
                <w:color w:val="auto"/>
              </w:rPr>
            </w:pPr>
          </w:p>
        </w:tc>
        <w:tc>
          <w:tcPr>
            <w:tcW w:w="4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500" w:type="dxa"/>
            <w:vAlign w:val="bottom"/>
            <w:tcBorders>
              <w:bottom w:val="single" w:sz="8" w:color="F0FFFF"/>
            </w:tcBorders>
          </w:tcPr>
          <w:p>
            <w:pPr>
              <w:spacing w:after="0"/>
              <w:rPr>
                <w:sz w:val="24"/>
                <w:szCs w:val="24"/>
                <w:color w:val="auto"/>
              </w:rPr>
            </w:pPr>
          </w:p>
        </w:tc>
        <w:tc>
          <w:tcPr>
            <w:tcW w:w="68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300" w:type="dxa"/>
            <w:vAlign w:val="bottom"/>
            <w:tcBorders>
              <w:bottom w:val="single" w:sz="8" w:color="F0FFFF"/>
            </w:tcBorders>
          </w:tcPr>
          <w:p>
            <w:pPr>
              <w:spacing w:after="0"/>
              <w:rPr>
                <w:sz w:val="24"/>
                <w:szCs w:val="24"/>
                <w:color w:val="auto"/>
              </w:rPr>
            </w:pPr>
          </w:p>
        </w:tc>
        <w:tc>
          <w:tcPr>
            <w:tcW w:w="88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520" w:type="dxa"/>
            <w:vAlign w:val="bottom"/>
            <w:tcBorders>
              <w:bottom w:val="single" w:sz="8" w:color="F0FFFF"/>
            </w:tcBorders>
          </w:tcPr>
          <w:p>
            <w:pPr>
              <w:spacing w:after="0"/>
              <w:rPr>
                <w:sz w:val="24"/>
                <w:szCs w:val="24"/>
                <w:color w:val="auto"/>
              </w:rPr>
            </w:pPr>
          </w:p>
        </w:tc>
        <w:tc>
          <w:tcPr>
            <w:tcW w:w="66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shd w:val="clear" w:color="auto" w:fill="F0FFFF"/>
          </w:tcPr>
          <w:p>
            <w:pPr>
              <w:spacing w:after="0"/>
              <w:rPr>
                <w:sz w:val="24"/>
                <w:szCs w:val="24"/>
                <w:color w:val="auto"/>
              </w:rPr>
            </w:pPr>
          </w:p>
        </w:tc>
        <w:tc>
          <w:tcPr>
            <w:tcW w:w="1900" w:type="dxa"/>
            <w:vAlign w:val="bottom"/>
            <w:shd w:val="clear" w:color="auto" w:fill="F0FFFF"/>
          </w:tcPr>
          <w:p>
            <w:pPr>
              <w:spacing w:after="0"/>
              <w:rPr>
                <w:sz w:val="24"/>
                <w:szCs w:val="24"/>
                <w:color w:val="auto"/>
              </w:rPr>
            </w:pPr>
          </w:p>
        </w:tc>
        <w:tc>
          <w:tcPr>
            <w:tcW w:w="24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50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0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5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438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F0FFFF"/>
            </w:tcBorders>
            <w:gridSpan w:val="3"/>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F0FFFF"/>
            </w:tcBorders>
            <w:gridSpan w:val="2"/>
            <w:shd w:val="clear" w:color="auto" w:fill="F0FFFF"/>
          </w:tcPr>
          <w:p>
            <w:pPr>
              <w:ind w:lef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F0FFFF"/>
            </w:tcBorders>
            <w:shd w:val="clear" w:color="auto" w:fill="F0FFFF"/>
          </w:tcPr>
          <w:p>
            <w:pPr>
              <w:spacing w:after="0"/>
              <w:rPr>
                <w:sz w:val="23"/>
                <w:szCs w:val="23"/>
                <w:color w:val="auto"/>
              </w:rPr>
            </w:pPr>
          </w:p>
        </w:tc>
        <w:tc>
          <w:tcPr>
            <w:tcW w:w="5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97"/>
        </w:trPr>
        <w:tc>
          <w:tcPr>
            <w:tcW w:w="20" w:type="dxa"/>
            <w:vAlign w:val="bottom"/>
            <w:tcBorders>
              <w:bottom w:val="single" w:sz="8" w:color="F0FFFF"/>
            </w:tcBorders>
          </w:tcPr>
          <w:p>
            <w:pPr>
              <w:spacing w:after="0"/>
              <w:rPr>
                <w:sz w:val="24"/>
                <w:szCs w:val="24"/>
                <w:color w:val="auto"/>
              </w:rPr>
            </w:pPr>
          </w:p>
        </w:tc>
        <w:tc>
          <w:tcPr>
            <w:tcW w:w="4380" w:type="dxa"/>
            <w:vAlign w:val="bottom"/>
            <w:tcBorders>
              <w:bottom w:val="single" w:sz="8" w:color="F0FFFF"/>
            </w:tcBorders>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F0FFFF"/>
            </w:tcBorders>
          </w:tcPr>
          <w:p>
            <w:pPr>
              <w:spacing w:after="0"/>
              <w:rPr>
                <w:sz w:val="24"/>
                <w:szCs w:val="24"/>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11"/>
        </w:trPr>
        <w:tc>
          <w:tcPr>
            <w:tcW w:w="20" w:type="dxa"/>
            <w:vAlign w:val="bottom"/>
            <w:shd w:val="clear" w:color="auto" w:fill="F0FFFF"/>
          </w:tcPr>
          <w:p>
            <w:pPr>
              <w:spacing w:after="0"/>
              <w:rPr>
                <w:sz w:val="24"/>
                <w:szCs w:val="24"/>
                <w:color w:val="auto"/>
              </w:rPr>
            </w:pPr>
          </w:p>
        </w:tc>
        <w:tc>
          <w:tcPr>
            <w:tcW w:w="1900" w:type="dxa"/>
            <w:vAlign w:val="bottom"/>
            <w:shd w:val="clear" w:color="auto" w:fill="F0FFFF"/>
          </w:tcPr>
          <w:p>
            <w:pPr>
              <w:spacing w:after="0"/>
              <w:rPr>
                <w:sz w:val="24"/>
                <w:szCs w:val="24"/>
                <w:color w:val="auto"/>
              </w:rPr>
            </w:pPr>
          </w:p>
        </w:tc>
        <w:tc>
          <w:tcPr>
            <w:tcW w:w="24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50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0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5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Gross amount of recognized liabilities for repurchase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7"/>
        </w:trPr>
        <w:tc>
          <w:tcPr>
            <w:tcW w:w="20" w:type="dxa"/>
            <w:vAlign w:val="bottom"/>
            <w:tcBorders>
              <w:bottom w:val="single" w:sz="8" w:color="F0FFFF"/>
            </w:tcBorders>
          </w:tcPr>
          <w:p>
            <w:pPr>
              <w:spacing w:after="0"/>
              <w:rPr>
                <w:sz w:val="24"/>
                <w:szCs w:val="24"/>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agreements in offsetting disclosure</w:t>
            </w:r>
          </w:p>
        </w:tc>
        <w:tc>
          <w:tcPr>
            <w:tcW w:w="120" w:type="dxa"/>
            <w:vAlign w:val="bottom"/>
            <w:tcBorders>
              <w:bottom w:val="single" w:sz="8" w:color="F0FFFF"/>
            </w:tcBorders>
          </w:tcPr>
          <w:p>
            <w:pPr>
              <w:spacing w:after="0"/>
              <w:rPr>
                <w:sz w:val="24"/>
                <w:szCs w:val="24"/>
                <w:color w:val="auto"/>
              </w:rPr>
            </w:pPr>
          </w:p>
        </w:tc>
        <w:tc>
          <w:tcPr>
            <w:tcW w:w="1000" w:type="dxa"/>
            <w:vAlign w:val="bottom"/>
            <w:tcBorders>
              <w:bottom w:val="single" w:sz="8" w:color="F0FFFF"/>
            </w:tcBorders>
          </w:tcPr>
          <w:p>
            <w:pPr>
              <w:spacing w:after="0"/>
              <w:rPr>
                <w:sz w:val="24"/>
                <w:szCs w:val="24"/>
                <w:color w:val="auto"/>
              </w:rPr>
            </w:pPr>
          </w:p>
        </w:tc>
        <w:tc>
          <w:tcPr>
            <w:tcW w:w="4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500" w:type="dxa"/>
            <w:vAlign w:val="bottom"/>
            <w:tcBorders>
              <w:bottom w:val="single" w:sz="8" w:color="F0FFFF"/>
            </w:tcBorders>
          </w:tcPr>
          <w:p>
            <w:pPr>
              <w:spacing w:after="0"/>
              <w:rPr>
                <w:sz w:val="24"/>
                <w:szCs w:val="24"/>
                <w:color w:val="auto"/>
              </w:rPr>
            </w:pPr>
          </w:p>
        </w:tc>
        <w:tc>
          <w:tcPr>
            <w:tcW w:w="68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300" w:type="dxa"/>
            <w:vAlign w:val="bottom"/>
            <w:tcBorders>
              <w:bottom w:val="single" w:sz="8" w:color="F0FFFF"/>
            </w:tcBorders>
          </w:tcPr>
          <w:p>
            <w:pPr>
              <w:spacing w:after="0"/>
              <w:rPr>
                <w:sz w:val="24"/>
                <w:szCs w:val="24"/>
                <w:color w:val="auto"/>
              </w:rPr>
            </w:pPr>
          </w:p>
        </w:tc>
        <w:tc>
          <w:tcPr>
            <w:tcW w:w="88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520" w:type="dxa"/>
            <w:vAlign w:val="bottom"/>
            <w:tcBorders>
              <w:bottom w:val="single" w:sz="8" w:color="F0FFFF"/>
            </w:tcBorders>
          </w:tcPr>
          <w:p>
            <w:pPr>
              <w:spacing w:after="0"/>
              <w:rPr>
                <w:sz w:val="24"/>
                <w:szCs w:val="24"/>
                <w:color w:val="auto"/>
              </w:rPr>
            </w:pPr>
          </w:p>
        </w:tc>
        <w:tc>
          <w:tcPr>
            <w:tcW w:w="66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F0FFFF"/>
          </w:tcPr>
          <w:p>
            <w:pPr>
              <w:spacing w:after="0"/>
              <w:rPr>
                <w:sz w:val="16"/>
                <w:szCs w:val="16"/>
                <w:color w:val="auto"/>
              </w:rPr>
            </w:pPr>
          </w:p>
        </w:tc>
        <w:tc>
          <w:tcPr>
            <w:tcW w:w="4380" w:type="dxa"/>
            <w:vAlign w:val="bottom"/>
            <w:gridSpan w:val="2"/>
            <w:shd w:val="clear" w:color="auto" w:fill="F0FFFF"/>
          </w:tcPr>
          <w:p>
            <w:pPr>
              <w:spacing w:after="0" w:line="189" w:lineRule="exact"/>
              <w:rPr>
                <w:sz w:val="20"/>
                <w:szCs w:val="20"/>
                <w:color w:val="auto"/>
              </w:rPr>
            </w:pPr>
            <w:r>
              <w:rPr>
                <w:rFonts w:ascii="Arial" w:cs="Arial" w:eastAsia="Arial" w:hAnsi="Arial"/>
                <w:sz w:val="18"/>
                <w:szCs w:val="18"/>
                <w:color w:val="auto"/>
                <w:w w:val="96"/>
              </w:rPr>
              <w:t>Amounts related to agreements not included in offsetting</w:t>
            </w:r>
          </w:p>
        </w:tc>
        <w:tc>
          <w:tcPr>
            <w:tcW w:w="12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vMerge w:val="restart"/>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F0FFFF"/>
            </w:tcBorders>
            <w:shd w:val="clear" w:color="auto" w:fill="F0FFFF"/>
          </w:tcPr>
          <w:p>
            <w:pPr>
              <w:spacing w:after="0"/>
              <w:rPr>
                <w:sz w:val="20"/>
                <w:szCs w:val="20"/>
                <w:color w:val="auto"/>
              </w:rPr>
            </w:pPr>
          </w:p>
        </w:tc>
        <w:tc>
          <w:tcPr>
            <w:tcW w:w="438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disclosure</w:t>
            </w:r>
          </w:p>
        </w:tc>
        <w:tc>
          <w:tcPr>
            <w:tcW w:w="12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50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52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vMerge w:val="continue"/>
            <w:shd w:val="clear" w:color="auto" w:fill="F0FFFF"/>
          </w:tcPr>
          <w:p>
            <w:pPr>
              <w:spacing w:after="0"/>
              <w:rPr>
                <w:sz w:val="20"/>
                <w:szCs w:val="20"/>
                <w:color w:val="auto"/>
              </w:rPr>
            </w:pPr>
          </w:p>
        </w:tc>
        <w:tc>
          <w:tcPr>
            <w:tcW w:w="920" w:type="dxa"/>
            <w:vAlign w:val="bottom"/>
            <w:tcBorders>
              <w:bottom w:val="single" w:sz="8" w:color="auto"/>
            </w:tcBorders>
            <w:vMerge w:val="continue"/>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2018 and 2017, securities with a carrying value of $925 million and $1.04 billion, respectively, were pledged to secure public deposits, derivatives and other secured borrowings.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debt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2018</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67,312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176,488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29,368</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29,445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274,407</w:t>
            </w:r>
          </w:p>
        </w:tc>
        <w:tc>
          <w:tcPr>
            <w:tcW w:w="120" w:type="dxa"/>
            <w:vAlign w:val="bottom"/>
            <w:tcBorders>
              <w:bottom w:val="single" w:sz="8" w:color="F0FF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268,803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90"/>
              </w:rPr>
              <w:t>As of December 31, 2017</w:t>
            </w:r>
          </w:p>
        </w:tc>
        <w:tc>
          <w:tcPr>
            <w:tcW w:w="3360" w:type="dxa"/>
            <w:vAlign w:val="bottom"/>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71,959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208,805</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207,102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40,819</w:t>
            </w:r>
          </w:p>
        </w:tc>
        <w:tc>
          <w:tcPr>
            <w:tcW w:w="0" w:type="dxa"/>
            <w:vAlign w:val="bottom"/>
          </w:tcPr>
          <w:p>
            <w:pPr>
              <w:spacing w:after="0"/>
              <w:rPr>
                <w:sz w:val="1"/>
                <w:szCs w:val="1"/>
                <w:color w:val="auto"/>
              </w:rPr>
            </w:pPr>
          </w:p>
        </w:tc>
      </w:tr>
      <w:tr>
        <w:trPr>
          <w:trHeight w:val="27"/>
        </w:trPr>
        <w:tc>
          <w:tcPr>
            <w:tcW w:w="2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336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F0FFFF"/>
            </w:tcBorders>
            <w:shd w:val="clear" w:color="auto" w:fill="F0FFFF"/>
          </w:tcPr>
          <w:p>
            <w:pPr>
              <w:spacing w:after="0"/>
              <w:rPr>
                <w:sz w:val="22"/>
                <w:szCs w:val="22"/>
                <w:color w:val="auto"/>
              </w:rPr>
            </w:pPr>
          </w:p>
        </w:tc>
        <w:tc>
          <w:tcPr>
            <w:tcW w:w="5220" w:type="dxa"/>
            <w:vAlign w:val="bottom"/>
            <w:tcBorders>
              <w:bottom w:val="single" w:sz="8" w:color="F0FFFF"/>
            </w:tcBorders>
            <w:gridSpan w:val="2"/>
            <w:shd w:val="clear" w:color="auto" w:fill="F0FF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321,094</w:t>
            </w:r>
          </w:p>
        </w:tc>
        <w:tc>
          <w:tcPr>
            <w:tcW w:w="1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321,276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as follows </w:t>
      </w:r>
      <w:r>
        <w:rPr>
          <w:rFonts w:ascii="Arial" w:cs="Arial" w:eastAsia="Arial" w:hAnsi="Arial"/>
          <w:sz w:val="16"/>
          <w:szCs w:val="16"/>
          <w:i w:val="1"/>
          <w:iCs w:val="1"/>
          <w:color w:val="auto"/>
        </w:rPr>
        <w:t>(in thousands):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2018</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150,712</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149,307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234,750</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233,941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1,445,910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399,663</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391,917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200,582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184,683</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182,676</w:t>
            </w:r>
          </w:p>
        </w:tc>
        <w:tc>
          <w:tcPr>
            <w:tcW w:w="0" w:type="dxa"/>
            <w:vAlign w:val="bottom"/>
          </w:tcPr>
          <w:p>
            <w:pPr>
              <w:spacing w:after="0"/>
              <w:rPr>
                <w:sz w:val="1"/>
                <w:szCs w:val="1"/>
                <w:color w:val="auto"/>
              </w:rPr>
            </w:pPr>
          </w:p>
        </w:tc>
      </w:tr>
      <w:tr>
        <w:trPr>
          <w:trHeight w:val="297"/>
        </w:trPr>
        <w:tc>
          <w:tcPr>
            <w:tcW w:w="20" w:type="dxa"/>
            <w:vAlign w:val="bottom"/>
            <w:tcBorders>
              <w:bottom w:val="single" w:sz="8" w:color="F0FFFF"/>
            </w:tcBorders>
          </w:tcPr>
          <w:p>
            <w:pPr>
              <w:spacing w:after="0"/>
              <w:rPr>
                <w:sz w:val="24"/>
                <w:szCs w:val="24"/>
                <w:color w:val="auto"/>
              </w:rPr>
            </w:pPr>
          </w:p>
        </w:tc>
        <w:tc>
          <w:tcPr>
            <w:tcW w:w="5220" w:type="dxa"/>
            <w:vAlign w:val="bottom"/>
            <w:tcBorders>
              <w:bottom w:val="single" w:sz="8" w:color="F0FFFF"/>
            </w:tcBorders>
            <w:gridSpan w:val="2"/>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2,660,263</w:t>
            </w:r>
          </w:p>
        </w:tc>
        <w:tc>
          <w:tcPr>
            <w:tcW w:w="120" w:type="dxa"/>
            <w:vAlign w:val="bottom"/>
            <w:tcBorders>
              <w:bottom w:val="single" w:sz="8" w:color="F0FF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38,250</w:t>
            </w:r>
          </w:p>
        </w:tc>
        <w:tc>
          <w:tcPr>
            <w:tcW w:w="100" w:type="dxa"/>
            <w:vAlign w:val="bottom"/>
            <w:tcBorders>
              <w:bottom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2,628,467</w:t>
            </w:r>
          </w:p>
        </w:tc>
        <w:tc>
          <w:tcPr>
            <w:tcW w:w="0" w:type="dxa"/>
            <w:vAlign w:val="bottom"/>
          </w:tcPr>
          <w:p>
            <w:pPr>
              <w:spacing w:after="0"/>
              <w:rPr>
                <w:sz w:val="1"/>
                <w:szCs w:val="1"/>
                <w:color w:val="auto"/>
              </w:rPr>
            </w:pPr>
          </w:p>
        </w:tc>
      </w:tr>
      <w:tr>
        <w:trPr>
          <w:trHeight w:val="237"/>
        </w:trPr>
        <w:tc>
          <w:tcPr>
            <w:tcW w:w="20" w:type="dxa"/>
            <w:vAlign w:val="bottom"/>
            <w:tcBorders>
              <w:bottom w:val="single" w:sz="8" w:color="F0FFFF"/>
            </w:tcBorders>
            <w:shd w:val="clear" w:color="auto" w:fill="F0FFFF"/>
          </w:tcPr>
          <w:p>
            <w:pPr>
              <w:spacing w:after="0"/>
              <w:rPr>
                <w:sz w:val="20"/>
                <w:szCs w:val="20"/>
                <w:color w:val="auto"/>
              </w:rPr>
            </w:pPr>
          </w:p>
        </w:tc>
        <w:tc>
          <w:tcPr>
            <w:tcW w:w="1860" w:type="dxa"/>
            <w:vAlign w:val="bottom"/>
            <w:tcBorders>
              <w:bottom w:val="single" w:sz="8" w:color="auto"/>
            </w:tcBorders>
            <w:shd w:val="clear" w:color="auto" w:fill="F0FFFF"/>
          </w:tcPr>
          <w:p>
            <w:pPr>
              <w:spacing w:after="0" w:line="189" w:lineRule="exact"/>
              <w:rPr>
                <w:sz w:val="20"/>
                <w:szCs w:val="20"/>
                <w:color w:val="auto"/>
              </w:rPr>
            </w:pPr>
            <w:r>
              <w:rPr>
                <w:rFonts w:ascii="Arial" w:cs="Arial" w:eastAsia="Arial" w:hAnsi="Arial"/>
                <w:sz w:val="18"/>
                <w:szCs w:val="18"/>
                <w:color w:val="auto"/>
                <w:w w:val="90"/>
              </w:rPr>
              <w:t>As of December 31, 2017</w:t>
            </w:r>
          </w:p>
        </w:tc>
        <w:tc>
          <w:tcPr>
            <w:tcW w:w="336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U.S. Treasuries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122,025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U.S. Government agencies</w:t>
            </w: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26,129</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26,372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1,317,371</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12,696</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1,311,733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415,478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305,265</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306,353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236,533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237,458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2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3"/>
                <w:szCs w:val="23"/>
                <w:color w:val="auto"/>
              </w:rPr>
            </w:pPr>
          </w:p>
        </w:tc>
        <w:tc>
          <w:tcPr>
            <w:tcW w:w="12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2,615,850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year-end 2018 and 2017, there were no holdings of debt obligations of any one issuer, other than the U.S. Government and its agencies, in an amount greater than 10% of shareholders’ equity.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0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6"/>
                <w:szCs w:val="16"/>
                <w:b w:val="1"/>
                <w:bCs w:val="1"/>
                <w:color w:val="auto"/>
              </w:rPr>
              <w:t>Loss</w:t>
            </w:r>
          </w:p>
        </w:tc>
      </w:tr>
      <w:tr>
        <w:trPr>
          <w:trHeight w:val="33"/>
        </w:trPr>
        <w:tc>
          <w:tcPr>
            <w:tcW w:w="2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1860" w:type="dxa"/>
            <w:vAlign w:val="bottom"/>
            <w:tcBorders>
              <w:bottom w:val="single" w:sz="8" w:color="auto"/>
            </w:tcBorders>
            <w:shd w:val="clear" w:color="auto" w:fill="F0FFFF"/>
          </w:tcPr>
          <w:p>
            <w:pPr>
              <w:spacing w:after="0" w:line="196" w:lineRule="exact"/>
              <w:rPr>
                <w:sz w:val="20"/>
                <w:szCs w:val="20"/>
                <w:color w:val="auto"/>
              </w:rPr>
            </w:pPr>
            <w:r>
              <w:rPr>
                <w:rFonts w:ascii="Arial" w:cs="Arial" w:eastAsia="Arial" w:hAnsi="Arial"/>
                <w:sz w:val="18"/>
                <w:szCs w:val="18"/>
                <w:color w:val="auto"/>
                <w:w w:val="90"/>
              </w:rPr>
              <w:t>As of December 31, 2018</w:t>
            </w:r>
          </w:p>
        </w:tc>
        <w:tc>
          <w:tcPr>
            <w:tcW w:w="186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34,146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41,208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2,191</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6,579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136,376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5,033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142,955</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5,094</w:t>
            </w: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7"/>
        </w:trPr>
        <w:tc>
          <w:tcPr>
            <w:tcW w:w="2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F0FFFF"/>
            </w:tcBorders>
            <w:shd w:val="clear" w:color="auto" w:fill="F0FFFF"/>
          </w:tcPr>
          <w:p>
            <w:pPr>
              <w:spacing w:after="0"/>
              <w:rPr>
                <w:sz w:val="22"/>
                <w:szCs w:val="22"/>
                <w:color w:val="auto"/>
              </w:rPr>
            </w:pPr>
          </w:p>
        </w:tc>
        <w:tc>
          <w:tcPr>
            <w:tcW w:w="3720" w:type="dxa"/>
            <w:vAlign w:val="bottom"/>
            <w:tcBorders>
              <w:bottom w:val="single" w:sz="8" w:color="F0FFFF"/>
            </w:tcBorders>
            <w:gridSpan w:val="2"/>
            <w:shd w:val="clear" w:color="auto" w:fill="F0FFFF"/>
          </w:tcPr>
          <w:p>
            <w:pPr>
              <w:ind w:left="24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174,812</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7,274</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188,453</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7,381</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1860" w:type="dxa"/>
            <w:vAlign w:val="bottom"/>
            <w:tcBorders>
              <w:bottom w:val="single" w:sz="8" w:color="auto"/>
            </w:tcBorders>
            <w:shd w:val="clear" w:color="auto" w:fill="F0FFFF"/>
          </w:tcPr>
          <w:p>
            <w:pPr>
              <w:spacing w:after="0" w:line="202" w:lineRule="exact"/>
              <w:rPr>
                <w:sz w:val="20"/>
                <w:szCs w:val="20"/>
                <w:color w:val="auto"/>
              </w:rPr>
            </w:pPr>
            <w:r>
              <w:rPr>
                <w:rFonts w:ascii="Arial" w:cs="Arial" w:eastAsia="Arial" w:hAnsi="Arial"/>
                <w:sz w:val="18"/>
                <w:szCs w:val="18"/>
                <w:color w:val="auto"/>
                <w:w w:val="90"/>
              </w:rPr>
              <w:t>As of December 31, 2017</w:t>
            </w:r>
          </w:p>
        </w:tc>
        <w:tc>
          <w:tcPr>
            <w:tcW w:w="186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82,893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64,337</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147,230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3,289</w:t>
            </w: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136</w:t>
            </w:r>
          </w:p>
        </w:tc>
      </w:tr>
      <w:tr>
        <w:trPr>
          <w:trHeight w:val="27"/>
        </w:trPr>
        <w:tc>
          <w:tcPr>
            <w:tcW w:w="2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F0FFFF"/>
            </w:tcBorders>
            <w:shd w:val="clear" w:color="auto" w:fill="F0FFFF"/>
          </w:tcPr>
          <w:p>
            <w:pPr>
              <w:spacing w:after="0"/>
              <w:rPr>
                <w:sz w:val="22"/>
                <w:szCs w:val="22"/>
                <w:color w:val="auto"/>
              </w:rPr>
            </w:pPr>
          </w:p>
        </w:tc>
        <w:tc>
          <w:tcPr>
            <w:tcW w:w="3720" w:type="dxa"/>
            <w:vAlign w:val="bottom"/>
            <w:tcBorders>
              <w:bottom w:val="single" w:sz="8" w:color="F0FFFF"/>
            </w:tcBorders>
            <w:gridSpan w:val="2"/>
            <w:shd w:val="clear" w:color="auto" w:fill="F0FFFF"/>
          </w:tcPr>
          <w:p>
            <w:pPr>
              <w:ind w:left="24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104,322</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65,868</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170,190</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2"/>
              <w:spacing w:after="0"/>
              <w:rPr>
                <w:sz w:val="20"/>
                <w:szCs w:val="20"/>
                <w:color w:val="auto"/>
              </w:rPr>
            </w:pPr>
            <w:r>
              <w:rPr>
                <w:rFonts w:ascii="Arial" w:cs="Arial" w:eastAsia="Arial" w:hAnsi="Arial"/>
                <w:sz w:val="18"/>
                <w:szCs w:val="18"/>
                <w:color w:val="auto"/>
              </w:rPr>
              <w:t>3,603</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0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33"/>
        </w:trPr>
        <w:tc>
          <w:tcPr>
            <w:tcW w:w="2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1860" w:type="dxa"/>
            <w:vAlign w:val="bottom"/>
            <w:tcBorders>
              <w:bottom w:val="single" w:sz="8" w:color="auto"/>
            </w:tcBorders>
            <w:shd w:val="clear" w:color="auto" w:fill="F0FFFF"/>
          </w:tcPr>
          <w:p>
            <w:pPr>
              <w:spacing w:after="0" w:line="196" w:lineRule="exact"/>
              <w:rPr>
                <w:sz w:val="20"/>
                <w:szCs w:val="20"/>
                <w:color w:val="auto"/>
              </w:rPr>
            </w:pPr>
            <w:r>
              <w:rPr>
                <w:rFonts w:ascii="Arial" w:cs="Arial" w:eastAsia="Arial" w:hAnsi="Arial"/>
                <w:sz w:val="18"/>
                <w:szCs w:val="18"/>
                <w:color w:val="auto"/>
                <w:w w:val="90"/>
              </w:rPr>
              <w:t>As of December 31, 2018</w:t>
            </w:r>
          </w:p>
        </w:tc>
        <w:tc>
          <w:tcPr>
            <w:tcW w:w="186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120,391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120,391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21,519</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21,519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148,660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234,583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775,360</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21,090</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1,009,943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21,898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355,292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117,296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117,296</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7"/>
        </w:trPr>
        <w:tc>
          <w:tcPr>
            <w:tcW w:w="2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8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F0FFFF"/>
            </w:tcBorders>
            <w:shd w:val="clear" w:color="auto" w:fill="F0FFFF"/>
          </w:tcPr>
          <w:p>
            <w:pPr>
              <w:spacing w:after="0"/>
              <w:rPr>
                <w:sz w:val="22"/>
                <w:szCs w:val="22"/>
                <w:color w:val="auto"/>
              </w:rPr>
            </w:pPr>
          </w:p>
        </w:tc>
        <w:tc>
          <w:tcPr>
            <w:tcW w:w="3720" w:type="dxa"/>
            <w:vAlign w:val="bottom"/>
            <w:tcBorders>
              <w:bottom w:val="single" w:sz="8" w:color="F0FFFF"/>
            </w:tcBorders>
            <w:gridSpan w:val="2"/>
            <w:shd w:val="clear" w:color="auto" w:fill="F0FFFF"/>
          </w:tcPr>
          <w:p>
            <w:pPr>
              <w:ind w:left="24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328,787</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1"/>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ind w:right="11"/>
              <w:spacing w:after="0"/>
              <w:rPr>
                <w:sz w:val="20"/>
                <w:szCs w:val="20"/>
                <w:color w:val="auto"/>
              </w:rPr>
            </w:pPr>
            <w:r>
              <w:rPr>
                <w:rFonts w:ascii="Arial" w:cs="Arial" w:eastAsia="Arial" w:hAnsi="Arial"/>
                <w:sz w:val="18"/>
                <w:szCs w:val="18"/>
                <w:color w:val="auto"/>
                <w:w w:val="99"/>
              </w:rPr>
              <w:t>1,555,326</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0FFFF"/>
          </w:tcPr>
          <w:p>
            <w:pPr>
              <w:jc w:val="right"/>
              <w:ind w:right="11"/>
              <w:spacing w:after="0"/>
              <w:rPr>
                <w:sz w:val="20"/>
                <w:szCs w:val="20"/>
                <w:color w:val="auto"/>
              </w:rPr>
            </w:pPr>
            <w:r>
              <w:rPr>
                <w:rFonts w:ascii="Arial" w:cs="Arial" w:eastAsia="Arial" w:hAnsi="Arial"/>
                <w:sz w:val="18"/>
                <w:szCs w:val="18"/>
                <w:color w:val="auto"/>
              </w:rPr>
              <w:t>34,941</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1,884,113</w:t>
            </w: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1"/>
              <w:spacing w:after="0"/>
              <w:rPr>
                <w:sz w:val="20"/>
                <w:szCs w:val="20"/>
                <w:color w:val="auto"/>
              </w:rPr>
            </w:pPr>
            <w:r>
              <w:rPr>
                <w:rFonts w:ascii="Arial" w:cs="Arial" w:eastAsia="Arial" w:hAnsi="Arial"/>
                <w:sz w:val="18"/>
                <w:szCs w:val="18"/>
                <w:color w:val="auto"/>
              </w:rPr>
              <w:t>38,250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2017</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121,113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121,113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61,494</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66,625</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242,501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309,025</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86,422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395,447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28,695</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33,726</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gridSpan w:val="2"/>
          </w:tcPr>
          <w:p>
            <w:pPr>
              <w:ind w:left="24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1,233,399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10,440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341,662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1,575,061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December 31, 2018, there were 277 debt securities available-for-sale and 67 debt securities held-to-maturity that were in an unrealized loss position. Management does not intend to sell nor believes it will be required to sell securities in an unrealized loss position prior to the recovery of its amortized cost basis. Unrealized losses at December 31, 2018 and 2017 were primarily attributable to changes in interest rates.</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2018, 2017 or 2016.</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the securities sold. The following summarizes securities sales activities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F0FFFF"/>
            </w:tcBorders>
          </w:tcPr>
          <w:p>
            <w:pPr>
              <w:spacing w:after="0"/>
              <w:rPr>
                <w:sz w:val="2"/>
                <w:szCs w:val="2"/>
                <w:color w:val="auto"/>
              </w:rPr>
            </w:pPr>
          </w:p>
        </w:tc>
        <w:tc>
          <w:tcPr>
            <w:tcW w:w="66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0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12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20" w:type="dxa"/>
            <w:vAlign w:val="bottom"/>
          </w:tcPr>
          <w:p>
            <w:pPr>
              <w:ind w:left="1200"/>
              <w:spacing w:after="0"/>
              <w:rPr>
                <w:sz w:val="20"/>
                <w:szCs w:val="20"/>
                <w:color w:val="auto"/>
              </w:rPr>
            </w:pPr>
            <w:r>
              <w:rPr>
                <w:rFonts w:ascii="Arial" w:cs="Arial" w:eastAsia="Arial" w:hAnsi="Arial"/>
                <w:sz w:val="18"/>
                <w:szCs w:val="18"/>
                <w:color w:val="auto"/>
              </w:rPr>
              <w:t>Proceeds from sales</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168,891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340,540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199,864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20" w:type="dxa"/>
            <w:vAlign w:val="bottom"/>
            <w:tcBorders>
              <w:top w:val="single" w:sz="8" w:color="F0FFFF"/>
            </w:tcBorders>
            <w:shd w:val="clear" w:color="auto" w:fill="F0FFFF"/>
          </w:tcPr>
          <w:p>
            <w:pPr>
              <w:spacing w:after="0"/>
              <w:rPr>
                <w:sz w:val="24"/>
                <w:szCs w:val="24"/>
                <w:color w:val="auto"/>
              </w:rPr>
            </w:pPr>
          </w:p>
        </w:tc>
        <w:tc>
          <w:tcPr>
            <w:tcW w:w="660" w:type="dxa"/>
            <w:vAlign w:val="bottom"/>
            <w:tcBorders>
              <w:top w:val="single" w:sz="8" w:color="F0FFFF"/>
            </w:tcBorders>
            <w:shd w:val="clear" w:color="auto" w:fill="F0FFFF"/>
          </w:tcPr>
          <w:p>
            <w:pPr>
              <w:spacing w:after="0"/>
              <w:rPr>
                <w:sz w:val="24"/>
                <w:szCs w:val="24"/>
                <w:color w:val="auto"/>
              </w:rPr>
            </w:pPr>
          </w:p>
        </w:tc>
        <w:tc>
          <w:tcPr>
            <w:tcW w:w="260" w:type="dxa"/>
            <w:vAlign w:val="bottom"/>
            <w:tcBorders>
              <w:top w:val="single" w:sz="8" w:color="auto"/>
            </w:tcBorders>
            <w:shd w:val="clear" w:color="auto" w:fill="F0FFFF"/>
          </w:tcPr>
          <w:p>
            <w:pPr>
              <w:spacing w:after="0"/>
              <w:rPr>
                <w:sz w:val="24"/>
                <w:szCs w:val="24"/>
                <w:color w:val="auto"/>
              </w:rPr>
            </w:pPr>
          </w:p>
        </w:tc>
        <w:tc>
          <w:tcPr>
            <w:tcW w:w="920" w:type="dxa"/>
            <w:vAlign w:val="bottom"/>
            <w:tcBorders>
              <w:top w:val="single" w:sz="8" w:color="auto"/>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260" w:type="dxa"/>
            <w:vAlign w:val="bottom"/>
            <w:tcBorders>
              <w:top w:val="single" w:sz="8" w:color="auto"/>
            </w:tcBorders>
            <w:shd w:val="clear" w:color="auto" w:fill="F0FFFF"/>
          </w:tcPr>
          <w:p>
            <w:pPr>
              <w:spacing w:after="0"/>
              <w:rPr>
                <w:sz w:val="24"/>
                <w:szCs w:val="24"/>
                <w:color w:val="auto"/>
              </w:rPr>
            </w:pPr>
          </w:p>
        </w:tc>
        <w:tc>
          <w:tcPr>
            <w:tcW w:w="920" w:type="dxa"/>
            <w:vAlign w:val="bottom"/>
            <w:tcBorders>
              <w:top w:val="single" w:sz="8" w:color="auto"/>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260" w:type="dxa"/>
            <w:vAlign w:val="bottom"/>
            <w:tcBorders>
              <w:top w:val="single" w:sz="8" w:color="auto"/>
            </w:tcBorders>
            <w:shd w:val="clear" w:color="auto" w:fill="F0FFFF"/>
          </w:tcPr>
          <w:p>
            <w:pPr>
              <w:spacing w:after="0"/>
              <w:rPr>
                <w:sz w:val="24"/>
                <w:szCs w:val="24"/>
                <w:color w:val="auto"/>
              </w:rPr>
            </w:pPr>
          </w:p>
        </w:tc>
        <w:tc>
          <w:tcPr>
            <w:tcW w:w="920" w:type="dxa"/>
            <w:vAlign w:val="bottom"/>
            <w:tcBorders>
              <w:top w:val="single" w:sz="8" w:color="auto"/>
            </w:tcBorders>
            <w:shd w:val="clear" w:color="auto" w:fill="F0FFFF"/>
          </w:tcPr>
          <w:p>
            <w:pPr>
              <w:spacing w:after="0"/>
              <w:rPr>
                <w:sz w:val="24"/>
                <w:szCs w:val="24"/>
                <w:color w:val="auto"/>
              </w:rPr>
            </w:pPr>
          </w:p>
        </w:tc>
        <w:tc>
          <w:tcPr>
            <w:tcW w:w="1280" w:type="dxa"/>
            <w:vAlign w:val="bottom"/>
            <w:tcBorders>
              <w:top w:val="single" w:sz="8" w:color="F0FFFF"/>
            </w:tcBorders>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200"/>
              <w:spacing w:after="0"/>
              <w:rPr>
                <w:sz w:val="20"/>
                <w:szCs w:val="20"/>
                <w:color w:val="auto"/>
              </w:rPr>
            </w:pPr>
            <w:r>
              <w:rPr>
                <w:rFonts w:ascii="Arial" w:cs="Arial" w:eastAsia="Arial" w:hAnsi="Arial"/>
                <w:sz w:val="18"/>
                <w:szCs w:val="18"/>
                <w:color w:val="auto"/>
              </w:rPr>
              <w:t>Gross gains on sales</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8"/>
                <w:szCs w:val="18"/>
                <w:color w:val="auto"/>
              </w:rPr>
              <w:t>Gross losses on sales</w:t>
            </w:r>
          </w:p>
        </w:tc>
        <w:tc>
          <w:tcPr>
            <w:tcW w:w="66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(665)</w:t>
            </w:r>
          </w:p>
        </w:tc>
        <w:tc>
          <w:tcPr>
            <w:tcW w:w="1280" w:type="dxa"/>
            <w:vAlign w:val="bottom"/>
            <w:tcBorders>
              <w:bottom w:val="single" w:sz="8" w:color="F0FFFF"/>
            </w:tcBorders>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020" w:type="dxa"/>
            <w:vAlign w:val="bottom"/>
            <w:tcBorders>
              <w:bottom w:val="single" w:sz="8" w:color="F0FFFF"/>
            </w:tcBorders>
          </w:tcPr>
          <w:p>
            <w:pPr>
              <w:ind w:left="1340"/>
              <w:spacing w:after="0"/>
              <w:rPr>
                <w:sz w:val="20"/>
                <w:szCs w:val="20"/>
                <w:color w:val="auto"/>
              </w:rPr>
            </w:pPr>
            <w:r>
              <w:rPr>
                <w:rFonts w:ascii="Arial" w:cs="Arial" w:eastAsia="Arial" w:hAnsi="Arial"/>
                <w:sz w:val="18"/>
                <w:szCs w:val="18"/>
                <w:color w:val="auto"/>
              </w:rPr>
              <w:t>Net (losses) gains on sales of securities</w:t>
            </w:r>
          </w:p>
        </w:tc>
        <w:tc>
          <w:tcPr>
            <w:tcW w:w="66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982</w:t>
            </w:r>
          </w:p>
        </w:tc>
        <w:tc>
          <w:tcPr>
            <w:tcW w:w="128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20" w:type="dxa"/>
            <w:vAlign w:val="bottom"/>
            <w:shd w:val="clear" w:color="auto" w:fill="F0FFFF"/>
          </w:tcPr>
          <w:p>
            <w:pPr>
              <w:spacing w:after="0"/>
              <w:rPr>
                <w:sz w:val="24"/>
                <w:szCs w:val="24"/>
                <w:color w:val="auto"/>
              </w:rPr>
            </w:pPr>
          </w:p>
        </w:tc>
        <w:tc>
          <w:tcPr>
            <w:tcW w:w="66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20" w:type="dxa"/>
            <w:vAlign w:val="bottom"/>
            <w:shd w:val="clear" w:color="auto" w:fill="F0FFFF"/>
          </w:tcPr>
          <w:p>
            <w:pPr>
              <w:spacing w:after="0"/>
              <w:rPr>
                <w:sz w:val="24"/>
                <w:szCs w:val="24"/>
                <w:color w:val="auto"/>
              </w:rPr>
            </w:pPr>
          </w:p>
        </w:tc>
        <w:tc>
          <w:tcPr>
            <w:tcW w:w="12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20" w:type="dxa"/>
            <w:vAlign w:val="bottom"/>
          </w:tcPr>
          <w:p>
            <w:pPr>
              <w:ind w:left="1200"/>
              <w:spacing w:after="0"/>
              <w:rPr>
                <w:sz w:val="20"/>
                <w:szCs w:val="20"/>
                <w:color w:val="auto"/>
              </w:rPr>
            </w:pPr>
            <w:r>
              <w:rPr>
                <w:rFonts w:ascii="Arial" w:cs="Arial" w:eastAsia="Arial" w:hAnsi="Arial"/>
                <w:sz w:val="18"/>
                <w:szCs w:val="18"/>
                <w:color w:val="auto"/>
                <w:w w:val="96"/>
              </w:rPr>
              <w:t>Income tax (benefit) expense attributable to sales</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60" w:type="dxa"/>
            <w:vAlign w:val="bottom"/>
            <w:vMerge w:val="restart"/>
          </w:tcPr>
          <w:p>
            <w:pPr>
              <w:jc w:val="right"/>
              <w:ind w:right="130"/>
              <w:spacing w:after="0"/>
              <w:rPr>
                <w:sz w:val="20"/>
                <w:szCs w:val="20"/>
                <w:color w:val="auto"/>
              </w:rPr>
            </w:pPr>
            <w:r>
              <w:rPr>
                <w:rFonts w:ascii="Arial" w:cs="Arial" w:eastAsia="Arial" w:hAnsi="Arial"/>
                <w:sz w:val="18"/>
                <w:szCs w:val="18"/>
                <w:color w:val="auto"/>
              </w:rPr>
              <w:t>94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7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amortized cost and fair value of debt available-for-sale and held-to-maturity securities at December 31, 2018,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ind w:left="720"/>
              <w:spacing w:after="0"/>
              <w:rPr>
                <w:sz w:val="20"/>
                <w:szCs w:val="20"/>
                <w:color w:val="auto"/>
              </w:rPr>
            </w:pPr>
            <w:r>
              <w:rPr>
                <w:rFonts w:ascii="Arial" w:cs="Arial" w:eastAsia="Arial" w:hAnsi="Arial"/>
                <w:sz w:val="16"/>
                <w:szCs w:val="16"/>
                <w:b w:val="1"/>
                <w:bCs w:val="1"/>
                <w:color w:val="auto"/>
              </w:rPr>
              <w:t>Available-for-Sale</w:t>
            </w:r>
          </w:p>
        </w:tc>
        <w:tc>
          <w:tcPr>
            <w:tcW w:w="120" w:type="dxa"/>
            <w:vAlign w:val="bottom"/>
          </w:tcPr>
          <w:p>
            <w:pPr>
              <w:spacing w:after="0"/>
              <w:rPr>
                <w:sz w:val="18"/>
                <w:szCs w:val="18"/>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6"/>
                <w:szCs w:val="16"/>
                <w:b w:val="1"/>
                <w:bCs w:val="1"/>
                <w:color w:val="auto"/>
              </w:rPr>
              <w:t>Held-to-Maturity</w:t>
            </w:r>
          </w:p>
        </w:tc>
      </w:tr>
      <w:tr>
        <w:trPr>
          <w:trHeight w:val="3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US Treasuries: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122,563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120,391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28,149</w:t>
            </w: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28,916</w:t>
            </w: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3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149,307</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3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5,859</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43,526</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43,045</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10,968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11,317</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41,771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8,928</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148,883</w:t>
            </w: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148,621</w:t>
            </w: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43,399</w:t>
            </w: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41,208</w:t>
            </w:r>
          </w:p>
        </w:tc>
      </w:tr>
      <w:tr>
        <w:trPr>
          <w:trHeight w:val="237"/>
        </w:trPr>
        <w:tc>
          <w:tcPr>
            <w:tcW w:w="4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233,941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67,312</w:t>
            </w:r>
          </w:p>
        </w:tc>
      </w:tr>
      <w:tr>
        <w:trPr>
          <w:trHeight w:val="27"/>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198,082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196,654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3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200,582</w:t>
            </w:r>
          </w:p>
        </w:tc>
        <w:tc>
          <w:tcPr>
            <w:tcW w:w="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199,163</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3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3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180,376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184,683</w:t>
            </w:r>
          </w:p>
        </w:tc>
        <w:tc>
          <w:tcPr>
            <w:tcW w:w="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182,676</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3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Total securities other than mortgage-backed securities: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Within 1 year</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5,859</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384,965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380,628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11,317</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73,795</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74,501</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8,354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8,928</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336,960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335,007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41,208</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1,464,380</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1,445,910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176,488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172,046</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399,663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391,917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29,445</w:t>
            </w:r>
          </w:p>
        </w:tc>
      </w:tr>
      <w:tr>
        <w:trPr>
          <w:trHeight w:val="27"/>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2,660,263</w:t>
            </w:r>
          </w:p>
        </w:tc>
        <w:tc>
          <w:tcPr>
            <w:tcW w:w="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2,628,467</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274,407</w:t>
            </w:r>
          </w:p>
        </w:tc>
        <w:tc>
          <w:tcPr>
            <w:tcW w:w="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268,803</w:t>
            </w:r>
          </w:p>
        </w:tc>
      </w:tr>
      <w:tr>
        <w:trPr>
          <w:trHeight w:val="20"/>
        </w:trPr>
        <w:tc>
          <w:tcPr>
            <w:tcW w:w="48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1"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Allowance for Credit Losses</w:t>
      </w:r>
    </w:p>
    <w:p>
      <w:pPr>
        <w:spacing w:after="0" w:line="22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280" w:type="dxa"/>
            <w:vAlign w:val="bottom"/>
          </w:tcPr>
          <w:p>
            <w:pPr>
              <w:spacing w:after="0"/>
              <w:rPr>
                <w:sz w:val="20"/>
                <w:szCs w:val="20"/>
                <w:color w:val="auto"/>
              </w:rPr>
            </w:pPr>
          </w:p>
        </w:tc>
      </w:tr>
      <w:tr>
        <w:trPr>
          <w:trHeight w:val="27"/>
        </w:trPr>
        <w:tc>
          <w:tcPr>
            <w:tcW w:w="67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r>
      <w:tr>
        <w:trPr>
          <w:trHeight w:val="244"/>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Owner occupied commercial real estate</w:t>
            </w: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1,647,904</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89"/>
              </w:rPr>
              <w:t>1,923,993</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43"/>
        </w:trPr>
        <w:tc>
          <w:tcPr>
            <w:tcW w:w="6740" w:type="dxa"/>
            <w:vAlign w:val="bottom"/>
          </w:tcPr>
          <w:p>
            <w:pPr>
              <w:ind w:left="1540"/>
              <w:spacing w:after="0"/>
              <w:rPr>
                <w:sz w:val="20"/>
                <w:szCs w:val="20"/>
                <w:color w:val="auto"/>
              </w:rPr>
            </w:pPr>
            <w:r>
              <w:rPr>
                <w:rFonts w:ascii="Arial" w:cs="Arial" w:eastAsia="Arial" w:hAnsi="Arial"/>
                <w:sz w:val="18"/>
                <w:szCs w:val="18"/>
                <w:color w:val="auto"/>
              </w:rPr>
              <w:t>Income producing commercial real estate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1,812,420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1,595,174</w:t>
            </w: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Commercial &amp; industrial</w:t>
            </w: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1,278,347</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89"/>
              </w:rPr>
              <w:t>1,130,990</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43"/>
        </w:trPr>
        <w:tc>
          <w:tcPr>
            <w:tcW w:w="6740" w:type="dxa"/>
            <w:vAlign w:val="bottom"/>
          </w:tcPr>
          <w:p>
            <w:pPr>
              <w:ind w:left="1540"/>
              <w:spacing w:after="0"/>
              <w:rPr>
                <w:sz w:val="20"/>
                <w:szCs w:val="20"/>
                <w:color w:val="auto"/>
              </w:rPr>
            </w:pPr>
            <w:r>
              <w:rPr>
                <w:rFonts w:ascii="Arial" w:cs="Arial" w:eastAsia="Arial" w:hAnsi="Arial"/>
                <w:sz w:val="18"/>
                <w:szCs w:val="18"/>
                <w:color w:val="auto"/>
              </w:rPr>
              <w:t>Commercial construction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796,158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711,936</w:t>
            </w: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Equipment financing</w:t>
            </w:r>
          </w:p>
        </w:tc>
        <w:tc>
          <w:tcPr>
            <w:tcW w:w="30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564,614</w:t>
            </w:r>
          </w:p>
        </w:tc>
        <w:tc>
          <w:tcPr>
            <w:tcW w:w="12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2120" w:type="dxa"/>
            <w:vAlign w:val="bottom"/>
            <w:tcBorders>
              <w:bottom w:val="single" w:sz="8" w:color="F0FFFF"/>
            </w:tcBorders>
            <w:gridSpan w:val="2"/>
            <w:shd w:val="clear" w:color="auto" w:fill="F0FFFF"/>
          </w:tcPr>
          <w:p>
            <w:pPr>
              <w:jc w:val="right"/>
              <w:ind w:right="138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780"/>
              <w:spacing w:after="0"/>
              <w:rPr>
                <w:sz w:val="20"/>
                <w:szCs w:val="20"/>
                <w:color w:val="auto"/>
              </w:rPr>
            </w:pPr>
            <w:r>
              <w:rPr>
                <w:rFonts w:ascii="Arial" w:cs="Arial" w:eastAsia="Arial" w:hAnsi="Arial"/>
                <w:sz w:val="18"/>
                <w:szCs w:val="18"/>
                <w:color w:val="auto"/>
              </w:rPr>
              <w:t>Total commercial</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6,099,443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5,362,093</w:t>
            </w:r>
          </w:p>
        </w:tc>
        <w:tc>
          <w:tcPr>
            <w:tcW w:w="12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Residential mortgage</w:t>
            </w: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1,049,232</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973,544</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43"/>
        </w:trPr>
        <w:tc>
          <w:tcPr>
            <w:tcW w:w="6740" w:type="dxa"/>
            <w:vAlign w:val="bottom"/>
          </w:tcPr>
          <w:p>
            <w:pPr>
              <w:ind w:left="1540"/>
              <w:spacing w:after="0"/>
              <w:rPr>
                <w:sz w:val="20"/>
                <w:szCs w:val="20"/>
                <w:color w:val="auto"/>
              </w:rPr>
            </w:pPr>
            <w:r>
              <w:rPr>
                <w:rFonts w:ascii="Arial" w:cs="Arial" w:eastAsia="Arial" w:hAnsi="Arial"/>
                <w:sz w:val="18"/>
                <w:szCs w:val="18"/>
                <w:color w:val="auto"/>
              </w:rPr>
              <w:t>Home equity lines of credit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694,010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731,227</w:t>
            </w: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Residential construction</w:t>
            </w: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211,011</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183,019</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43"/>
        </w:trPr>
        <w:tc>
          <w:tcPr>
            <w:tcW w:w="6740" w:type="dxa"/>
            <w:vAlign w:val="bottom"/>
          </w:tcPr>
          <w:p>
            <w:pPr>
              <w:ind w:left="1540"/>
              <w:spacing w:after="0"/>
              <w:rPr>
                <w:sz w:val="20"/>
                <w:szCs w:val="20"/>
                <w:color w:val="auto"/>
              </w:rPr>
            </w:pPr>
            <w:r>
              <w:rPr>
                <w:rFonts w:ascii="Arial" w:cs="Arial" w:eastAsia="Arial" w:hAnsi="Arial"/>
                <w:sz w:val="18"/>
                <w:szCs w:val="18"/>
                <w:color w:val="auto"/>
              </w:rPr>
              <w:t>Consumer direct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127,504</w:t>
            </w: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Indirect auto</w:t>
            </w:r>
          </w:p>
        </w:tc>
        <w:tc>
          <w:tcPr>
            <w:tcW w:w="30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207,692</w:t>
            </w:r>
          </w:p>
        </w:tc>
        <w:tc>
          <w:tcPr>
            <w:tcW w:w="12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358,185</w:t>
            </w:r>
          </w:p>
        </w:tc>
        <w:tc>
          <w:tcPr>
            <w:tcW w:w="1280" w:type="dxa"/>
            <w:vAlign w:val="bottom"/>
            <w:tcBorders>
              <w:bottom w:val="single" w:sz="8" w:color="F0FFFF"/>
            </w:tcBorders>
            <w:shd w:val="clear" w:color="auto" w:fill="F0FFFF"/>
          </w:tcPr>
          <w:p>
            <w:pPr>
              <w:spacing w:after="0"/>
              <w:rPr>
                <w:sz w:val="23"/>
                <w:szCs w:val="23"/>
                <w:color w:val="auto"/>
              </w:rPr>
            </w:pPr>
          </w:p>
        </w:tc>
      </w:tr>
      <w:tr>
        <w:trPr>
          <w:trHeight w:val="237"/>
        </w:trPr>
        <w:tc>
          <w:tcPr>
            <w:tcW w:w="6740" w:type="dxa"/>
            <w:vAlign w:val="bottom"/>
          </w:tcPr>
          <w:p>
            <w:pPr>
              <w:ind w:left="1780"/>
              <w:spacing w:after="0"/>
              <w:rPr>
                <w:sz w:val="20"/>
                <w:szCs w:val="20"/>
                <w:color w:val="auto"/>
              </w:rPr>
            </w:pPr>
            <w:r>
              <w:rPr>
                <w:rFonts w:ascii="Arial" w:cs="Arial" w:eastAsia="Arial" w:hAnsi="Arial"/>
                <w:sz w:val="18"/>
                <w:szCs w:val="18"/>
                <w:color w:val="auto"/>
              </w:rPr>
              <w:t>Total loans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8,383,401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7,735,572</w:t>
            </w:r>
          </w:p>
        </w:tc>
        <w:tc>
          <w:tcPr>
            <w:tcW w:w="12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Less allowance for loan losses</w:t>
            </w:r>
          </w:p>
        </w:tc>
        <w:tc>
          <w:tcPr>
            <w:tcW w:w="30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(61,203)</w:t>
            </w:r>
          </w:p>
        </w:tc>
        <w:tc>
          <w:tcPr>
            <w:tcW w:w="12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(58,914)</w:t>
            </w:r>
          </w:p>
        </w:tc>
        <w:tc>
          <w:tcPr>
            <w:tcW w:w="1280" w:type="dxa"/>
            <w:vAlign w:val="bottom"/>
            <w:tcBorders>
              <w:bottom w:val="single" w:sz="8" w:color="F0FFFF"/>
            </w:tcBorders>
            <w:shd w:val="clear" w:color="auto" w:fill="F0FFFF"/>
          </w:tcPr>
          <w:p>
            <w:pPr>
              <w:spacing w:after="0"/>
              <w:rPr>
                <w:sz w:val="23"/>
                <w:szCs w:val="23"/>
                <w:color w:val="auto"/>
              </w:rPr>
            </w:pPr>
          </w:p>
        </w:tc>
      </w:tr>
      <w:tr>
        <w:trPr>
          <w:trHeight w:val="257"/>
        </w:trPr>
        <w:tc>
          <w:tcPr>
            <w:tcW w:w="6740" w:type="dxa"/>
            <w:vAlign w:val="bottom"/>
          </w:tcPr>
          <w:p>
            <w:pPr>
              <w:ind w:left="1780"/>
              <w:spacing w:after="0"/>
              <w:rPr>
                <w:sz w:val="20"/>
                <w:szCs w:val="20"/>
                <w:color w:val="auto"/>
              </w:rPr>
            </w:pPr>
            <w:r>
              <w:rPr>
                <w:rFonts w:ascii="Arial" w:cs="Arial" w:eastAsia="Arial" w:hAnsi="Arial"/>
                <w:sz w:val="18"/>
                <w:szCs w:val="18"/>
                <w:color w:val="auto"/>
              </w:rPr>
              <w:t>Loans,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8,322,198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7,676,658</w:t>
            </w:r>
          </w:p>
        </w:tc>
        <w:tc>
          <w:tcPr>
            <w:tcW w:w="12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2018 and 2017, $1.19 million and $1.28 million, respectively, in overdrawn deposit accounts were reclassified as consumer loans.</w:t>
      </w:r>
    </w:p>
    <w:p>
      <w:pPr>
        <w:spacing w:after="0" w:line="2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2018 and 2017, loans with a carrying value of $3.98 billion and $3.73 billion were pledged as collateral to secure FHLB advances, securitized notes payable and other contingent funding sources.</w:t>
      </w:r>
    </w:p>
    <w:p>
      <w:pPr>
        <w:spacing w:after="0" w:line="170"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At December 31, 2018, the carrying value and outstanding balance of PCI loans was $74.4 million and $109 million, respectively. At December 31, 2017, the carrying value and outstanding balance of PCI loans was $98.5 million and $142 million, respectively. The following table presents changes in the value of the accretable yield for PCI loans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17,686</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7,981</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Additions due to acquisitions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6,723</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Accretion</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(13,696)</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(7,451)</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Reclassification from nonaccretable difference</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7,283</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Changes in expected cash flows that do not affect nonaccretable difference</w:t>
            </w: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3,150</w:t>
            </w: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17,686</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In addition to the accretable yield on PCI loans, the fair value adjustments on purchased loans outside the scope of ASC Topic 310-30 are also accreted to interest income over the life of the loans. At December 31, 2018 and 2017, the remaining accretable fair value discount on loans acquired through a business combination and not accounted for under ASC Topic 310-30 was $4.31 million and $14.7 million, respectively. At December 31, 2018, the net fair value discount included a net premium on loans acquired with NLFC. In addition, indirect auto loans purchased at a premium outside of a business combination had a remaining premium of $3.72 million and $7.84 million, respectively, at December 31, 2018 and 2017. During the year ended December 31, 2017, United purchased $81.7 million of indirect auto loans. United made no purchases of indirect auto loans during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At December 31, 2018, equipment financing assets included leases of $30.4 million. The components of the net investment in leases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70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0" w:type="dxa"/>
            <w:vAlign w:val="bottom"/>
            <w:tcBorders>
              <w:bottom w:val="single" w:sz="8" w:color="F0FFFF"/>
            </w:tcBorders>
          </w:tcPr>
          <w:p>
            <w:pPr>
              <w:spacing w:after="0"/>
              <w:rPr>
                <w:sz w:val="2"/>
                <w:szCs w:val="2"/>
                <w:color w:val="auto"/>
              </w:rPr>
            </w:pPr>
          </w:p>
        </w:tc>
      </w:tr>
      <w:tr>
        <w:trPr>
          <w:trHeight w:val="244"/>
        </w:trPr>
        <w:tc>
          <w:tcPr>
            <w:tcW w:w="7060" w:type="dxa"/>
            <w:vAlign w:val="bottom"/>
            <w:tcBorders>
              <w:bottom w:val="single" w:sz="8" w:color="F0FFFF"/>
            </w:tcBorders>
            <w:shd w:val="clear" w:color="auto" w:fill="F0FFFF"/>
          </w:tcPr>
          <w:p>
            <w:pPr>
              <w:ind w:left="1960"/>
              <w:spacing w:after="0"/>
              <w:rPr>
                <w:sz w:val="20"/>
                <w:szCs w:val="20"/>
                <w:color w:val="auto"/>
              </w:rPr>
            </w:pPr>
            <w:r>
              <w:rPr>
                <w:rFonts w:ascii="Arial" w:cs="Arial" w:eastAsia="Arial" w:hAnsi="Arial"/>
                <w:sz w:val="18"/>
                <w:szCs w:val="18"/>
                <w:color w:val="auto"/>
              </w:rPr>
              <w:t>Minimum future lease payments receivable</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31,915</w:t>
            </w: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7060" w:type="dxa"/>
            <w:vAlign w:val="bottom"/>
          </w:tcPr>
          <w:p>
            <w:pPr>
              <w:ind w:left="1960"/>
              <w:spacing w:after="0"/>
              <w:rPr>
                <w:sz w:val="20"/>
                <w:szCs w:val="20"/>
                <w:color w:val="auto"/>
              </w:rPr>
            </w:pPr>
            <w:r>
              <w:rPr>
                <w:rFonts w:ascii="Arial" w:cs="Arial" w:eastAsia="Arial" w:hAnsi="Arial"/>
                <w:sz w:val="18"/>
                <w:szCs w:val="18"/>
                <w:color w:val="auto"/>
              </w:rPr>
              <w:t>Estimated residual value of leased equipment</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3,593</w:t>
            </w:r>
          </w:p>
        </w:tc>
        <w:tc>
          <w:tcPr>
            <w:tcW w:w="18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60" w:type="dxa"/>
            <w:vAlign w:val="bottom"/>
            <w:tcBorders>
              <w:bottom w:val="single" w:sz="8" w:color="F0FFFF"/>
            </w:tcBorders>
            <w:shd w:val="clear" w:color="auto" w:fill="F0FFFF"/>
          </w:tcPr>
          <w:p>
            <w:pPr>
              <w:ind w:left="1960"/>
              <w:spacing w:after="0"/>
              <w:rPr>
                <w:sz w:val="20"/>
                <w:szCs w:val="20"/>
                <w:color w:val="auto"/>
              </w:rPr>
            </w:pPr>
            <w:r>
              <w:rPr>
                <w:rFonts w:ascii="Arial" w:cs="Arial" w:eastAsia="Arial" w:hAnsi="Arial"/>
                <w:sz w:val="18"/>
                <w:szCs w:val="18"/>
                <w:color w:val="auto"/>
              </w:rPr>
              <w:t>Initial direct costs</w:t>
            </w:r>
          </w:p>
        </w:tc>
        <w:tc>
          <w:tcPr>
            <w:tcW w:w="160" w:type="dxa"/>
            <w:vAlign w:val="bottom"/>
            <w:tcBorders>
              <w:bottom w:val="single" w:sz="8" w:color="F0FFFF"/>
            </w:tcBorders>
            <w:shd w:val="clear" w:color="auto" w:fill="F0FFFF"/>
          </w:tcPr>
          <w:p>
            <w:pPr>
              <w:spacing w:after="0"/>
              <w:rPr>
                <w:sz w:val="21"/>
                <w:szCs w:val="21"/>
                <w:color w:val="auto"/>
              </w:rPr>
            </w:pPr>
          </w:p>
        </w:tc>
        <w:tc>
          <w:tcPr>
            <w:tcW w:w="16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827</w:t>
            </w: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7060" w:type="dxa"/>
            <w:vAlign w:val="bottom"/>
          </w:tcPr>
          <w:p>
            <w:pPr>
              <w:ind w:left="1960"/>
              <w:spacing w:after="0"/>
              <w:rPr>
                <w:sz w:val="20"/>
                <w:szCs w:val="20"/>
                <w:color w:val="auto"/>
              </w:rPr>
            </w:pPr>
            <w:r>
              <w:rPr>
                <w:rFonts w:ascii="Arial" w:cs="Arial" w:eastAsia="Arial" w:hAnsi="Arial"/>
                <w:sz w:val="18"/>
                <w:szCs w:val="18"/>
                <w:color w:val="auto"/>
              </w:rPr>
              <w:t>Security 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(1,189)</w:t>
            </w:r>
          </w:p>
        </w:tc>
        <w:tc>
          <w:tcPr>
            <w:tcW w:w="180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60" w:type="dxa"/>
            <w:vAlign w:val="bottom"/>
            <w:tcBorders>
              <w:bottom w:val="single" w:sz="8" w:color="F0FFFF"/>
            </w:tcBorders>
            <w:shd w:val="clear" w:color="auto" w:fill="F0FFFF"/>
          </w:tcPr>
          <w:p>
            <w:pPr>
              <w:ind w:left="1960"/>
              <w:spacing w:after="0"/>
              <w:rPr>
                <w:sz w:val="20"/>
                <w:szCs w:val="20"/>
                <w:color w:val="auto"/>
              </w:rPr>
            </w:pPr>
            <w:r>
              <w:rPr>
                <w:rFonts w:ascii="Arial" w:cs="Arial" w:eastAsia="Arial" w:hAnsi="Arial"/>
                <w:sz w:val="18"/>
                <w:szCs w:val="18"/>
                <w:color w:val="auto"/>
              </w:rPr>
              <w:t>Purchase accounting premium</w:t>
            </w:r>
          </w:p>
        </w:tc>
        <w:tc>
          <w:tcPr>
            <w:tcW w:w="160" w:type="dxa"/>
            <w:vAlign w:val="bottom"/>
            <w:tcBorders>
              <w:bottom w:val="single" w:sz="8" w:color="F0FFFF"/>
            </w:tcBorders>
            <w:shd w:val="clear" w:color="auto" w:fill="F0FFFF"/>
          </w:tcPr>
          <w:p>
            <w:pPr>
              <w:spacing w:after="0"/>
              <w:rPr>
                <w:sz w:val="21"/>
                <w:szCs w:val="21"/>
                <w:color w:val="auto"/>
              </w:rPr>
            </w:pPr>
          </w:p>
        </w:tc>
        <w:tc>
          <w:tcPr>
            <w:tcW w:w="168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806</w:t>
            </w:r>
          </w:p>
        </w:tc>
        <w:tc>
          <w:tcPr>
            <w:tcW w:w="1800" w:type="dxa"/>
            <w:vAlign w:val="bottom"/>
            <w:tcBorders>
              <w:bottom w:val="single" w:sz="8" w:color="F0FFFF"/>
            </w:tcBorders>
            <w:shd w:val="clear" w:color="auto" w:fill="F0FFFF"/>
          </w:tcPr>
          <w:p>
            <w:pPr>
              <w:spacing w:after="0"/>
              <w:rPr>
                <w:sz w:val="21"/>
                <w:szCs w:val="21"/>
                <w:color w:val="auto"/>
              </w:rPr>
            </w:pPr>
          </w:p>
        </w:tc>
      </w:tr>
      <w:tr>
        <w:trPr>
          <w:trHeight w:val="243"/>
        </w:trPr>
        <w:tc>
          <w:tcPr>
            <w:tcW w:w="7060" w:type="dxa"/>
            <w:vAlign w:val="bottom"/>
          </w:tcPr>
          <w:p>
            <w:pPr>
              <w:ind w:left="1960"/>
              <w:spacing w:after="0"/>
              <w:rPr>
                <w:sz w:val="20"/>
                <w:szCs w:val="20"/>
                <w:color w:val="auto"/>
              </w:rPr>
            </w:pPr>
            <w:r>
              <w:rPr>
                <w:rFonts w:ascii="Arial" w:cs="Arial" w:eastAsia="Arial" w:hAnsi="Arial"/>
                <w:sz w:val="18"/>
                <w:szCs w:val="18"/>
                <w:color w:val="auto"/>
              </w:rPr>
              <w:t>Unearned income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(5,568)</w:t>
            </w:r>
          </w:p>
        </w:tc>
        <w:tc>
          <w:tcPr>
            <w:tcW w:w="1800" w:type="dxa"/>
            <w:vAlign w:val="bottom"/>
          </w:tcPr>
          <w:p>
            <w:pPr>
              <w:spacing w:after="0"/>
              <w:rPr>
                <w:sz w:val="21"/>
                <w:szCs w:val="21"/>
                <w:color w:val="auto"/>
              </w:rPr>
            </w:pPr>
          </w:p>
        </w:tc>
      </w:tr>
      <w:tr>
        <w:trPr>
          <w:trHeight w:val="27"/>
        </w:trPr>
        <w:tc>
          <w:tcPr>
            <w:tcW w:w="70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0" w:type="dxa"/>
            <w:vAlign w:val="bottom"/>
            <w:tcBorders>
              <w:bottom w:val="single" w:sz="8" w:color="F0FFFF"/>
            </w:tcBorders>
          </w:tcPr>
          <w:p>
            <w:pPr>
              <w:spacing w:after="0"/>
              <w:rPr>
                <w:sz w:val="2"/>
                <w:szCs w:val="2"/>
                <w:color w:val="auto"/>
              </w:rPr>
            </w:pPr>
          </w:p>
        </w:tc>
      </w:tr>
      <w:tr>
        <w:trPr>
          <w:trHeight w:val="257"/>
        </w:trPr>
        <w:tc>
          <w:tcPr>
            <w:tcW w:w="7060" w:type="dxa"/>
            <w:vAlign w:val="bottom"/>
            <w:tcBorders>
              <w:bottom w:val="single" w:sz="8" w:color="F0FFFF"/>
            </w:tcBorders>
            <w:shd w:val="clear" w:color="auto" w:fill="F0FFFF"/>
          </w:tcPr>
          <w:p>
            <w:pPr>
              <w:ind w:left="2200"/>
              <w:spacing w:after="0"/>
              <w:rPr>
                <w:sz w:val="20"/>
                <w:szCs w:val="20"/>
                <w:color w:val="auto"/>
              </w:rPr>
            </w:pPr>
            <w:r>
              <w:rPr>
                <w:rFonts w:ascii="Arial" w:cs="Arial" w:eastAsia="Arial" w:hAnsi="Arial"/>
                <w:sz w:val="18"/>
                <w:szCs w:val="18"/>
                <w:color w:val="auto"/>
              </w:rPr>
              <w:t>Net investment in leases</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30,384</w:t>
            </w:r>
          </w:p>
        </w:tc>
        <w:tc>
          <w:tcPr>
            <w:tcW w:w="1800" w:type="dxa"/>
            <w:vAlign w:val="bottom"/>
            <w:tcBorders>
              <w:bottom w:val="single" w:sz="8" w:color="F0FFFF"/>
            </w:tcBorders>
            <w:shd w:val="clear" w:color="auto" w:fill="F0FFFF"/>
          </w:tcPr>
          <w:p>
            <w:pPr>
              <w:spacing w:after="0"/>
              <w:rPr>
                <w:sz w:val="22"/>
                <w:szCs w:val="22"/>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Minimum future lease payments expected to be received from lease contracts as of December 31,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Year</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3000" w:type="dxa"/>
            <w:vAlign w:val="bottom"/>
            <w:tcBorders>
              <w:top w:val="single" w:sz="8" w:color="F0FFFF"/>
              <w:bottom w:val="single" w:sz="8" w:color="F0FFFF"/>
            </w:tcBorders>
            <w:shd w:val="clear" w:color="auto" w:fill="F0FFFF"/>
          </w:tcPr>
          <w:p>
            <w:pPr>
              <w:spacing w:after="0"/>
              <w:rPr>
                <w:sz w:val="22"/>
                <w:szCs w:val="22"/>
                <w:color w:val="auto"/>
              </w:rPr>
            </w:pPr>
          </w:p>
        </w:tc>
        <w:tc>
          <w:tcPr>
            <w:tcW w:w="3100" w:type="dxa"/>
            <w:vAlign w:val="bottom"/>
            <w:tcBorders>
              <w:top w:val="single" w:sz="8" w:color="auto"/>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Borders>
              <w:top w:val="single" w:sz="8" w:color="F0FFFF"/>
              <w:bottom w:val="single" w:sz="8" w:color="F0FFFF"/>
            </w:tcBorders>
            <w:shd w:val="clear" w:color="auto" w:fill="F0FF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F0FFFF"/>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12,689</w:t>
            </w:r>
          </w:p>
        </w:tc>
        <w:tc>
          <w:tcPr>
            <w:tcW w:w="3000" w:type="dxa"/>
            <w:vAlign w:val="bottom"/>
            <w:tcBorders>
              <w:top w:val="single" w:sz="8" w:color="F0FFFF"/>
              <w:bottom w:val="single" w:sz="8" w:color="F0FFFF"/>
            </w:tcBorders>
            <w:shd w:val="clear" w:color="auto" w:fill="F0FFFF"/>
          </w:tcPr>
          <w:p>
            <w:pPr>
              <w:spacing w:after="0"/>
              <w:rPr>
                <w:sz w:val="22"/>
                <w:szCs w:val="22"/>
                <w:color w:val="auto"/>
              </w:rPr>
            </w:pPr>
          </w:p>
        </w:tc>
      </w:tr>
      <w:tr>
        <w:trPr>
          <w:trHeight w:val="243"/>
        </w:trPr>
        <w:tc>
          <w:tcPr>
            <w:tcW w:w="6100" w:type="dxa"/>
            <w:vAlign w:val="bottom"/>
            <w:gridSpan w:val="2"/>
          </w:tcPr>
          <w:p>
            <w:pPr>
              <w:ind w:left="30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9,433</w:t>
            </w:r>
          </w:p>
        </w:tc>
        <w:tc>
          <w:tcPr>
            <w:tcW w:w="30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6100" w:type="dxa"/>
            <w:vAlign w:val="bottom"/>
            <w:tcBorders>
              <w:bottom w:val="single" w:sz="8" w:color="F0FFFF"/>
            </w:tcBorders>
            <w:gridSpan w:val="2"/>
            <w:shd w:val="clear" w:color="auto" w:fill="F0FFFF"/>
          </w:tcPr>
          <w:p>
            <w:pPr>
              <w:ind w:left="304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5,641</w:t>
            </w:r>
          </w:p>
        </w:tc>
        <w:tc>
          <w:tcPr>
            <w:tcW w:w="3000" w:type="dxa"/>
            <w:vAlign w:val="bottom"/>
            <w:tcBorders>
              <w:bottom w:val="single" w:sz="8" w:color="F0FFFF"/>
            </w:tcBorders>
            <w:shd w:val="clear" w:color="auto" w:fill="F0FFFF"/>
          </w:tcPr>
          <w:p>
            <w:pPr>
              <w:spacing w:after="0"/>
              <w:rPr>
                <w:sz w:val="21"/>
                <w:szCs w:val="21"/>
                <w:color w:val="auto"/>
              </w:rPr>
            </w:pPr>
          </w:p>
        </w:tc>
      </w:tr>
      <w:tr>
        <w:trPr>
          <w:trHeight w:val="243"/>
        </w:trPr>
        <w:tc>
          <w:tcPr>
            <w:tcW w:w="6100" w:type="dxa"/>
            <w:vAlign w:val="bottom"/>
            <w:gridSpan w:val="2"/>
          </w:tcPr>
          <w:p>
            <w:pPr>
              <w:ind w:left="304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3,058</w:t>
            </w:r>
          </w:p>
        </w:tc>
        <w:tc>
          <w:tcPr>
            <w:tcW w:w="30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6100" w:type="dxa"/>
            <w:vAlign w:val="bottom"/>
            <w:tcBorders>
              <w:bottom w:val="single" w:sz="8" w:color="F0FFFF"/>
            </w:tcBorders>
            <w:gridSpan w:val="2"/>
            <w:shd w:val="clear" w:color="auto" w:fill="F0FFFF"/>
          </w:tcPr>
          <w:p>
            <w:pPr>
              <w:ind w:left="304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1,086</w:t>
            </w:r>
          </w:p>
        </w:tc>
        <w:tc>
          <w:tcPr>
            <w:tcW w:w="3000" w:type="dxa"/>
            <w:vAlign w:val="bottom"/>
            <w:tcBorders>
              <w:bottom w:val="single" w:sz="8" w:color="F0FFFF"/>
            </w:tcBorders>
            <w:shd w:val="clear" w:color="auto" w:fill="F0FFFF"/>
          </w:tcPr>
          <w:p>
            <w:pPr>
              <w:spacing w:after="0"/>
              <w:rPr>
                <w:sz w:val="21"/>
                <w:szCs w:val="21"/>
                <w:color w:val="auto"/>
              </w:rPr>
            </w:pPr>
          </w:p>
        </w:tc>
      </w:tr>
      <w:tr>
        <w:trPr>
          <w:trHeight w:val="243"/>
        </w:trPr>
        <w:tc>
          <w:tcPr>
            <w:tcW w:w="3000" w:type="dxa"/>
            <w:vAlign w:val="bottom"/>
          </w:tcPr>
          <w:p>
            <w:pPr>
              <w:spacing w:after="0"/>
              <w:rPr>
                <w:sz w:val="21"/>
                <w:szCs w:val="21"/>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000" w:type="dxa"/>
            <w:vAlign w:val="bottom"/>
          </w:tcPr>
          <w:p>
            <w:pPr>
              <w:spacing w:after="0"/>
              <w:rPr>
                <w:sz w:val="21"/>
                <w:szCs w:val="21"/>
                <w:color w:val="auto"/>
              </w:rPr>
            </w:pPr>
          </w:p>
        </w:tc>
      </w:tr>
      <w:tr>
        <w:trPr>
          <w:trHeight w:val="27"/>
        </w:trPr>
        <w:tc>
          <w:tcPr>
            <w:tcW w:w="3000" w:type="dxa"/>
            <w:vAlign w:val="bottom"/>
            <w:tcBorders>
              <w:bottom w:val="single" w:sz="8" w:color="F0FFFF"/>
            </w:tcBorders>
          </w:tcPr>
          <w:p>
            <w:pPr>
              <w:spacing w:after="0"/>
              <w:rPr>
                <w:sz w:val="2"/>
                <w:szCs w:val="2"/>
                <w:color w:val="auto"/>
              </w:rPr>
            </w:pPr>
          </w:p>
        </w:tc>
        <w:tc>
          <w:tcPr>
            <w:tcW w:w="3100" w:type="dxa"/>
            <w:vAlign w:val="bottom"/>
            <w:tcBorders>
              <w:bottom w:val="single" w:sz="8" w:color="F0FF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0" w:type="dxa"/>
            <w:vAlign w:val="bottom"/>
            <w:tcBorders>
              <w:bottom w:val="single" w:sz="8" w:color="F0FFFF"/>
            </w:tcBorders>
          </w:tcPr>
          <w:p>
            <w:pPr>
              <w:spacing w:after="0"/>
              <w:rPr>
                <w:sz w:val="2"/>
                <w:szCs w:val="2"/>
                <w:color w:val="auto"/>
              </w:rPr>
            </w:pPr>
          </w:p>
        </w:tc>
      </w:tr>
      <w:tr>
        <w:trPr>
          <w:trHeight w:val="257"/>
        </w:trPr>
        <w:tc>
          <w:tcPr>
            <w:tcW w:w="3000" w:type="dxa"/>
            <w:vAlign w:val="bottom"/>
            <w:tcBorders>
              <w:bottom w:val="single" w:sz="8" w:color="F0FFFF"/>
            </w:tcBorders>
            <w:shd w:val="clear" w:color="auto" w:fill="F0FFFF"/>
          </w:tcPr>
          <w:p>
            <w:pPr>
              <w:spacing w:after="0"/>
              <w:rPr>
                <w:sz w:val="22"/>
                <w:szCs w:val="22"/>
                <w:color w:val="auto"/>
              </w:rPr>
            </w:pPr>
          </w:p>
        </w:tc>
        <w:tc>
          <w:tcPr>
            <w:tcW w:w="31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F0FF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31,915</w:t>
            </w:r>
          </w:p>
        </w:tc>
        <w:tc>
          <w:tcPr>
            <w:tcW w:w="3000" w:type="dxa"/>
            <w:vAlign w:val="bottom"/>
            <w:tcBorders>
              <w:bottom w:val="single" w:sz="8" w:color="F0FFFF"/>
            </w:tcBorders>
            <w:shd w:val="clear" w:color="auto" w:fill="F0FFFF"/>
          </w:tcPr>
          <w:p>
            <w:pPr>
              <w:spacing w:after="0"/>
              <w:rPr>
                <w:sz w:val="22"/>
                <w:szCs w:val="22"/>
                <w:color w:val="auto"/>
              </w:rPr>
            </w:pPr>
          </w:p>
        </w:tc>
      </w:tr>
      <w:tr>
        <w:trPr>
          <w:trHeight w:val="20"/>
        </w:trPr>
        <w:tc>
          <w:tcPr>
            <w:tcW w:w="3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the ordinary course of business, the Bank may grant loans to executive officers and directors of United, including their immediate families and companies with which they are associated. Such loans are made on substantially the same terms, including interest rate and collateral, as those prevailing at the time for comparable transactions with other customers. The following is a summary of such loans outstanding and the activity in these loans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F0FFFF"/>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F0FFFF"/>
            </w:tcBorders>
            <w:shd w:val="clear" w:color="auto" w:fill="F0FFFF"/>
          </w:tcPr>
          <w:p>
            <w:pPr>
              <w:ind w:left="1740"/>
              <w:spacing w:after="0"/>
              <w:rPr>
                <w:sz w:val="20"/>
                <w:szCs w:val="20"/>
                <w:color w:val="auto"/>
              </w:rPr>
            </w:pPr>
            <w:r>
              <w:rPr>
                <w:rFonts w:ascii="Arial" w:cs="Arial" w:eastAsia="Arial" w:hAnsi="Arial"/>
                <w:sz w:val="18"/>
                <w:szCs w:val="18"/>
                <w:color w:val="auto"/>
              </w:rPr>
              <w:t>Balance at beginning of period</w:t>
            </w:r>
          </w:p>
        </w:tc>
        <w:tc>
          <w:tcPr>
            <w:tcW w:w="2380" w:type="dxa"/>
            <w:vAlign w:val="bottom"/>
            <w:tcBorders>
              <w:bottom w:val="single" w:sz="8" w:color="F0FFFF"/>
            </w:tcBorders>
            <w:gridSpan w:val="2"/>
            <w:shd w:val="clear" w:color="auto" w:fill="F0FF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2,432</w:t>
            </w:r>
          </w:p>
        </w:tc>
        <w:tc>
          <w:tcPr>
            <w:tcW w:w="15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740"/>
              <w:spacing w:after="0"/>
              <w:rPr>
                <w:sz w:val="20"/>
                <w:szCs w:val="20"/>
                <w:color w:val="auto"/>
              </w:rPr>
            </w:pPr>
            <w:r>
              <w:rPr>
                <w:rFonts w:ascii="Arial" w:cs="Arial" w:eastAsia="Arial" w:hAnsi="Arial"/>
                <w:sz w:val="18"/>
                <w:szCs w:val="18"/>
                <w:color w:val="auto"/>
              </w:rPr>
              <w:t>New loans and advances</w:t>
            </w: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F0FFFF"/>
            </w:tcBorders>
            <w:shd w:val="clear" w:color="auto" w:fill="F0FFFF"/>
          </w:tcPr>
          <w:p>
            <w:pPr>
              <w:ind w:left="1740"/>
              <w:spacing w:after="0"/>
              <w:rPr>
                <w:sz w:val="20"/>
                <w:szCs w:val="20"/>
                <w:color w:val="auto"/>
              </w:rPr>
            </w:pPr>
            <w:r>
              <w:rPr>
                <w:rFonts w:ascii="Arial" w:cs="Arial" w:eastAsia="Arial" w:hAnsi="Arial"/>
                <w:sz w:val="18"/>
                <w:szCs w:val="18"/>
                <w:color w:val="auto"/>
              </w:rPr>
              <w:t>Repayments</w:t>
            </w:r>
          </w:p>
        </w:tc>
        <w:tc>
          <w:tcPr>
            <w:tcW w:w="13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6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4"/>
              </w:rPr>
              <w:t>(1,102)</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(256)</w:t>
            </w:r>
          </w:p>
        </w:tc>
        <w:tc>
          <w:tcPr>
            <w:tcW w:w="15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740"/>
              <w:spacing w:after="0"/>
              <w:rPr>
                <w:sz w:val="20"/>
                <w:szCs w:val="20"/>
                <w:color w:val="auto"/>
              </w:rPr>
            </w:pPr>
            <w:r>
              <w:rPr>
                <w:rFonts w:ascii="Arial" w:cs="Arial" w:eastAsia="Arial" w:hAnsi="Arial"/>
                <w:sz w:val="18"/>
                <w:szCs w:val="18"/>
                <w:color w:val="auto"/>
              </w:rPr>
              <w:t>Change in related party status</w:t>
            </w: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2"/>
          </w:tcPr>
          <w:p>
            <w:pPr>
              <w:jc w:val="right"/>
              <w:ind w:righ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F0FFFF"/>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F0FFFF"/>
          </w:tcPr>
          <w:p>
            <w:pPr>
              <w:ind w:left="1980"/>
              <w:spacing w:after="0"/>
              <w:rPr>
                <w:sz w:val="20"/>
                <w:szCs w:val="20"/>
                <w:color w:val="auto"/>
              </w:rPr>
            </w:pPr>
            <w:r>
              <w:rPr>
                <w:rFonts w:ascii="Arial" w:cs="Arial" w:eastAsia="Arial" w:hAnsi="Arial"/>
                <w:sz w:val="18"/>
                <w:szCs w:val="18"/>
                <w:color w:val="auto"/>
              </w:rPr>
              <w:t>Balance at end of period</w:t>
            </w:r>
          </w:p>
        </w:tc>
        <w:tc>
          <w:tcPr>
            <w:tcW w:w="2380" w:type="dxa"/>
            <w:vAlign w:val="bottom"/>
            <w:gridSpan w:val="2"/>
            <w:shd w:val="clear" w:color="auto" w:fill="F0FF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F0FFFF"/>
          </w:tcPr>
          <w:p>
            <w:pPr>
              <w:spacing w:after="0"/>
              <w:rPr>
                <w:sz w:val="22"/>
                <w:szCs w:val="22"/>
                <w:color w:val="auto"/>
              </w:rPr>
            </w:pPr>
          </w:p>
        </w:tc>
        <w:tc>
          <w:tcPr>
            <w:tcW w:w="34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2,262</w:t>
            </w:r>
          </w:p>
        </w:tc>
        <w:tc>
          <w:tcPr>
            <w:tcW w:w="15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bottom w:val="single" w:sz="8" w:color="F0FFFF"/>
            </w:tcBorders>
            <w:vMerge w:val="restart"/>
          </w:tcPr>
          <w:p>
            <w:pPr>
              <w:jc w:val="right"/>
              <w:ind w:right="430"/>
              <w:spacing w:after="0"/>
              <w:rPr>
                <w:sz w:val="20"/>
                <w:szCs w:val="20"/>
                <w:color w:val="auto"/>
              </w:rPr>
            </w:pPr>
            <w:r>
              <w:rPr>
                <w:rFonts w:ascii="Arial" w:cs="Arial" w:eastAsia="Arial" w:hAnsi="Arial"/>
                <w:sz w:val="18"/>
                <w:szCs w:val="18"/>
                <w:color w:val="auto"/>
              </w:rPr>
              <w:t>97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Allowance for Credit Losses and Loans Individually Evaluated for Impairment</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The allowance for loan losses represents management’s estimate of probable incurred losses in the loan portfolio as of the end of the period. The allowance for unfunded commitments is included in other liabilities in the consolidated balance sheets. Combined, the allowance for loan losses and allowance for unfunded commitments are referred to as the allowance for credit losses. The following table presents the balance and activity in the allowance for credit losses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Ending</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 2018</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14,776</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12,207</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11,073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3,971</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4,802</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10,523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10,337</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6,528</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5,452</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10,097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8,295</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5,177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4,752</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Consumer direct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(2,445)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853</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999</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 allowance for loan losses</w:t>
            </w:r>
          </w:p>
        </w:tc>
        <w:tc>
          <w:tcPr>
            <w:tcW w:w="1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58,914</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(13,158)</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8,402</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61,203</w:t>
            </w:r>
          </w:p>
        </w:tc>
      </w:tr>
      <w:tr>
        <w:trPr>
          <w:trHeight w:val="237"/>
        </w:trPr>
        <w:tc>
          <w:tcPr>
            <w:tcW w:w="4400" w:type="dxa"/>
            <w:vAlign w:val="bottom"/>
            <w:gridSpan w:val="2"/>
          </w:tcPr>
          <w:p>
            <w:pPr>
              <w:ind w:left="260"/>
              <w:spacing w:after="0"/>
              <w:rPr>
                <w:sz w:val="20"/>
                <w:szCs w:val="20"/>
                <w:color w:val="auto"/>
              </w:rPr>
            </w:pPr>
            <w:r>
              <w:rPr>
                <w:rFonts w:ascii="Arial" w:cs="Arial" w:eastAsia="Arial" w:hAnsi="Arial"/>
                <w:sz w:val="16"/>
                <w:szCs w:val="16"/>
                <w:color w:val="auto"/>
              </w:rPr>
              <w:t>Allowance for unfunded commitments</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3,410</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6"/>
                <w:szCs w:val="16"/>
                <w:color w:val="auto"/>
              </w:rPr>
              <w:t>Total allowance for credit losses</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61,226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(13,158)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9,500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64,613</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Ending</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16,446</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(2,244)</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14,776</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8,843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9,381</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3,810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3,971</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13,405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10,523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10,097</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4,599</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5,177</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2,729</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Consumer direct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710</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1,550</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 allowance for loan losses</w:t>
            </w:r>
          </w:p>
        </w:tc>
        <w:tc>
          <w:tcPr>
            <w:tcW w:w="1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61,422</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6,204</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58,914</w:t>
            </w:r>
          </w:p>
        </w:tc>
      </w:tr>
      <w:tr>
        <w:trPr>
          <w:trHeight w:val="237"/>
        </w:trPr>
        <w:tc>
          <w:tcPr>
            <w:tcW w:w="4400" w:type="dxa"/>
            <w:vAlign w:val="bottom"/>
            <w:gridSpan w:val="2"/>
          </w:tcPr>
          <w:p>
            <w:pPr>
              <w:ind w:left="260"/>
              <w:spacing w:after="0"/>
              <w:rPr>
                <w:sz w:val="20"/>
                <w:szCs w:val="20"/>
                <w:color w:val="auto"/>
              </w:rPr>
            </w:pPr>
            <w:r>
              <w:rPr>
                <w:rFonts w:ascii="Arial" w:cs="Arial" w:eastAsia="Arial" w:hAnsi="Arial"/>
                <w:sz w:val="16"/>
                <w:szCs w:val="16"/>
                <w:color w:val="auto"/>
              </w:rPr>
              <w:t>Allowance for unfunded commitments</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2,312</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6"/>
                <w:szCs w:val="16"/>
                <w:color w:val="auto"/>
              </w:rPr>
              <w:t>Total allowance for credit losses</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63,424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6,204</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3,800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61,226</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Ending</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 2016</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18,016</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16,446</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11,548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8,843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3,810</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13,405</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12,719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8,545</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5,956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4,599</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3,264</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Consumer direct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708</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1,802</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 allowance for loan losses</w:t>
            </w:r>
          </w:p>
        </w:tc>
        <w:tc>
          <w:tcPr>
            <w:tcW w:w="1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68,448</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(12,361)</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5,595</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61,422</w:t>
            </w:r>
          </w:p>
        </w:tc>
      </w:tr>
      <w:tr>
        <w:trPr>
          <w:trHeight w:val="237"/>
        </w:trPr>
        <w:tc>
          <w:tcPr>
            <w:tcW w:w="4400" w:type="dxa"/>
            <w:vAlign w:val="bottom"/>
            <w:gridSpan w:val="2"/>
          </w:tcPr>
          <w:p>
            <w:pPr>
              <w:ind w:left="260"/>
              <w:spacing w:after="0"/>
              <w:rPr>
                <w:sz w:val="20"/>
                <w:szCs w:val="20"/>
                <w:color w:val="auto"/>
              </w:rPr>
            </w:pPr>
            <w:r>
              <w:rPr>
                <w:rFonts w:ascii="Arial" w:cs="Arial" w:eastAsia="Arial" w:hAnsi="Arial"/>
                <w:sz w:val="16"/>
                <w:szCs w:val="16"/>
                <w:color w:val="auto"/>
              </w:rPr>
              <w:t>Allowance for unfunded commitments</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2,002</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6"/>
                <w:szCs w:val="16"/>
                <w:color w:val="auto"/>
              </w:rPr>
              <w:t>Total allowance for credit losses</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70,990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(12,361)</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5,595</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63,424</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31"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231"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the recorded investment in loans by portfolio segment and the balance of the allowance for loan losses assigned to each segment based on the method of evaluating the loans for impairment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1"/>
              </w:rPr>
              <w:t>Allowance for Credit Losses</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Ending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6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PCI</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PCI</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Borders>
              <w:bottom w:val="single" w:sz="8" w:color="F0FF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Borders>
              <w:bottom w:val="single" w:sz="8" w:color="F0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F0FF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Borders>
              <w:bottom w:val="single" w:sz="8" w:color="F0FF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Borders>
              <w:bottom w:val="single" w:sz="8" w:color="F0FF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11,328</w:t>
            </w:r>
          </w:p>
        </w:tc>
        <w:tc>
          <w:tcPr>
            <w:tcW w:w="120" w:type="dxa"/>
            <w:vAlign w:val="bottom"/>
            <w:shd w:val="clear" w:color="auto" w:fill="F0FFFF"/>
          </w:tcPr>
          <w:p>
            <w:pPr>
              <w:spacing w:after="0"/>
              <w:rPr>
                <w:sz w:val="22"/>
                <w:szCs w:val="22"/>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12,207</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1,255</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13,521</w:t>
            </w:r>
          </w:p>
        </w:tc>
        <w:tc>
          <w:tcPr>
            <w:tcW w:w="100" w:type="dxa"/>
            <w:vAlign w:val="bottom"/>
            <w:shd w:val="clear" w:color="auto" w:fill="F0FFFF"/>
          </w:tcPr>
          <w:p>
            <w:pPr>
              <w:spacing w:after="0"/>
              <w:rPr>
                <w:sz w:val="22"/>
                <w:szCs w:val="22"/>
                <w:color w:val="auto"/>
              </w:rPr>
            </w:pPr>
          </w:p>
        </w:tc>
        <w:tc>
          <w:tcPr>
            <w:tcW w:w="1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10,671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11,073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9,381</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4,761</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4,802</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3,944</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6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10,523</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5,045</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5,452</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24"/>
                <w:szCs w:val="24"/>
                <w:color w:val="auto"/>
              </w:rPr>
            </w:pPr>
          </w:p>
        </w:tc>
        <w:tc>
          <w:tcPr>
            <w:tcW w:w="6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4,740</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4,752</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5,177</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6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6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56"/>
        </w:trPr>
        <w:tc>
          <w:tcPr>
            <w:tcW w:w="286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allowance for loan losses</w:t>
            </w:r>
          </w:p>
        </w:tc>
        <w:tc>
          <w:tcPr>
            <w:tcW w:w="120" w:type="dxa"/>
            <w:vAlign w:val="bottom"/>
            <w:tcBorders>
              <w:top w:val="single" w:sz="8" w:color="auto"/>
            </w:tcBorders>
            <w:shd w:val="clear" w:color="auto" w:fill="F0FFFF"/>
          </w:tcPr>
          <w:p>
            <w:pPr>
              <w:spacing w:after="0"/>
              <w:rPr>
                <w:sz w:val="22"/>
                <w:szCs w:val="22"/>
                <w:color w:val="auto"/>
              </w:rPr>
            </w:pPr>
          </w:p>
        </w:tc>
        <w:tc>
          <w:tcPr>
            <w:tcW w:w="88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2,312</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spacing w:after="0"/>
              <w:rPr>
                <w:sz w:val="22"/>
                <w:szCs w:val="22"/>
                <w:color w:val="auto"/>
              </w:rPr>
            </w:pPr>
          </w:p>
        </w:tc>
        <w:tc>
          <w:tcPr>
            <w:tcW w:w="8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58,131</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spacing w:after="0"/>
              <w:rPr>
                <w:sz w:val="22"/>
                <w:szCs w:val="22"/>
                <w:color w:val="auto"/>
              </w:rPr>
            </w:pPr>
          </w:p>
        </w:tc>
        <w:tc>
          <w:tcPr>
            <w:tcW w:w="5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spacing w:after="0"/>
              <w:rPr>
                <w:sz w:val="22"/>
                <w:szCs w:val="22"/>
                <w:color w:val="auto"/>
              </w:rPr>
            </w:pPr>
          </w:p>
        </w:tc>
        <w:tc>
          <w:tcPr>
            <w:tcW w:w="72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61,203</w:t>
            </w:r>
          </w:p>
        </w:tc>
        <w:tc>
          <w:tcPr>
            <w:tcW w:w="10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3,256</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55,645</w:t>
            </w:r>
          </w:p>
        </w:tc>
        <w:tc>
          <w:tcPr>
            <w:tcW w:w="10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spacing w:after="0"/>
              <w:rPr>
                <w:sz w:val="22"/>
                <w:szCs w:val="22"/>
                <w:color w:val="auto"/>
              </w:rPr>
            </w:pPr>
          </w:p>
        </w:tc>
        <w:tc>
          <w:tcPr>
            <w:tcW w:w="56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58,914</w:t>
            </w:r>
          </w:p>
        </w:tc>
        <w:tc>
          <w:tcPr>
            <w:tcW w:w="0" w:type="dxa"/>
            <w:vAlign w:val="bottom"/>
          </w:tcPr>
          <w:p>
            <w:pPr>
              <w:spacing w:after="0"/>
              <w:rPr>
                <w:sz w:val="1"/>
                <w:szCs w:val="1"/>
                <w:color w:val="auto"/>
              </w:rPr>
            </w:pPr>
          </w:p>
        </w:tc>
      </w:tr>
      <w:tr>
        <w:trPr>
          <w:trHeight w:val="264"/>
        </w:trPr>
        <w:tc>
          <w:tcPr>
            <w:tcW w:w="2860" w:type="dxa"/>
            <w:vAlign w:val="bottom"/>
          </w:tcPr>
          <w:p>
            <w:pPr>
              <w:ind w:left="16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243"/>
        </w:trPr>
        <w:tc>
          <w:tcPr>
            <w:tcW w:w="2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2,312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61,541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64,613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3,256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57,957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61,226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2"/>
              </w:rPr>
              <w:t>Loans Outstanding</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Ending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60" w:type="dxa"/>
            <w:vAlign w:val="bottom"/>
          </w:tcPr>
          <w:p>
            <w:pPr>
              <w:spacing w:after="0"/>
              <w:rPr>
                <w:sz w:val="12"/>
                <w:szCs w:val="12"/>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PCI</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28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17,602</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1,620,450</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9,852</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6"/>
              </w:rPr>
              <w:t>1,647,904</w:t>
            </w:r>
          </w:p>
        </w:tc>
        <w:tc>
          <w:tcPr>
            <w:tcW w:w="10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21,823</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1,876,411</w:t>
            </w:r>
          </w:p>
        </w:tc>
        <w:tc>
          <w:tcPr>
            <w:tcW w:w="10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25,759</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3"/>
              </w:rPr>
              <w:t>1,923,993</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16,584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1,757,525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38,311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w w:val="96"/>
              </w:rPr>
              <w:t>1,812,420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16,483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1,533,851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44,840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w w:val="93"/>
              </w:rPr>
              <w:t>1,595,174</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1,276,318</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6"/>
              </w:rPr>
              <w:t>1,278,347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2,654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1,126,894</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3"/>
              </w:rPr>
              <w:t>1,130,990</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787,760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5,907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796,158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699,266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8,857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711,936</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556,672</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7,942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564,614</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24"/>
                <w:szCs w:val="24"/>
                <w:color w:val="auto"/>
              </w:rPr>
            </w:pPr>
          </w:p>
        </w:tc>
        <w:tc>
          <w:tcPr>
            <w:tcW w:w="6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1,025,862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9,150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w w:val="96"/>
              </w:rPr>
              <w:t>1,049,232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946,210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13,141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973,544</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692,122</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1,612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694,010</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728,235</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2,891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731,227</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209,070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211,011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180,978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183,019</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121,269</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122,013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126,114</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127,504</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206,455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207,692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356,789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358,185</w:t>
            </w:r>
          </w:p>
        </w:tc>
        <w:tc>
          <w:tcPr>
            <w:tcW w:w="0" w:type="dxa"/>
            <w:vAlign w:val="bottom"/>
          </w:tcPr>
          <w:p>
            <w:pPr>
              <w:spacing w:after="0"/>
              <w:rPr>
                <w:sz w:val="1"/>
                <w:szCs w:val="1"/>
                <w:color w:val="auto"/>
              </w:rPr>
            </w:pPr>
          </w:p>
        </w:tc>
      </w:tr>
      <w:tr>
        <w:trPr>
          <w:trHeight w:val="243"/>
        </w:trPr>
        <w:tc>
          <w:tcPr>
            <w:tcW w:w="2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55,449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8,253,503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74,449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6"/>
              </w:rPr>
              <w:t>8,383,401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62,310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7,574,748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98,514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3"/>
              </w:rPr>
              <w:t>7,735,572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 loan is considered impaired when, based on current events and circumstances, it is probable that all amounts due according to the original contractual terms of the loan will not be collected. Management individually evaluates certain impaired loans, including all non-PCI relationships that are on nonaccrual with a balance of $500,000 or greater and all troubled debt restructurings (“TDRs”), regardless of accrual status, for impairment. Impairment is measured based on the present value of expected future cash flows, discounted at the loan’s pre-modification interest rate, the loan’s observable market price, or the fair value of the collateral if the loan is collateral dependent. A specific reserve is established for impaired loans for the amount of calculated impairment, if any.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The allowance is comprised of specific reserves on</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Management calculates the loss emergence period for each pool of loans based on the weighted average length of time between the date a loan first exceeds 30 days past due and the date the loan is charged off.</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employment rates, debt per capita, home price indices, and trends in real estate value indices.</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that are collateral dependent are generally charged down to fair value less costs to sell at the time they are placed on nonaccrual status.</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Chief Credit Officer, Senior Risk Officers and Senior Credit Officers.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unsecured (revolving) retail loans which are past due 90 cumulative days from their contractual due date are generally charged off.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Allowance for Credit Losses, continued</w:t>
      </w:r>
    </w:p>
    <w:p>
      <w:pPr>
        <w:spacing w:after="0" w:line="25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loans individually evaluated for impairment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2017</w:t>
            </w:r>
          </w:p>
        </w:tc>
        <w:tc>
          <w:tcPr>
            <w:tcW w:w="86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Allowance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1"/>
              <w:spacing w:after="0"/>
              <w:rPr>
                <w:sz w:val="20"/>
                <w:szCs w:val="20"/>
                <w:color w:val="auto"/>
              </w:rPr>
            </w:pPr>
            <w:r>
              <w:rPr>
                <w:rFonts w:ascii="Arial" w:cs="Arial" w:eastAsia="Arial" w:hAnsi="Arial"/>
                <w:sz w:val="16"/>
                <w:szCs w:val="16"/>
                <w:b w:val="1"/>
                <w:bCs w:val="1"/>
                <w:color w:val="auto"/>
                <w:w w:val="90"/>
              </w:rPr>
              <w:t>Allowance</w:t>
            </w:r>
          </w:p>
        </w:tc>
      </w:tr>
      <w:tr>
        <w:trPr>
          <w:trHeight w:val="203"/>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2"/>
              </w:rPr>
              <w:t>Unpaid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for Loan</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2"/>
              </w:rPr>
              <w:t>Unpaid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1"/>
              <w:spacing w:after="0"/>
              <w:rPr>
                <w:sz w:val="20"/>
                <w:szCs w:val="20"/>
                <w:color w:val="auto"/>
              </w:rPr>
            </w:pPr>
            <w:r>
              <w:rPr>
                <w:rFonts w:ascii="Arial" w:cs="Arial" w:eastAsia="Arial" w:hAnsi="Arial"/>
                <w:sz w:val="16"/>
                <w:szCs w:val="16"/>
                <w:b w:val="1"/>
                <w:bCs w:val="1"/>
                <w:color w:val="auto"/>
                <w:w w:val="93"/>
              </w:rPr>
              <w:t>for Loan</w:t>
            </w:r>
          </w:p>
        </w:tc>
      </w:tr>
      <w:tr>
        <w:trPr>
          <w:trHeight w:val="203"/>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Losses</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860" w:type="dxa"/>
            <w:vAlign w:val="bottom"/>
          </w:tcPr>
          <w:p>
            <w:pPr>
              <w:jc w:val="center"/>
              <w:ind w:right="11"/>
              <w:spacing w:after="0"/>
              <w:rPr>
                <w:sz w:val="20"/>
                <w:szCs w:val="20"/>
                <w:color w:val="auto"/>
              </w:rPr>
            </w:pPr>
            <w:r>
              <w:rPr>
                <w:rFonts w:ascii="Arial" w:cs="Arial" w:eastAsia="Arial" w:hAnsi="Arial"/>
                <w:sz w:val="16"/>
                <w:szCs w:val="16"/>
                <w:b w:val="1"/>
                <w:bCs w:val="1"/>
                <w:color w:val="auto"/>
                <w:w w:val="79"/>
              </w:rPr>
              <w:t>Losses</w:t>
            </w:r>
          </w:p>
        </w:tc>
      </w:tr>
      <w:tr>
        <w:trPr>
          <w:trHeight w:val="210"/>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Balance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Investment</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Allocated</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Balance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860" w:type="dxa"/>
            <w:vAlign w:val="bottom"/>
          </w:tcPr>
          <w:p>
            <w:pPr>
              <w:jc w:val="center"/>
              <w:ind w:right="31"/>
              <w:spacing w:after="0"/>
              <w:rPr>
                <w:sz w:val="20"/>
                <w:szCs w:val="20"/>
                <w:color w:val="auto"/>
              </w:rPr>
            </w:pPr>
            <w:r>
              <w:rPr>
                <w:rFonts w:ascii="Arial" w:cs="Arial" w:eastAsia="Arial" w:hAnsi="Arial"/>
                <w:sz w:val="16"/>
                <w:szCs w:val="16"/>
                <w:b w:val="1"/>
                <w:bCs w:val="1"/>
                <w:color w:val="auto"/>
                <w:w w:val="91"/>
              </w:rPr>
              <w:t>Allocated</w:t>
            </w:r>
          </w:p>
        </w:tc>
      </w:tr>
      <w:tr>
        <w:trPr>
          <w:trHeight w:val="33"/>
        </w:trPr>
        <w:tc>
          <w:tcPr>
            <w:tcW w:w="444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With no related allowance recorded:</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8,650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9,986</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9,881</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685</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Equipment financing</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commercial</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19,846</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17,304</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5,307</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Consumer direct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with no related allowance recorded</w:t>
            </w:r>
          </w:p>
        </w:tc>
        <w:tc>
          <w:tcPr>
            <w:tcW w:w="140" w:type="dxa"/>
            <w:vAlign w:val="bottom"/>
            <w:tcBorders>
              <w:bottom w:val="single" w:sz="8" w:color="F0FFFF"/>
            </w:tcBorders>
            <w:shd w:val="clear" w:color="auto" w:fill="F0FFFF"/>
          </w:tcPr>
          <w:p>
            <w:pPr>
              <w:spacing w:after="0"/>
              <w:rPr>
                <w:sz w:val="22"/>
                <w:szCs w:val="22"/>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26,829</w:t>
            </w: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23,477</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2"/>
                <w:szCs w:val="22"/>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10,191</w:t>
            </w:r>
          </w:p>
        </w:tc>
        <w:tc>
          <w:tcPr>
            <w:tcW w:w="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With an allowance recorded:</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11,095</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11,056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21,262</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20,647</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1,255</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562</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1,287</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Equipment financing</w:t>
            </w: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6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9,169</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12,086</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11,627</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1,174</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1,325</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Consumer direct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60"/>
              <w:spacing w:after="0"/>
              <w:rPr>
                <w:sz w:val="20"/>
                <w:szCs w:val="20"/>
                <w:color w:val="auto"/>
              </w:rPr>
            </w:pPr>
            <w:r>
              <w:rPr>
                <w:rFonts w:ascii="Arial" w:cs="Arial" w:eastAsia="Arial" w:hAnsi="Arial"/>
                <w:sz w:val="18"/>
                <w:szCs w:val="18"/>
                <w:color w:val="auto"/>
              </w:rPr>
              <w:t>Total with an allowance recorded</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52,942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3,256</w:t>
            </w:r>
          </w:p>
        </w:tc>
      </w:tr>
      <w:tr>
        <w:trPr>
          <w:trHeight w:val="27"/>
        </w:trPr>
        <w:tc>
          <w:tcPr>
            <w:tcW w:w="444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F0FF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59,824</w:t>
            </w:r>
          </w:p>
        </w:tc>
        <w:tc>
          <w:tcPr>
            <w:tcW w:w="3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55,449</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0FFFF"/>
          </w:tcPr>
          <w:p>
            <w:pPr>
              <w:jc w:val="right"/>
              <w:ind w:right="11"/>
              <w:spacing w:after="0"/>
              <w:rPr>
                <w:sz w:val="20"/>
                <w:szCs w:val="20"/>
                <w:color w:val="auto"/>
              </w:rPr>
            </w:pPr>
            <w:r>
              <w:rPr>
                <w:rFonts w:ascii="Arial" w:cs="Arial" w:eastAsia="Arial" w:hAnsi="Arial"/>
                <w:sz w:val="18"/>
                <w:szCs w:val="18"/>
                <w:color w:val="auto"/>
              </w:rPr>
              <w:t>2,312</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64,731</w:t>
            </w:r>
          </w:p>
        </w:tc>
        <w:tc>
          <w:tcPr>
            <w:tcW w:w="32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62,310</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0FFFF"/>
          </w:tcPr>
          <w:p>
            <w:pPr>
              <w:jc w:val="right"/>
              <w:ind w:right="11"/>
              <w:spacing w:after="0"/>
              <w:rPr>
                <w:sz w:val="20"/>
                <w:szCs w:val="20"/>
                <w:color w:val="auto"/>
              </w:rPr>
            </w:pPr>
            <w:r>
              <w:rPr>
                <w:rFonts w:ascii="Arial" w:cs="Arial" w:eastAsia="Arial" w:hAnsi="Arial"/>
                <w:sz w:val="18"/>
                <w:szCs w:val="18"/>
                <w:color w:val="auto"/>
              </w:rPr>
              <w:t>3,256</w:t>
            </w:r>
          </w:p>
        </w:tc>
      </w:tr>
      <w:tr>
        <w:trPr>
          <w:trHeight w:val="20"/>
        </w:trPr>
        <w:tc>
          <w:tcPr>
            <w:tcW w:w="44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of December 31, 2018 and 2017, United has allocated $2.31 million and $3.26 million, respectively, of specific reserves to customers whose loan terms have been modified in TDRs. As of December 31, 2017, United committed to lend additional amounts totaling up to $75,000 to customers with outstanding loans classified as TDRs. As of December 31, 2018, there were no commitments to lend additional amounts to customers with outstanding loans classified as TDRs.</w:t>
      </w:r>
    </w:p>
    <w:p>
      <w:pPr>
        <w:spacing w:after="0" w:line="18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Loans modified under the terms of a TDR during the years ended December 31 are presented in the table below. In addition, the following table presents loans modified under the terms of a TDR that defaulted (became 90 days or more delinquent) during the years ended December 31 that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New TDRs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Pre-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TDRs Modified Within the</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700" w:type="dxa"/>
            <w:vAlign w:val="bottom"/>
            <w:gridSpan w:val="1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Post-Modification Outstanding Recorded Investment by</w:t>
            </w:r>
          </w:p>
        </w:tc>
        <w:tc>
          <w:tcPr>
            <w:tcW w:w="200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Year That Have Subsequently</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3700" w:type="dxa"/>
            <w:vAlign w:val="bottom"/>
            <w:gridSpan w:val="12"/>
            <w:vMerge w:val="continue"/>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4"/>
              </w:rPr>
              <w:t>Type of Modification</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vMerge w:val="restart"/>
          </w:tcPr>
          <w:p>
            <w:pPr>
              <w:spacing w:after="0"/>
              <w:rPr>
                <w:sz w:val="13"/>
                <w:szCs w:val="13"/>
                <w:color w:val="auto"/>
              </w:rPr>
            </w:pPr>
          </w:p>
        </w:tc>
        <w:tc>
          <w:tcPr>
            <w:tcW w:w="9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3"/>
                <w:szCs w:val="13"/>
                <w:color w:val="auto"/>
              </w:rPr>
            </w:pPr>
          </w:p>
        </w:tc>
        <w:tc>
          <w:tcPr>
            <w:tcW w:w="9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Structure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0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8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5"/>
              </w:rPr>
              <w:t>Recorded</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F0FFFF"/>
            </w:tcBorders>
            <w:vMerge w:val="continue"/>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Reduction</w:t>
            </w:r>
          </w:p>
        </w:tc>
        <w:tc>
          <w:tcPr>
            <w:tcW w:w="10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1,387</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1,387</w:t>
            </w:r>
          </w:p>
        </w:tc>
        <w:tc>
          <w:tcPr>
            <w:tcW w:w="10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3,743</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9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58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commercial</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5,162</w:t>
            </w:r>
          </w:p>
        </w:tc>
        <w:tc>
          <w:tcPr>
            <w:tcW w:w="1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1,770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Home equity lines of credit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Consumer direct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2800" w:type="dxa"/>
            <w:vAlign w:val="bottom"/>
            <w:tcBorders>
              <w:bottom w:val="single" w:sz="8" w:color="F0FFFF"/>
            </w:tcBorders>
            <w:gridSpan w:val="2"/>
          </w:tcPr>
          <w:p>
            <w:pPr>
              <w:ind w:left="260"/>
              <w:spacing w:after="0"/>
              <w:rPr>
                <w:sz w:val="20"/>
                <w:szCs w:val="20"/>
                <w:color w:val="auto"/>
              </w:rPr>
            </w:pPr>
            <w:r>
              <w:rPr>
                <w:rFonts w:ascii="Arial" w:cs="Arial" w:eastAsia="Arial" w:hAnsi="Arial"/>
                <w:sz w:val="14"/>
                <w:szCs w:val="14"/>
                <w:color w:val="auto"/>
              </w:rPr>
              <w:t>Total loans</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7,971</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6,858</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704</w:t>
            </w:r>
          </w:p>
        </w:tc>
        <w:tc>
          <w:tcPr>
            <w:tcW w:w="100" w:type="dxa"/>
            <w:vAlign w:val="bottom"/>
            <w:tcBorders>
              <w:bottom w:val="single" w:sz="8" w:color="F0FF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7,798</w:t>
            </w:r>
          </w:p>
        </w:tc>
        <w:tc>
          <w:tcPr>
            <w:tcW w:w="100" w:type="dxa"/>
            <w:vAlign w:val="bottom"/>
            <w:tcBorders>
              <w:bottom w:val="single" w:sz="8" w:color="F0FF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45"/>
        </w:trPr>
        <w:tc>
          <w:tcPr>
            <w:tcW w:w="268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5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Owner occupied commercial real estate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2,269</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Commercial &amp; industrial</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construction</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6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tcBorders>
              <w:bottom w:val="single" w:sz="8" w:color="F0FFFF"/>
            </w:tcBorders>
            <w:gridSpan w:val="2"/>
          </w:tcPr>
          <w:p>
            <w:pPr>
              <w:ind w:left="20"/>
              <w:spacing w:after="0"/>
              <w:rPr>
                <w:sz w:val="20"/>
                <w:szCs w:val="20"/>
                <w:color w:val="auto"/>
              </w:rPr>
            </w:pPr>
            <w:r>
              <w:rPr>
                <w:rFonts w:ascii="Arial" w:cs="Arial" w:eastAsia="Arial" w:hAnsi="Arial"/>
                <w:sz w:val="14"/>
                <w:szCs w:val="14"/>
                <w:color w:val="auto"/>
              </w:rPr>
              <w:t>Equipment financing</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F0FFFF"/>
          </w:tcPr>
          <w:p>
            <w:pPr>
              <w:ind w:left="260"/>
              <w:spacing w:after="0"/>
              <w:rPr>
                <w:sz w:val="20"/>
                <w:szCs w:val="20"/>
                <w:color w:val="auto"/>
              </w:rPr>
            </w:pPr>
            <w:r>
              <w:rPr>
                <w:rFonts w:ascii="Arial" w:cs="Arial" w:eastAsia="Arial" w:hAnsi="Arial"/>
                <w:sz w:val="14"/>
                <w:szCs w:val="14"/>
                <w:color w:val="auto"/>
              </w:rPr>
              <w:t>Total commercial</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3,761</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Residential mortgage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Consumer direct</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Indirect auto</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00" w:type="dxa"/>
            <w:vAlign w:val="bottom"/>
            <w:tcBorders>
              <w:top w:val="single" w:sz="8" w:color="F0FFFF"/>
              <w:bottom w:val="single" w:sz="8" w:color="F0FFFF"/>
            </w:tcBorders>
            <w:gridSpan w:val="2"/>
            <w:shd w:val="clear" w:color="auto" w:fill="F0FFFF"/>
          </w:tcPr>
          <w:p>
            <w:pPr>
              <w:ind w:left="260"/>
              <w:spacing w:after="0"/>
              <w:rPr>
                <w:sz w:val="20"/>
                <w:szCs w:val="20"/>
                <w:color w:val="auto"/>
              </w:rPr>
            </w:pPr>
            <w:r>
              <w:rPr>
                <w:rFonts w:ascii="Arial" w:cs="Arial" w:eastAsia="Arial" w:hAnsi="Arial"/>
                <w:sz w:val="14"/>
                <w:szCs w:val="14"/>
                <w:color w:val="auto"/>
              </w:rPr>
              <w:t>Total loans</w:t>
            </w:r>
          </w:p>
        </w:tc>
        <w:tc>
          <w:tcPr>
            <w:tcW w:w="8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7,168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4,611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1,855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6,506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0"/>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F0FFFF"/>
            </w:tcBorders>
            <w:vMerge w:val="continue"/>
          </w:tcPr>
          <w:p>
            <w:pPr>
              <w:spacing w:after="0"/>
              <w:rPr>
                <w:sz w:val="21"/>
                <w:szCs w:val="21"/>
                <w:color w:val="auto"/>
              </w:rPr>
            </w:pPr>
          </w:p>
        </w:tc>
        <w:tc>
          <w:tcPr>
            <w:tcW w:w="8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9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84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60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60" w:type="dxa"/>
            <w:vAlign w:val="bottom"/>
            <w:tcBorders>
              <w:bottom w:val="single" w:sz="8" w:color="F0FFFF"/>
            </w:tcBorders>
          </w:tcPr>
          <w:p>
            <w:pPr>
              <w:spacing w:after="0"/>
              <w:rPr>
                <w:sz w:val="21"/>
                <w:szCs w:val="21"/>
                <w:color w:val="auto"/>
              </w:rPr>
            </w:pPr>
          </w:p>
        </w:tc>
        <w:tc>
          <w:tcPr>
            <w:tcW w:w="5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94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82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2,699</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2,699</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2,699</w:t>
            </w:r>
          </w:p>
        </w:tc>
        <w:tc>
          <w:tcPr>
            <w:tcW w:w="10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9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58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commercial</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4,426</w:t>
            </w:r>
          </w:p>
        </w:tc>
        <w:tc>
          <w:tcPr>
            <w:tcW w:w="1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3,262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1,992</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3,167</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Home equity lines of credit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Consumer direct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loans</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9,172</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ectPr>
          <w:pgSz w:w="11900" w:h="16838" w:orient="portrait"/>
          <w:cols w:equalWidth="0" w:num="1">
            <w:col w:w="11420"/>
          </w:cols>
          <w:pgMar w:left="240" w:top="121" w:right="239" w:bottom="1052"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1" w:right="239" w:bottom="1052"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last three years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Cash Basis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Cash Basis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Interest</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Cash Basis</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Revenue</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Revenue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During</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During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During</w:t>
            </w: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143"/>
        </w:trPr>
        <w:tc>
          <w:tcPr>
            <w:tcW w:w="2140" w:type="dxa"/>
            <w:vAlign w:val="bottom"/>
            <w:tcBorders>
              <w:top w:val="single" w:sz="8" w:color="F0FFFF"/>
            </w:tcBorders>
            <w:shd w:val="clear" w:color="auto" w:fill="F0FFFF"/>
          </w:tcPr>
          <w:p>
            <w:pPr>
              <w:ind w:left="20"/>
              <w:spacing w:after="0" w:line="143" w:lineRule="exact"/>
              <w:rPr>
                <w:sz w:val="20"/>
                <w:szCs w:val="20"/>
                <w:color w:val="auto"/>
              </w:rPr>
            </w:pPr>
            <w:r>
              <w:rPr>
                <w:rFonts w:ascii="Arial" w:cs="Arial" w:eastAsia="Arial" w:hAnsi="Arial"/>
                <w:sz w:val="14"/>
                <w:szCs w:val="14"/>
                <w:color w:val="auto"/>
              </w:rPr>
              <w:t>Owner occupied commercial real</w:t>
            </w:r>
          </w:p>
        </w:tc>
        <w:tc>
          <w:tcPr>
            <w:tcW w:w="12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19,881</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27,870</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33,297</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57"/>
        </w:trPr>
        <w:tc>
          <w:tcPr>
            <w:tcW w:w="2140" w:type="dxa"/>
            <w:vAlign w:val="bottom"/>
          </w:tcPr>
          <w:p>
            <w:pPr>
              <w:ind w:left="20"/>
              <w:spacing w:after="0" w:line="157" w:lineRule="exact"/>
              <w:rPr>
                <w:sz w:val="20"/>
                <w:szCs w:val="20"/>
                <w:color w:val="auto"/>
              </w:rPr>
            </w:pPr>
            <w:r>
              <w:rPr>
                <w:rFonts w:ascii="Arial" w:cs="Arial" w:eastAsia="Arial" w:hAnsi="Arial"/>
                <w:sz w:val="14"/>
                <w:szCs w:val="14"/>
                <w:color w:val="auto"/>
                <w:w w:val="98"/>
              </w:rPr>
              <w:t>Income producing commercial real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2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17,138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24,765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31,661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276"/>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1,777</w:t>
            </w:r>
          </w:p>
        </w:tc>
        <w:tc>
          <w:tcPr>
            <w:tcW w:w="1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2,994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2,470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3,247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5,879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23"/>
                <w:szCs w:val="23"/>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7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140" w:type="dxa"/>
            <w:vAlign w:val="bottom"/>
          </w:tcPr>
          <w:p>
            <w:pPr>
              <w:ind w:left="260"/>
              <w:spacing w:after="0"/>
              <w:rPr>
                <w:sz w:val="20"/>
                <w:szCs w:val="20"/>
                <w:color w:val="auto"/>
              </w:rPr>
            </w:pPr>
            <w:r>
              <w:rPr>
                <w:rFonts w:ascii="Arial" w:cs="Arial" w:eastAsia="Arial" w:hAnsi="Arial"/>
                <w:sz w:val="14"/>
                <w:szCs w:val="14"/>
                <w:color w:val="auto"/>
              </w:rPr>
              <w:t>Total commercial</w:t>
            </w: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42,043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60,731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2,825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73,307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276"/>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14,515</w:t>
            </w:r>
          </w:p>
        </w:tc>
        <w:tc>
          <w:tcPr>
            <w:tcW w:w="1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14,257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14,118</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1,405</w:t>
            </w:r>
          </w:p>
        </w:tc>
        <w:tc>
          <w:tcPr>
            <w:tcW w:w="1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1,677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Consumer direct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12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1,252</w:t>
            </w:r>
          </w:p>
        </w:tc>
        <w:tc>
          <w:tcPr>
            <w:tcW w:w="14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7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62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1,244</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6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43"/>
        </w:trPr>
        <w:tc>
          <w:tcPr>
            <w:tcW w:w="2140" w:type="dxa"/>
            <w:vAlign w:val="bottom"/>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59,748</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78,354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90,425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88"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No PCI loans were classified as nonaccrual at December 31, 2018 or 2017 as the cash flows of the respective loan or pool of loans were considered estimable and probable of collection. Therefore, interest revenue, through accretion of the difference between the carrying value of the loans and the expected cash flows, is being recognized on all PCI loans.</w:t>
      </w:r>
    </w:p>
    <w:p>
      <w:pPr>
        <w:spacing w:after="0" w:line="16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$1.09 million, $1.11 million, and $975,000 for 2018,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the recorded investment in nonaccrual loans held for investment by loan class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5"/>
          </w:tcPr>
          <w:p>
            <w:pPr>
              <w:ind w:left="50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180" w:type="dxa"/>
            <w:vAlign w:val="bottom"/>
          </w:tcPr>
          <w:p>
            <w:pPr>
              <w:spacing w:after="0"/>
              <w:rPr>
                <w:sz w:val="20"/>
                <w:szCs w:val="20"/>
                <w:color w:val="auto"/>
              </w:rPr>
            </w:pPr>
          </w:p>
        </w:tc>
      </w:tr>
      <w:tr>
        <w:trPr>
          <w:trHeight w:val="33"/>
        </w:trPr>
        <w:tc>
          <w:tcPr>
            <w:tcW w:w="70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r>
      <w:tr>
        <w:trPr>
          <w:trHeight w:val="230"/>
        </w:trPr>
        <w:tc>
          <w:tcPr>
            <w:tcW w:w="708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6,421</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4,923</w:t>
            </w:r>
          </w:p>
        </w:tc>
        <w:tc>
          <w:tcPr>
            <w:tcW w:w="1180" w:type="dxa"/>
            <w:vAlign w:val="bottom"/>
            <w:tcBorders>
              <w:bottom w:val="single" w:sz="8" w:color="F0FFFF"/>
            </w:tcBorders>
            <w:shd w:val="clear" w:color="auto" w:fill="F0FFFF"/>
          </w:tcPr>
          <w:p>
            <w:pPr>
              <w:spacing w:after="0"/>
              <w:rPr>
                <w:sz w:val="20"/>
                <w:szCs w:val="20"/>
                <w:color w:val="auto"/>
              </w:rPr>
            </w:pPr>
          </w:p>
        </w:tc>
      </w:tr>
      <w:tr>
        <w:trPr>
          <w:trHeight w:val="237"/>
        </w:trPr>
        <w:tc>
          <w:tcPr>
            <w:tcW w:w="7080" w:type="dxa"/>
            <w:vAlign w:val="bottom"/>
          </w:tcPr>
          <w:p>
            <w:pPr>
              <w:ind w:left="142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3,208</w:t>
            </w:r>
          </w:p>
        </w:tc>
        <w:tc>
          <w:tcPr>
            <w:tcW w:w="11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Commercial &amp; industrial</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2,097</w:t>
            </w:r>
          </w:p>
        </w:tc>
        <w:tc>
          <w:tcPr>
            <w:tcW w:w="118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142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758</w:t>
            </w:r>
          </w:p>
        </w:tc>
        <w:tc>
          <w:tcPr>
            <w:tcW w:w="11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Equipment financing</w:t>
            </w: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2,677</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2080" w:type="dxa"/>
            <w:vAlign w:val="bottom"/>
            <w:tcBorders>
              <w:bottom w:val="single" w:sz="8" w:color="F0FFFF"/>
            </w:tcBorders>
            <w:gridSpan w:val="2"/>
            <w:shd w:val="clear" w:color="auto" w:fill="F0FFFF"/>
          </w:tcPr>
          <w:p>
            <w:pPr>
              <w:jc w:val="right"/>
              <w:ind w:right="1260"/>
              <w:spacing w:after="0"/>
              <w:rPr>
                <w:sz w:val="20"/>
                <w:szCs w:val="20"/>
                <w:color w:val="auto"/>
              </w:rPr>
            </w:pPr>
            <w:r>
              <w:rPr>
                <w:rFonts w:ascii="Arial" w:cs="Arial" w:eastAsia="Arial" w:hAnsi="Arial"/>
                <w:sz w:val="16"/>
                <w:szCs w:val="16"/>
                <w:color w:val="auto"/>
              </w:rPr>
              <w:t>—</w:t>
            </w:r>
          </w:p>
        </w:tc>
      </w:tr>
      <w:tr>
        <w:trPr>
          <w:trHeight w:val="217"/>
        </w:trPr>
        <w:tc>
          <w:tcPr>
            <w:tcW w:w="7080" w:type="dxa"/>
            <w:vAlign w:val="bottom"/>
          </w:tcPr>
          <w:p>
            <w:pPr>
              <w:ind w:left="1660"/>
              <w:spacing w:after="0"/>
              <w:rPr>
                <w:sz w:val="20"/>
                <w:szCs w:val="20"/>
                <w:color w:val="auto"/>
              </w:rPr>
            </w:pPr>
            <w:r>
              <w:rPr>
                <w:rFonts w:ascii="Arial" w:cs="Arial" w:eastAsia="Arial" w:hAnsi="Arial"/>
                <w:sz w:val="16"/>
                <w:szCs w:val="16"/>
                <w:color w:val="auto"/>
              </w:rPr>
              <w:t>Total commercial</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10,986</w:t>
            </w:r>
          </w:p>
        </w:tc>
        <w:tc>
          <w:tcPr>
            <w:tcW w:w="118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Residential mortgage</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8,776</w:t>
            </w:r>
          </w:p>
        </w:tc>
        <w:tc>
          <w:tcPr>
            <w:tcW w:w="118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1420"/>
              <w:spacing w:after="0"/>
              <w:rPr>
                <w:sz w:val="20"/>
                <w:szCs w:val="20"/>
                <w:color w:val="auto"/>
              </w:rPr>
            </w:pPr>
            <w:r>
              <w:rPr>
                <w:rFonts w:ascii="Arial" w:cs="Arial" w:eastAsia="Arial" w:hAnsi="Arial"/>
                <w:sz w:val="16"/>
                <w:szCs w:val="16"/>
                <w:color w:val="auto"/>
              </w:rPr>
              <w:t>Home equity lines of credit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2,024</w:t>
            </w:r>
          </w:p>
        </w:tc>
        <w:tc>
          <w:tcPr>
            <w:tcW w:w="11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Residential construction</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192</w:t>
            </w:r>
          </w:p>
        </w:tc>
        <w:tc>
          <w:tcPr>
            <w:tcW w:w="1180" w:type="dxa"/>
            <w:vAlign w:val="bottom"/>
            <w:tcBorders>
              <w:bottom w:val="single" w:sz="8" w:color="F0FFFF"/>
            </w:tcBorders>
            <w:shd w:val="clear" w:color="auto" w:fill="F0FFFF"/>
          </w:tcPr>
          <w:p>
            <w:pPr>
              <w:spacing w:after="0"/>
              <w:rPr>
                <w:sz w:val="21"/>
                <w:szCs w:val="21"/>
                <w:color w:val="auto"/>
              </w:rPr>
            </w:pPr>
          </w:p>
        </w:tc>
      </w:tr>
      <w:tr>
        <w:trPr>
          <w:trHeight w:val="237"/>
        </w:trPr>
        <w:tc>
          <w:tcPr>
            <w:tcW w:w="7080" w:type="dxa"/>
            <w:vAlign w:val="bottom"/>
          </w:tcPr>
          <w:p>
            <w:pPr>
              <w:ind w:left="1420"/>
              <w:spacing w:after="0"/>
              <w:rPr>
                <w:sz w:val="20"/>
                <w:szCs w:val="20"/>
                <w:color w:val="auto"/>
              </w:rPr>
            </w:pPr>
            <w:r>
              <w:rPr>
                <w:rFonts w:ascii="Arial" w:cs="Arial" w:eastAsia="Arial" w:hAnsi="Arial"/>
                <w:sz w:val="16"/>
                <w:szCs w:val="16"/>
                <w:color w:val="auto"/>
              </w:rPr>
              <w:t>Consumer direct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1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6"/>
                <w:szCs w:val="16"/>
                <w:color w:val="auto"/>
              </w:rPr>
              <w:t>Indirect auto</w:t>
            </w: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1,637</w:t>
            </w:r>
          </w:p>
        </w:tc>
        <w:tc>
          <w:tcPr>
            <w:tcW w:w="1180" w:type="dxa"/>
            <w:vAlign w:val="bottom"/>
            <w:tcBorders>
              <w:bottom w:val="single" w:sz="8" w:color="F0FFFF"/>
            </w:tcBorders>
            <w:shd w:val="clear" w:color="auto" w:fill="F0FFFF"/>
          </w:tcPr>
          <w:p>
            <w:pPr>
              <w:spacing w:after="0"/>
              <w:rPr>
                <w:sz w:val="23"/>
                <w:szCs w:val="23"/>
                <w:color w:val="auto"/>
              </w:rPr>
            </w:pPr>
          </w:p>
        </w:tc>
      </w:tr>
      <w:tr>
        <w:trPr>
          <w:trHeight w:val="244"/>
        </w:trPr>
        <w:tc>
          <w:tcPr>
            <w:tcW w:w="7080" w:type="dxa"/>
            <w:vAlign w:val="bottom"/>
          </w:tcPr>
          <w:p>
            <w:pPr>
              <w:ind w:left="16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23,778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23,658</w:t>
            </w:r>
          </w:p>
        </w:tc>
        <w:tc>
          <w:tcPr>
            <w:tcW w:w="1180" w:type="dxa"/>
            <w:vAlign w:val="bottom"/>
          </w:tcPr>
          <w:p>
            <w:pPr>
              <w:spacing w:after="0"/>
              <w:rPr>
                <w:sz w:val="21"/>
                <w:szCs w:val="2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 xml:space="preserve">Excluding PCI loans, substantially all loans more than 90 days past due were on nonaccrual status at December 31, 2018 and December 31, 2017. The following table presents the aging of the recorded investment in past due loans by class of loans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Loans Past Due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9" w:lineRule="exact"/>
              <w:rPr>
                <w:sz w:val="20"/>
                <w:szCs w:val="20"/>
                <w:color w:val="auto"/>
              </w:rPr>
            </w:pPr>
            <w:r>
              <w:rPr>
                <w:rFonts w:ascii="Arial" w:cs="Arial" w:eastAsia="Arial" w:hAnsi="Arial"/>
                <w:sz w:val="15"/>
                <w:szCs w:val="15"/>
                <w:b w:val="1"/>
                <w:bCs w:val="1"/>
                <w:color w:val="auto"/>
                <w:w w:val="92"/>
              </w:rPr>
              <w:t>Loans Not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Arial" w:cs="Arial" w:eastAsia="Arial" w:hAnsi="Arial"/>
                <w:sz w:val="15"/>
                <w:szCs w:val="15"/>
                <w:b w:val="1"/>
                <w:bCs w:val="1"/>
                <w:color w:val="auto"/>
              </w:rPr>
              <w:t>30 - 59 Days</w:t>
            </w:r>
          </w:p>
        </w:tc>
        <w:tc>
          <w:tcPr>
            <w:tcW w:w="1100" w:type="dxa"/>
            <w:vAlign w:val="bottom"/>
            <w:gridSpan w:val="3"/>
          </w:tcPr>
          <w:p>
            <w:pPr>
              <w:ind w:left="100"/>
              <w:spacing w:after="0"/>
              <w:rPr>
                <w:sz w:val="20"/>
                <w:szCs w:val="20"/>
                <w:color w:val="auto"/>
              </w:rPr>
            </w:pPr>
            <w:r>
              <w:rPr>
                <w:rFonts w:ascii="Arial" w:cs="Arial" w:eastAsia="Arial" w:hAnsi="Arial"/>
                <w:sz w:val="15"/>
                <w:szCs w:val="15"/>
                <w:b w:val="1"/>
                <w:bCs w:val="1"/>
                <w:color w:val="auto"/>
              </w:rPr>
              <w:t>60 - 89 Days</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b w:val="1"/>
                <w:bCs w:val="1"/>
                <w:color w:val="auto"/>
              </w:rPr>
              <w:t>&gt; 90 Days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Past Due</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5"/>
                <w:szCs w:val="15"/>
                <w:b w:val="1"/>
                <w:bCs w:val="1"/>
                <w:color w:val="auto"/>
              </w:rPr>
              <w:t>PCI Loans</w:t>
            </w:r>
          </w:p>
        </w:tc>
        <w:tc>
          <w:tcPr>
            <w:tcW w:w="160" w:type="dxa"/>
            <w:vAlign w:val="bottom"/>
          </w:tcPr>
          <w:p>
            <w:pPr>
              <w:spacing w:after="0"/>
              <w:rPr>
                <w:sz w:val="17"/>
                <w:szCs w:val="17"/>
                <w:color w:val="auto"/>
              </w:rPr>
            </w:pPr>
          </w:p>
        </w:tc>
        <w:tc>
          <w:tcPr>
            <w:tcW w:w="780" w:type="dxa"/>
            <w:vAlign w:val="bottom"/>
          </w:tcPr>
          <w:p>
            <w:pPr>
              <w:jc w:val="right"/>
              <w:ind w:right="223"/>
              <w:spacing w:after="0"/>
              <w:rPr>
                <w:sz w:val="20"/>
                <w:szCs w:val="20"/>
                <w:color w:val="auto"/>
              </w:rPr>
            </w:pPr>
            <w:r>
              <w:rPr>
                <w:rFonts w:ascii="Arial" w:cs="Arial" w:eastAsia="Arial" w:hAnsi="Arial"/>
                <w:sz w:val="15"/>
                <w:szCs w:val="15"/>
                <w:b w:val="1"/>
                <w:bCs w:val="1"/>
                <w:color w:val="auto"/>
              </w:rPr>
              <w:t>Total</w:t>
            </w:r>
          </w:p>
        </w:tc>
      </w:tr>
      <w:tr>
        <w:trPr>
          <w:trHeight w:val="227"/>
        </w:trPr>
        <w:tc>
          <w:tcPr>
            <w:tcW w:w="20" w:type="dxa"/>
            <w:vAlign w:val="bottom"/>
            <w:tcBorders>
              <w:top w:val="single" w:sz="8" w:color="F0FFFF"/>
            </w:tcBorders>
            <w:shd w:val="clear" w:color="auto" w:fill="F0FFFF"/>
          </w:tcPr>
          <w:p>
            <w:pPr>
              <w:spacing w:after="0"/>
              <w:rPr>
                <w:sz w:val="19"/>
                <w:szCs w:val="19"/>
                <w:color w:val="auto"/>
              </w:rPr>
            </w:pPr>
          </w:p>
        </w:tc>
        <w:tc>
          <w:tcPr>
            <w:tcW w:w="330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5"/>
                <w:szCs w:val="15"/>
                <w:b w:val="1"/>
                <w:bCs w:val="1"/>
                <w:color w:val="auto"/>
              </w:rPr>
              <w:t>As of December 31, 2018</w:t>
            </w:r>
          </w:p>
        </w:tc>
        <w:tc>
          <w:tcPr>
            <w:tcW w:w="280" w:type="dxa"/>
            <w:vAlign w:val="bottom"/>
            <w:tcBorders>
              <w:top w:val="single" w:sz="8" w:color="auto"/>
            </w:tcBorders>
            <w:shd w:val="clear" w:color="auto" w:fill="F0FFFF"/>
          </w:tcPr>
          <w:p>
            <w:pPr>
              <w:spacing w:after="0"/>
              <w:rPr>
                <w:sz w:val="19"/>
                <w:szCs w:val="19"/>
                <w:color w:val="auto"/>
              </w:rPr>
            </w:pPr>
          </w:p>
        </w:tc>
        <w:tc>
          <w:tcPr>
            <w:tcW w:w="70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300" w:type="dxa"/>
            <w:vAlign w:val="bottom"/>
            <w:tcBorders>
              <w:top w:val="single" w:sz="8" w:color="auto"/>
            </w:tcBorders>
            <w:shd w:val="clear" w:color="auto" w:fill="F0FFFF"/>
          </w:tcPr>
          <w:p>
            <w:pPr>
              <w:spacing w:after="0"/>
              <w:rPr>
                <w:sz w:val="19"/>
                <w:szCs w:val="19"/>
                <w:color w:val="auto"/>
              </w:rPr>
            </w:pPr>
          </w:p>
        </w:tc>
        <w:tc>
          <w:tcPr>
            <w:tcW w:w="68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82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200" w:type="dxa"/>
            <w:vAlign w:val="bottom"/>
            <w:tcBorders>
              <w:top w:val="single" w:sz="8" w:color="auto"/>
            </w:tcBorders>
            <w:shd w:val="clear" w:color="auto" w:fill="F0FFFF"/>
          </w:tcPr>
          <w:p>
            <w:pPr>
              <w:spacing w:after="0"/>
              <w:rPr>
                <w:sz w:val="19"/>
                <w:szCs w:val="19"/>
                <w:color w:val="auto"/>
              </w:rPr>
            </w:pPr>
          </w:p>
        </w:tc>
        <w:tc>
          <w:tcPr>
            <w:tcW w:w="740" w:type="dxa"/>
            <w:vAlign w:val="bottom"/>
            <w:tcBorders>
              <w:top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spacing w:after="0"/>
              <w:rPr>
                <w:sz w:val="19"/>
                <w:szCs w:val="19"/>
                <w:color w:val="auto"/>
              </w:rPr>
            </w:pPr>
          </w:p>
        </w:tc>
        <w:tc>
          <w:tcPr>
            <w:tcW w:w="840" w:type="dxa"/>
            <w:vAlign w:val="bottom"/>
            <w:tcBorders>
              <w:top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spacing w:after="0"/>
              <w:rPr>
                <w:sz w:val="19"/>
                <w:szCs w:val="19"/>
                <w:color w:val="auto"/>
              </w:rPr>
            </w:pPr>
          </w:p>
        </w:tc>
        <w:tc>
          <w:tcPr>
            <w:tcW w:w="82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160" w:type="dxa"/>
            <w:vAlign w:val="bottom"/>
            <w:tcBorders>
              <w:top w:val="single" w:sz="8" w:color="auto"/>
            </w:tcBorders>
            <w:shd w:val="clear" w:color="auto" w:fill="F0FFFF"/>
          </w:tcPr>
          <w:p>
            <w:pPr>
              <w:spacing w:after="0"/>
              <w:rPr>
                <w:sz w:val="19"/>
                <w:szCs w:val="19"/>
                <w:color w:val="auto"/>
              </w:rPr>
            </w:pPr>
          </w:p>
        </w:tc>
        <w:tc>
          <w:tcPr>
            <w:tcW w:w="780" w:type="dxa"/>
            <w:vAlign w:val="bottom"/>
            <w:tcBorders>
              <w:top w:val="single" w:sz="8" w:color="auto"/>
            </w:tcBorders>
            <w:shd w:val="clear" w:color="auto" w:fill="F0FFFF"/>
          </w:tcPr>
          <w:p>
            <w:pPr>
              <w:spacing w:after="0"/>
              <w:rPr>
                <w:sz w:val="19"/>
                <w:szCs w:val="19"/>
                <w:color w:val="auto"/>
              </w:rPr>
            </w:pPr>
          </w:p>
        </w:tc>
      </w:tr>
      <w:tr>
        <w:trPr>
          <w:trHeight w:val="21"/>
        </w:trPr>
        <w:tc>
          <w:tcPr>
            <w:tcW w:w="20" w:type="dxa"/>
            <w:vAlign w:val="bottom"/>
            <w:tcBorders>
              <w:top w:val="single" w:sz="8" w:color="F0FFFF"/>
            </w:tcBorders>
            <w:shd w:val="clear" w:color="auto" w:fill="F0FFFF"/>
          </w:tcPr>
          <w:p>
            <w:pPr>
              <w:spacing w:after="0" w:line="20" w:lineRule="exact"/>
              <w:rPr>
                <w:sz w:val="1"/>
                <w:szCs w:val="1"/>
                <w:color w:val="auto"/>
              </w:rPr>
            </w:pPr>
          </w:p>
        </w:tc>
        <w:tc>
          <w:tcPr>
            <w:tcW w:w="1600" w:type="dxa"/>
            <w:vAlign w:val="bottom"/>
            <w:tcBorders>
              <w:top w:val="single" w:sz="8" w:color="auto"/>
            </w:tcBorders>
            <w:shd w:val="clear" w:color="auto" w:fill="F0FFFF"/>
          </w:tcPr>
          <w:p>
            <w:pPr>
              <w:spacing w:after="0" w:line="20" w:lineRule="exact"/>
              <w:rPr>
                <w:sz w:val="1"/>
                <w:szCs w:val="1"/>
                <w:color w:val="auto"/>
              </w:rPr>
            </w:pPr>
          </w:p>
        </w:tc>
        <w:tc>
          <w:tcPr>
            <w:tcW w:w="170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F0FFFF"/>
            </w:tcBorders>
            <w:shd w:val="clear" w:color="auto" w:fill="F0FFFF"/>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Owner occupied commercial real estate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2,542</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2,897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1,011</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6,450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1,631,602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9,852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1,647,904</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Income producing commercial real estate</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1,624</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291</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301</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2,216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1,771,893</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38,311</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1,812,420</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Commercial &amp; industrial</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7,189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8,307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1,269,632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1,278,347</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Commercial construction</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267</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68</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335</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789,916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5,907</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796,158</w:t>
            </w:r>
          </w:p>
        </w:tc>
      </w:tr>
      <w:tr>
        <w:trPr>
          <w:trHeight w:val="266"/>
        </w:trPr>
        <w:tc>
          <w:tcPr>
            <w:tcW w:w="20" w:type="dxa"/>
            <w:vAlign w:val="bottom"/>
            <w:tcBorders>
              <w:bottom w:val="single" w:sz="8" w:color="F0FFFF"/>
            </w:tcBorders>
          </w:tcPr>
          <w:p>
            <w:pPr>
              <w:spacing w:after="0"/>
              <w:rPr>
                <w:sz w:val="23"/>
                <w:szCs w:val="23"/>
                <w:color w:val="auto"/>
              </w:rPr>
            </w:pPr>
          </w:p>
        </w:tc>
        <w:tc>
          <w:tcPr>
            <w:tcW w:w="3300" w:type="dxa"/>
            <w:vAlign w:val="bottom"/>
            <w:tcBorders>
              <w:bottom w:val="single" w:sz="8" w:color="F0FFFF"/>
            </w:tcBorders>
            <w:gridSpan w:val="2"/>
          </w:tcPr>
          <w:p>
            <w:pPr>
              <w:spacing w:after="0"/>
              <w:rPr>
                <w:sz w:val="20"/>
                <w:szCs w:val="20"/>
                <w:color w:val="auto"/>
              </w:rPr>
            </w:pPr>
            <w:r>
              <w:rPr>
                <w:rFonts w:ascii="Arial" w:cs="Arial" w:eastAsia="Arial" w:hAnsi="Arial"/>
                <w:sz w:val="15"/>
                <w:szCs w:val="15"/>
                <w:color w:val="auto"/>
              </w:rPr>
              <w:t>Equipment financing</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1,351</w:t>
            </w:r>
          </w:p>
        </w:tc>
        <w:tc>
          <w:tcPr>
            <w:tcW w:w="120" w:type="dxa"/>
            <w:vAlign w:val="bottom"/>
            <w:tcBorders>
              <w:bottom w:val="single" w:sz="8" w:color="F0FF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739</w:t>
            </w:r>
          </w:p>
        </w:tc>
        <w:tc>
          <w:tcPr>
            <w:tcW w:w="120" w:type="dxa"/>
            <w:vAlign w:val="bottom"/>
            <w:tcBorders>
              <w:bottom w:val="single" w:sz="8" w:color="F0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2,658</w:t>
            </w:r>
          </w:p>
        </w:tc>
        <w:tc>
          <w:tcPr>
            <w:tcW w:w="120" w:type="dxa"/>
            <w:vAlign w:val="bottom"/>
            <w:tcBorders>
              <w:bottom w:val="single" w:sz="8" w:color="F0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4,748</w:t>
            </w:r>
          </w:p>
        </w:tc>
        <w:tc>
          <w:tcPr>
            <w:tcW w:w="100" w:type="dxa"/>
            <w:vAlign w:val="bottom"/>
            <w:tcBorders>
              <w:bottom w:val="single" w:sz="8" w:color="F0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551,924</w:t>
            </w:r>
          </w:p>
        </w:tc>
        <w:tc>
          <w:tcPr>
            <w:tcW w:w="100" w:type="dxa"/>
            <w:vAlign w:val="bottom"/>
            <w:tcBorders>
              <w:bottom w:val="single" w:sz="8" w:color="F0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7,942</w:t>
            </w:r>
          </w:p>
        </w:tc>
        <w:tc>
          <w:tcPr>
            <w:tcW w:w="120" w:type="dxa"/>
            <w:vAlign w:val="bottom"/>
            <w:tcBorders>
              <w:bottom w:val="single" w:sz="8" w:color="F0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564,614</w:t>
            </w:r>
          </w:p>
        </w:tc>
      </w:tr>
      <w:tr>
        <w:trPr>
          <w:trHeight w:val="254"/>
        </w:trPr>
        <w:tc>
          <w:tcPr>
            <w:tcW w:w="20" w:type="dxa"/>
            <w:vAlign w:val="bottom"/>
            <w:shd w:val="clear" w:color="auto" w:fill="F0FFFF"/>
          </w:tcPr>
          <w:p>
            <w:pPr>
              <w:spacing w:after="0"/>
              <w:rPr>
                <w:sz w:val="22"/>
                <w:szCs w:val="22"/>
                <w:color w:val="auto"/>
              </w:rPr>
            </w:pPr>
          </w:p>
        </w:tc>
        <w:tc>
          <w:tcPr>
            <w:tcW w:w="3300" w:type="dxa"/>
            <w:vAlign w:val="bottom"/>
            <w:gridSpan w:val="2"/>
            <w:shd w:val="clear" w:color="auto" w:fill="F0FFFF"/>
          </w:tcPr>
          <w:p>
            <w:pPr>
              <w:ind w:left="240"/>
              <w:spacing w:after="0"/>
              <w:rPr>
                <w:sz w:val="20"/>
                <w:szCs w:val="20"/>
                <w:color w:val="auto"/>
              </w:rPr>
            </w:pPr>
            <w:r>
              <w:rPr>
                <w:rFonts w:ascii="Arial" w:cs="Arial" w:eastAsia="Arial" w:hAnsi="Arial"/>
                <w:sz w:val="15"/>
                <w:szCs w:val="15"/>
                <w:color w:val="auto"/>
              </w:rPr>
              <w:t>Total commercial</w:t>
            </w:r>
          </w:p>
        </w:tc>
        <w:tc>
          <w:tcPr>
            <w:tcW w:w="28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12,973</w:t>
            </w:r>
          </w:p>
        </w:tc>
        <w:tc>
          <w:tcPr>
            <w:tcW w:w="120" w:type="dxa"/>
            <w:vAlign w:val="bottom"/>
            <w:shd w:val="clear" w:color="auto" w:fill="F0FFFF"/>
          </w:tcPr>
          <w:p>
            <w:pPr>
              <w:spacing w:after="0"/>
              <w:rPr>
                <w:sz w:val="22"/>
                <w:szCs w:val="22"/>
                <w:color w:val="auto"/>
              </w:rPr>
            </w:pPr>
          </w:p>
        </w:tc>
        <w:tc>
          <w:tcPr>
            <w:tcW w:w="30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4,645</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4,438</w:t>
            </w: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22,056</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6,014,967</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62,420</w:t>
            </w:r>
          </w:p>
        </w:tc>
        <w:tc>
          <w:tcPr>
            <w:tcW w:w="1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6,099,443</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Residential mortgage</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5,461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1,788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1,950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9,199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1,030,883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9,150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1,049,232</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Home equity lines of credit</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2,112</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864</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902</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3,878</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688,520</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1,612</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694,010</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Residential construction</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509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762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209,515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734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211,011</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Consumer direct</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600</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82</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21</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703</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120,777</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533</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122,013</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Indirect auto</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750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633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205,986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207,692</w:t>
            </w:r>
          </w:p>
        </w:tc>
      </w:tr>
      <w:tr>
        <w:trPr>
          <w:trHeight w:val="241"/>
        </w:trPr>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3300" w:type="dxa"/>
            <w:vAlign w:val="bottom"/>
            <w:tcBorders>
              <w:top w:val="single" w:sz="8" w:color="F0FFFF"/>
              <w:bottom w:val="single" w:sz="8" w:color="F0FFFF"/>
            </w:tcBorders>
            <w:gridSpan w:val="2"/>
            <w:shd w:val="clear" w:color="auto" w:fill="F0FFFF"/>
          </w:tcPr>
          <w:p>
            <w:pPr>
              <w:ind w:left="240"/>
              <w:spacing w:after="0"/>
              <w:rPr>
                <w:sz w:val="20"/>
                <w:szCs w:val="20"/>
                <w:color w:val="auto"/>
              </w:rPr>
            </w:pPr>
            <w:r>
              <w:rPr>
                <w:rFonts w:ascii="Arial" w:cs="Arial" w:eastAsia="Arial" w:hAnsi="Arial"/>
                <w:sz w:val="15"/>
                <w:szCs w:val="15"/>
                <w:color w:val="auto"/>
              </w:rPr>
              <w:t>Total loans</w:t>
            </w:r>
          </w:p>
        </w:tc>
        <w:tc>
          <w:tcPr>
            <w:tcW w:w="280" w:type="dxa"/>
            <w:vAlign w:val="bottom"/>
            <w:tcBorders>
              <w:top w:val="single" w:sz="8" w:color="auto"/>
              <w:bottom w:val="single" w:sz="8" w:color="auto"/>
            </w:tcBorders>
            <w:shd w:val="clear" w:color="auto" w:fill="F0FFFF"/>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22,405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7,765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8,134</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38,304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8,270,648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74,449</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w w:val="98"/>
              </w:rPr>
              <w:t>8,383,401</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0"/>
        </w:trPr>
        <w:tc>
          <w:tcPr>
            <w:tcW w:w="20" w:type="dxa"/>
            <w:vAlign w:val="bottom"/>
            <w:shd w:val="clear" w:color="auto" w:fill="F0FFFF"/>
          </w:tcPr>
          <w:p>
            <w:pPr>
              <w:spacing w:after="0"/>
              <w:rPr>
                <w:sz w:val="19"/>
                <w:szCs w:val="19"/>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b w:val="1"/>
                <w:bCs w:val="1"/>
                <w:color w:val="auto"/>
              </w:rPr>
              <w:t>As of December 31, 2017</w:t>
            </w:r>
          </w:p>
        </w:tc>
        <w:tc>
          <w:tcPr>
            <w:tcW w:w="28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r>
      <w:tr>
        <w:trPr>
          <w:trHeight w:val="21"/>
        </w:trPr>
        <w:tc>
          <w:tcPr>
            <w:tcW w:w="20" w:type="dxa"/>
            <w:vAlign w:val="bottom"/>
            <w:tcBorders>
              <w:top w:val="single" w:sz="8" w:color="F0FFFF"/>
            </w:tcBorders>
            <w:shd w:val="clear" w:color="auto" w:fill="F0FFFF"/>
          </w:tcPr>
          <w:p>
            <w:pPr>
              <w:spacing w:after="0" w:line="20" w:lineRule="exact"/>
              <w:rPr>
                <w:sz w:val="1"/>
                <w:szCs w:val="1"/>
                <w:color w:val="auto"/>
              </w:rPr>
            </w:pPr>
          </w:p>
        </w:tc>
        <w:tc>
          <w:tcPr>
            <w:tcW w:w="1600" w:type="dxa"/>
            <w:vAlign w:val="bottom"/>
            <w:tcBorders>
              <w:top w:val="single" w:sz="8" w:color="auto"/>
            </w:tcBorders>
            <w:shd w:val="clear" w:color="auto" w:fill="F0FFFF"/>
          </w:tcPr>
          <w:p>
            <w:pPr>
              <w:spacing w:after="0" w:line="20" w:lineRule="exact"/>
              <w:rPr>
                <w:sz w:val="1"/>
                <w:szCs w:val="1"/>
                <w:color w:val="auto"/>
              </w:rPr>
            </w:pPr>
          </w:p>
        </w:tc>
        <w:tc>
          <w:tcPr>
            <w:tcW w:w="170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F0FFFF"/>
            </w:tcBorders>
            <w:shd w:val="clear" w:color="auto" w:fill="F0FFFF"/>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Owner occupied commercial real estate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3,810</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1,776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1,530</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7,116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1,891,118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25,759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1,923,993</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Income producing commercial real estate</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1,754</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1,939</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4,046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1,546,288</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44,840</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1,595,174</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Commercial &amp; industrial</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2,139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869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1,133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4,141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1,125,407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1,442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1,130,990</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Commercial construction</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568</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132</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858</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702,221</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8,857</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711,936</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Equipment financing</w:t>
            </w:r>
          </w:p>
        </w:tc>
        <w:tc>
          <w:tcPr>
            <w:tcW w:w="2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20" w:type="dxa"/>
            <w:vAlign w:val="bottom"/>
            <w:tcBorders>
              <w:top w:val="single" w:sz="8" w:color="F0FFFF"/>
            </w:tcBorders>
            <w:shd w:val="clear" w:color="auto" w:fill="F0FFFF"/>
          </w:tcPr>
          <w:p>
            <w:pPr>
              <w:spacing w:after="0"/>
              <w:rPr>
                <w:sz w:val="22"/>
                <w:szCs w:val="22"/>
                <w:color w:val="auto"/>
              </w:rPr>
            </w:pPr>
          </w:p>
        </w:tc>
        <w:tc>
          <w:tcPr>
            <w:tcW w:w="3300" w:type="dxa"/>
            <w:vAlign w:val="bottom"/>
            <w:tcBorders>
              <w:top w:val="single" w:sz="8" w:color="F0FFFF"/>
            </w:tcBorders>
            <w:gridSpan w:val="2"/>
            <w:shd w:val="clear" w:color="auto" w:fill="F0FFFF"/>
          </w:tcPr>
          <w:p>
            <w:pPr>
              <w:ind w:left="240"/>
              <w:spacing w:after="0"/>
              <w:rPr>
                <w:sz w:val="20"/>
                <w:szCs w:val="20"/>
                <w:color w:val="auto"/>
              </w:rPr>
            </w:pPr>
            <w:r>
              <w:rPr>
                <w:rFonts w:ascii="Arial" w:cs="Arial" w:eastAsia="Arial" w:hAnsi="Arial"/>
                <w:sz w:val="15"/>
                <w:szCs w:val="15"/>
                <w:color w:val="auto"/>
              </w:rPr>
              <w:t>Total commercial</w:t>
            </w:r>
          </w:p>
        </w:tc>
        <w:tc>
          <w:tcPr>
            <w:tcW w:w="280" w:type="dxa"/>
            <w:vAlign w:val="bottom"/>
            <w:tcBorders>
              <w:top w:val="single" w:sz="8" w:color="auto"/>
            </w:tcBorders>
            <w:shd w:val="clear" w:color="auto" w:fill="F0FFFF"/>
          </w:tcPr>
          <w:p>
            <w:pPr>
              <w:spacing w:after="0"/>
              <w:rPr>
                <w:sz w:val="22"/>
                <w:szCs w:val="22"/>
                <w:color w:val="auto"/>
              </w:rPr>
            </w:pPr>
          </w:p>
        </w:tc>
        <w:tc>
          <w:tcPr>
            <w:tcW w:w="700" w:type="dxa"/>
            <w:vAlign w:val="bottom"/>
            <w:tcBorders>
              <w:top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8,271</w:t>
            </w:r>
          </w:p>
        </w:tc>
        <w:tc>
          <w:tcPr>
            <w:tcW w:w="120" w:type="dxa"/>
            <w:vAlign w:val="bottom"/>
            <w:tcBorders>
              <w:top w:val="single" w:sz="8" w:color="F0FFFF"/>
            </w:tcBorders>
            <w:shd w:val="clear" w:color="auto" w:fill="F0FFFF"/>
          </w:tcPr>
          <w:p>
            <w:pPr>
              <w:spacing w:after="0"/>
              <w:rPr>
                <w:sz w:val="22"/>
                <w:szCs w:val="22"/>
                <w:color w:val="auto"/>
              </w:rPr>
            </w:pPr>
          </w:p>
        </w:tc>
        <w:tc>
          <w:tcPr>
            <w:tcW w:w="300" w:type="dxa"/>
            <w:vAlign w:val="bottom"/>
            <w:tcBorders>
              <w:top w:val="single" w:sz="8" w:color="auto"/>
            </w:tcBorders>
            <w:shd w:val="clear" w:color="auto" w:fill="F0FFFF"/>
          </w:tcPr>
          <w:p>
            <w:pPr>
              <w:spacing w:after="0"/>
              <w:rPr>
                <w:sz w:val="22"/>
                <w:szCs w:val="22"/>
                <w:color w:val="auto"/>
              </w:rPr>
            </w:pPr>
          </w:p>
        </w:tc>
        <w:tc>
          <w:tcPr>
            <w:tcW w:w="680" w:type="dxa"/>
            <w:vAlign w:val="bottom"/>
            <w:tcBorders>
              <w:top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3,130</w:t>
            </w:r>
          </w:p>
        </w:tc>
        <w:tc>
          <w:tcPr>
            <w:tcW w:w="12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820" w:type="dxa"/>
            <w:vAlign w:val="bottom"/>
            <w:tcBorders>
              <w:top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4,760</w:t>
            </w:r>
          </w:p>
        </w:tc>
        <w:tc>
          <w:tcPr>
            <w:tcW w:w="120" w:type="dxa"/>
            <w:vAlign w:val="bottom"/>
            <w:tcBorders>
              <w:top w:val="single" w:sz="8" w:color="F0FFFF"/>
            </w:tcBorders>
            <w:shd w:val="clear" w:color="auto" w:fill="F0FFFF"/>
          </w:tcPr>
          <w:p>
            <w:pPr>
              <w:spacing w:after="0"/>
              <w:rPr>
                <w:sz w:val="22"/>
                <w:szCs w:val="22"/>
                <w:color w:val="auto"/>
              </w:rPr>
            </w:pPr>
          </w:p>
        </w:tc>
        <w:tc>
          <w:tcPr>
            <w:tcW w:w="200" w:type="dxa"/>
            <w:vAlign w:val="bottom"/>
            <w:tcBorders>
              <w:top w:val="single" w:sz="8" w:color="auto"/>
            </w:tcBorders>
            <w:shd w:val="clear" w:color="auto" w:fill="F0FFFF"/>
          </w:tcPr>
          <w:p>
            <w:pPr>
              <w:spacing w:after="0"/>
              <w:rPr>
                <w:sz w:val="22"/>
                <w:szCs w:val="22"/>
                <w:color w:val="auto"/>
              </w:rPr>
            </w:pPr>
          </w:p>
        </w:tc>
        <w:tc>
          <w:tcPr>
            <w:tcW w:w="740" w:type="dxa"/>
            <w:vAlign w:val="bottom"/>
            <w:tcBorders>
              <w:top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16,161</w:t>
            </w:r>
          </w:p>
        </w:tc>
        <w:tc>
          <w:tcPr>
            <w:tcW w:w="10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5,265,034</w:t>
            </w:r>
          </w:p>
        </w:tc>
        <w:tc>
          <w:tcPr>
            <w:tcW w:w="10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spacing w:after="0"/>
              <w:rPr>
                <w:sz w:val="22"/>
                <w:szCs w:val="22"/>
                <w:color w:val="auto"/>
              </w:rPr>
            </w:pPr>
          </w:p>
        </w:tc>
        <w:tc>
          <w:tcPr>
            <w:tcW w:w="820" w:type="dxa"/>
            <w:vAlign w:val="bottom"/>
            <w:tcBorders>
              <w:top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80,898</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spacing w:after="0"/>
              <w:rPr>
                <w:sz w:val="22"/>
                <w:szCs w:val="22"/>
                <w:color w:val="auto"/>
              </w:rPr>
            </w:pPr>
          </w:p>
        </w:tc>
        <w:tc>
          <w:tcPr>
            <w:tcW w:w="780" w:type="dxa"/>
            <w:vAlign w:val="bottom"/>
            <w:tcBorders>
              <w:top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w w:val="98"/>
              </w:rPr>
              <w:t>5,362,093</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Residential mortgage</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6,717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1,735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3,438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11,890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948,513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13,141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973,544</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Home equity lines of credit</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3,246</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225</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578</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4,049</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724,287</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2,891</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731,227</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Residential construction</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885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1,083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181,472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183,019</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Consumer direct</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739</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133</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872</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125,512</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1,120</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127,504</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Indirect auto</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1,152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1,263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2,874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355,311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358,185</w:t>
            </w:r>
          </w:p>
        </w:tc>
      </w:tr>
      <w:tr>
        <w:trPr>
          <w:trHeight w:val="241"/>
        </w:trPr>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3300" w:type="dxa"/>
            <w:vAlign w:val="bottom"/>
            <w:tcBorders>
              <w:top w:val="single" w:sz="8" w:color="F0FFFF"/>
              <w:bottom w:val="single" w:sz="8" w:color="F0FFFF"/>
            </w:tcBorders>
            <w:gridSpan w:val="2"/>
            <w:shd w:val="clear" w:color="auto" w:fill="F0FFFF"/>
          </w:tcPr>
          <w:p>
            <w:pPr>
              <w:ind w:left="240"/>
              <w:spacing w:after="0"/>
              <w:rPr>
                <w:sz w:val="20"/>
                <w:szCs w:val="20"/>
                <w:color w:val="auto"/>
              </w:rPr>
            </w:pPr>
            <w:r>
              <w:rPr>
                <w:rFonts w:ascii="Arial" w:cs="Arial" w:eastAsia="Arial" w:hAnsi="Arial"/>
                <w:sz w:val="15"/>
                <w:szCs w:val="15"/>
                <w:color w:val="auto"/>
              </w:rPr>
              <w:t>Total loans</w:t>
            </w:r>
          </w:p>
        </w:tc>
        <w:tc>
          <w:tcPr>
            <w:tcW w:w="280" w:type="dxa"/>
            <w:vAlign w:val="bottom"/>
            <w:tcBorders>
              <w:top w:val="single" w:sz="8" w:color="auto"/>
              <w:bottom w:val="single" w:sz="8" w:color="auto"/>
            </w:tcBorders>
            <w:shd w:val="clear" w:color="auto" w:fill="F0FFFF"/>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21,010</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5,787</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10,132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36,929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7,600,129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98,514</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w w:val="98"/>
              </w:rPr>
              <w:t>7,735,572</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67"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no reliable secondary source of full repayment.</w:t>
      </w:r>
    </w:p>
    <w:p>
      <w:pPr>
        <w:spacing w:after="0" w:line="162"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off.</w:t>
      </w:r>
    </w:p>
    <w:p>
      <w:pPr>
        <w:spacing w:after="0" w:line="162"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Equipment Financing Receivables and Consumer Purpose Loans</w:t>
      </w:r>
      <w:r>
        <w:rPr>
          <w:rFonts w:ascii="Arial" w:cs="Arial" w:eastAsia="Arial" w:hAnsi="Arial"/>
          <w:sz w:val="18"/>
          <w:szCs w:val="18"/>
          <w:color w:val="auto"/>
        </w:rPr>
        <w:t>. United applies a pass / fail grading system to all equipment financing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3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 of December 31, and based on the most recent analysis performed, the risk category of loans by class of loans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Doubtful /</w:t>
            </w:r>
          </w:p>
        </w:tc>
        <w:tc>
          <w:tcPr>
            <w:tcW w:w="260" w:type="dxa"/>
            <w:vAlign w:val="bottom"/>
          </w:tcPr>
          <w:p>
            <w:pPr>
              <w:spacing w:after="0"/>
              <w:rPr>
                <w:sz w:val="14"/>
                <w:szCs w:val="14"/>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520" w:type="dxa"/>
            <w:vAlign w:val="bottom"/>
            <w:tcBorders>
              <w:top w:val="single" w:sz="8" w:color="F0FFFF"/>
              <w:bottom w:val="single" w:sz="8" w:color="auto"/>
            </w:tcBorders>
            <w:shd w:val="clear" w:color="auto" w:fill="F0FFFF"/>
          </w:tcPr>
          <w:p>
            <w:pPr>
              <w:spacing w:after="0"/>
              <w:rPr>
                <w:sz w:val="20"/>
                <w:szCs w:val="20"/>
                <w:color w:val="auto"/>
              </w:rPr>
            </w:pPr>
            <w:r>
              <w:rPr>
                <w:rFonts w:ascii="Arial" w:cs="Arial" w:eastAsia="Arial" w:hAnsi="Arial"/>
                <w:sz w:val="14"/>
                <w:szCs w:val="14"/>
                <w:b w:val="1"/>
                <w:bCs w:val="1"/>
                <w:color w:val="auto"/>
                <w:w w:val="90"/>
              </w:rPr>
              <w:t>As of December 31, 2018</w:t>
            </w:r>
          </w:p>
        </w:tc>
        <w:tc>
          <w:tcPr>
            <w:tcW w:w="28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F0FFFF"/>
            </w:tcBorders>
            <w:shd w:val="clear" w:color="auto" w:fill="F0FFFF"/>
          </w:tcPr>
          <w:p>
            <w:pPr>
              <w:spacing w:after="0"/>
              <w:rPr>
                <w:sz w:val="21"/>
                <w:szCs w:val="21"/>
                <w:color w:val="auto"/>
              </w:rPr>
            </w:pPr>
          </w:p>
        </w:tc>
        <w:tc>
          <w:tcPr>
            <w:tcW w:w="920" w:type="dxa"/>
            <w:vAlign w:val="bottom"/>
            <w:tcBorders>
              <w:top w:val="single" w:sz="8" w:color="auto"/>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F0FFFF"/>
            </w:tcBorders>
            <w:shd w:val="clear" w:color="auto" w:fill="F0FFFF"/>
          </w:tcPr>
          <w:p>
            <w:pPr>
              <w:spacing w:after="0"/>
              <w:rPr>
                <w:sz w:val="21"/>
                <w:szCs w:val="21"/>
                <w:color w:val="auto"/>
              </w:rPr>
            </w:pPr>
          </w:p>
        </w:tc>
        <w:tc>
          <w:tcPr>
            <w:tcW w:w="94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F0FFFF"/>
            </w:tcBorders>
            <w:shd w:val="clear" w:color="auto" w:fill="F0FFFF"/>
          </w:tcPr>
          <w:p>
            <w:pPr>
              <w:spacing w:after="0"/>
              <w:rPr>
                <w:sz w:val="21"/>
                <w:szCs w:val="21"/>
                <w:color w:val="auto"/>
              </w:rPr>
            </w:pPr>
          </w:p>
        </w:tc>
        <w:tc>
          <w:tcPr>
            <w:tcW w:w="1020" w:type="dxa"/>
            <w:vAlign w:val="bottom"/>
            <w:tcBorders>
              <w:top w:val="single" w:sz="8" w:color="auto"/>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F0FFFF"/>
            </w:tcBorders>
            <w:shd w:val="clear" w:color="auto" w:fill="F0FFFF"/>
          </w:tcPr>
          <w:p>
            <w:pPr>
              <w:spacing w:after="0"/>
              <w:rPr>
                <w:sz w:val="21"/>
                <w:szCs w:val="21"/>
                <w:color w:val="auto"/>
              </w:rPr>
            </w:pPr>
          </w:p>
        </w:tc>
        <w:tc>
          <w:tcPr>
            <w:tcW w:w="98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F0FFFF"/>
            </w:tcBorders>
            <w:shd w:val="clear" w:color="auto" w:fill="F0FFFF"/>
          </w:tcPr>
          <w:p>
            <w:pPr>
              <w:spacing w:after="0"/>
              <w:rPr>
                <w:sz w:val="21"/>
                <w:szCs w:val="21"/>
                <w:color w:val="auto"/>
              </w:rPr>
            </w:pPr>
          </w:p>
        </w:tc>
        <w:tc>
          <w:tcPr>
            <w:tcW w:w="900" w:type="dxa"/>
            <w:vAlign w:val="bottom"/>
            <w:tcBorders>
              <w:top w:val="single" w:sz="8" w:color="auto"/>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1,585,797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16,651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35,604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1,638,052</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1,735,456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20,923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17,730</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1,774,109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1,247,206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8,430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22,303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1,277,939</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777,780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4,533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7,938</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790,251</w:t>
            </w:r>
          </w:p>
        </w:tc>
        <w:tc>
          <w:tcPr>
            <w:tcW w:w="0" w:type="dxa"/>
            <w:vAlign w:val="bottom"/>
          </w:tcPr>
          <w:p>
            <w:pPr>
              <w:spacing w:after="0"/>
              <w:rPr>
                <w:sz w:val="1"/>
                <w:szCs w:val="1"/>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553,995</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2,677</w:t>
            </w: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556,672</w:t>
            </w:r>
          </w:p>
        </w:tc>
        <w:tc>
          <w:tcPr>
            <w:tcW w:w="0" w:type="dxa"/>
            <w:vAlign w:val="bottom"/>
          </w:tcPr>
          <w:p>
            <w:pPr>
              <w:spacing w:after="0"/>
              <w:rPr>
                <w:sz w:val="1"/>
                <w:szCs w:val="1"/>
                <w:color w:val="auto"/>
              </w:rPr>
            </w:pPr>
          </w:p>
        </w:tc>
      </w:tr>
      <w:tr>
        <w:trPr>
          <w:trHeight w:val="256"/>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shd w:val="clear" w:color="auto" w:fill="F0FFFF"/>
          </w:tcPr>
          <w:p>
            <w:pPr>
              <w:spacing w:after="0"/>
              <w:rPr>
                <w:sz w:val="22"/>
                <w:szCs w:val="22"/>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5,900,234</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50,537</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86,252</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6,037,023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1,028,660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1,040,082</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688,493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3,905</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692,398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209,744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210,277</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Consumer direct</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121,247</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121,480</w:t>
            </w:r>
          </w:p>
        </w:tc>
        <w:tc>
          <w:tcPr>
            <w:tcW w:w="0" w:type="dxa"/>
            <w:vAlign w:val="bottom"/>
          </w:tcPr>
          <w:p>
            <w:pPr>
              <w:spacing w:after="0"/>
              <w:rPr>
                <w:sz w:val="1"/>
                <w:szCs w:val="1"/>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4"/>
                <w:szCs w:val="14"/>
                <w:color w:val="auto"/>
              </w:rPr>
              <w:t>Indirect auto</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205,632</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2,060</w:t>
            </w: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207,692</w:t>
            </w:r>
          </w:p>
        </w:tc>
        <w:tc>
          <w:tcPr>
            <w:tcW w:w="0" w:type="dxa"/>
            <w:vAlign w:val="bottom"/>
          </w:tcPr>
          <w:p>
            <w:pPr>
              <w:spacing w:after="0"/>
              <w:rPr>
                <w:sz w:val="1"/>
                <w:szCs w:val="1"/>
                <w:color w:val="auto"/>
              </w:rPr>
            </w:pPr>
          </w:p>
        </w:tc>
      </w:tr>
      <w:tr>
        <w:trPr>
          <w:trHeight w:val="250"/>
        </w:trPr>
        <w:tc>
          <w:tcPr>
            <w:tcW w:w="20" w:type="dxa"/>
            <w:vAlign w:val="bottom"/>
            <w:shd w:val="clear" w:color="auto" w:fill="F0FFFF"/>
          </w:tcPr>
          <w:p>
            <w:pPr>
              <w:spacing w:after="0"/>
              <w:rPr>
                <w:sz w:val="21"/>
                <w:szCs w:val="21"/>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4"/>
                <w:szCs w:val="14"/>
                <w:color w:val="auto"/>
              </w:rPr>
              <w:t>Total loans, excluding PCI loans</w:t>
            </w:r>
          </w:p>
        </w:tc>
        <w:tc>
          <w:tcPr>
            <w:tcW w:w="28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8,154,010</w:t>
            </w:r>
          </w:p>
        </w:tc>
        <w:tc>
          <w:tcPr>
            <w:tcW w:w="120" w:type="dxa"/>
            <w:vAlign w:val="bottom"/>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50,556</w:t>
            </w:r>
          </w:p>
        </w:tc>
        <w:tc>
          <w:tcPr>
            <w:tcW w:w="100" w:type="dxa"/>
            <w:vAlign w:val="bottom"/>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104,386</w:t>
            </w:r>
          </w:p>
        </w:tc>
        <w:tc>
          <w:tcPr>
            <w:tcW w:w="120" w:type="dxa"/>
            <w:vAlign w:val="bottom"/>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8,308,952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23,430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13,403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1,478</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38,311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3,503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2,216</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5,907</w:t>
            </w:r>
          </w:p>
        </w:tc>
        <w:tc>
          <w:tcPr>
            <w:tcW w:w="0" w:type="dxa"/>
            <w:vAlign w:val="bottom"/>
          </w:tcPr>
          <w:p>
            <w:pPr>
              <w:spacing w:after="0"/>
              <w:rPr>
                <w:sz w:val="1"/>
                <w:szCs w:val="1"/>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7,725</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7,942</w:t>
            </w:r>
          </w:p>
        </w:tc>
        <w:tc>
          <w:tcPr>
            <w:tcW w:w="0" w:type="dxa"/>
            <w:vAlign w:val="bottom"/>
          </w:tcPr>
          <w:p>
            <w:pPr>
              <w:spacing w:after="0"/>
              <w:rPr>
                <w:sz w:val="1"/>
                <w:szCs w:val="1"/>
                <w:color w:val="auto"/>
              </w:rPr>
            </w:pPr>
          </w:p>
        </w:tc>
      </w:tr>
      <w:tr>
        <w:trPr>
          <w:trHeight w:val="256"/>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shd w:val="clear" w:color="auto" w:fill="F0FFFF"/>
          </w:tcPr>
          <w:p>
            <w:pPr>
              <w:spacing w:after="0"/>
              <w:rPr>
                <w:sz w:val="22"/>
                <w:szCs w:val="22"/>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38,276</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16,413</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7,731</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62,420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9,150</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1,492</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Consumer direct</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4"/>
                <w:szCs w:val="14"/>
                <w:color w:val="auto"/>
              </w:rPr>
              <w:t>Indirect auto</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shd w:val="clear" w:color="auto" w:fill="F0FFFF"/>
          </w:tcPr>
          <w:p>
            <w:pPr>
              <w:spacing w:after="0"/>
              <w:rPr>
                <w:sz w:val="21"/>
                <w:szCs w:val="21"/>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4"/>
                <w:szCs w:val="14"/>
                <w:color w:val="auto"/>
              </w:rPr>
              <w:t>Total PCI loans</w:t>
            </w:r>
          </w:p>
        </w:tc>
        <w:tc>
          <w:tcPr>
            <w:tcW w:w="280" w:type="dxa"/>
            <w:vAlign w:val="bottom"/>
            <w:shd w:val="clear" w:color="auto" w:fill="F0FFFF"/>
          </w:tcPr>
          <w:p>
            <w:pPr>
              <w:spacing w:after="0"/>
              <w:rPr>
                <w:sz w:val="21"/>
                <w:szCs w:val="21"/>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47,862</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16,413</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10,174</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74,449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Total loan portfolio</w:t>
            </w:r>
          </w:p>
        </w:tc>
        <w:tc>
          <w:tcPr>
            <w:tcW w:w="2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8,201,872</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66,969</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114,560</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8,383,401</w:t>
            </w:r>
          </w:p>
        </w:tc>
        <w:tc>
          <w:tcPr>
            <w:tcW w:w="0" w:type="dxa"/>
            <w:vAlign w:val="bottom"/>
          </w:tcPr>
          <w:p>
            <w:pPr>
              <w:spacing w:after="0"/>
              <w:rPr>
                <w:sz w:val="1"/>
                <w:szCs w:val="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4380" w:type="dxa"/>
            <w:vAlign w:val="bottom"/>
            <w:tcBorders>
              <w:top w:val="single" w:sz="8" w:color="F0FFFF"/>
              <w:bottom w:val="single" w:sz="8" w:color="F0FFFF"/>
            </w:tcBorders>
            <w:gridSpan w:val="2"/>
            <w:vMerge w:val="restart"/>
          </w:tcPr>
          <w:p>
            <w:pPr>
              <w:spacing w:after="0"/>
              <w:rPr>
                <w:sz w:val="20"/>
                <w:szCs w:val="20"/>
                <w:color w:val="auto"/>
              </w:rPr>
            </w:pPr>
            <w:r>
              <w:rPr>
                <w:rFonts w:ascii="Arial" w:cs="Arial" w:eastAsia="Arial" w:hAnsi="Arial"/>
                <w:sz w:val="14"/>
                <w:szCs w:val="14"/>
                <w:b w:val="1"/>
                <w:bCs w:val="1"/>
                <w:color w:val="auto"/>
              </w:rPr>
              <w:t>As of 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1,833,469</w:t>
            </w:r>
          </w:p>
        </w:tc>
        <w:tc>
          <w:tcPr>
            <w:tcW w:w="120" w:type="dxa"/>
            <w:vAlign w:val="bottom"/>
            <w:shd w:val="clear" w:color="auto" w:fill="F0FFFF"/>
          </w:tcPr>
          <w:p>
            <w:pPr>
              <w:spacing w:after="0"/>
              <w:rPr>
                <w:sz w:val="23"/>
                <w:szCs w:val="23"/>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33,571</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31,194</w:t>
            </w:r>
          </w:p>
        </w:tc>
        <w:tc>
          <w:tcPr>
            <w:tcW w:w="120" w:type="dxa"/>
            <w:vAlign w:val="bottom"/>
            <w:shd w:val="clear" w:color="auto" w:fill="F0FFFF"/>
          </w:tcPr>
          <w:p>
            <w:pPr>
              <w:spacing w:after="0"/>
              <w:rPr>
                <w:sz w:val="23"/>
                <w:szCs w:val="23"/>
                <w:color w:val="auto"/>
              </w:rPr>
            </w:pP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1,898,234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1,495,805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30,780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1,550,334</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1,097,907</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18,052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13,589</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1,129,548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693,873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6,259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703,079</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5,121,054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5,281,195</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939,706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20,697</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960,403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721,142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7,194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728,336</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180,567</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1,988</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182,555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Consumer direct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125,860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126,384</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Indirect auto</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354,788</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3,397</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358,185</w:t>
            </w: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tcPr>
          <w:p>
            <w:pPr>
              <w:spacing w:after="0"/>
              <w:rPr>
                <w:sz w:val="21"/>
                <w:szCs w:val="21"/>
                <w:color w:val="auto"/>
              </w:rPr>
            </w:pPr>
          </w:p>
        </w:tc>
        <w:tc>
          <w:tcPr>
            <w:tcW w:w="4380" w:type="dxa"/>
            <w:vAlign w:val="bottom"/>
            <w:tcBorders>
              <w:bottom w:val="single" w:sz="8" w:color="F0FFFF"/>
            </w:tcBorders>
            <w:gridSpan w:val="2"/>
          </w:tcPr>
          <w:p>
            <w:pPr>
              <w:ind w:left="240"/>
              <w:spacing w:after="0"/>
              <w:rPr>
                <w:sz w:val="20"/>
                <w:szCs w:val="20"/>
                <w:color w:val="auto"/>
              </w:rPr>
            </w:pPr>
            <w:r>
              <w:rPr>
                <w:rFonts w:ascii="Arial" w:cs="Arial" w:eastAsia="Arial" w:hAnsi="Arial"/>
                <w:sz w:val="14"/>
                <w:szCs w:val="14"/>
                <w:color w:val="auto"/>
              </w:rPr>
              <w:t>Total loans, excluding PCI loans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7,443,117</w:t>
            </w: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85,350</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108,591</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7,637,058</w:t>
            </w:r>
          </w:p>
        </w:tc>
        <w:tc>
          <w:tcPr>
            <w:tcW w:w="0" w:type="dxa"/>
            <w:vAlign w:val="bottom"/>
          </w:tcPr>
          <w:p>
            <w:pPr>
              <w:spacing w:after="0"/>
              <w:rPr>
                <w:sz w:val="1"/>
                <w:szCs w:val="1"/>
                <w:color w:val="auto"/>
              </w:rPr>
            </w:pPr>
          </w:p>
        </w:tc>
      </w:tr>
      <w:tr>
        <w:trPr>
          <w:trHeight w:val="256"/>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shd w:val="clear" w:color="auto" w:fill="F0FFFF"/>
          </w:tcPr>
          <w:p>
            <w:pPr>
              <w:spacing w:after="0"/>
              <w:rPr>
                <w:sz w:val="22"/>
                <w:szCs w:val="22"/>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8,163</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15,196</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25,759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13,392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21,928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44,840</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8,857</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20,041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80,898</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9,566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3,402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13,141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Consumer direct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Indirect auto</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PCI loans</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32,685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98,514</w:t>
            </w:r>
          </w:p>
        </w:tc>
        <w:tc>
          <w:tcPr>
            <w:tcW w:w="0" w:type="dxa"/>
            <w:vAlign w:val="bottom"/>
          </w:tcPr>
          <w:p>
            <w:pPr>
              <w:spacing w:after="0"/>
              <w:rPr>
                <w:sz w:val="1"/>
                <w:szCs w:val="1"/>
                <w:color w:val="auto"/>
              </w:rPr>
            </w:pPr>
          </w:p>
        </w:tc>
      </w:tr>
      <w:tr>
        <w:trPr>
          <w:trHeight w:val="243"/>
        </w:trPr>
        <w:tc>
          <w:tcPr>
            <w:tcW w:w="20" w:type="dxa"/>
            <w:vAlign w:val="bottom"/>
            <w:tcBorders>
              <w:top w:val="single" w:sz="8" w:color="F0FFFF"/>
            </w:tcBorders>
            <w:shd w:val="clear" w:color="auto" w:fill="F0FFFF"/>
          </w:tcPr>
          <w:p>
            <w:pPr>
              <w:spacing w:after="0"/>
              <w:rPr>
                <w:sz w:val="21"/>
                <w:szCs w:val="21"/>
                <w:color w:val="auto"/>
              </w:rPr>
            </w:pPr>
          </w:p>
        </w:tc>
        <w:tc>
          <w:tcPr>
            <w:tcW w:w="1520" w:type="dxa"/>
            <w:vAlign w:val="bottom"/>
            <w:tcBorders>
              <w:top w:val="single" w:sz="8" w:color="F0FFFF"/>
            </w:tcBorders>
            <w:shd w:val="clear" w:color="auto" w:fill="F0FFFF"/>
          </w:tcPr>
          <w:p>
            <w:pPr>
              <w:spacing w:after="0"/>
              <w:rPr>
                <w:sz w:val="21"/>
                <w:szCs w:val="21"/>
                <w:color w:val="auto"/>
              </w:rPr>
            </w:pPr>
          </w:p>
        </w:tc>
        <w:tc>
          <w:tcPr>
            <w:tcW w:w="286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92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240" w:type="dxa"/>
            <w:vAlign w:val="bottom"/>
            <w:tcBorders>
              <w:top w:val="single" w:sz="8" w:color="auto"/>
            </w:tcBorders>
            <w:shd w:val="clear" w:color="auto" w:fill="F0FFFF"/>
          </w:tcPr>
          <w:p>
            <w:pPr>
              <w:spacing w:after="0"/>
              <w:rPr>
                <w:sz w:val="21"/>
                <w:szCs w:val="21"/>
                <w:color w:val="auto"/>
              </w:rPr>
            </w:pPr>
          </w:p>
        </w:tc>
        <w:tc>
          <w:tcPr>
            <w:tcW w:w="94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40" w:type="dxa"/>
            <w:vAlign w:val="bottom"/>
            <w:tcBorders>
              <w:top w:val="single" w:sz="8" w:color="auto"/>
            </w:tcBorders>
            <w:shd w:val="clear" w:color="auto" w:fill="F0FFFF"/>
          </w:tcPr>
          <w:p>
            <w:pPr>
              <w:spacing w:after="0"/>
              <w:rPr>
                <w:sz w:val="21"/>
                <w:szCs w:val="21"/>
                <w:color w:val="auto"/>
              </w:rPr>
            </w:pPr>
          </w:p>
        </w:tc>
        <w:tc>
          <w:tcPr>
            <w:tcW w:w="102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180" w:type="dxa"/>
            <w:vAlign w:val="bottom"/>
            <w:tcBorders>
              <w:top w:val="single" w:sz="8" w:color="auto"/>
            </w:tcBorders>
            <w:shd w:val="clear" w:color="auto" w:fill="F0FFFF"/>
          </w:tcPr>
          <w:p>
            <w:pPr>
              <w:spacing w:after="0"/>
              <w:rPr>
                <w:sz w:val="21"/>
                <w:szCs w:val="21"/>
                <w:color w:val="auto"/>
              </w:rPr>
            </w:pPr>
          </w:p>
        </w:tc>
        <w:tc>
          <w:tcPr>
            <w:tcW w:w="9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60" w:type="dxa"/>
            <w:vAlign w:val="bottom"/>
            <w:tcBorders>
              <w:top w:val="single" w:sz="8" w:color="auto"/>
            </w:tcBorders>
            <w:shd w:val="clear" w:color="auto" w:fill="F0FFFF"/>
          </w:tcPr>
          <w:p>
            <w:pPr>
              <w:spacing w:after="0"/>
              <w:rPr>
                <w:sz w:val="21"/>
                <w:szCs w:val="21"/>
                <w:color w:val="auto"/>
              </w:rPr>
            </w:pPr>
          </w:p>
        </w:tc>
        <w:tc>
          <w:tcPr>
            <w:tcW w:w="900" w:type="dxa"/>
            <w:vAlign w:val="bottom"/>
            <w:tcBorders>
              <w:top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121" w:right="619" w:bottom="0" w:gutter="0" w:footer="0" w:header="0"/>
        </w:sectPr>
      </w:pPr>
    </w:p>
    <w:bookmarkStart w:id="113" w:name="page114"/>
    <w:bookmarkEnd w:id="113"/>
    <w:p>
      <w:pPr>
        <w:spacing w:after="0"/>
        <w:tabs>
          <w:tab w:leader="none" w:pos="4380" w:val="left"/>
          <w:tab w:leader="none" w:pos="4880" w:val="left"/>
          <w:tab w:leader="none" w:pos="5700" w:val="left"/>
          <w:tab w:leader="none" w:pos="6300" w:val="left"/>
          <w:tab w:leader="none" w:pos="6980" w:val="left"/>
          <w:tab w:leader="none" w:pos="7560" w:val="left"/>
          <w:tab w:leader="none" w:pos="8260" w:val="left"/>
          <w:tab w:leader="none" w:pos="9160" w:val="left"/>
          <w:tab w:leader="none" w:pos="9520" w:val="left"/>
          <w:tab w:leader="none" w:pos="10000" w:val="left"/>
        </w:tabs>
        <w:rPr>
          <w:sz w:val="20"/>
          <w:szCs w:val="20"/>
          <w:color w:val="auto"/>
        </w:rPr>
      </w:pPr>
      <w:r>
        <w:rPr>
          <w:rFonts w:ascii="Arial" w:cs="Arial" w:eastAsia="Arial" w:hAnsi="Arial"/>
          <w:sz w:val="14"/>
          <w:szCs w:val="14"/>
          <w:color w:val="auto"/>
        </w:rPr>
        <w:t>Total loan portfolio</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7,475,802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118,951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140,819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7,735,572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55245</wp:posOffset>
            </wp:positionV>
            <wp:extent cx="400494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04945" cy="26035"/>
                    </a:xfrm>
                    <a:prstGeom prst="rect">
                      <a:avLst/>
                    </a:prstGeom>
                    <a:noFill/>
                  </pic:spPr>
                </pic:pic>
              </a:graphicData>
            </a:graphic>
          </wp:anchor>
        </w:drawing>
      </w:r>
    </w:p>
    <w:p>
      <w:pPr>
        <w:sectPr>
          <w:pgSz w:w="11900" w:h="16838" w:orient="portrait"/>
          <w:cols w:equalWidth="0" w:num="1">
            <w:col w:w="10580"/>
          </w:cols>
          <w:pgMar w:left="600" w:top="121" w:right="719" w:bottom="1440" w:gutter="0" w:footer="0" w:header="0"/>
        </w:sect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580"/>
          </w:cols>
          <w:pgMar w:left="600" w:top="121" w:right="71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are summarized as follows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1600" w:type="dxa"/>
            <w:vAlign w:val="bottom"/>
          </w:tcPr>
          <w:p>
            <w:pPr>
              <w:spacing w:after="0"/>
              <w:rPr>
                <w:sz w:val="20"/>
                <w:szCs w:val="20"/>
                <w:color w:val="auto"/>
              </w:rPr>
            </w:pPr>
          </w:p>
        </w:tc>
      </w:tr>
      <w:tr>
        <w:trPr>
          <w:trHeight w:val="27"/>
        </w:trPr>
        <w:tc>
          <w:tcPr>
            <w:tcW w:w="578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F0FFFF"/>
            </w:tcBorders>
          </w:tcPr>
          <w:p>
            <w:pPr>
              <w:spacing w:after="0"/>
              <w:rPr>
                <w:sz w:val="2"/>
                <w:szCs w:val="2"/>
                <w:color w:val="auto"/>
              </w:rPr>
            </w:pPr>
          </w:p>
        </w:tc>
      </w:tr>
      <w:tr>
        <w:trPr>
          <w:trHeight w:val="244"/>
        </w:trPr>
        <w:tc>
          <w:tcPr>
            <w:tcW w:w="5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Land and land improvements</w:t>
            </w:r>
          </w:p>
        </w:tc>
        <w:tc>
          <w:tcPr>
            <w:tcW w:w="380" w:type="dxa"/>
            <w:vAlign w:val="bottom"/>
            <w:tcBorders>
              <w:bottom w:val="single" w:sz="8" w:color="F0FFFF"/>
            </w:tcBorders>
            <w:shd w:val="clear" w:color="auto" w:fill="F0FF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78,066</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80,335</w:t>
            </w:r>
          </w:p>
        </w:tc>
        <w:tc>
          <w:tcPr>
            <w:tcW w:w="1600" w:type="dxa"/>
            <w:vAlign w:val="bottom"/>
            <w:tcBorders>
              <w:bottom w:val="single" w:sz="8" w:color="F0FFFF"/>
            </w:tcBorders>
            <w:shd w:val="clear" w:color="auto" w:fill="F0FFFF"/>
          </w:tcPr>
          <w:p>
            <w:pPr>
              <w:spacing w:after="0"/>
              <w:rPr>
                <w:sz w:val="21"/>
                <w:szCs w:val="21"/>
                <w:color w:val="auto"/>
              </w:rPr>
            </w:pPr>
          </w:p>
        </w:tc>
      </w:tr>
      <w:tr>
        <w:trPr>
          <w:trHeight w:val="243"/>
        </w:trPr>
        <w:tc>
          <w:tcPr>
            <w:tcW w:w="5780" w:type="dxa"/>
            <w:vAlign w:val="bottom"/>
          </w:tcPr>
          <w:p>
            <w:pPr>
              <w:ind w:left="1540"/>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153,980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148,048</w:t>
            </w:r>
          </w:p>
        </w:tc>
        <w:tc>
          <w:tcPr>
            <w:tcW w:w="160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8"/>
                <w:szCs w:val="18"/>
                <w:color w:val="auto"/>
              </w:rPr>
              <w:t>Furniture and equipment</w:t>
            </w:r>
          </w:p>
        </w:tc>
        <w:tc>
          <w:tcPr>
            <w:tcW w:w="38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93,854</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82,775</w:t>
            </w:r>
          </w:p>
        </w:tc>
        <w:tc>
          <w:tcPr>
            <w:tcW w:w="1600" w:type="dxa"/>
            <w:vAlign w:val="bottom"/>
            <w:tcBorders>
              <w:bottom w:val="single" w:sz="8" w:color="F0FFFF"/>
            </w:tcBorders>
            <w:shd w:val="clear" w:color="auto" w:fill="F0FFFF"/>
          </w:tcPr>
          <w:p>
            <w:pPr>
              <w:spacing w:after="0"/>
              <w:rPr>
                <w:sz w:val="21"/>
                <w:szCs w:val="21"/>
                <w:color w:val="auto"/>
              </w:rPr>
            </w:pPr>
          </w:p>
        </w:tc>
      </w:tr>
      <w:tr>
        <w:trPr>
          <w:trHeight w:val="243"/>
        </w:trPr>
        <w:tc>
          <w:tcPr>
            <w:tcW w:w="5780" w:type="dxa"/>
            <w:vAlign w:val="bottom"/>
          </w:tcPr>
          <w:p>
            <w:pPr>
              <w:ind w:left="1540"/>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11,714</w:t>
            </w:r>
          </w:p>
        </w:tc>
        <w:tc>
          <w:tcPr>
            <w:tcW w:w="1600" w:type="dxa"/>
            <w:vAlign w:val="bottom"/>
          </w:tcPr>
          <w:p>
            <w:pPr>
              <w:spacing w:after="0"/>
              <w:rPr>
                <w:sz w:val="21"/>
                <w:szCs w:val="21"/>
                <w:color w:val="auto"/>
              </w:rPr>
            </w:pPr>
          </w:p>
        </w:tc>
      </w:tr>
      <w:tr>
        <w:trPr>
          <w:trHeight w:val="27"/>
        </w:trPr>
        <w:tc>
          <w:tcPr>
            <w:tcW w:w="578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F0FFFF"/>
            </w:tcBorders>
          </w:tcPr>
          <w:p>
            <w:pPr>
              <w:spacing w:after="0"/>
              <w:rPr>
                <w:sz w:val="2"/>
                <w:szCs w:val="2"/>
                <w:color w:val="auto"/>
              </w:rPr>
            </w:pPr>
          </w:p>
        </w:tc>
      </w:tr>
      <w:tr>
        <w:trPr>
          <w:trHeight w:val="244"/>
        </w:trPr>
        <w:tc>
          <w:tcPr>
            <w:tcW w:w="578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331,250</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322,872</w:t>
            </w:r>
          </w:p>
        </w:tc>
        <w:tc>
          <w:tcPr>
            <w:tcW w:w="1600" w:type="dxa"/>
            <w:vAlign w:val="bottom"/>
            <w:tcBorders>
              <w:bottom w:val="single" w:sz="8" w:color="F0FFFF"/>
            </w:tcBorders>
            <w:shd w:val="clear" w:color="auto" w:fill="F0FFFF"/>
          </w:tcPr>
          <w:p>
            <w:pPr>
              <w:spacing w:after="0"/>
              <w:rPr>
                <w:sz w:val="21"/>
                <w:szCs w:val="21"/>
                <w:color w:val="auto"/>
              </w:rPr>
            </w:pPr>
          </w:p>
        </w:tc>
      </w:tr>
      <w:tr>
        <w:trPr>
          <w:trHeight w:val="243"/>
        </w:trPr>
        <w:tc>
          <w:tcPr>
            <w:tcW w:w="5780" w:type="dxa"/>
            <w:vAlign w:val="bottom"/>
          </w:tcPr>
          <w:p>
            <w:pPr>
              <w:ind w:left="15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(125,110)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(114,020)</w:t>
            </w:r>
          </w:p>
        </w:tc>
        <w:tc>
          <w:tcPr>
            <w:tcW w:w="1600" w:type="dxa"/>
            <w:vAlign w:val="bottom"/>
          </w:tcPr>
          <w:p>
            <w:pPr>
              <w:spacing w:after="0"/>
              <w:rPr>
                <w:sz w:val="21"/>
                <w:szCs w:val="21"/>
                <w:color w:val="auto"/>
              </w:rPr>
            </w:pPr>
          </w:p>
        </w:tc>
      </w:tr>
      <w:tr>
        <w:trPr>
          <w:trHeight w:val="27"/>
        </w:trPr>
        <w:tc>
          <w:tcPr>
            <w:tcW w:w="578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F0FFFF"/>
            </w:tcBorders>
          </w:tcPr>
          <w:p>
            <w:pPr>
              <w:spacing w:after="0"/>
              <w:rPr>
                <w:sz w:val="2"/>
                <w:szCs w:val="2"/>
                <w:color w:val="auto"/>
              </w:rPr>
            </w:pPr>
          </w:p>
        </w:tc>
      </w:tr>
      <w:tr>
        <w:trPr>
          <w:trHeight w:val="257"/>
        </w:trPr>
        <w:tc>
          <w:tcPr>
            <w:tcW w:w="5780" w:type="dxa"/>
            <w:vAlign w:val="bottom"/>
            <w:tcBorders>
              <w:bottom w:val="single" w:sz="8" w:color="F0FFFF"/>
            </w:tcBorders>
            <w:shd w:val="clear" w:color="auto" w:fill="F0FFFF"/>
          </w:tcPr>
          <w:p>
            <w:pPr>
              <w:ind w:left="1780"/>
              <w:spacing w:after="0"/>
              <w:rPr>
                <w:sz w:val="20"/>
                <w:szCs w:val="20"/>
                <w:color w:val="auto"/>
              </w:rPr>
            </w:pPr>
            <w:r>
              <w:rPr>
                <w:rFonts w:ascii="Arial" w:cs="Arial" w:eastAsia="Arial" w:hAnsi="Arial"/>
                <w:sz w:val="18"/>
                <w:szCs w:val="18"/>
                <w:color w:val="auto"/>
              </w:rPr>
              <w:t>Premises and equipment, net</w:t>
            </w:r>
          </w:p>
        </w:tc>
        <w:tc>
          <w:tcPr>
            <w:tcW w:w="380" w:type="dxa"/>
            <w:vAlign w:val="bottom"/>
            <w:tcBorders>
              <w:bottom w:val="single" w:sz="8" w:color="auto"/>
            </w:tcBorders>
            <w:shd w:val="clear" w:color="auto" w:fill="F0FF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206,140</w:t>
            </w:r>
          </w:p>
        </w:tc>
        <w:tc>
          <w:tcPr>
            <w:tcW w:w="100" w:type="dxa"/>
            <w:vAlign w:val="bottom"/>
            <w:tcBorders>
              <w:bottom w:val="single" w:sz="8" w:color="F0FFFF"/>
            </w:tcBorders>
            <w:shd w:val="clear" w:color="auto" w:fill="F0FFFF"/>
          </w:tcPr>
          <w:p>
            <w:pPr>
              <w:spacing w:after="0"/>
              <w:rPr>
                <w:sz w:val="22"/>
                <w:szCs w:val="22"/>
                <w:color w:val="auto"/>
              </w:rPr>
            </w:pPr>
          </w:p>
        </w:tc>
        <w:tc>
          <w:tcPr>
            <w:tcW w:w="560" w:type="dxa"/>
            <w:vAlign w:val="bottom"/>
            <w:tcBorders>
              <w:bottom w:val="single" w:sz="8" w:color="auto"/>
            </w:tcBorders>
            <w:shd w:val="clear" w:color="auto" w:fill="F0FF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208,852</w:t>
            </w:r>
          </w:p>
        </w:tc>
        <w:tc>
          <w:tcPr>
            <w:tcW w:w="1600" w:type="dxa"/>
            <w:vAlign w:val="bottom"/>
            <w:tcBorders>
              <w:bottom w:val="single" w:sz="8" w:color="F0FFFF"/>
            </w:tcBorders>
            <w:shd w:val="clear" w:color="auto" w:fill="F0FFFF"/>
          </w:tcPr>
          <w:p>
            <w:pPr>
              <w:spacing w:after="0"/>
              <w:rPr>
                <w:sz w:val="22"/>
                <w:szCs w:val="22"/>
                <w:color w:val="auto"/>
              </w:rPr>
            </w:pPr>
          </w:p>
        </w:tc>
      </w:tr>
      <w:tr>
        <w:trPr>
          <w:trHeight w:val="20"/>
        </w:trPr>
        <w:tc>
          <w:tcPr>
            <w:tcW w:w="5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$14.2 million, $12.0 million and $11.5 million for 2018, 2017 and 2016, respectively.</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United leases certain branch properties and equipment under operating leases. Rent expense was $4.70 million, $4.32 million and $4.13 million for 2018, 2017 and 2016, respectively. United does not have any capital leases. As of December 31, 2018, rent commitments under operating leases, before considering renewal options that generally are present,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6120" w:type="dxa"/>
            <w:vAlign w:val="bottom"/>
            <w:shd w:val="clear" w:color="auto" w:fill="F0FFFF"/>
          </w:tcPr>
          <w:p>
            <w:pPr>
              <w:ind w:left="3120"/>
              <w:spacing w:after="0"/>
              <w:rPr>
                <w:sz w:val="20"/>
                <w:szCs w:val="20"/>
                <w:color w:val="auto"/>
              </w:rPr>
            </w:pPr>
            <w:r>
              <w:rPr>
                <w:rFonts w:ascii="Arial" w:cs="Arial" w:eastAsia="Arial" w:hAnsi="Arial"/>
                <w:sz w:val="18"/>
                <w:szCs w:val="18"/>
                <w:color w:val="auto"/>
              </w:rPr>
              <w:t>2019</w:t>
            </w:r>
          </w:p>
        </w:tc>
        <w:tc>
          <w:tcPr>
            <w:tcW w:w="50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5,352</w:t>
            </w:r>
          </w:p>
        </w:tc>
        <w:tc>
          <w:tcPr>
            <w:tcW w:w="3100" w:type="dxa"/>
            <w:vAlign w:val="bottom"/>
            <w:shd w:val="clear" w:color="auto" w:fill="F0FFFF"/>
          </w:tcPr>
          <w:p>
            <w:pPr>
              <w:spacing w:after="0"/>
              <w:rPr>
                <w:sz w:val="23"/>
                <w:szCs w:val="23"/>
                <w:color w:val="auto"/>
              </w:rPr>
            </w:pPr>
          </w:p>
        </w:tc>
      </w:tr>
      <w:tr>
        <w:trPr>
          <w:trHeight w:val="243"/>
        </w:trPr>
        <w:tc>
          <w:tcPr>
            <w:tcW w:w="6120" w:type="dxa"/>
            <w:vAlign w:val="bottom"/>
          </w:tcPr>
          <w:p>
            <w:pPr>
              <w:ind w:left="31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5,158</w:t>
            </w:r>
          </w:p>
        </w:tc>
        <w:tc>
          <w:tcPr>
            <w:tcW w:w="31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6120" w:type="dxa"/>
            <w:vAlign w:val="bottom"/>
            <w:tcBorders>
              <w:bottom w:val="single" w:sz="8" w:color="F0FFFF"/>
            </w:tcBorders>
            <w:shd w:val="clear" w:color="auto" w:fill="F0FFFF"/>
          </w:tcPr>
          <w:p>
            <w:pPr>
              <w:ind w:left="312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4,907</w:t>
            </w:r>
          </w:p>
        </w:tc>
        <w:tc>
          <w:tcPr>
            <w:tcW w:w="3100" w:type="dxa"/>
            <w:vAlign w:val="bottom"/>
            <w:tcBorders>
              <w:bottom w:val="single" w:sz="8" w:color="F0FFFF"/>
            </w:tcBorders>
            <w:shd w:val="clear" w:color="auto" w:fill="F0FFFF"/>
          </w:tcPr>
          <w:p>
            <w:pPr>
              <w:spacing w:after="0"/>
              <w:rPr>
                <w:sz w:val="21"/>
                <w:szCs w:val="21"/>
                <w:color w:val="auto"/>
              </w:rPr>
            </w:pPr>
          </w:p>
        </w:tc>
      </w:tr>
      <w:tr>
        <w:trPr>
          <w:trHeight w:val="243"/>
        </w:trPr>
        <w:tc>
          <w:tcPr>
            <w:tcW w:w="6120" w:type="dxa"/>
            <w:vAlign w:val="bottom"/>
          </w:tcPr>
          <w:p>
            <w:pPr>
              <w:ind w:left="31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4,483</w:t>
            </w:r>
          </w:p>
        </w:tc>
        <w:tc>
          <w:tcPr>
            <w:tcW w:w="31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6120" w:type="dxa"/>
            <w:vAlign w:val="bottom"/>
            <w:tcBorders>
              <w:bottom w:val="single" w:sz="8" w:color="F0FFFF"/>
            </w:tcBorders>
            <w:shd w:val="clear" w:color="auto" w:fill="F0FFFF"/>
          </w:tcPr>
          <w:p>
            <w:pPr>
              <w:ind w:left="312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3,907</w:t>
            </w:r>
          </w:p>
        </w:tc>
        <w:tc>
          <w:tcPr>
            <w:tcW w:w="3100" w:type="dxa"/>
            <w:vAlign w:val="bottom"/>
            <w:tcBorders>
              <w:bottom w:val="single" w:sz="8" w:color="F0FFFF"/>
            </w:tcBorders>
            <w:shd w:val="clear" w:color="auto" w:fill="F0FFFF"/>
          </w:tcPr>
          <w:p>
            <w:pPr>
              <w:spacing w:after="0"/>
              <w:rPr>
                <w:sz w:val="21"/>
                <w:szCs w:val="21"/>
                <w:color w:val="auto"/>
              </w:rPr>
            </w:pPr>
          </w:p>
        </w:tc>
      </w:tr>
      <w:tr>
        <w:trPr>
          <w:trHeight w:val="243"/>
        </w:trPr>
        <w:tc>
          <w:tcPr>
            <w:tcW w:w="6120" w:type="dxa"/>
            <w:vAlign w:val="bottom"/>
          </w:tcPr>
          <w:p>
            <w:pPr>
              <w:ind w:left="31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5,037</w:t>
            </w:r>
          </w:p>
        </w:tc>
        <w:tc>
          <w:tcPr>
            <w:tcW w:w="3100" w:type="dxa"/>
            <w:vAlign w:val="bottom"/>
          </w:tcPr>
          <w:p>
            <w:pPr>
              <w:spacing w:after="0"/>
              <w:rPr>
                <w:sz w:val="21"/>
                <w:szCs w:val="21"/>
                <w:color w:val="auto"/>
              </w:rPr>
            </w:pPr>
          </w:p>
        </w:tc>
      </w:tr>
      <w:tr>
        <w:trPr>
          <w:trHeight w:val="27"/>
        </w:trPr>
        <w:tc>
          <w:tcPr>
            <w:tcW w:w="6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00" w:type="dxa"/>
            <w:vAlign w:val="bottom"/>
            <w:tcBorders>
              <w:bottom w:val="single" w:sz="8" w:color="F0FFFF"/>
            </w:tcBorders>
          </w:tcPr>
          <w:p>
            <w:pPr>
              <w:spacing w:after="0"/>
              <w:rPr>
                <w:sz w:val="2"/>
                <w:szCs w:val="2"/>
                <w:color w:val="auto"/>
              </w:rPr>
            </w:pPr>
          </w:p>
        </w:tc>
      </w:tr>
      <w:tr>
        <w:trPr>
          <w:trHeight w:val="257"/>
        </w:trPr>
        <w:tc>
          <w:tcPr>
            <w:tcW w:w="6120" w:type="dxa"/>
            <w:vAlign w:val="bottom"/>
            <w:tcBorders>
              <w:bottom w:val="single" w:sz="8" w:color="F0FFFF"/>
            </w:tcBorders>
            <w:shd w:val="clear" w:color="auto" w:fill="F0FFFF"/>
          </w:tcPr>
          <w:p>
            <w:pPr>
              <w:ind w:left="33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F0FF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28,844</w:t>
            </w:r>
          </w:p>
        </w:tc>
        <w:tc>
          <w:tcPr>
            <w:tcW w:w="3100" w:type="dxa"/>
            <w:vAlign w:val="bottom"/>
            <w:tcBorders>
              <w:bottom w:val="single" w:sz="8" w:color="F0FFFF"/>
            </w:tcBorders>
            <w:shd w:val="clear" w:color="auto" w:fill="F0FFFF"/>
          </w:tcPr>
          <w:p>
            <w:pPr>
              <w:spacing w:after="0"/>
              <w:rPr>
                <w:sz w:val="22"/>
                <w:szCs w:val="22"/>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of goodwill and other intangible assets is summarized below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F0FFFF"/>
            </w:tcBorders>
          </w:tcPr>
          <w:p>
            <w:pPr>
              <w:spacing w:after="0"/>
              <w:rPr>
                <w:sz w:val="2"/>
                <w:szCs w:val="2"/>
                <w:color w:val="auto"/>
              </w:rPr>
            </w:pPr>
          </w:p>
        </w:tc>
        <w:tc>
          <w:tcPr>
            <w:tcW w:w="218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8"/>
                <w:szCs w:val="18"/>
                <w:color w:val="auto"/>
              </w:rPr>
              <w:t>Core deposit intangible</w:t>
            </w:r>
          </w:p>
        </w:tc>
        <w:tc>
          <w:tcPr>
            <w:tcW w:w="2460" w:type="dxa"/>
            <w:vAlign w:val="bottom"/>
            <w:tcBorders>
              <w:bottom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62,652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62,652</w:t>
            </w:r>
          </w:p>
        </w:tc>
        <w:tc>
          <w:tcPr>
            <w:tcW w:w="11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200"/>
              <w:spacing w:after="0"/>
              <w:rPr>
                <w:sz w:val="20"/>
                <w:szCs w:val="20"/>
                <w:color w:val="auto"/>
              </w:rPr>
            </w:pPr>
            <w:r>
              <w:rPr>
                <w:rFonts w:ascii="Arial" w:cs="Arial" w:eastAsia="Arial" w:hAnsi="Arial"/>
                <w:sz w:val="18"/>
                <w:szCs w:val="18"/>
                <w:color w:val="auto"/>
              </w:rPr>
              <w:t>Less: accumulated amortization</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(41,229)</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F0FFFF"/>
            </w:tcBorders>
          </w:tcPr>
          <w:p>
            <w:pPr>
              <w:spacing w:after="0"/>
              <w:rPr>
                <w:sz w:val="2"/>
                <w:szCs w:val="2"/>
                <w:color w:val="auto"/>
              </w:rPr>
            </w:pPr>
          </w:p>
        </w:tc>
        <w:tc>
          <w:tcPr>
            <w:tcW w:w="218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8"/>
                <w:szCs w:val="18"/>
                <w:color w:val="auto"/>
              </w:rPr>
              <w:t>Net core deposit intangible</w:t>
            </w:r>
          </w:p>
        </w:tc>
        <w:tc>
          <w:tcPr>
            <w:tcW w:w="218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16,511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21,423</w:t>
            </w:r>
          </w:p>
        </w:tc>
        <w:tc>
          <w:tcPr>
            <w:tcW w:w="11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460"/>
              <w:spacing w:after="0"/>
              <w:rPr>
                <w:sz w:val="20"/>
                <w:szCs w:val="20"/>
                <w:color w:val="auto"/>
              </w:rPr>
            </w:pPr>
            <w:r>
              <w:rPr>
                <w:rFonts w:ascii="Arial" w:cs="Arial" w:eastAsia="Arial" w:hAnsi="Arial"/>
                <w:sz w:val="18"/>
                <w:szCs w:val="18"/>
                <w:color w:val="auto"/>
              </w:rPr>
              <w:t>Noncompete agreement</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3,144</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8"/>
                <w:szCs w:val="18"/>
                <w:color w:val="auto"/>
              </w:rPr>
              <w:t>Less: accumulated amortization</w:t>
            </w:r>
          </w:p>
        </w:tc>
        <w:tc>
          <w:tcPr>
            <w:tcW w:w="218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(761)</w:t>
            </w:r>
          </w:p>
        </w:tc>
        <w:tc>
          <w:tcPr>
            <w:tcW w:w="1180" w:type="dxa"/>
            <w:vAlign w:val="bottom"/>
            <w:tcBorders>
              <w:bottom w:val="single" w:sz="8" w:color="F0FFFF"/>
            </w:tcBorders>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460"/>
              <w:spacing w:after="0"/>
              <w:rPr>
                <w:sz w:val="20"/>
                <w:szCs w:val="20"/>
                <w:color w:val="auto"/>
              </w:rPr>
            </w:pPr>
            <w:r>
              <w:rPr>
                <w:rFonts w:ascii="Arial" w:cs="Arial" w:eastAsia="Arial" w:hAnsi="Arial"/>
                <w:sz w:val="18"/>
                <w:szCs w:val="18"/>
                <w:color w:val="auto"/>
              </w:rPr>
              <w:t>Net noncompete agreement</w:t>
            </w:r>
          </w:p>
        </w:tc>
        <w:tc>
          <w:tcPr>
            <w:tcW w:w="2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F0FFFF"/>
            </w:tcBorders>
          </w:tcPr>
          <w:p>
            <w:pPr>
              <w:spacing w:after="0"/>
              <w:rPr>
                <w:sz w:val="2"/>
                <w:szCs w:val="2"/>
                <w:color w:val="auto"/>
              </w:rPr>
            </w:pPr>
          </w:p>
        </w:tc>
        <w:tc>
          <w:tcPr>
            <w:tcW w:w="218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8"/>
                <w:szCs w:val="18"/>
                <w:color w:val="auto"/>
              </w:rPr>
              <w:t>Total intangibles subject to amortization, net</w:t>
            </w:r>
          </w:p>
        </w:tc>
        <w:tc>
          <w:tcPr>
            <w:tcW w:w="218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16,960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23,806</w:t>
            </w:r>
          </w:p>
        </w:tc>
        <w:tc>
          <w:tcPr>
            <w:tcW w:w="11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200"/>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307,112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220,591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F0FFFF"/>
            </w:tcBorders>
          </w:tcPr>
          <w:p>
            <w:pPr>
              <w:spacing w:after="0"/>
              <w:rPr>
                <w:sz w:val="2"/>
                <w:szCs w:val="2"/>
                <w:color w:val="auto"/>
              </w:rPr>
            </w:pPr>
          </w:p>
        </w:tc>
        <w:tc>
          <w:tcPr>
            <w:tcW w:w="218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F0FFFF"/>
          </w:tcPr>
          <w:p>
            <w:pPr>
              <w:ind w:left="1200"/>
              <w:spacing w:after="0"/>
              <w:rPr>
                <w:sz w:val="20"/>
                <w:szCs w:val="20"/>
                <w:color w:val="auto"/>
              </w:rPr>
            </w:pPr>
            <w:r>
              <w:rPr>
                <w:rFonts w:ascii="Arial" w:cs="Arial" w:eastAsia="Arial" w:hAnsi="Arial"/>
                <w:sz w:val="18"/>
                <w:szCs w:val="18"/>
                <w:color w:val="auto"/>
              </w:rPr>
              <w:t>Total goodwill and other intangible assets, net</w:t>
            </w:r>
          </w:p>
        </w:tc>
        <w:tc>
          <w:tcPr>
            <w:tcW w:w="2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324,072</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244,397</w:t>
            </w:r>
          </w:p>
        </w:tc>
        <w:tc>
          <w:tcPr>
            <w:tcW w:w="11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F0FFFF"/>
            </w:tcBorders>
          </w:tcPr>
          <w:p>
            <w:pPr>
              <w:spacing w:after="0" w:line="20" w:lineRule="exact"/>
              <w:rPr>
                <w:sz w:val="1"/>
                <w:szCs w:val="1"/>
                <w:color w:val="auto"/>
              </w:rPr>
            </w:pPr>
          </w:p>
        </w:tc>
        <w:tc>
          <w:tcPr>
            <w:tcW w:w="2180" w:type="dxa"/>
            <w:vAlign w:val="bottom"/>
            <w:tcBorders>
              <w:top w:val="single" w:sz="8" w:color="F0FFFF"/>
              <w:bottom w:val="single" w:sz="8" w:color="F0FFFF"/>
            </w:tcBorders>
            <w:vMerge w:val="restart"/>
          </w:tcPr>
          <w:p>
            <w:pPr>
              <w:jc w:val="right"/>
              <w:ind w:right="1470"/>
              <w:spacing w:after="0"/>
              <w:rPr>
                <w:sz w:val="20"/>
                <w:szCs w:val="20"/>
                <w:color w:val="auto"/>
              </w:rPr>
            </w:pPr>
            <w:r>
              <w:rPr>
                <w:rFonts w:ascii="Arial" w:cs="Arial" w:eastAsia="Arial" w:hAnsi="Arial"/>
                <w:sz w:val="18"/>
                <w:szCs w:val="18"/>
                <w:color w:val="auto"/>
              </w:rPr>
              <w:t>107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is a summary of changes in the carrying amounts of goodwill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4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Goodwill, net of</w:t>
            </w:r>
          </w:p>
        </w:tc>
      </w:t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120" w:type="dxa"/>
            <w:vAlign w:val="bottom"/>
          </w:tcPr>
          <w:p>
            <w:pPr>
              <w:spacing w:after="0"/>
              <w:rPr>
                <w:sz w:val="17"/>
                <w:szCs w:val="17"/>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Accumulated</w:t>
            </w: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8"/>
                <w:szCs w:val="18"/>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Impairment Losses</w:t>
            </w:r>
          </w:p>
        </w:tc>
      </w:tr>
      <w:tr>
        <w:trPr>
          <w:trHeight w:val="33"/>
        </w:trPr>
        <w:tc>
          <w:tcPr>
            <w:tcW w:w="63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447,615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F0FFFF"/>
            </w:tcBorders>
            <w:shd w:val="clear" w:color="auto" w:fill="F0FFFF"/>
          </w:tcPr>
          <w:p>
            <w:pPr>
              <w:jc w:val="right"/>
              <w:ind w:right="13"/>
              <w:spacing w:after="0"/>
              <w:rPr>
                <w:sz w:val="20"/>
                <w:szCs w:val="20"/>
                <w:color w:val="auto"/>
              </w:rPr>
            </w:pPr>
            <w:r>
              <w:rPr>
                <w:rFonts w:ascii="Arial" w:cs="Arial" w:eastAsia="Arial" w:hAnsi="Arial"/>
                <w:sz w:val="18"/>
                <w:szCs w:val="18"/>
                <w:color w:val="auto"/>
              </w:rPr>
              <w:t>142,025</w:t>
            </w: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Acquisition of FOFN</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54,703</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Acquisition of HCSB</w:t>
            </w:r>
          </w:p>
        </w:tc>
        <w:tc>
          <w:tcPr>
            <w:tcW w:w="22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23,863</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2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1480" w:type="dxa"/>
            <w:vAlign w:val="bottom"/>
            <w:tcBorders>
              <w:bottom w:val="single" w:sz="8" w:color="F0FFFF"/>
            </w:tcBorders>
            <w:shd w:val="clear" w:color="auto" w:fill="F0FFFF"/>
          </w:tcPr>
          <w:p>
            <w:pPr>
              <w:jc w:val="right"/>
              <w:ind w:right="13"/>
              <w:spacing w:after="0"/>
              <w:rPr>
                <w:sz w:val="20"/>
                <w:szCs w:val="20"/>
                <w:color w:val="auto"/>
              </w:rPr>
            </w:pPr>
            <w:r>
              <w:rPr>
                <w:rFonts w:ascii="Arial" w:cs="Arial" w:eastAsia="Arial" w:hAnsi="Arial"/>
                <w:sz w:val="18"/>
                <w:szCs w:val="18"/>
                <w:color w:val="auto"/>
              </w:rPr>
              <w:t>23,863</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526,181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220,591</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Acquisition of NLFC</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87,379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480" w:type="dxa"/>
            <w:vAlign w:val="bottom"/>
            <w:tcBorders>
              <w:bottom w:val="single" w:sz="8" w:color="F0FFFF"/>
            </w:tcBorders>
            <w:shd w:val="clear" w:color="auto" w:fill="F0FFFF"/>
          </w:tcPr>
          <w:p>
            <w:pPr>
              <w:jc w:val="right"/>
              <w:ind w:right="13"/>
              <w:spacing w:after="0"/>
              <w:rPr>
                <w:sz w:val="20"/>
                <w:szCs w:val="20"/>
                <w:color w:val="auto"/>
              </w:rPr>
            </w:pPr>
            <w:r>
              <w:rPr>
                <w:rFonts w:ascii="Arial" w:cs="Arial" w:eastAsia="Arial" w:hAnsi="Arial"/>
                <w:sz w:val="18"/>
                <w:szCs w:val="18"/>
                <w:color w:val="auto"/>
              </w:rPr>
              <w:t>87,379</w:t>
            </w: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Measurement period adjustments - FOFN and HCSB</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63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F0FFFF"/>
          </w:tcPr>
          <w:p>
            <w:pPr>
              <w:jc w:val="right"/>
              <w:ind w:right="11"/>
              <w:spacing w:after="0"/>
              <w:rPr>
                <w:sz w:val="20"/>
                <w:szCs w:val="20"/>
                <w:color w:val="auto"/>
              </w:rPr>
            </w:pPr>
            <w:r>
              <w:rPr>
                <w:rFonts w:ascii="Arial" w:cs="Arial" w:eastAsia="Arial" w:hAnsi="Arial"/>
                <w:sz w:val="18"/>
                <w:szCs w:val="18"/>
                <w:color w:val="auto"/>
              </w:rPr>
              <w:t>612,702</w:t>
            </w: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F0FFFF"/>
          </w:tcPr>
          <w:p>
            <w:pPr>
              <w:jc w:val="right"/>
              <w:ind w:right="13"/>
              <w:spacing w:after="0"/>
              <w:rPr>
                <w:sz w:val="20"/>
                <w:szCs w:val="20"/>
                <w:color w:val="auto"/>
              </w:rPr>
            </w:pPr>
            <w:r>
              <w:rPr>
                <w:rFonts w:ascii="Arial" w:cs="Arial" w:eastAsia="Arial" w:hAnsi="Arial"/>
                <w:sz w:val="18"/>
                <w:szCs w:val="18"/>
                <w:color w:val="auto"/>
              </w:rPr>
              <w:t>307,112</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estimated aggregate amortization expense for future periods for core deposit intangibles and noncompete agreements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Year</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2780" w:type="dxa"/>
            <w:vAlign w:val="bottom"/>
            <w:tcBorders>
              <w:top w:val="single" w:sz="8" w:color="F0FFFF"/>
              <w:bottom w:val="single" w:sz="8" w:color="F0FFFF"/>
            </w:tcBorders>
            <w:shd w:val="clear" w:color="auto" w:fill="F0FFFF"/>
          </w:tcPr>
          <w:p>
            <w:pPr>
              <w:spacing w:after="0"/>
              <w:rPr>
                <w:sz w:val="22"/>
                <w:szCs w:val="22"/>
                <w:color w:val="auto"/>
              </w:rPr>
            </w:pPr>
          </w:p>
        </w:tc>
        <w:tc>
          <w:tcPr>
            <w:tcW w:w="3540" w:type="dxa"/>
            <w:vAlign w:val="bottom"/>
            <w:tcBorders>
              <w:top w:val="single" w:sz="8" w:color="auto"/>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top w:val="single" w:sz="8" w:color="F0FFFF"/>
              <w:bottom w:val="single" w:sz="8" w:color="F0FFFF"/>
            </w:tcBorders>
            <w:shd w:val="clear" w:color="auto" w:fill="F0FF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F0FFFF"/>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4,551</w:t>
            </w:r>
          </w:p>
        </w:tc>
        <w:tc>
          <w:tcPr>
            <w:tcW w:w="2880" w:type="dxa"/>
            <w:vAlign w:val="bottom"/>
            <w:tcBorders>
              <w:top w:val="single" w:sz="8" w:color="F0FFFF"/>
              <w:bottom w:val="single" w:sz="8" w:color="F0FFFF"/>
            </w:tcBorders>
            <w:shd w:val="clear" w:color="auto" w:fill="F0FFFF"/>
          </w:tcPr>
          <w:p>
            <w:pPr>
              <w:spacing w:after="0"/>
              <w:rPr>
                <w:sz w:val="22"/>
                <w:szCs w:val="22"/>
                <w:color w:val="auto"/>
              </w:rPr>
            </w:pPr>
          </w:p>
        </w:tc>
      </w:tr>
      <w:tr>
        <w:trPr>
          <w:trHeight w:val="243"/>
        </w:trPr>
        <w:tc>
          <w:tcPr>
            <w:tcW w:w="6320" w:type="dxa"/>
            <w:vAlign w:val="bottom"/>
            <w:gridSpan w:val="2"/>
          </w:tcPr>
          <w:p>
            <w:pPr>
              <w:ind w:left="28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3,315</w:t>
            </w:r>
          </w:p>
        </w:tc>
        <w:tc>
          <w:tcPr>
            <w:tcW w:w="288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6320" w:type="dxa"/>
            <w:vAlign w:val="bottom"/>
            <w:tcBorders>
              <w:bottom w:val="single" w:sz="8" w:color="F0FFFF"/>
            </w:tcBorders>
            <w:gridSpan w:val="2"/>
            <w:shd w:val="clear" w:color="auto" w:fill="F0FFFF"/>
          </w:tcPr>
          <w:p>
            <w:pPr>
              <w:ind w:left="282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2,557</w:t>
            </w:r>
          </w:p>
        </w:tc>
        <w:tc>
          <w:tcPr>
            <w:tcW w:w="2880" w:type="dxa"/>
            <w:vAlign w:val="bottom"/>
            <w:tcBorders>
              <w:bottom w:val="single" w:sz="8" w:color="F0FFFF"/>
            </w:tcBorders>
            <w:shd w:val="clear" w:color="auto" w:fill="F0FFFF"/>
          </w:tcPr>
          <w:p>
            <w:pPr>
              <w:spacing w:after="0"/>
              <w:rPr>
                <w:sz w:val="21"/>
                <w:szCs w:val="21"/>
                <w:color w:val="auto"/>
              </w:rPr>
            </w:pPr>
          </w:p>
        </w:tc>
      </w:tr>
      <w:tr>
        <w:trPr>
          <w:trHeight w:val="243"/>
        </w:trPr>
        <w:tc>
          <w:tcPr>
            <w:tcW w:w="6320" w:type="dxa"/>
            <w:vAlign w:val="bottom"/>
            <w:gridSpan w:val="2"/>
          </w:tcPr>
          <w:p>
            <w:pPr>
              <w:ind w:left="28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288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6320" w:type="dxa"/>
            <w:vAlign w:val="bottom"/>
            <w:tcBorders>
              <w:bottom w:val="single" w:sz="8" w:color="F0FFFF"/>
            </w:tcBorders>
            <w:gridSpan w:val="2"/>
            <w:shd w:val="clear" w:color="auto" w:fill="F0FFFF"/>
          </w:tcPr>
          <w:p>
            <w:pPr>
              <w:ind w:left="282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1,519</w:t>
            </w:r>
          </w:p>
        </w:tc>
        <w:tc>
          <w:tcPr>
            <w:tcW w:w="2880" w:type="dxa"/>
            <w:vAlign w:val="bottom"/>
            <w:tcBorders>
              <w:bottom w:val="single" w:sz="8" w:color="F0FFFF"/>
            </w:tcBorders>
            <w:shd w:val="clear" w:color="auto" w:fill="F0FFFF"/>
          </w:tcPr>
          <w:p>
            <w:pPr>
              <w:spacing w:after="0"/>
              <w:rPr>
                <w:sz w:val="21"/>
                <w:szCs w:val="21"/>
                <w:color w:val="auto"/>
              </w:rPr>
            </w:pPr>
          </w:p>
        </w:tc>
      </w:tr>
      <w:tr>
        <w:trPr>
          <w:trHeight w:val="243"/>
        </w:trPr>
        <w:tc>
          <w:tcPr>
            <w:tcW w:w="2780" w:type="dxa"/>
            <w:vAlign w:val="bottom"/>
          </w:tcPr>
          <w:p>
            <w:pPr>
              <w:spacing w:after="0"/>
              <w:rPr>
                <w:sz w:val="21"/>
                <w:szCs w:val="21"/>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3,036</w:t>
            </w:r>
          </w:p>
        </w:tc>
        <w:tc>
          <w:tcPr>
            <w:tcW w:w="2880" w:type="dxa"/>
            <w:vAlign w:val="bottom"/>
          </w:tcPr>
          <w:p>
            <w:pPr>
              <w:spacing w:after="0"/>
              <w:rPr>
                <w:sz w:val="21"/>
                <w:szCs w:val="21"/>
                <w:color w:val="auto"/>
              </w:rPr>
            </w:pPr>
          </w:p>
        </w:tc>
      </w:tr>
      <w:tr>
        <w:trPr>
          <w:trHeight w:val="27"/>
        </w:trPr>
        <w:tc>
          <w:tcPr>
            <w:tcW w:w="2780" w:type="dxa"/>
            <w:vAlign w:val="bottom"/>
            <w:tcBorders>
              <w:bottom w:val="single" w:sz="8" w:color="F0FFFF"/>
            </w:tcBorders>
          </w:tcPr>
          <w:p>
            <w:pPr>
              <w:spacing w:after="0"/>
              <w:rPr>
                <w:sz w:val="2"/>
                <w:szCs w:val="2"/>
                <w:color w:val="auto"/>
              </w:rPr>
            </w:pPr>
          </w:p>
        </w:tc>
        <w:tc>
          <w:tcPr>
            <w:tcW w:w="354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80" w:type="dxa"/>
            <w:vAlign w:val="bottom"/>
            <w:tcBorders>
              <w:bottom w:val="single" w:sz="8" w:color="F0FFFF"/>
            </w:tcBorders>
          </w:tcPr>
          <w:p>
            <w:pPr>
              <w:spacing w:after="0"/>
              <w:rPr>
                <w:sz w:val="2"/>
                <w:szCs w:val="2"/>
                <w:color w:val="auto"/>
              </w:rPr>
            </w:pPr>
          </w:p>
        </w:tc>
      </w:tr>
      <w:tr>
        <w:trPr>
          <w:trHeight w:val="257"/>
        </w:trPr>
        <w:tc>
          <w:tcPr>
            <w:tcW w:w="2780" w:type="dxa"/>
            <w:vAlign w:val="bottom"/>
            <w:tcBorders>
              <w:bottom w:val="single" w:sz="8" w:color="F0FFFF"/>
            </w:tcBorders>
            <w:shd w:val="clear" w:color="auto" w:fill="F0FFFF"/>
          </w:tcPr>
          <w:p>
            <w:pPr>
              <w:spacing w:after="0"/>
              <w:rPr>
                <w:sz w:val="22"/>
                <w:szCs w:val="22"/>
                <w:color w:val="auto"/>
              </w:rPr>
            </w:pPr>
          </w:p>
        </w:tc>
        <w:tc>
          <w:tcPr>
            <w:tcW w:w="3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F0FF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16,960</w:t>
            </w:r>
          </w:p>
        </w:tc>
        <w:tc>
          <w:tcPr>
            <w:tcW w:w="2880" w:type="dxa"/>
            <w:vAlign w:val="bottom"/>
            <w:tcBorders>
              <w:bottom w:val="single" w:sz="8" w:color="F0FFFF"/>
            </w:tcBorders>
            <w:shd w:val="clear" w:color="auto" w:fill="F0FFFF"/>
          </w:tcPr>
          <w:p>
            <w:pPr>
              <w:spacing w:after="0"/>
              <w:rPr>
                <w:sz w:val="22"/>
                <w:szCs w:val="22"/>
                <w:color w:val="auto"/>
              </w:rPr>
            </w:pPr>
          </w:p>
        </w:tc>
      </w:tr>
      <w:tr>
        <w:trPr>
          <w:trHeight w:val="20"/>
        </w:trPr>
        <w:tc>
          <w:tcPr>
            <w:tcW w:w="2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SBA/USDA Loans</w:t>
      </w:r>
    </w:p>
    <w:p>
      <w:pPr>
        <w:spacing w:after="0" w:line="2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 xml:space="preserve">United accounts for servicing rights for SBA/USDA loans at fair value. Changes in the balances of servicing assets and servicing liabilities are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Servicing rights for SBA/USDA loans, beginning of period</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5,752</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3,712</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shd w:val="clear" w:color="auto" w:fill="F0FFFF"/>
          </w:tcPr>
          <w:p>
            <w:pPr>
              <w:ind w:left="160"/>
              <w:spacing w:after="0"/>
              <w:rPr>
                <w:sz w:val="20"/>
                <w:szCs w:val="20"/>
                <w:color w:val="auto"/>
              </w:rPr>
            </w:pPr>
            <w:r>
              <w:rPr>
                <w:rFonts w:ascii="Arial" w:cs="Arial" w:eastAsia="Arial" w:hAnsi="Arial"/>
                <w:sz w:val="16"/>
                <w:szCs w:val="16"/>
                <w:color w:val="auto"/>
              </w:rPr>
              <w:t>Acquired servicing rights</w:t>
            </w:r>
            <w:r>
              <w:rPr>
                <w:rFonts w:ascii="Arial" w:cs="Arial" w:eastAsia="Arial" w:hAnsi="Arial"/>
                <w:sz w:val="21"/>
                <w:szCs w:val="21"/>
                <w:color w:val="auto"/>
                <w:vertAlign w:val="superscript"/>
              </w:rPr>
              <w:t>(1)</w:t>
            </w:r>
          </w:p>
        </w:tc>
        <w:tc>
          <w:tcPr>
            <w:tcW w:w="300" w:type="dxa"/>
            <w:vAlign w:val="bottom"/>
            <w:shd w:val="clear" w:color="auto" w:fill="F0FFFF"/>
          </w:tcPr>
          <w:p>
            <w:pPr>
              <w:spacing w:after="0"/>
              <w:rPr>
                <w:sz w:val="23"/>
                <w:szCs w:val="23"/>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Originated servicing rights capitalized upon sale of loans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2,723</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Subtractions: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Disposals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Changes in fair value:</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Due to change in inputs or assumptions used in the valuation model</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Servicing rights for SBA/USDA loans, end of period</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8890</wp:posOffset>
            </wp:positionV>
            <wp:extent cx="25812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ind w:left="520" w:hanging="161"/>
        <w:spacing w:after="0"/>
        <w:tabs>
          <w:tab w:leader="none" w:pos="52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Includes measurement period adjustments further discussed in Note 3.</w:t>
      </w:r>
    </w:p>
    <w:p>
      <w:pPr>
        <w:spacing w:after="0" w:line="16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portfolio of SBA/USDA loans serviced for others, which is not included in the accompanying balance sheets, was $386 million and $314 million, respectively, at December 31, 2018 and 2017. The amount of contractually specified servicing fees earned by United on these servicing rights during the years ended December 31, 2018, 2017 and 2016 was $3.44 million, $2.60 million and $1.64 million, respectively. Servicing fees and changes in fair value were included in interest revenue in the consolidated statements of income.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Rights,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 xml:space="preserve">A summary of the key characteristics, inputs, and economic assumptions used to estimate the fair value of the servicing asset for SBA/USDA loans and the sensitivity of the fair values to immediate adverse changes in those assumptions are shown in the table below as of the dates indicated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r>
      <w:tr>
        <w:trPr>
          <w:trHeight w:val="231"/>
        </w:trPr>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120" w:type="dxa"/>
            <w:vAlign w:val="bottom"/>
          </w:tcPr>
          <w:p>
            <w:pPr>
              <w:spacing w:after="0"/>
              <w:rPr>
                <w:sz w:val="20"/>
                <w:szCs w:val="20"/>
                <w:color w:val="auto"/>
              </w:rPr>
            </w:pPr>
          </w:p>
        </w:tc>
      </w:tr>
      <w:tr>
        <w:trPr>
          <w:trHeight w:val="33"/>
        </w:trPr>
        <w:tc>
          <w:tcPr>
            <w:tcW w:w="62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Borders>
              <w:bottom w:val="single" w:sz="8" w:color="F0FFFF"/>
            </w:tcBorders>
          </w:tcPr>
          <w:p>
            <w:pPr>
              <w:spacing w:after="0"/>
              <w:rPr>
                <w:sz w:val="2"/>
                <w:szCs w:val="2"/>
                <w:color w:val="auto"/>
              </w:rPr>
            </w:pPr>
          </w:p>
        </w:tc>
      </w:tr>
      <w:tr>
        <w:trPr>
          <w:trHeight w:val="23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Fair value of retained servicing assets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7,510</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7,740</w:t>
            </w:r>
          </w:p>
        </w:tc>
        <w:tc>
          <w:tcPr>
            <w:tcW w:w="2120" w:type="dxa"/>
            <w:vAlign w:val="bottom"/>
            <w:tcBorders>
              <w:bottom w:val="single" w:sz="8" w:color="F0FFFF"/>
            </w:tcBorders>
            <w:shd w:val="clear" w:color="auto" w:fill="F0FFFF"/>
          </w:tcPr>
          <w:p>
            <w:pPr>
              <w:spacing w:after="0"/>
              <w:rPr>
                <w:sz w:val="20"/>
                <w:szCs w:val="20"/>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Prepayment rate assumption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8.31%</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10% adverse change</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(236)</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20% adverse change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Discount rate</w:t>
            </w:r>
          </w:p>
        </w:tc>
        <w:tc>
          <w:tcPr>
            <w:tcW w:w="26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12.5%</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100 bps adverse change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200 bps adverse change</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(507)</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Weighted-average life (years)</w:t>
            </w: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6220" w:type="dxa"/>
            <w:vAlign w:val="bottom"/>
            <w:shd w:val="clear" w:color="auto" w:fill="F0FFFF"/>
          </w:tcPr>
          <w:p>
            <w:pPr>
              <w:ind w:left="1920"/>
              <w:spacing w:after="0"/>
              <w:rPr>
                <w:sz w:val="20"/>
                <w:szCs w:val="20"/>
                <w:color w:val="auto"/>
              </w:rPr>
            </w:pPr>
            <w:r>
              <w:rPr>
                <w:rFonts w:ascii="Arial" w:cs="Arial" w:eastAsia="Arial" w:hAnsi="Arial"/>
                <w:sz w:val="16"/>
                <w:szCs w:val="16"/>
                <w:color w:val="auto"/>
              </w:rPr>
              <w:t>Weighted-average gross margin</w:t>
            </w:r>
          </w:p>
        </w:tc>
        <w:tc>
          <w:tcPr>
            <w:tcW w:w="26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1.85%</w:t>
            </w:r>
          </w:p>
        </w:tc>
        <w:tc>
          <w:tcPr>
            <w:tcW w:w="2120" w:type="dxa"/>
            <w:vAlign w:val="bottom"/>
            <w:shd w:val="clear" w:color="auto" w:fill="F0FFFF"/>
          </w:tcPr>
          <w:p>
            <w:pPr>
              <w:spacing w:after="0"/>
              <w:rPr>
                <w:sz w:val="20"/>
                <w:szCs w:val="20"/>
                <w:color w:val="auto"/>
              </w:rPr>
            </w:pPr>
          </w:p>
        </w:tc>
      </w:tr>
      <w:tr>
        <w:trPr>
          <w:trHeight w:val="33"/>
        </w:trPr>
        <w:tc>
          <w:tcPr>
            <w:tcW w:w="62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12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Residential Mortgage Servicing Rights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Effective January 1, 2017, United elected to carry residential mortgage servicing rights at fair value. For the year ended December 31, 2016, United accounted for residential mortgage servicing rights using the amortization method. The following table summarizes the changes in residential mortgage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Amortized cost</w:t>
            </w:r>
          </w:p>
        </w:tc>
      </w:tr>
      <w:tr>
        <w:trPr>
          <w:trHeight w:val="33"/>
        </w:trPr>
        <w:tc>
          <w:tcPr>
            <w:tcW w:w="6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60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Residential mortgage servicing rights, beginning of period</w:t>
            </w:r>
          </w:p>
        </w:tc>
        <w:tc>
          <w:tcPr>
            <w:tcW w:w="360" w:type="dxa"/>
            <w:vAlign w:val="bottom"/>
            <w:tcBorders>
              <w:bottom w:val="single" w:sz="8" w:color="F0FFFF"/>
            </w:tcBorders>
            <w:shd w:val="clear" w:color="auto" w:fill="F0FF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8,262</w:t>
            </w:r>
          </w:p>
        </w:tc>
        <w:tc>
          <w:tcPr>
            <w:tcW w:w="100" w:type="dxa"/>
            <w:vAlign w:val="bottom"/>
            <w:tcBorders>
              <w:bottom w:val="single" w:sz="8" w:color="F0FFFF"/>
            </w:tcBorders>
            <w:shd w:val="clear" w:color="auto" w:fill="F0FFFF"/>
          </w:tcPr>
          <w:p>
            <w:pPr>
              <w:spacing w:after="0"/>
              <w:rPr>
                <w:sz w:val="20"/>
                <w:szCs w:val="20"/>
                <w:color w:val="auto"/>
              </w:rPr>
            </w:pPr>
          </w:p>
        </w:tc>
        <w:tc>
          <w:tcPr>
            <w:tcW w:w="440" w:type="dxa"/>
            <w:vAlign w:val="bottom"/>
            <w:tcBorders>
              <w:bottom w:val="single" w:sz="8" w:color="F0FFFF"/>
            </w:tcBorders>
            <w:shd w:val="clear" w:color="auto" w:fill="F0FF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4,372</w:t>
            </w: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3,370</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Originated servicing rights capitalized upon sale of loans</w:t>
            </w:r>
          </w:p>
        </w:tc>
        <w:tc>
          <w:tcPr>
            <w:tcW w:w="3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4,587</w:t>
            </w: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2,124</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Subtractions: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Disposals</w:t>
            </w:r>
          </w:p>
        </w:tc>
        <w:tc>
          <w:tcPr>
            <w:tcW w:w="3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Pr>
          <w:p>
            <w:pPr>
              <w:ind w:left="160"/>
              <w:spacing w:after="0"/>
              <w:rPr>
                <w:sz w:val="20"/>
                <w:szCs w:val="20"/>
                <w:color w:val="auto"/>
              </w:rPr>
            </w:pPr>
            <w:r>
              <w:rPr>
                <w:rFonts w:ascii="Arial" w:cs="Arial" w:eastAsia="Arial" w:hAnsi="Arial"/>
                <w:sz w:val="16"/>
                <w:szCs w:val="16"/>
                <w:color w:val="auto"/>
              </w:rPr>
              <w:t>Amortization</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(1,117)</w:t>
            </w:r>
          </w:p>
        </w:tc>
      </w:tr>
      <w:tr>
        <w:trPr>
          <w:trHeight w:val="33"/>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Impairment</w:t>
            </w:r>
          </w:p>
        </w:tc>
        <w:tc>
          <w:tcPr>
            <w:tcW w:w="36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Changes in fair value: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Initial election to carry at fair value on January 1, 2017</w:t>
            </w:r>
          </w:p>
        </w:tc>
        <w:tc>
          <w:tcPr>
            <w:tcW w:w="36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Pr>
          <w:p>
            <w:pPr>
              <w:ind w:left="160"/>
              <w:spacing w:after="0"/>
              <w:rPr>
                <w:sz w:val="20"/>
                <w:szCs w:val="20"/>
                <w:color w:val="auto"/>
              </w:rPr>
            </w:pPr>
            <w:r>
              <w:rPr>
                <w:rFonts w:ascii="Arial" w:cs="Arial" w:eastAsia="Arial" w:hAnsi="Arial"/>
                <w:sz w:val="16"/>
                <w:szCs w:val="16"/>
                <w:color w:val="auto"/>
              </w:rPr>
              <w:t>Due to change in inputs or assumptions used in the valuation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Residential mortgage servicing rights, end of period</w:t>
            </w:r>
          </w:p>
        </w:tc>
        <w:tc>
          <w:tcPr>
            <w:tcW w:w="36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11,877</w:t>
            </w: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auto"/>
            </w:tcBorders>
            <w:shd w:val="clear" w:color="auto" w:fill="F0FF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8,262</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4,372</w:t>
            </w: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At December 31, 2016 the estimated fair value of residential mortgage servicing rights was $5.17 million. The following table summarizes the activity in the valuation allowance for impairment of the residential mortgage servicing rights portfolio for the years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0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2560" w:type="dxa"/>
            <w:vAlign w:val="bottom"/>
          </w:tcPr>
          <w:p>
            <w:pPr>
              <w:spacing w:after="0"/>
              <w:rPr>
                <w:sz w:val="18"/>
                <w:szCs w:val="18"/>
                <w:color w:val="auto"/>
              </w:rPr>
            </w:pPr>
          </w:p>
        </w:tc>
      </w:tr>
      <w:tr>
        <w:trPr>
          <w:trHeight w:val="33"/>
        </w:trPr>
        <w:tc>
          <w:tcPr>
            <w:tcW w:w="69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60" w:type="dxa"/>
            <w:vAlign w:val="bottom"/>
            <w:tcBorders>
              <w:bottom w:val="single" w:sz="8" w:color="F0FFFF"/>
            </w:tcBorders>
          </w:tcPr>
          <w:p>
            <w:pPr>
              <w:spacing w:after="0"/>
              <w:rPr>
                <w:sz w:val="2"/>
                <w:szCs w:val="2"/>
                <w:color w:val="auto"/>
              </w:rPr>
            </w:pPr>
          </w:p>
        </w:tc>
      </w:tr>
      <w:tr>
        <w:trPr>
          <w:trHeight w:val="230"/>
        </w:trPr>
        <w:tc>
          <w:tcPr>
            <w:tcW w:w="6980" w:type="dxa"/>
            <w:vAlign w:val="bottom"/>
            <w:tcBorders>
              <w:bottom w:val="single" w:sz="8" w:color="F0FFFF"/>
            </w:tcBorders>
            <w:shd w:val="clear" w:color="auto" w:fill="F0FFFF"/>
          </w:tcPr>
          <w:p>
            <w:pPr>
              <w:ind w:left="2500"/>
              <w:spacing w:after="0"/>
              <w:rPr>
                <w:sz w:val="20"/>
                <w:szCs w:val="20"/>
                <w:color w:val="auto"/>
              </w:rPr>
            </w:pPr>
            <w:r>
              <w:rPr>
                <w:rFonts w:ascii="Arial" w:cs="Arial" w:eastAsia="Arial" w:hAnsi="Arial"/>
                <w:sz w:val="16"/>
                <w:szCs w:val="16"/>
                <w:color w:val="auto"/>
              </w:rPr>
              <w:t>Valuation allowance, beginning of period</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w:t>
            </w:r>
          </w:p>
        </w:tc>
        <w:tc>
          <w:tcPr>
            <w:tcW w:w="2560" w:type="dxa"/>
            <w:vAlign w:val="bottom"/>
            <w:tcBorders>
              <w:bottom w:val="single" w:sz="8" w:color="F0FFFF"/>
            </w:tcBorders>
            <w:shd w:val="clear" w:color="auto" w:fill="F0FFFF"/>
          </w:tcPr>
          <w:p>
            <w:pPr>
              <w:spacing w:after="0"/>
              <w:rPr>
                <w:sz w:val="20"/>
                <w:szCs w:val="20"/>
                <w:color w:val="auto"/>
              </w:rPr>
            </w:pPr>
          </w:p>
        </w:tc>
      </w:tr>
      <w:tr>
        <w:trPr>
          <w:trHeight w:val="237"/>
        </w:trPr>
        <w:tc>
          <w:tcPr>
            <w:tcW w:w="6980" w:type="dxa"/>
            <w:vAlign w:val="bottom"/>
          </w:tcPr>
          <w:p>
            <w:pPr>
              <w:ind w:left="2620"/>
              <w:spacing w:after="0"/>
              <w:rPr>
                <w:sz w:val="20"/>
                <w:szCs w:val="20"/>
                <w:color w:val="auto"/>
              </w:rPr>
            </w:pPr>
            <w:r>
              <w:rPr>
                <w:rFonts w:ascii="Arial" w:cs="Arial" w:eastAsia="Arial" w:hAnsi="Arial"/>
                <w:sz w:val="16"/>
                <w:szCs w:val="16"/>
                <w:color w:val="auto"/>
              </w:rPr>
              <w:t>Additions charged to operations, net</w:t>
            </w: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560" w:type="dxa"/>
            <w:vAlign w:val="bottom"/>
          </w:tcPr>
          <w:p>
            <w:pPr>
              <w:spacing w:after="0"/>
              <w:rPr>
                <w:sz w:val="20"/>
                <w:szCs w:val="20"/>
                <w:color w:val="auto"/>
              </w:rPr>
            </w:pPr>
          </w:p>
        </w:tc>
      </w:tr>
      <w:tr>
        <w:trPr>
          <w:trHeight w:val="33"/>
        </w:trPr>
        <w:tc>
          <w:tcPr>
            <w:tcW w:w="69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60" w:type="dxa"/>
            <w:vAlign w:val="bottom"/>
            <w:tcBorders>
              <w:bottom w:val="single" w:sz="8" w:color="F0FFFF"/>
            </w:tcBorders>
          </w:tcPr>
          <w:p>
            <w:pPr>
              <w:spacing w:after="0"/>
              <w:rPr>
                <w:sz w:val="2"/>
                <w:szCs w:val="2"/>
                <w:color w:val="auto"/>
              </w:rPr>
            </w:pPr>
          </w:p>
        </w:tc>
      </w:tr>
      <w:tr>
        <w:trPr>
          <w:trHeight w:val="244"/>
        </w:trPr>
        <w:tc>
          <w:tcPr>
            <w:tcW w:w="6980" w:type="dxa"/>
            <w:vAlign w:val="bottom"/>
            <w:tcBorders>
              <w:bottom w:val="single" w:sz="8" w:color="F0FFFF"/>
            </w:tcBorders>
            <w:shd w:val="clear" w:color="auto" w:fill="F0FFFF"/>
          </w:tcPr>
          <w:p>
            <w:pPr>
              <w:ind w:left="2500"/>
              <w:spacing w:after="0"/>
              <w:rPr>
                <w:sz w:val="20"/>
                <w:szCs w:val="20"/>
                <w:color w:val="auto"/>
              </w:rPr>
            </w:pPr>
            <w:r>
              <w:rPr>
                <w:rFonts w:ascii="Arial" w:cs="Arial" w:eastAsia="Arial" w:hAnsi="Arial"/>
                <w:sz w:val="16"/>
                <w:szCs w:val="16"/>
                <w:color w:val="auto"/>
              </w:rPr>
              <w:t>Valuation allowance, end of period</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15</w:t>
            </w:r>
          </w:p>
        </w:tc>
        <w:tc>
          <w:tcPr>
            <w:tcW w:w="2560" w:type="dxa"/>
            <w:vAlign w:val="bottom"/>
            <w:tcBorders>
              <w:bottom w:val="single" w:sz="8" w:color="F0FFFF"/>
            </w:tcBorders>
            <w:shd w:val="clear" w:color="auto" w:fill="F0FFFF"/>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portfolio of residential mortgage loans serviced for others, which is not included in the consolidated balance sheets, was $1.21 billion and $847 million, respectively, at December 31, 2018 and 2017. The amount of contractually specified servicing fees earned by United on these servicing rights during the year ended December 31, 2018, 2017 and 2016 was $2.37 million, $1.72 million and $1.03 million, respectively, which was included in interest revenue in the consolidated statements of income. In 2018 and 2017, the change in the fair value of mortgage servicing rights was included in mortgage loan and related fee income on the consolidated</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Rights, continued</w:t>
      </w:r>
    </w:p>
    <w:p>
      <w:pPr>
        <w:spacing w:after="0" w:line="200" w:lineRule="exact"/>
        <w:rPr>
          <w:sz w:val="20"/>
          <w:szCs w:val="20"/>
          <w:color w:val="auto"/>
        </w:rPr>
      </w:pPr>
    </w:p>
    <w:p>
      <w:pPr>
        <w:spacing w:after="0" w:line="27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statements of income. In 2016, impairment and amortization of servicing rights were included in mortgage loan and other related fee income in the consolidated statements of income.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servicing asset for residential mortgage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120" w:type="dxa"/>
            <w:vAlign w:val="bottom"/>
          </w:tcPr>
          <w:p>
            <w:pPr>
              <w:spacing w:after="0"/>
              <w:rPr>
                <w:sz w:val="20"/>
                <w:szCs w:val="20"/>
                <w:color w:val="auto"/>
              </w:rPr>
            </w:pPr>
          </w:p>
        </w:tc>
      </w:tr>
      <w:tr>
        <w:trPr>
          <w:trHeight w:val="33"/>
        </w:trPr>
        <w:tc>
          <w:tcPr>
            <w:tcW w:w="624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Borders>
              <w:bottom w:val="single" w:sz="8" w:color="F0FFFF"/>
            </w:tcBorders>
          </w:tcPr>
          <w:p>
            <w:pPr>
              <w:spacing w:after="0"/>
              <w:rPr>
                <w:sz w:val="2"/>
                <w:szCs w:val="2"/>
                <w:color w:val="auto"/>
              </w:rPr>
            </w:pPr>
          </w:p>
        </w:tc>
      </w:tr>
      <w:tr>
        <w:trPr>
          <w:trHeight w:val="230"/>
        </w:trPr>
        <w:tc>
          <w:tcPr>
            <w:tcW w:w="6240" w:type="dxa"/>
            <w:vAlign w:val="bottom"/>
            <w:tcBorders>
              <w:bottom w:val="single" w:sz="8" w:color="F0FFFF"/>
            </w:tcBorders>
            <w:shd w:val="clear" w:color="auto" w:fill="F0FFFF"/>
          </w:tcPr>
          <w:p>
            <w:pPr>
              <w:ind w:left="2020"/>
              <w:spacing w:after="0"/>
              <w:rPr>
                <w:sz w:val="20"/>
                <w:szCs w:val="20"/>
                <w:color w:val="auto"/>
              </w:rPr>
            </w:pPr>
            <w:r>
              <w:rPr>
                <w:rFonts w:ascii="Arial" w:cs="Arial" w:eastAsia="Arial" w:hAnsi="Arial"/>
                <w:sz w:val="16"/>
                <w:szCs w:val="16"/>
                <w:color w:val="auto"/>
              </w:rPr>
              <w:t>Fair value of retained servicing assets</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11,877</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8,262</w:t>
            </w:r>
          </w:p>
        </w:tc>
        <w:tc>
          <w:tcPr>
            <w:tcW w:w="2120" w:type="dxa"/>
            <w:vAlign w:val="bottom"/>
            <w:tcBorders>
              <w:bottom w:val="single" w:sz="8" w:color="F0FFFF"/>
            </w:tcBorders>
            <w:shd w:val="clear" w:color="auto" w:fill="F0FFFF"/>
          </w:tcPr>
          <w:p>
            <w:pPr>
              <w:spacing w:after="0"/>
              <w:rPr>
                <w:sz w:val="20"/>
                <w:szCs w:val="20"/>
                <w:color w:val="auto"/>
              </w:rPr>
            </w:pPr>
          </w:p>
        </w:tc>
      </w:tr>
      <w:tr>
        <w:trPr>
          <w:trHeight w:val="237"/>
        </w:trPr>
        <w:tc>
          <w:tcPr>
            <w:tcW w:w="6240" w:type="dxa"/>
            <w:vAlign w:val="bottom"/>
          </w:tcPr>
          <w:p>
            <w:pPr>
              <w:ind w:left="2020"/>
              <w:spacing w:after="0"/>
              <w:rPr>
                <w:sz w:val="20"/>
                <w:szCs w:val="20"/>
                <w:color w:val="auto"/>
              </w:rPr>
            </w:pPr>
            <w:r>
              <w:rPr>
                <w:rFonts w:ascii="Arial" w:cs="Arial" w:eastAsia="Arial" w:hAnsi="Arial"/>
                <w:sz w:val="16"/>
                <w:szCs w:val="16"/>
                <w:color w:val="auto"/>
              </w:rPr>
              <w:t>Prepayment rate assumption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21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40" w:type="dxa"/>
            <w:vAlign w:val="bottom"/>
            <w:tcBorders>
              <w:bottom w:val="single" w:sz="8" w:color="F0FFFF"/>
            </w:tcBorders>
            <w:shd w:val="clear" w:color="auto" w:fill="F0FFFF"/>
          </w:tcPr>
          <w:p>
            <w:pPr>
              <w:ind w:left="2020"/>
              <w:spacing w:after="0"/>
              <w:rPr>
                <w:sz w:val="20"/>
                <w:szCs w:val="20"/>
                <w:color w:val="auto"/>
              </w:rPr>
            </w:pPr>
            <w:r>
              <w:rPr>
                <w:rFonts w:ascii="Arial" w:cs="Arial" w:eastAsia="Arial" w:hAnsi="Arial"/>
                <w:sz w:val="16"/>
                <w:szCs w:val="16"/>
                <w:color w:val="auto"/>
              </w:rPr>
              <w:t>10% adverse change</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(303)</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40" w:type="dxa"/>
            <w:vAlign w:val="bottom"/>
          </w:tcPr>
          <w:p>
            <w:pPr>
              <w:ind w:left="2020"/>
              <w:spacing w:after="0"/>
              <w:rPr>
                <w:sz w:val="20"/>
                <w:szCs w:val="20"/>
                <w:color w:val="auto"/>
              </w:rPr>
            </w:pPr>
            <w:r>
              <w:rPr>
                <w:rFonts w:ascii="Arial" w:cs="Arial" w:eastAsia="Arial" w:hAnsi="Arial"/>
                <w:sz w:val="16"/>
                <w:szCs w:val="16"/>
                <w:color w:val="auto"/>
              </w:rPr>
              <w:t>20% adverse change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21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40" w:type="dxa"/>
            <w:vAlign w:val="bottom"/>
            <w:tcBorders>
              <w:bottom w:val="single" w:sz="8" w:color="F0FFFF"/>
            </w:tcBorders>
            <w:shd w:val="clear" w:color="auto" w:fill="F0FFFF"/>
          </w:tcPr>
          <w:p>
            <w:pPr>
              <w:ind w:left="2020"/>
              <w:spacing w:after="0"/>
              <w:rPr>
                <w:sz w:val="20"/>
                <w:szCs w:val="20"/>
                <w:color w:val="auto"/>
              </w:rPr>
            </w:pPr>
            <w:r>
              <w:rPr>
                <w:rFonts w:ascii="Arial" w:cs="Arial" w:eastAsia="Arial" w:hAnsi="Arial"/>
                <w:sz w:val="16"/>
                <w:szCs w:val="16"/>
                <w:color w:val="auto"/>
              </w:rPr>
              <w:t>Discount rate</w:t>
            </w: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40" w:type="dxa"/>
            <w:vAlign w:val="bottom"/>
          </w:tcPr>
          <w:p>
            <w:pPr>
              <w:ind w:left="2020"/>
              <w:spacing w:after="0"/>
              <w:rPr>
                <w:sz w:val="20"/>
                <w:szCs w:val="20"/>
                <w:color w:val="auto"/>
              </w:rPr>
            </w:pPr>
            <w:r>
              <w:rPr>
                <w:rFonts w:ascii="Arial" w:cs="Arial" w:eastAsia="Arial" w:hAnsi="Arial"/>
                <w:sz w:val="16"/>
                <w:szCs w:val="16"/>
                <w:color w:val="auto"/>
              </w:rPr>
              <w:t>100 bps adverse change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21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6240" w:type="dxa"/>
            <w:vAlign w:val="bottom"/>
            <w:shd w:val="clear" w:color="auto" w:fill="F0FFFF"/>
          </w:tcPr>
          <w:p>
            <w:pPr>
              <w:ind w:left="2020"/>
              <w:spacing w:after="0"/>
              <w:rPr>
                <w:sz w:val="20"/>
                <w:szCs w:val="20"/>
                <w:color w:val="auto"/>
              </w:rPr>
            </w:pPr>
            <w:r>
              <w:rPr>
                <w:rFonts w:ascii="Arial" w:cs="Arial" w:eastAsia="Arial" w:hAnsi="Arial"/>
                <w:sz w:val="16"/>
                <w:szCs w:val="16"/>
                <w:color w:val="auto"/>
              </w:rPr>
              <w:t>200 bps adverse change</w:t>
            </w: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(610)</w:t>
            </w:r>
          </w:p>
        </w:tc>
        <w:tc>
          <w:tcPr>
            <w:tcW w:w="2120" w:type="dxa"/>
            <w:vAlign w:val="bottom"/>
            <w:shd w:val="clear" w:color="auto" w:fill="F0FFFF"/>
          </w:tcPr>
          <w:p>
            <w:pPr>
              <w:spacing w:after="0"/>
              <w:rPr>
                <w:sz w:val="20"/>
                <w:szCs w:val="20"/>
                <w:color w:val="auto"/>
              </w:rPr>
            </w:pPr>
          </w:p>
        </w:tc>
      </w:tr>
      <w:tr>
        <w:trPr>
          <w:trHeight w:val="33"/>
        </w:trPr>
        <w:tc>
          <w:tcPr>
            <w:tcW w:w="624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12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18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xml:space="preserve">At December 31, 2018, the contractual maturities of time deposits, including brokered time deposits,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6860" w:type="dxa"/>
            <w:vAlign w:val="bottom"/>
            <w:shd w:val="clear" w:color="auto" w:fill="F0FFFF"/>
          </w:tcPr>
          <w:p>
            <w:pPr>
              <w:ind w:left="2280"/>
              <w:spacing w:after="0"/>
              <w:rPr>
                <w:sz w:val="20"/>
                <w:szCs w:val="20"/>
                <w:color w:val="auto"/>
              </w:rPr>
            </w:pPr>
            <w:r>
              <w:rPr>
                <w:rFonts w:ascii="Arial" w:cs="Arial" w:eastAsia="Arial" w:hAnsi="Arial"/>
                <w:sz w:val="18"/>
                <w:szCs w:val="18"/>
                <w:color w:val="auto"/>
              </w:rPr>
              <w:t>2019</w:t>
            </w:r>
          </w:p>
        </w:tc>
        <w:tc>
          <w:tcPr>
            <w:tcW w:w="40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1,662,307</w:t>
            </w:r>
          </w:p>
        </w:tc>
        <w:tc>
          <w:tcPr>
            <w:tcW w:w="2340" w:type="dxa"/>
            <w:vAlign w:val="bottom"/>
            <w:shd w:val="clear" w:color="auto" w:fill="F0FFFF"/>
          </w:tcPr>
          <w:p>
            <w:pPr>
              <w:spacing w:after="0"/>
              <w:rPr>
                <w:sz w:val="23"/>
                <w:szCs w:val="23"/>
                <w:color w:val="auto"/>
              </w:rPr>
            </w:pPr>
          </w:p>
        </w:tc>
      </w:tr>
      <w:tr>
        <w:trPr>
          <w:trHeight w:val="243"/>
        </w:trPr>
        <w:tc>
          <w:tcPr>
            <w:tcW w:w="6860" w:type="dxa"/>
            <w:vAlign w:val="bottom"/>
          </w:tcPr>
          <w:p>
            <w:pPr>
              <w:ind w:left="228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310,991</w:t>
            </w:r>
          </w:p>
        </w:tc>
        <w:tc>
          <w:tcPr>
            <w:tcW w:w="23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860" w:type="dxa"/>
            <w:vAlign w:val="bottom"/>
            <w:tcBorders>
              <w:bottom w:val="single" w:sz="8" w:color="F0FFFF"/>
            </w:tcBorders>
            <w:shd w:val="clear" w:color="auto" w:fill="F0FFFF"/>
          </w:tcPr>
          <w:p>
            <w:pPr>
              <w:ind w:left="228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65,134</w:t>
            </w:r>
          </w:p>
        </w:tc>
        <w:tc>
          <w:tcPr>
            <w:tcW w:w="2340" w:type="dxa"/>
            <w:vAlign w:val="bottom"/>
            <w:tcBorders>
              <w:bottom w:val="single" w:sz="8" w:color="F0FFFF"/>
            </w:tcBorders>
            <w:shd w:val="clear" w:color="auto" w:fill="F0FFFF"/>
          </w:tcPr>
          <w:p>
            <w:pPr>
              <w:spacing w:after="0"/>
              <w:rPr>
                <w:sz w:val="21"/>
                <w:szCs w:val="21"/>
                <w:color w:val="auto"/>
              </w:rPr>
            </w:pPr>
          </w:p>
        </w:tc>
      </w:tr>
      <w:tr>
        <w:trPr>
          <w:trHeight w:val="243"/>
        </w:trPr>
        <w:tc>
          <w:tcPr>
            <w:tcW w:w="6860" w:type="dxa"/>
            <w:vAlign w:val="bottom"/>
          </w:tcPr>
          <w:p>
            <w:pPr>
              <w:ind w:left="228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30,760</w:t>
            </w:r>
          </w:p>
        </w:tc>
        <w:tc>
          <w:tcPr>
            <w:tcW w:w="23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860" w:type="dxa"/>
            <w:vAlign w:val="bottom"/>
            <w:tcBorders>
              <w:bottom w:val="single" w:sz="8" w:color="F0FFFF"/>
            </w:tcBorders>
            <w:shd w:val="clear" w:color="auto" w:fill="F0FFFF"/>
          </w:tcPr>
          <w:p>
            <w:pPr>
              <w:ind w:left="228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11,092</w:t>
            </w:r>
          </w:p>
        </w:tc>
        <w:tc>
          <w:tcPr>
            <w:tcW w:w="2340" w:type="dxa"/>
            <w:vAlign w:val="bottom"/>
            <w:tcBorders>
              <w:bottom w:val="single" w:sz="8" w:color="F0FFFF"/>
            </w:tcBorders>
            <w:shd w:val="clear" w:color="auto" w:fill="F0FFFF"/>
          </w:tcPr>
          <w:p>
            <w:pPr>
              <w:spacing w:after="0"/>
              <w:rPr>
                <w:sz w:val="21"/>
                <w:szCs w:val="21"/>
                <w:color w:val="auto"/>
              </w:rPr>
            </w:pPr>
          </w:p>
        </w:tc>
      </w:tr>
      <w:tr>
        <w:trPr>
          <w:trHeight w:val="243"/>
        </w:trPr>
        <w:tc>
          <w:tcPr>
            <w:tcW w:w="6860" w:type="dxa"/>
            <w:vAlign w:val="bottom"/>
          </w:tcPr>
          <w:p>
            <w:pPr>
              <w:ind w:left="228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62,029</w:t>
            </w:r>
          </w:p>
        </w:tc>
        <w:tc>
          <w:tcPr>
            <w:tcW w:w="2340" w:type="dxa"/>
            <w:vAlign w:val="bottom"/>
          </w:tcPr>
          <w:p>
            <w:pPr>
              <w:spacing w:after="0"/>
              <w:rPr>
                <w:sz w:val="21"/>
                <w:szCs w:val="21"/>
                <w:color w:val="auto"/>
              </w:rPr>
            </w:pPr>
          </w:p>
        </w:tc>
      </w:tr>
      <w:tr>
        <w:trPr>
          <w:trHeight w:val="27"/>
        </w:trPr>
        <w:tc>
          <w:tcPr>
            <w:tcW w:w="6860" w:type="dxa"/>
            <w:vAlign w:val="bottom"/>
            <w:tcBorders>
              <w:bottom w:val="single" w:sz="8" w:color="F0FF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40" w:type="dxa"/>
            <w:vAlign w:val="bottom"/>
            <w:tcBorders>
              <w:bottom w:val="single" w:sz="8" w:color="F0FFFF"/>
            </w:tcBorders>
          </w:tcPr>
          <w:p>
            <w:pPr>
              <w:spacing w:after="0"/>
              <w:rPr>
                <w:sz w:val="2"/>
                <w:szCs w:val="2"/>
                <w:color w:val="auto"/>
              </w:rPr>
            </w:pPr>
          </w:p>
        </w:tc>
      </w:tr>
      <w:tr>
        <w:trPr>
          <w:trHeight w:val="269"/>
        </w:trPr>
        <w:tc>
          <w:tcPr>
            <w:tcW w:w="6860" w:type="dxa"/>
            <w:vAlign w:val="bottom"/>
            <w:tcBorders>
              <w:bottom w:val="single" w:sz="8" w:color="F0FFFF"/>
            </w:tcBorders>
            <w:shd w:val="clear" w:color="auto" w:fill="F0FFFF"/>
          </w:tcPr>
          <w:p>
            <w:pPr>
              <w:spacing w:after="0"/>
              <w:rPr>
                <w:sz w:val="22"/>
                <w:szCs w:val="22"/>
                <w:color w:val="auto"/>
              </w:rPr>
            </w:pPr>
          </w:p>
        </w:tc>
        <w:tc>
          <w:tcPr>
            <w:tcW w:w="400" w:type="dxa"/>
            <w:vAlign w:val="bottom"/>
            <w:tcBorders>
              <w:bottom w:val="single" w:sz="8" w:color="F0FFFF"/>
            </w:tcBorders>
            <w:shd w:val="clear" w:color="auto" w:fill="F0FF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2,142,313</w:t>
            </w:r>
          </w:p>
        </w:tc>
        <w:tc>
          <w:tcPr>
            <w:tcW w:w="2340" w:type="dxa"/>
            <w:vAlign w:val="bottom"/>
            <w:tcBorders>
              <w:bottom w:val="single" w:sz="8" w:color="F0FFFF"/>
            </w:tcBorders>
            <w:shd w:val="clear" w:color="auto" w:fill="F0FFFF"/>
          </w:tcPr>
          <w:p>
            <w:pPr>
              <w:spacing w:after="0"/>
              <w:rPr>
                <w:sz w:val="22"/>
                <w:szCs w:val="22"/>
                <w:color w:val="auto"/>
              </w:rPr>
            </w:pPr>
          </w:p>
        </w:tc>
      </w:tr>
      <w:tr>
        <w:trPr>
          <w:trHeight w:val="20"/>
        </w:trPr>
        <w:tc>
          <w:tcPr>
            <w:tcW w:w="686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2018 and 2017, time deposits (excluding brokered time deposits) that met or exceeded the FDIC insurance limit of $250,000 totaled $262 million and $205 million, respectively.</w:t>
      </w:r>
    </w:p>
    <w:p>
      <w:pPr>
        <w:spacing w:after="0" w:line="170"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At December 31, 2018 and 2017, United held $544 million and $133 million, respectively, in certificates of deposit obtained through third party brokers. The daily average balance of these brokered deposits totaled $347 million and $109 million in 2018 and 2017, respectively. The brokered certificates of deposit at December 31, 2018 had maturities ranging from 2019 through 2033 and are callable by United. United has certain market-linked brokered deposits that are considered hybrid instruments that contain embedded derivatives that have been bifurcated from the host contract leaving host instruments paying a rate of 90 day LIBOR minus a spread that, at times, has resulted in a negative yield.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Federal Home Loan Bank Advances</w:t>
      </w:r>
    </w:p>
    <w:p>
      <w:pPr>
        <w:spacing w:after="0" w:line="22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At December 31, 2018 and 2017, United had FHLB advances totaling $160 million and $505 million, respectively. At December 31, 2018, the weighted average interest rate on FHLB advances was 2.52%, compared to 1.59% as of December 31, 2017. The FHLB advances are collateralized by owner occupied and income producing commercial real estate and residential mortgage loans, investment securities and FHLB stock.</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the maturities and current rates of outstanding advances were as follows (</w:t>
      </w:r>
      <w:r>
        <w:rPr>
          <w:rFonts w:ascii="Arial" w:cs="Arial" w:eastAsia="Arial" w:hAnsi="Arial"/>
          <w:sz w:val="18"/>
          <w:szCs w:val="18"/>
          <w:i w:val="1"/>
          <w:iCs w:val="1"/>
          <w:color w:val="auto"/>
        </w:rPr>
        <w:t>in thousands):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Maturing In:</w:t>
            </w: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Amount Maturing</w:t>
            </w:r>
          </w:p>
        </w:tc>
        <w:tc>
          <w:tcPr>
            <w:tcW w:w="120" w:type="dxa"/>
            <w:vAlign w:val="bottom"/>
          </w:tcPr>
          <w:p>
            <w:pPr>
              <w:spacing w:after="0"/>
              <w:rPr>
                <w:sz w:val="20"/>
                <w:szCs w:val="20"/>
                <w:color w:val="auto"/>
              </w:rPr>
            </w:pPr>
          </w:p>
        </w:tc>
        <w:tc>
          <w:tcPr>
            <w:tcW w:w="330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2"/>
              </w:rPr>
              <w:t>Current Rate Range</w:t>
            </w:r>
          </w:p>
        </w:tc>
      </w:tr>
      <w:tr>
        <w:trPr>
          <w:trHeight w:val="27"/>
        </w:trPr>
        <w:tc>
          <w:tcPr>
            <w:tcW w:w="1660" w:type="dxa"/>
            <w:vAlign w:val="bottom"/>
            <w:tcBorders>
              <w:bottom w:val="single" w:sz="8" w:color="F0FF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80" w:type="dxa"/>
            <w:vAlign w:val="bottom"/>
            <w:tcBorders>
              <w:bottom w:val="single" w:sz="8" w:color="F0FFFF"/>
            </w:tcBorders>
          </w:tcPr>
          <w:p>
            <w:pPr>
              <w:spacing w:after="0"/>
              <w:rPr>
                <w:sz w:val="2"/>
                <w:szCs w:val="2"/>
                <w:color w:val="auto"/>
              </w:rPr>
            </w:pPr>
          </w:p>
        </w:tc>
      </w:tr>
      <w:tr>
        <w:trPr>
          <w:trHeight w:val="264"/>
        </w:trPr>
        <w:tc>
          <w:tcPr>
            <w:tcW w:w="5680" w:type="dxa"/>
            <w:vAlign w:val="bottom"/>
            <w:tcBorders>
              <w:bottom w:val="single" w:sz="8" w:color="F0FFFF"/>
            </w:tcBorders>
            <w:gridSpan w:val="2"/>
            <w:shd w:val="clear" w:color="auto" w:fill="F0FFFF"/>
          </w:tcPr>
          <w:p>
            <w:pPr>
              <w:ind w:left="168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F0FFFF"/>
            </w:tcBorders>
            <w:shd w:val="clear" w:color="auto" w:fill="F0FFFF"/>
          </w:tcPr>
          <w:p>
            <w:pPr>
              <w:spacing w:after="0"/>
              <w:rPr>
                <w:sz w:val="22"/>
                <w:szCs w:val="22"/>
                <w:color w:val="auto"/>
              </w:rPr>
            </w:pPr>
          </w:p>
        </w:tc>
        <w:tc>
          <w:tcPr>
            <w:tcW w:w="4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160,000</w:t>
            </w:r>
          </w:p>
        </w:tc>
        <w:tc>
          <w:tcPr>
            <w:tcW w:w="1740" w:type="dxa"/>
            <w:vAlign w:val="bottom"/>
            <w:tcBorders>
              <w:bottom w:val="single" w:sz="8" w:color="F0FFFF"/>
            </w:tcBorders>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2.51% - 2.53%</w:t>
            </w:r>
          </w:p>
        </w:tc>
        <w:tc>
          <w:tcPr>
            <w:tcW w:w="1680" w:type="dxa"/>
            <w:vAlign w:val="bottom"/>
            <w:tcBorders>
              <w:bottom w:val="single" w:sz="8" w:color="F0FFFF"/>
            </w:tcBorders>
            <w:shd w:val="clear" w:color="auto" w:fill="F0FFFF"/>
          </w:tcPr>
          <w:p>
            <w:pPr>
              <w:spacing w:after="0"/>
              <w:rPr>
                <w:sz w:val="22"/>
                <w:szCs w:val="22"/>
                <w:color w:val="auto"/>
              </w:rPr>
            </w:pPr>
          </w:p>
        </w:tc>
      </w:tr>
      <w:tr>
        <w:trPr>
          <w:trHeight w:val="257"/>
        </w:trPr>
        <w:tc>
          <w:tcPr>
            <w:tcW w:w="1660" w:type="dxa"/>
            <w:vAlign w:val="bottom"/>
          </w:tcPr>
          <w:p>
            <w:pPr>
              <w:spacing w:after="0"/>
              <w:rPr>
                <w:sz w:val="22"/>
                <w:szCs w:val="22"/>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1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4"/>
            <w:vMerge w:val="restart"/>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Stated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Issue</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Earliest</w:t>
            </w:r>
          </w:p>
        </w:tc>
        <w:tc>
          <w:tcPr>
            <w:tcW w:w="3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Call Date</w:t>
            </w:r>
          </w:p>
        </w:tc>
        <w:tc>
          <w:tcPr>
            <w:tcW w:w="3200" w:type="dxa"/>
            <w:vAlign w:val="bottom"/>
          </w:tcPr>
          <w:p>
            <w:pPr>
              <w:ind w:left="116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33"/>
        </w:trPr>
        <w:tc>
          <w:tcPr>
            <w:tcW w:w="2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Obligations of the Bank and its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Subsidiaries: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NER 16-1 Class A-2 notes</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19,975</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95"/>
              </w:rPr>
              <w:t>2021</w:t>
            </w:r>
          </w:p>
        </w:tc>
        <w:tc>
          <w:tcPr>
            <w:tcW w:w="1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center"/>
              <w:ind w:right="120"/>
              <w:spacing w:after="0"/>
              <w:rPr>
                <w:sz w:val="20"/>
                <w:szCs w:val="20"/>
                <w:color w:val="auto"/>
              </w:rPr>
            </w:pPr>
            <w:r>
              <w:rPr>
                <w:rFonts w:ascii="Arial" w:cs="Arial" w:eastAsia="Arial" w:hAnsi="Arial"/>
                <w:sz w:val="16"/>
                <w:szCs w:val="16"/>
                <w:color w:val="auto"/>
                <w:w w:val="89"/>
              </w:rPr>
              <w:t>n/a</w:t>
            </w:r>
          </w:p>
        </w:tc>
        <w:tc>
          <w:tcPr>
            <w:tcW w:w="32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NER 16-1 Class B notes</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n/a</w:t>
            </w:r>
          </w:p>
        </w:tc>
        <w:tc>
          <w:tcPr>
            <w:tcW w:w="3200" w:type="dxa"/>
            <w:vAlign w:val="bottom"/>
          </w:tcPr>
          <w:p>
            <w:pPr>
              <w:ind w:lef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NER 16-1 Class C notes</w:t>
            </w:r>
          </w:p>
        </w:tc>
        <w:tc>
          <w:tcPr>
            <w:tcW w:w="180" w:type="dxa"/>
            <w:vAlign w:val="bottom"/>
            <w:tcBorders>
              <w:bottom w:val="single" w:sz="8" w:color="F0FFFF"/>
            </w:tcBorders>
            <w:shd w:val="clear" w:color="auto" w:fill="F0FFFF"/>
          </w:tcPr>
          <w:p>
            <w:pPr>
              <w:spacing w:after="0"/>
              <w:rPr>
                <w:sz w:val="21"/>
                <w:szCs w:val="21"/>
                <w:color w:val="auto"/>
              </w:rPr>
            </w:pP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6,319</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95"/>
              </w:rPr>
              <w:t>2021</w:t>
            </w:r>
          </w:p>
        </w:tc>
        <w:tc>
          <w:tcPr>
            <w:tcW w:w="1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center"/>
              <w:ind w:right="120"/>
              <w:spacing w:after="0"/>
              <w:rPr>
                <w:sz w:val="20"/>
                <w:szCs w:val="20"/>
                <w:color w:val="auto"/>
              </w:rPr>
            </w:pPr>
            <w:r>
              <w:rPr>
                <w:rFonts w:ascii="Arial" w:cs="Arial" w:eastAsia="Arial" w:hAnsi="Arial"/>
                <w:sz w:val="16"/>
                <w:szCs w:val="16"/>
                <w:color w:val="auto"/>
                <w:w w:val="89"/>
              </w:rPr>
              <w:t>n/a</w:t>
            </w:r>
          </w:p>
        </w:tc>
        <w:tc>
          <w:tcPr>
            <w:tcW w:w="32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NER 16-1 Class D notes</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2023</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n/a</w:t>
            </w:r>
          </w:p>
        </w:tc>
        <w:tc>
          <w:tcPr>
            <w:tcW w:w="3200" w:type="dxa"/>
            <w:vAlign w:val="bottom"/>
          </w:tcPr>
          <w:p>
            <w:pPr>
              <w:ind w:left="2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securitized notes payable</w:t>
            </w:r>
          </w:p>
        </w:tc>
        <w:tc>
          <w:tcPr>
            <w:tcW w:w="180" w:type="dxa"/>
            <w:vAlign w:val="bottom"/>
            <w:tcBorders>
              <w:bottom w:val="single" w:sz="8" w:color="F0FFFF"/>
            </w:tcBorders>
            <w:shd w:val="clear" w:color="auto" w:fill="F0FFFF"/>
          </w:tcPr>
          <w:p>
            <w:pPr>
              <w:spacing w:after="0"/>
              <w:rPr>
                <w:sz w:val="21"/>
                <w:szCs w:val="21"/>
                <w:color w:val="auto"/>
              </w:rPr>
            </w:pP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54,996</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w w:val="96"/>
              </w:rPr>
              <w:t>Obligations of the Holding Company:</w:t>
            </w:r>
          </w:p>
        </w:tc>
        <w:tc>
          <w:tcPr>
            <w:tcW w:w="180" w:type="dxa"/>
            <w:vAlign w:val="bottom"/>
            <w:tcBorders>
              <w:bottom w:val="single" w:sz="8" w:color="F0FFFF"/>
            </w:tcBorders>
            <w:shd w:val="clear" w:color="auto" w:fill="F0FFFF"/>
          </w:tcPr>
          <w:p>
            <w:pPr>
              <w:spacing w:after="0"/>
              <w:rPr>
                <w:sz w:val="21"/>
                <w:szCs w:val="21"/>
                <w:color w:val="auto"/>
              </w:rPr>
            </w:pPr>
          </w:p>
        </w:tc>
        <w:tc>
          <w:tcPr>
            <w:tcW w:w="7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5.000% through August 13, 2020, 3-month</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2022 senior debentures</w:t>
            </w: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50,000</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LIBOR plus 3.814% thereafter</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200" w:type="dxa"/>
            <w:vAlign w:val="bottom"/>
            <w:shd w:val="clear" w:color="auto" w:fill="F0FFFF"/>
          </w:tcPr>
          <w:p>
            <w:pPr>
              <w:ind w:left="20"/>
              <w:spacing w:after="0"/>
              <w:rPr>
                <w:sz w:val="20"/>
                <w:szCs w:val="20"/>
                <w:color w:val="auto"/>
              </w:rPr>
            </w:pPr>
            <w:r>
              <w:rPr>
                <w:rFonts w:ascii="Arial" w:cs="Arial" w:eastAsia="Arial" w:hAnsi="Arial"/>
                <w:sz w:val="16"/>
                <w:szCs w:val="16"/>
                <w:color w:val="auto"/>
              </w:rPr>
              <w:t>5.500% through August 13, 2025, 3-month</w:t>
            </w:r>
          </w:p>
        </w:tc>
        <w:tc>
          <w:tcPr>
            <w:tcW w:w="0" w:type="dxa"/>
            <w:vAlign w:val="bottom"/>
          </w:tcPr>
          <w:p>
            <w:pPr>
              <w:spacing w:after="0"/>
              <w:rPr>
                <w:sz w:val="1"/>
                <w:szCs w:val="1"/>
                <w:color w:val="auto"/>
              </w:rPr>
            </w:pPr>
          </w:p>
        </w:tc>
      </w:tr>
      <w:tr>
        <w:trPr>
          <w:trHeight w:val="239"/>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2027 senior debentures</w:t>
            </w:r>
          </w:p>
        </w:tc>
        <w:tc>
          <w:tcPr>
            <w:tcW w:w="180" w:type="dxa"/>
            <w:vAlign w:val="bottom"/>
            <w:tcBorders>
              <w:bottom w:val="single" w:sz="8" w:color="F0FFFF"/>
            </w:tcBorders>
            <w:shd w:val="clear" w:color="auto" w:fill="F0FFFF"/>
          </w:tcPr>
          <w:p>
            <w:pPr>
              <w:spacing w:after="0"/>
              <w:rPr>
                <w:sz w:val="20"/>
                <w:szCs w:val="20"/>
                <w:color w:val="auto"/>
              </w:rPr>
            </w:pP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35,000</w:t>
            </w:r>
          </w:p>
        </w:tc>
        <w:tc>
          <w:tcPr>
            <w:tcW w:w="86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2015</w:t>
            </w:r>
          </w:p>
        </w:tc>
        <w:tc>
          <w:tcPr>
            <w:tcW w:w="10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Borders>
              <w:bottom w:val="single" w:sz="8" w:color="F0FFFF"/>
            </w:tcBorders>
            <w:shd w:val="clear" w:color="auto" w:fill="F0FFFF"/>
          </w:tcPr>
          <w:p>
            <w:pPr>
              <w:spacing w:after="0"/>
              <w:rPr>
                <w:sz w:val="20"/>
                <w:szCs w:val="20"/>
                <w:color w:val="auto"/>
              </w:rPr>
            </w:pPr>
          </w:p>
        </w:tc>
        <w:tc>
          <w:tcPr>
            <w:tcW w:w="32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LIBOR plus 3.71% thereafter</w:t>
            </w:r>
          </w:p>
        </w:tc>
        <w:tc>
          <w:tcPr>
            <w:tcW w:w="0" w:type="dxa"/>
            <w:vAlign w:val="bottom"/>
          </w:tcPr>
          <w:p>
            <w:pPr>
              <w:spacing w:after="0"/>
              <w:rPr>
                <w:sz w:val="1"/>
                <w:szCs w:val="1"/>
                <w:color w:val="auto"/>
              </w:rPr>
            </w:pPr>
          </w:p>
        </w:tc>
      </w:tr>
      <w:tr>
        <w:trPr>
          <w:trHeight w:val="217"/>
        </w:trPr>
        <w:tc>
          <w:tcPr>
            <w:tcW w:w="2780" w:type="dxa"/>
            <w:vAlign w:val="bottom"/>
          </w:tcPr>
          <w:p>
            <w:pPr>
              <w:ind w:left="260"/>
              <w:spacing w:after="0"/>
              <w:rPr>
                <w:sz w:val="20"/>
                <w:szCs w:val="20"/>
                <w:color w:val="auto"/>
              </w:rPr>
            </w:pPr>
            <w:r>
              <w:rPr>
                <w:rFonts w:ascii="Arial" w:cs="Arial" w:eastAsia="Arial" w:hAnsi="Arial"/>
                <w:sz w:val="16"/>
                <w:szCs w:val="16"/>
                <w:color w:val="auto"/>
              </w:rPr>
              <w:t>Total senior debentures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20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4.500% through January 30, 2023, 3-month</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2028 subordinated debentures</w:t>
            </w: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2028</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LIBOR plus 2.12% thereafter</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2025 subordinated debentures</w:t>
            </w:r>
          </w:p>
        </w:tc>
        <w:tc>
          <w:tcPr>
            <w:tcW w:w="180" w:type="dxa"/>
            <w:vAlign w:val="bottom"/>
            <w:tcBorders>
              <w:bottom w:val="single" w:sz="8" w:color="F0FFFF"/>
            </w:tcBorders>
            <w:shd w:val="clear" w:color="auto" w:fill="F0FFFF"/>
          </w:tcPr>
          <w:p>
            <w:pPr>
              <w:spacing w:after="0"/>
              <w:rPr>
                <w:sz w:val="23"/>
                <w:szCs w:val="23"/>
                <w:color w:val="auto"/>
              </w:rPr>
            </w:pP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11,500</w:t>
            </w:r>
          </w:p>
        </w:tc>
        <w:tc>
          <w:tcPr>
            <w:tcW w:w="86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2015</w:t>
            </w:r>
          </w:p>
        </w:tc>
        <w:tc>
          <w:tcPr>
            <w:tcW w:w="10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Borders>
              <w:bottom w:val="single" w:sz="8" w:color="F0FFFF"/>
            </w:tcBorders>
            <w:shd w:val="clear" w:color="auto" w:fill="F0FFFF"/>
          </w:tcPr>
          <w:p>
            <w:pPr>
              <w:spacing w:after="0"/>
              <w:rPr>
                <w:sz w:val="23"/>
                <w:szCs w:val="23"/>
                <w:color w:val="auto"/>
              </w:rPr>
            </w:pPr>
          </w:p>
        </w:tc>
        <w:tc>
          <w:tcPr>
            <w:tcW w:w="32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17"/>
        </w:trPr>
        <w:tc>
          <w:tcPr>
            <w:tcW w:w="2780" w:type="dxa"/>
            <w:vAlign w:val="bottom"/>
          </w:tcPr>
          <w:p>
            <w:pPr>
              <w:ind w:left="260"/>
              <w:spacing w:after="0"/>
              <w:rPr>
                <w:sz w:val="20"/>
                <w:szCs w:val="20"/>
                <w:color w:val="auto"/>
              </w:rPr>
            </w:pPr>
            <w:r>
              <w:rPr>
                <w:rFonts w:ascii="Arial" w:cs="Arial" w:eastAsia="Arial" w:hAnsi="Arial"/>
                <w:sz w:val="16"/>
                <w:szCs w:val="16"/>
                <w:color w:val="auto"/>
              </w:rPr>
              <w:t>Total subordinated debentures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111,500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20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Southern Bancorp Capital Trust I</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4,382</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2034</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2009</w:t>
            </w:r>
          </w:p>
        </w:tc>
        <w:tc>
          <w:tcPr>
            <w:tcW w:w="10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Prime + 1.00%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United Community Statutory Trust III</w:t>
            </w:r>
          </w:p>
        </w:tc>
        <w:tc>
          <w:tcPr>
            <w:tcW w:w="18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1,238</w:t>
            </w:r>
          </w:p>
        </w:tc>
        <w:tc>
          <w:tcPr>
            <w:tcW w:w="86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95"/>
              </w:rPr>
              <w:t>2038</w:t>
            </w: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F0FFFF"/>
            </w:tcBorders>
            <w:shd w:val="clear" w:color="auto" w:fill="F0FFFF"/>
          </w:tcPr>
          <w:p>
            <w:pPr>
              <w:spacing w:after="0"/>
              <w:rPr>
                <w:sz w:val="21"/>
                <w:szCs w:val="21"/>
                <w:color w:val="auto"/>
              </w:rPr>
            </w:pPr>
          </w:p>
        </w:tc>
        <w:tc>
          <w:tcPr>
            <w:tcW w:w="32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Prime + 3.00%</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Tidelands Statutory Trust I</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8,248</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2036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3-month LIBOR plus 1.38%</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Tidelands Statutory Trust II</w:t>
            </w:r>
          </w:p>
        </w:tc>
        <w:tc>
          <w:tcPr>
            <w:tcW w:w="18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6,186</w:t>
            </w:r>
          </w:p>
        </w:tc>
        <w:tc>
          <w:tcPr>
            <w:tcW w:w="86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95"/>
              </w:rPr>
              <w:t>2038</w:t>
            </w: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Borders>
              <w:bottom w:val="single" w:sz="8" w:color="F0FFFF"/>
            </w:tcBorders>
            <w:shd w:val="clear" w:color="auto" w:fill="F0FFFF"/>
          </w:tcPr>
          <w:p>
            <w:pPr>
              <w:spacing w:after="0"/>
              <w:rPr>
                <w:sz w:val="21"/>
                <w:szCs w:val="21"/>
                <w:color w:val="auto"/>
              </w:rPr>
            </w:pPr>
          </w:p>
        </w:tc>
        <w:tc>
          <w:tcPr>
            <w:tcW w:w="32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3-month LIBOR plus 5.075%</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Four Oaks Statutory Trust I</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12,372</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2036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0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3-month LIBOR plus 1.35%</w:t>
            </w: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trust preferred securities</w:t>
            </w:r>
          </w:p>
        </w:tc>
        <w:tc>
          <w:tcPr>
            <w:tcW w:w="180" w:type="dxa"/>
            <w:vAlign w:val="bottom"/>
            <w:tcBorders>
              <w:bottom w:val="single" w:sz="8" w:color="F0FFFF"/>
            </w:tcBorders>
            <w:shd w:val="clear" w:color="auto" w:fill="F0FFFF"/>
          </w:tcPr>
          <w:p>
            <w:pPr>
              <w:spacing w:after="0"/>
              <w:rPr>
                <w:sz w:val="21"/>
                <w:szCs w:val="21"/>
                <w:color w:val="auto"/>
              </w:rPr>
            </w:pP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25,002</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32,426</w:t>
            </w:r>
          </w:p>
        </w:tc>
        <w:tc>
          <w:tcPr>
            <w:tcW w:w="1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260"/>
              <w:spacing w:after="0"/>
              <w:rPr>
                <w:sz w:val="20"/>
                <w:szCs w:val="20"/>
                <w:color w:val="auto"/>
              </w:rPr>
            </w:pPr>
            <w:r>
              <w:rPr>
                <w:rFonts w:ascii="Arial" w:cs="Arial" w:eastAsia="Arial" w:hAnsi="Arial"/>
                <w:sz w:val="16"/>
                <w:szCs w:val="16"/>
                <w:color w:val="auto"/>
              </w:rPr>
              <w:t>Less discount</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long-term debt</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267,189</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120,545</w:t>
            </w:r>
          </w:p>
        </w:tc>
        <w:tc>
          <w:tcPr>
            <w:tcW w:w="1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Interest is currently paid at least semiannually for all senior and subordinated debentures, securitized notes payable and trust preferred securities.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acquired, as part of the FOFN acquisition, $11.5 million aggregate principal amount of subordinated debentures. The notes are due on November 30, 2025. United may prepay the notes at any time after November 30, 2020, subject to compliance with applicable laws. In January 2018, United issued $100 million fixed to floating rate subordinated notes due January 30, 2028. The subordinated debentures qualify as Tier 2 regulatory capital.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Securitized Notes Payable</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United acquired, as part of the NLFC acquisition, NER 16-1, which is a bankruptcy-remote securitization entity whose sole purpose is to receive loans to secure financings. NER 16-1 provided financing by issuing notes to investors through a private offering of Receivable-Backed Notes under Rule 144A of the Securities and Exchange Act of 1934. These notes are collateralized by specific qualifying loans and by cash placed in restricted cash accounts. These notes will continue amortizing sequentially based on collections on the underlying loans available to pay the note holders at each monthly payment date after payment of certain amounts as specified in the securitization documents including fees to various parties to the securitizations, interest due to the note holders and certain other payments. Sequentially, each subsequent class of note holders receive principal payments until paid down in full prior to the remaining subsequent class of note holders receiving principal payments. In addition to the pay-downs on these notes, they also have legal final maturity dates as reflected in the table above.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as provided in the indentures.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37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3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32" w:hanging="332"/>
        <w:spacing w:after="0"/>
        <w:tabs>
          <w:tab w:leader="none" w:pos="3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 Out of Accumulated Other Comprehensive Income</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presents the details regarding amounts reclassified out of accumulated other comprehensive income </w:t>
      </w:r>
      <w:r>
        <w:rPr>
          <w:rFonts w:ascii="Arial" w:cs="Arial" w:eastAsia="Arial" w:hAnsi="Arial"/>
          <w:sz w:val="18"/>
          <w:szCs w:val="18"/>
          <w:i w:val="1"/>
          <w:iCs w:val="1"/>
          <w:color w:val="auto"/>
        </w:rPr>
        <w:t>(in thousands).</w:t>
      </w:r>
    </w:p>
    <w:p>
      <w:pPr>
        <w:spacing w:after="0" w:line="191" w:lineRule="exact"/>
        <w:rPr>
          <w:sz w:val="20"/>
          <w:szCs w:val="20"/>
          <w:color w:val="auto"/>
        </w:rPr>
      </w:pPr>
    </w:p>
    <w:tbl>
      <w:tblPr>
        <w:tblLayout w:type="fixed"/>
        <w:tblInd w:w="1732"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Amounts Reclassified from Accumulated Other</w:t>
            </w: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For the Years Ended</w:t>
            </w:r>
          </w:p>
        </w:tc>
        <w:tc>
          <w:tcPr>
            <w:tcW w:w="12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3"/>
          </w:tcPr>
          <w:p>
            <w:pPr>
              <w:jc w:val="center"/>
              <w:ind w:left="8"/>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3"/>
              </w:rPr>
              <w:t>Details about Accumulated Other</w:t>
            </w:r>
          </w:p>
        </w:tc>
        <w:tc>
          <w:tcPr>
            <w:tcW w:w="8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Statement Where Net Income is</w:t>
            </w:r>
          </w:p>
        </w:tc>
        <w:tc>
          <w:tcPr>
            <w:tcW w:w="0" w:type="dxa"/>
            <w:vAlign w:val="bottom"/>
          </w:tcPr>
          <w:p>
            <w:pPr>
              <w:spacing w:after="0"/>
              <w:rPr>
                <w:sz w:val="1"/>
                <w:szCs w:val="1"/>
                <w:color w:val="auto"/>
              </w:rPr>
            </w:pPr>
          </w:p>
        </w:tc>
      </w:tr>
      <w:tr>
        <w:trPr>
          <w:trHeight w:val="65"/>
        </w:trPr>
        <w:tc>
          <w:tcPr>
            <w:tcW w:w="2700" w:type="dxa"/>
            <w:vAlign w:val="bottom"/>
            <w:vMerge w:val="continue"/>
          </w:tcPr>
          <w:p>
            <w:pPr>
              <w:spacing w:after="0"/>
              <w:rPr>
                <w:sz w:val="5"/>
                <w:szCs w:val="5"/>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Comprehensive Income Components</w:t>
            </w:r>
          </w:p>
        </w:tc>
        <w:tc>
          <w:tcPr>
            <w:tcW w:w="8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Presented</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752"/>
        <w:spacing w:after="0"/>
        <w:rPr>
          <w:sz w:val="20"/>
          <w:szCs w:val="20"/>
          <w:color w:val="auto"/>
        </w:rPr>
      </w:pPr>
      <w:r>
        <w:rPr>
          <w:rFonts w:ascii="Arial" w:cs="Arial" w:eastAsia="Arial" w:hAnsi="Arial"/>
          <w:sz w:val="14"/>
          <w:szCs w:val="14"/>
          <w:color w:val="auto"/>
        </w:rPr>
        <w:t>Realized (losses) gains on available-for-sale securities:</w:t>
      </w:r>
    </w:p>
    <w:p>
      <w:pPr>
        <w:spacing w:after="0" w:line="41" w:lineRule="exact"/>
        <w:rPr>
          <w:sz w:val="20"/>
          <w:szCs w:val="20"/>
          <w:color w:val="auto"/>
        </w:rPr>
      </w:pPr>
    </w:p>
    <w:tbl>
      <w:tblPr>
        <w:tblLayout w:type="fixed"/>
        <w:tblInd w:w="332" w:type="dxa"/>
        <w:tblCellMar>
          <w:top w:w="0" w:type="dxa"/>
          <w:left w:w="0" w:type="dxa"/>
          <w:bottom w:w="0" w:type="dxa"/>
          <w:right w:w="0" w:type="dxa"/>
        </w:tblCellMar>
      </w:tblPr>
      <w:tr>
        <w:trPr>
          <w:trHeight w:val="262"/>
        </w:trPr>
        <w:tc>
          <w:tcPr>
            <w:tcW w:w="410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F0FFFF"/>
          </w:tcPr>
          <w:p>
            <w:pPr>
              <w:spacing w:after="0"/>
              <w:rPr>
                <w:sz w:val="22"/>
                <w:szCs w:val="22"/>
                <w:color w:val="auto"/>
              </w:rPr>
            </w:pPr>
          </w:p>
        </w:tc>
        <w:tc>
          <w:tcPr>
            <w:tcW w:w="3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F0FFFF"/>
          </w:tcPr>
          <w:p>
            <w:pPr>
              <w:spacing w:after="0"/>
              <w:rPr>
                <w:sz w:val="22"/>
                <w:szCs w:val="22"/>
                <w:color w:val="auto"/>
              </w:rPr>
            </w:pP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982</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Securities (losses) gains, net</w:t>
            </w:r>
          </w:p>
        </w:tc>
      </w:tr>
      <w:tr>
        <w:trPr>
          <w:trHeight w:val="264"/>
        </w:trPr>
        <w:tc>
          <w:tcPr>
            <w:tcW w:w="4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F0FF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F0FF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3640" w:type="dxa"/>
            <w:vAlign w:val="bottom"/>
            <w:tcBorders>
              <w:bottom w:val="single" w:sz="8" w:color="F0FFFF"/>
            </w:tcBorders>
          </w:tcPr>
          <w:p>
            <w:pPr>
              <w:ind w:left="140"/>
              <w:spacing w:after="0"/>
              <w:rPr>
                <w:sz w:val="20"/>
                <w:szCs w:val="20"/>
                <w:color w:val="auto"/>
              </w:rPr>
            </w:pPr>
            <w:r>
              <w:rPr>
                <w:rFonts w:ascii="Arial" w:cs="Arial" w:eastAsia="Arial" w:hAnsi="Arial"/>
                <w:sz w:val="14"/>
                <w:szCs w:val="14"/>
                <w:color w:val="auto"/>
              </w:rPr>
              <w:t>Tax benefit (expense)</w:t>
            </w:r>
          </w:p>
        </w:tc>
      </w:tr>
      <w:tr>
        <w:trPr>
          <w:trHeight w:val="243"/>
        </w:trPr>
        <w:tc>
          <w:tcPr>
            <w:tcW w:w="4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auto"/>
            </w:tcBorders>
            <w:shd w:val="clear" w:color="auto" w:fill="F0FFFF"/>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611</w:t>
            </w:r>
          </w:p>
        </w:tc>
        <w:tc>
          <w:tcPr>
            <w:tcW w:w="36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rPr>
              <w:t>Net of tax</w:t>
            </w:r>
          </w:p>
        </w:tc>
      </w:tr>
      <w:tr>
        <w:trPr>
          <w:trHeight w:val="20"/>
        </w:trPr>
        <w:tc>
          <w:tcPr>
            <w:tcW w:w="49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24"/>
        </w:trPr>
        <w:tc>
          <w:tcPr>
            <w:tcW w:w="4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40" w:type="dxa"/>
            <w:vAlign w:val="bottom"/>
          </w:tcPr>
          <w:p>
            <w:pPr>
              <w:spacing w:after="0"/>
              <w:rPr>
                <w:sz w:val="19"/>
                <w:szCs w:val="19"/>
                <w:color w:val="auto"/>
              </w:rPr>
            </w:pPr>
          </w:p>
        </w:tc>
      </w:tr>
      <w:tr>
        <w:trPr>
          <w:trHeight w:val="157"/>
        </w:trPr>
        <w:tc>
          <w:tcPr>
            <w:tcW w:w="6020" w:type="dxa"/>
            <w:vAlign w:val="bottom"/>
            <w:gridSpan w:val="7"/>
            <w:shd w:val="clear" w:color="auto" w:fill="F0FFFF"/>
          </w:tcPr>
          <w:p>
            <w:pPr>
              <w:ind w:left="1420"/>
              <w:spacing w:after="0" w:line="157" w:lineRule="exact"/>
              <w:rPr>
                <w:sz w:val="20"/>
                <w:szCs w:val="20"/>
                <w:color w:val="auto"/>
              </w:rPr>
            </w:pPr>
            <w:r>
              <w:rPr>
                <w:rFonts w:ascii="Arial" w:cs="Arial" w:eastAsia="Arial" w:hAnsi="Arial"/>
                <w:sz w:val="14"/>
                <w:szCs w:val="14"/>
                <w:color w:val="auto"/>
                <w:w w:val="96"/>
              </w:rPr>
              <w:t>Amortization of losses included in net income on available-for-sale securities</w:t>
            </w:r>
          </w:p>
        </w:tc>
        <w:tc>
          <w:tcPr>
            <w:tcW w:w="3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3640" w:type="dxa"/>
            <w:vAlign w:val="bottom"/>
            <w:shd w:val="clear" w:color="auto" w:fill="F0FFFF"/>
          </w:tcPr>
          <w:p>
            <w:pPr>
              <w:spacing w:after="0"/>
              <w:rPr>
                <w:sz w:val="13"/>
                <w:szCs w:val="13"/>
                <w:color w:val="auto"/>
              </w:rPr>
            </w:pPr>
          </w:p>
        </w:tc>
      </w:tr>
      <w:tr>
        <w:trPr>
          <w:trHeight w:val="194"/>
        </w:trPr>
        <w:tc>
          <w:tcPr>
            <w:tcW w:w="4100" w:type="dxa"/>
            <w:vAlign w:val="bottom"/>
            <w:shd w:val="clear" w:color="auto" w:fill="F0FFFF"/>
          </w:tcPr>
          <w:p>
            <w:pPr>
              <w:ind w:left="1420"/>
              <w:spacing w:after="0"/>
              <w:rPr>
                <w:sz w:val="20"/>
                <w:szCs w:val="20"/>
                <w:color w:val="auto"/>
              </w:rPr>
            </w:pPr>
            <w:r>
              <w:rPr>
                <w:rFonts w:ascii="Arial" w:cs="Arial" w:eastAsia="Arial" w:hAnsi="Arial"/>
                <w:sz w:val="14"/>
                <w:szCs w:val="14"/>
                <w:color w:val="auto"/>
              </w:rPr>
              <w:t>transferred to held to maturity:</w:t>
            </w:r>
          </w:p>
        </w:tc>
        <w:tc>
          <w:tcPr>
            <w:tcW w:w="24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4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4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3640" w:type="dxa"/>
            <w:vAlign w:val="bottom"/>
            <w:shd w:val="clear" w:color="auto" w:fill="F0FFFF"/>
          </w:tcPr>
          <w:p>
            <w:pPr>
              <w:spacing w:after="0"/>
              <w:rPr>
                <w:sz w:val="16"/>
                <w:szCs w:val="16"/>
                <w:color w:val="auto"/>
              </w:rPr>
            </w:pPr>
          </w:p>
        </w:tc>
      </w:tr>
      <w:tr>
        <w:trPr>
          <w:trHeight w:val="157"/>
        </w:trPr>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tcPr>
          <w:p>
            <w:pPr>
              <w:ind w:left="140"/>
              <w:spacing w:after="0" w:line="157" w:lineRule="exact"/>
              <w:rPr>
                <w:sz w:val="20"/>
                <w:szCs w:val="20"/>
                <w:color w:val="auto"/>
              </w:rPr>
            </w:pPr>
            <w:r>
              <w:rPr>
                <w:rFonts w:ascii="Arial" w:cs="Arial" w:eastAsia="Arial" w:hAnsi="Arial"/>
                <w:sz w:val="14"/>
                <w:szCs w:val="14"/>
                <w:color w:val="auto"/>
              </w:rPr>
              <w:t>Investment securities interest</w:t>
            </w:r>
          </w:p>
        </w:tc>
      </w:tr>
      <w:tr>
        <w:trPr>
          <w:trHeight w:val="188"/>
        </w:trPr>
        <w:tc>
          <w:tcPr>
            <w:tcW w:w="4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0"/>
              </w:rPr>
              <w:t>(1,069)</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(1,759)</w:t>
            </w:r>
          </w:p>
        </w:tc>
        <w:tc>
          <w:tcPr>
            <w:tcW w:w="3640" w:type="dxa"/>
            <w:vAlign w:val="bottom"/>
          </w:tcPr>
          <w:p>
            <w:pPr>
              <w:ind w:left="140"/>
              <w:spacing w:after="0"/>
              <w:rPr>
                <w:sz w:val="20"/>
                <w:szCs w:val="20"/>
                <w:color w:val="auto"/>
              </w:rPr>
            </w:pPr>
            <w:r>
              <w:rPr>
                <w:rFonts w:ascii="Arial" w:cs="Arial" w:eastAsia="Arial" w:hAnsi="Arial"/>
                <w:sz w:val="14"/>
                <w:szCs w:val="14"/>
                <w:color w:val="auto"/>
              </w:rPr>
              <w:t>revenue</w:t>
            </w:r>
          </w:p>
        </w:tc>
      </w:tr>
      <w:tr>
        <w:trPr>
          <w:trHeight w:val="270"/>
        </w:trPr>
        <w:tc>
          <w:tcPr>
            <w:tcW w:w="4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F0FFFF"/>
          </w:tcPr>
          <w:p>
            <w:pPr>
              <w:spacing w:after="0"/>
              <w:rPr>
                <w:sz w:val="23"/>
                <w:szCs w:val="23"/>
                <w:color w:val="auto"/>
              </w:rPr>
            </w:pPr>
          </w:p>
        </w:tc>
        <w:tc>
          <w:tcPr>
            <w:tcW w:w="360" w:type="dxa"/>
            <w:vAlign w:val="bottom"/>
            <w:tcBorders>
              <w:bottom w:val="single" w:sz="8" w:color="auto"/>
            </w:tcBorders>
            <w:shd w:val="clear" w:color="auto" w:fill="F0FFFF"/>
          </w:tcPr>
          <w:p>
            <w:pPr>
              <w:spacing w:after="0"/>
              <w:rPr>
                <w:sz w:val="23"/>
                <w:szCs w:val="23"/>
                <w:color w:val="auto"/>
              </w:rPr>
            </w:pPr>
          </w:p>
        </w:tc>
        <w:tc>
          <w:tcPr>
            <w:tcW w:w="4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F0FFFF"/>
          </w:tcPr>
          <w:p>
            <w:pPr>
              <w:spacing w:after="0"/>
              <w:rPr>
                <w:sz w:val="23"/>
                <w:szCs w:val="23"/>
                <w:color w:val="auto"/>
              </w:rPr>
            </w:pPr>
          </w:p>
        </w:tc>
        <w:tc>
          <w:tcPr>
            <w:tcW w:w="3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662</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Tax benefit</w:t>
            </w:r>
          </w:p>
        </w:tc>
      </w:tr>
      <w:tr>
        <w:trPr>
          <w:trHeight w:val="283"/>
        </w:trPr>
        <w:tc>
          <w:tcPr>
            <w:tcW w:w="4100" w:type="dxa"/>
            <w:vAlign w:val="bottom"/>
            <w:tcBorders>
              <w:bottom w:val="single" w:sz="8" w:color="F0FF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Borders>
              <w:bottom w:val="single" w:sz="8" w:color="F0FFFF"/>
            </w:tcBorders>
          </w:tcPr>
          <w:p>
            <w:pPr>
              <w:spacing w:after="0"/>
              <w:rPr>
                <w:sz w:val="24"/>
                <w:szCs w:val="2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Borders>
              <w:bottom w:val="single" w:sz="8" w:color="F0FF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3640" w:type="dxa"/>
            <w:vAlign w:val="bottom"/>
            <w:tcBorders>
              <w:bottom w:val="single" w:sz="8" w:color="F0FFFF"/>
            </w:tcBorders>
          </w:tcPr>
          <w:p>
            <w:pPr>
              <w:ind w:left="140"/>
              <w:spacing w:after="0"/>
              <w:rPr>
                <w:sz w:val="20"/>
                <w:szCs w:val="20"/>
                <w:color w:val="auto"/>
              </w:rPr>
            </w:pPr>
            <w:r>
              <w:rPr>
                <w:rFonts w:ascii="Arial" w:cs="Arial" w:eastAsia="Arial" w:hAnsi="Arial"/>
                <w:sz w:val="14"/>
                <w:szCs w:val="14"/>
                <w:color w:val="auto"/>
              </w:rPr>
              <w:t>Net of tax</w:t>
            </w:r>
          </w:p>
        </w:tc>
      </w:tr>
      <w:tr>
        <w:trPr>
          <w:trHeight w:val="224"/>
        </w:trPr>
        <w:tc>
          <w:tcPr>
            <w:tcW w:w="4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6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3640" w:type="dxa"/>
            <w:vAlign w:val="bottom"/>
            <w:shd w:val="clear" w:color="auto" w:fill="F0FFFF"/>
          </w:tcPr>
          <w:p>
            <w:pPr>
              <w:spacing w:after="0"/>
              <w:rPr>
                <w:sz w:val="19"/>
                <w:szCs w:val="19"/>
                <w:color w:val="auto"/>
              </w:rPr>
            </w:pPr>
          </w:p>
        </w:tc>
      </w:tr>
      <w:tr>
        <w:trPr>
          <w:trHeight w:val="157"/>
        </w:trPr>
        <w:tc>
          <w:tcPr>
            <w:tcW w:w="5440" w:type="dxa"/>
            <w:vAlign w:val="bottom"/>
            <w:gridSpan w:val="5"/>
          </w:tcPr>
          <w:p>
            <w:pPr>
              <w:ind w:left="1420"/>
              <w:spacing w:after="0" w:line="157" w:lineRule="exact"/>
              <w:rPr>
                <w:sz w:val="20"/>
                <w:szCs w:val="20"/>
                <w:color w:val="auto"/>
              </w:rPr>
            </w:pPr>
            <w:r>
              <w:rPr>
                <w:rFonts w:ascii="Arial" w:cs="Arial" w:eastAsia="Arial" w:hAnsi="Arial"/>
                <w:sz w:val="14"/>
                <w:szCs w:val="14"/>
                <w:color w:val="auto"/>
                <w:w w:val="96"/>
              </w:rPr>
              <w:t>Amounts included in net income on derivative financial instruments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88"/>
        </w:trPr>
        <w:tc>
          <w:tcPr>
            <w:tcW w:w="4100" w:type="dxa"/>
            <w:vAlign w:val="bottom"/>
          </w:tcPr>
          <w:p>
            <w:pPr>
              <w:ind w:left="1420"/>
              <w:spacing w:after="0"/>
              <w:rPr>
                <w:sz w:val="20"/>
                <w:szCs w:val="20"/>
                <w:color w:val="auto"/>
              </w:rPr>
            </w:pPr>
            <w:r>
              <w:rPr>
                <w:rFonts w:ascii="Arial" w:cs="Arial" w:eastAsia="Arial" w:hAnsi="Arial"/>
                <w:sz w:val="14"/>
                <w:szCs w:val="14"/>
                <w:color w:val="auto"/>
              </w:rPr>
              <w:t>accounted for as cash flow hedges:</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163"/>
        </w:trPr>
        <w:tc>
          <w:tcPr>
            <w:tcW w:w="4100" w:type="dxa"/>
            <w:vAlign w:val="bottom"/>
            <w:shd w:val="clear" w:color="auto" w:fill="F0FFFF"/>
          </w:tcPr>
          <w:p>
            <w:pPr>
              <w:ind w:left="1660"/>
              <w:spacing w:after="0"/>
              <w:rPr>
                <w:sz w:val="20"/>
                <w:szCs w:val="20"/>
                <w:color w:val="auto"/>
              </w:rPr>
            </w:pPr>
            <w:r>
              <w:rPr>
                <w:rFonts w:ascii="Arial" w:cs="Arial" w:eastAsia="Arial" w:hAnsi="Arial"/>
                <w:sz w:val="14"/>
                <w:szCs w:val="14"/>
                <w:color w:val="auto"/>
              </w:rPr>
              <w:t>Amortization of losses on de-</w:t>
            </w:r>
          </w:p>
        </w:tc>
        <w:tc>
          <w:tcPr>
            <w:tcW w:w="24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Deposits in banks and short-term</w:t>
            </w:r>
          </w:p>
        </w:tc>
      </w:tr>
      <w:tr>
        <w:trPr>
          <w:trHeight w:val="194"/>
        </w:trPr>
        <w:tc>
          <w:tcPr>
            <w:tcW w:w="4100" w:type="dxa"/>
            <w:vAlign w:val="bottom"/>
            <w:shd w:val="clear" w:color="auto" w:fill="F0FFFF"/>
          </w:tcPr>
          <w:p>
            <w:pPr>
              <w:ind w:left="1660"/>
              <w:spacing w:after="0"/>
              <w:rPr>
                <w:sz w:val="20"/>
                <w:szCs w:val="20"/>
                <w:color w:val="auto"/>
              </w:rPr>
            </w:pPr>
            <w:r>
              <w:rPr>
                <w:rFonts w:ascii="Arial" w:cs="Arial" w:eastAsia="Arial" w:hAnsi="Arial"/>
                <w:sz w:val="14"/>
                <w:szCs w:val="14"/>
                <w:color w:val="auto"/>
              </w:rPr>
              <w:t>designated positions</w:t>
            </w: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investments interest revenue</w:t>
            </w:r>
          </w:p>
        </w:tc>
      </w:tr>
      <w:tr>
        <w:trPr>
          <w:trHeight w:val="157"/>
        </w:trPr>
        <w:tc>
          <w:tcPr>
            <w:tcW w:w="4100" w:type="dxa"/>
            <w:vAlign w:val="bottom"/>
          </w:tcPr>
          <w:p>
            <w:pPr>
              <w:ind w:left="1660"/>
              <w:spacing w:after="0" w:line="157" w:lineRule="exact"/>
              <w:rPr>
                <w:sz w:val="20"/>
                <w:szCs w:val="20"/>
                <w:color w:val="auto"/>
              </w:rPr>
            </w:pPr>
            <w:r>
              <w:rPr>
                <w:rFonts w:ascii="Arial" w:cs="Arial" w:eastAsia="Arial" w:hAnsi="Arial"/>
                <w:sz w:val="14"/>
                <w:szCs w:val="14"/>
                <w:color w:val="auto"/>
              </w:rPr>
              <w:t>Amortization of losses on de-</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tcPr>
          <w:p>
            <w:pPr>
              <w:ind w:left="140"/>
              <w:spacing w:after="0" w:line="157" w:lineRule="exact"/>
              <w:rPr>
                <w:sz w:val="20"/>
                <w:szCs w:val="20"/>
                <w:color w:val="auto"/>
              </w:rPr>
            </w:pPr>
            <w:r>
              <w:rPr>
                <w:rFonts w:ascii="Arial" w:cs="Arial" w:eastAsia="Arial" w:hAnsi="Arial"/>
                <w:sz w:val="14"/>
                <w:szCs w:val="14"/>
                <w:color w:val="auto"/>
              </w:rPr>
              <w:t>Money market deposit interest</w:t>
            </w:r>
          </w:p>
        </w:tc>
      </w:tr>
      <w:tr>
        <w:trPr>
          <w:trHeight w:val="188"/>
        </w:trPr>
        <w:tc>
          <w:tcPr>
            <w:tcW w:w="4100" w:type="dxa"/>
            <w:vAlign w:val="bottom"/>
          </w:tcPr>
          <w:p>
            <w:pPr>
              <w:ind w:left="1660"/>
              <w:spacing w:after="0"/>
              <w:rPr>
                <w:sz w:val="20"/>
                <w:szCs w:val="20"/>
                <w:color w:val="auto"/>
              </w:rPr>
            </w:pPr>
            <w:r>
              <w:rPr>
                <w:rFonts w:ascii="Arial" w:cs="Arial" w:eastAsia="Arial" w:hAnsi="Arial"/>
                <w:sz w:val="14"/>
                <w:szCs w:val="14"/>
                <w:color w:val="auto"/>
              </w:rPr>
              <w:t>designated positions</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(647)</w:t>
            </w:r>
          </w:p>
        </w:tc>
        <w:tc>
          <w:tcPr>
            <w:tcW w:w="3640" w:type="dxa"/>
            <w:vAlign w:val="bottom"/>
          </w:tcPr>
          <w:p>
            <w:pPr>
              <w:ind w:left="140"/>
              <w:spacing w:after="0"/>
              <w:rPr>
                <w:sz w:val="20"/>
                <w:szCs w:val="20"/>
                <w:color w:val="auto"/>
              </w:rPr>
            </w:pPr>
            <w:r>
              <w:rPr>
                <w:rFonts w:ascii="Arial" w:cs="Arial" w:eastAsia="Arial" w:hAnsi="Arial"/>
                <w:sz w:val="14"/>
                <w:szCs w:val="14"/>
                <w:color w:val="auto"/>
              </w:rPr>
              <w:t>expense</w:t>
            </w:r>
          </w:p>
        </w:tc>
      </w:tr>
      <w:tr>
        <w:trPr>
          <w:trHeight w:val="163"/>
        </w:trPr>
        <w:tc>
          <w:tcPr>
            <w:tcW w:w="4100" w:type="dxa"/>
            <w:vAlign w:val="bottom"/>
            <w:shd w:val="clear" w:color="auto" w:fill="F0FFFF"/>
          </w:tcPr>
          <w:p>
            <w:pPr>
              <w:ind w:left="1660"/>
              <w:spacing w:after="0"/>
              <w:rPr>
                <w:sz w:val="20"/>
                <w:szCs w:val="20"/>
                <w:color w:val="auto"/>
              </w:rPr>
            </w:pPr>
            <w:r>
              <w:rPr>
                <w:rFonts w:ascii="Arial" w:cs="Arial" w:eastAsia="Arial" w:hAnsi="Arial"/>
                <w:sz w:val="14"/>
                <w:szCs w:val="14"/>
                <w:color w:val="auto"/>
              </w:rPr>
              <w:t>Amortization of losses on de-</w:t>
            </w:r>
          </w:p>
        </w:tc>
        <w:tc>
          <w:tcPr>
            <w:tcW w:w="24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Federal Home Loan Bank advances</w:t>
            </w:r>
          </w:p>
        </w:tc>
      </w:tr>
      <w:tr>
        <w:trPr>
          <w:trHeight w:val="188"/>
        </w:trPr>
        <w:tc>
          <w:tcPr>
            <w:tcW w:w="4100" w:type="dxa"/>
            <w:vAlign w:val="bottom"/>
            <w:shd w:val="clear" w:color="auto" w:fill="F0FFFF"/>
          </w:tcPr>
          <w:p>
            <w:pPr>
              <w:ind w:left="1660"/>
              <w:spacing w:after="0"/>
              <w:rPr>
                <w:sz w:val="20"/>
                <w:szCs w:val="20"/>
                <w:color w:val="auto"/>
              </w:rPr>
            </w:pPr>
            <w:r>
              <w:rPr>
                <w:rFonts w:ascii="Arial" w:cs="Arial" w:eastAsia="Arial" w:hAnsi="Arial"/>
                <w:sz w:val="14"/>
                <w:szCs w:val="14"/>
                <w:color w:val="auto"/>
              </w:rPr>
              <w:t>designated positions</w:t>
            </w:r>
          </w:p>
        </w:tc>
        <w:tc>
          <w:tcPr>
            <w:tcW w:w="240" w:type="dxa"/>
            <w:vAlign w:val="bottom"/>
            <w:shd w:val="clear" w:color="auto" w:fill="F0FFFF"/>
          </w:tcPr>
          <w:p>
            <w:pPr>
              <w:spacing w:after="0"/>
              <w:rPr>
                <w:sz w:val="16"/>
                <w:szCs w:val="16"/>
                <w:color w:val="auto"/>
              </w:rPr>
            </w:pP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6"/>
                <w:szCs w:val="16"/>
                <w:color w:val="auto"/>
              </w:rPr>
            </w:pP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F0FFFF"/>
          </w:tcPr>
          <w:p>
            <w:pPr>
              <w:spacing w:after="0"/>
              <w:rPr>
                <w:sz w:val="16"/>
                <w:szCs w:val="16"/>
                <w:color w:val="auto"/>
              </w:rPr>
            </w:pPr>
          </w:p>
        </w:tc>
        <w:tc>
          <w:tcPr>
            <w:tcW w:w="3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(1,237)</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interest expense</w:t>
            </w:r>
          </w:p>
        </w:tc>
      </w:tr>
      <w:tr>
        <w:trPr>
          <w:trHeight w:val="250"/>
        </w:trPr>
        <w:tc>
          <w:tcPr>
            <w:tcW w:w="4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3640" w:type="dxa"/>
            <w:vAlign w:val="bottom"/>
          </w:tcPr>
          <w:p>
            <w:pPr>
              <w:ind w:left="140"/>
              <w:spacing w:after="0"/>
              <w:rPr>
                <w:sz w:val="20"/>
                <w:szCs w:val="20"/>
                <w:color w:val="auto"/>
              </w:rPr>
            </w:pPr>
            <w:r>
              <w:rPr>
                <w:rFonts w:ascii="Arial" w:cs="Arial" w:eastAsia="Arial" w:hAnsi="Arial"/>
                <w:sz w:val="14"/>
                <w:szCs w:val="14"/>
                <w:color w:val="auto"/>
              </w:rPr>
              <w:t>Total before tax</w:t>
            </w:r>
          </w:p>
        </w:tc>
      </w:tr>
      <w:tr>
        <w:trPr>
          <w:trHeight w:val="270"/>
        </w:trPr>
        <w:tc>
          <w:tcPr>
            <w:tcW w:w="4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F0FFFF"/>
          </w:tcPr>
          <w:p>
            <w:pPr>
              <w:spacing w:after="0"/>
              <w:rPr>
                <w:sz w:val="23"/>
                <w:szCs w:val="23"/>
                <w:color w:val="auto"/>
              </w:rPr>
            </w:pPr>
          </w:p>
        </w:tc>
        <w:tc>
          <w:tcPr>
            <w:tcW w:w="360" w:type="dxa"/>
            <w:vAlign w:val="bottom"/>
            <w:tcBorders>
              <w:bottom w:val="single" w:sz="8" w:color="auto"/>
            </w:tcBorders>
            <w:shd w:val="clear" w:color="auto" w:fill="F0FFFF"/>
          </w:tcPr>
          <w:p>
            <w:pPr>
              <w:spacing w:after="0"/>
              <w:rPr>
                <w:sz w:val="23"/>
                <w:szCs w:val="23"/>
                <w:color w:val="auto"/>
              </w:rPr>
            </w:pPr>
          </w:p>
        </w:tc>
        <w:tc>
          <w:tcPr>
            <w:tcW w:w="4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F0FFFF"/>
          </w:tcPr>
          <w:p>
            <w:pPr>
              <w:spacing w:after="0"/>
              <w:rPr>
                <w:sz w:val="23"/>
                <w:szCs w:val="23"/>
                <w:color w:val="auto"/>
              </w:rPr>
            </w:pPr>
          </w:p>
        </w:tc>
        <w:tc>
          <w:tcPr>
            <w:tcW w:w="3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736</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Tax benefit</w:t>
            </w:r>
          </w:p>
        </w:tc>
      </w:tr>
      <w:tr>
        <w:trPr>
          <w:trHeight w:val="283"/>
        </w:trPr>
        <w:tc>
          <w:tcPr>
            <w:tcW w:w="4100" w:type="dxa"/>
            <w:vAlign w:val="bottom"/>
            <w:tcBorders>
              <w:bottom w:val="single" w:sz="8" w:color="F0FF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F0FFFF"/>
            </w:tcBorders>
          </w:tcPr>
          <w:p>
            <w:pPr>
              <w:spacing w:after="0"/>
              <w:rPr>
                <w:sz w:val="24"/>
                <w:szCs w:val="2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F0FF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3640" w:type="dxa"/>
            <w:vAlign w:val="bottom"/>
            <w:tcBorders>
              <w:bottom w:val="single" w:sz="8" w:color="F0FFFF"/>
            </w:tcBorders>
          </w:tcPr>
          <w:p>
            <w:pPr>
              <w:ind w:left="140"/>
              <w:spacing w:after="0"/>
              <w:rPr>
                <w:sz w:val="20"/>
                <w:szCs w:val="20"/>
                <w:color w:val="auto"/>
              </w:rPr>
            </w:pPr>
            <w:r>
              <w:rPr>
                <w:rFonts w:ascii="Arial" w:cs="Arial" w:eastAsia="Arial" w:hAnsi="Arial"/>
                <w:sz w:val="14"/>
                <w:szCs w:val="14"/>
                <w:color w:val="auto"/>
              </w:rPr>
              <w:t>Net of tax</w:t>
            </w:r>
          </w:p>
        </w:tc>
      </w:tr>
      <w:tr>
        <w:trPr>
          <w:trHeight w:val="224"/>
        </w:trPr>
        <w:tc>
          <w:tcPr>
            <w:tcW w:w="4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6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6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3640" w:type="dxa"/>
            <w:vAlign w:val="bottom"/>
            <w:shd w:val="clear" w:color="auto" w:fill="F0FFFF"/>
          </w:tcPr>
          <w:p>
            <w:pPr>
              <w:spacing w:after="0"/>
              <w:rPr>
                <w:sz w:val="19"/>
                <w:szCs w:val="19"/>
                <w:color w:val="auto"/>
              </w:rPr>
            </w:pPr>
          </w:p>
        </w:tc>
      </w:tr>
      <w:tr>
        <w:trPr>
          <w:trHeight w:val="157"/>
        </w:trPr>
        <w:tc>
          <w:tcPr>
            <w:tcW w:w="6020" w:type="dxa"/>
            <w:vAlign w:val="bottom"/>
            <w:gridSpan w:val="7"/>
          </w:tcPr>
          <w:p>
            <w:pPr>
              <w:ind w:left="1420"/>
              <w:spacing w:after="0" w:line="157" w:lineRule="exact"/>
              <w:rPr>
                <w:sz w:val="20"/>
                <w:szCs w:val="20"/>
                <w:color w:val="auto"/>
              </w:rPr>
            </w:pPr>
            <w:r>
              <w:rPr>
                <w:rFonts w:ascii="Arial" w:cs="Arial" w:eastAsia="Arial" w:hAnsi="Arial"/>
                <w:sz w:val="14"/>
                <w:szCs w:val="14"/>
                <w:color w:val="auto"/>
              </w:rPr>
              <w:t>Reclassification of disproportionate tax effect related to terminated and</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188"/>
        </w:trPr>
        <w:tc>
          <w:tcPr>
            <w:tcW w:w="4100" w:type="dxa"/>
            <w:vAlign w:val="bottom"/>
          </w:tcPr>
          <w:p>
            <w:pPr>
              <w:ind w:left="1420"/>
              <w:spacing w:after="0"/>
              <w:rPr>
                <w:sz w:val="20"/>
                <w:szCs w:val="20"/>
                <w:color w:val="auto"/>
              </w:rPr>
            </w:pPr>
            <w:r>
              <w:rPr>
                <w:rFonts w:ascii="Arial" w:cs="Arial" w:eastAsia="Arial" w:hAnsi="Arial"/>
                <w:sz w:val="14"/>
                <w:szCs w:val="14"/>
                <w:color w:val="auto"/>
              </w:rPr>
              <w:t>current cash flow hedges</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276"/>
        </w:trPr>
        <w:tc>
          <w:tcPr>
            <w:tcW w:w="4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w w:val="90"/>
              </w:rPr>
              <w:t>(3,289)</w:t>
            </w:r>
          </w:p>
        </w:tc>
        <w:tc>
          <w:tcPr>
            <w:tcW w:w="120" w:type="dxa"/>
            <w:vAlign w:val="bottom"/>
            <w:shd w:val="clear" w:color="auto" w:fill="F0FFFF"/>
          </w:tcPr>
          <w:p>
            <w:pPr>
              <w:spacing w:after="0"/>
              <w:rPr>
                <w:sz w:val="24"/>
                <w:szCs w:val="24"/>
                <w:color w:val="auto"/>
              </w:rPr>
            </w:pP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Income tax expense</w:t>
            </w:r>
          </w:p>
        </w:tc>
      </w:tr>
      <w:tr>
        <w:trPr>
          <w:trHeight w:val="243"/>
        </w:trPr>
        <w:tc>
          <w:tcPr>
            <w:tcW w:w="4960" w:type="dxa"/>
            <w:vAlign w:val="bottom"/>
            <w:gridSpan w:val="3"/>
          </w:tcPr>
          <w:p>
            <w:pPr>
              <w:spacing w:after="0"/>
              <w:rPr>
                <w:sz w:val="21"/>
                <w:szCs w:val="21"/>
                <w:color w:val="auto"/>
              </w:rPr>
            </w:pPr>
          </w:p>
        </w:tc>
        <w:tc>
          <w:tcPr>
            <w:tcW w:w="4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157"/>
        </w:trPr>
        <w:tc>
          <w:tcPr>
            <w:tcW w:w="5440" w:type="dxa"/>
            <w:vAlign w:val="bottom"/>
            <w:gridSpan w:val="5"/>
            <w:shd w:val="clear" w:color="auto" w:fill="F0FFFF"/>
          </w:tcPr>
          <w:p>
            <w:pPr>
              <w:ind w:left="1420"/>
              <w:spacing w:after="0" w:line="157" w:lineRule="exact"/>
              <w:rPr>
                <w:sz w:val="20"/>
                <w:szCs w:val="20"/>
                <w:color w:val="auto"/>
              </w:rPr>
            </w:pPr>
            <w:r>
              <w:rPr>
                <w:rFonts w:ascii="Arial" w:cs="Arial" w:eastAsia="Arial" w:hAnsi="Arial"/>
                <w:sz w:val="14"/>
                <w:szCs w:val="14"/>
                <w:color w:val="auto"/>
                <w:w w:val="94"/>
              </w:rPr>
              <w:t>Amortization of prior service cost and actuarial losses included in net</w:t>
            </w:r>
          </w:p>
        </w:tc>
        <w:tc>
          <w:tcPr>
            <w:tcW w:w="4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3640" w:type="dxa"/>
            <w:vAlign w:val="bottom"/>
            <w:shd w:val="clear" w:color="auto" w:fill="F0FFFF"/>
          </w:tcPr>
          <w:p>
            <w:pPr>
              <w:spacing w:after="0"/>
              <w:rPr>
                <w:sz w:val="13"/>
                <w:szCs w:val="13"/>
                <w:color w:val="auto"/>
              </w:rPr>
            </w:pPr>
          </w:p>
        </w:tc>
      </w:tr>
      <w:tr>
        <w:trPr>
          <w:trHeight w:val="194"/>
        </w:trPr>
        <w:tc>
          <w:tcPr>
            <w:tcW w:w="5080" w:type="dxa"/>
            <w:vAlign w:val="bottom"/>
            <w:gridSpan w:val="4"/>
            <w:shd w:val="clear" w:color="auto" w:fill="F0FFFF"/>
          </w:tcPr>
          <w:p>
            <w:pPr>
              <w:ind w:left="1420"/>
              <w:spacing w:after="0"/>
              <w:rPr>
                <w:sz w:val="20"/>
                <w:szCs w:val="20"/>
                <w:color w:val="auto"/>
              </w:rPr>
            </w:pPr>
            <w:r>
              <w:rPr>
                <w:rFonts w:ascii="Arial" w:cs="Arial" w:eastAsia="Arial" w:hAnsi="Arial"/>
                <w:sz w:val="14"/>
                <w:szCs w:val="14"/>
                <w:color w:val="auto"/>
              </w:rPr>
              <w:t>periodic pension cost for defined benefit pension plan</w:t>
            </w:r>
          </w:p>
        </w:tc>
        <w:tc>
          <w:tcPr>
            <w:tcW w:w="360" w:type="dxa"/>
            <w:vAlign w:val="bottom"/>
            <w:shd w:val="clear" w:color="auto" w:fill="F0FFFF"/>
          </w:tcPr>
          <w:p>
            <w:pPr>
              <w:spacing w:after="0"/>
              <w:rPr>
                <w:sz w:val="16"/>
                <w:szCs w:val="16"/>
                <w:color w:val="auto"/>
              </w:rPr>
            </w:pPr>
          </w:p>
        </w:tc>
        <w:tc>
          <w:tcPr>
            <w:tcW w:w="4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4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3640" w:type="dxa"/>
            <w:vAlign w:val="bottom"/>
            <w:shd w:val="clear" w:color="auto" w:fill="F0FFFF"/>
          </w:tcPr>
          <w:p>
            <w:pPr>
              <w:spacing w:after="0"/>
              <w:rPr>
                <w:sz w:val="16"/>
                <w:szCs w:val="16"/>
                <w:color w:val="auto"/>
              </w:rPr>
            </w:pPr>
          </w:p>
        </w:tc>
      </w:tr>
      <w:tr>
        <w:trPr>
          <w:trHeight w:val="157"/>
        </w:trPr>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tcPr>
          <w:p>
            <w:pPr>
              <w:ind w:left="140"/>
              <w:spacing w:after="0" w:line="157" w:lineRule="exact"/>
              <w:rPr>
                <w:sz w:val="20"/>
                <w:szCs w:val="20"/>
                <w:color w:val="auto"/>
              </w:rPr>
            </w:pPr>
            <w:r>
              <w:rPr>
                <w:rFonts w:ascii="Arial" w:cs="Arial" w:eastAsia="Arial" w:hAnsi="Arial"/>
                <w:sz w:val="14"/>
                <w:szCs w:val="14"/>
                <w:color w:val="auto"/>
              </w:rPr>
              <w:t>Salaries and employee benefits</w:t>
            </w:r>
          </w:p>
        </w:tc>
      </w:tr>
      <w:tr>
        <w:trPr>
          <w:trHeight w:val="188"/>
        </w:trPr>
        <w:tc>
          <w:tcPr>
            <w:tcW w:w="4100" w:type="dxa"/>
            <w:vAlign w:val="bottom"/>
          </w:tcPr>
          <w:p>
            <w:pPr>
              <w:ind w:left="1660"/>
              <w:spacing w:after="0"/>
              <w:rPr>
                <w:sz w:val="20"/>
                <w:szCs w:val="20"/>
                <w:color w:val="auto"/>
              </w:rPr>
            </w:pPr>
            <w:r>
              <w:rPr>
                <w:rFonts w:ascii="Arial" w:cs="Arial" w:eastAsia="Arial" w:hAnsi="Arial"/>
                <w:sz w:val="14"/>
                <w:szCs w:val="14"/>
                <w:color w:val="auto"/>
              </w:rPr>
              <w:t>Prior 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(501)</w:t>
            </w:r>
          </w:p>
        </w:tc>
        <w:tc>
          <w:tcPr>
            <w:tcW w:w="3640" w:type="dxa"/>
            <w:vAlign w:val="bottom"/>
          </w:tcPr>
          <w:p>
            <w:pPr>
              <w:ind w:left="140"/>
              <w:spacing w:after="0"/>
              <w:rPr>
                <w:sz w:val="20"/>
                <w:szCs w:val="20"/>
                <w:color w:val="auto"/>
              </w:rPr>
            </w:pPr>
            <w:r>
              <w:rPr>
                <w:rFonts w:ascii="Arial" w:cs="Arial" w:eastAsia="Arial" w:hAnsi="Arial"/>
                <w:sz w:val="14"/>
                <w:szCs w:val="14"/>
                <w:color w:val="auto"/>
              </w:rPr>
              <w:t>expense</w:t>
            </w:r>
          </w:p>
        </w:tc>
      </w:tr>
      <w:tr>
        <w:trPr>
          <w:trHeight w:val="276"/>
        </w:trPr>
        <w:tc>
          <w:tcPr>
            <w:tcW w:w="4100" w:type="dxa"/>
            <w:vAlign w:val="bottom"/>
            <w:shd w:val="clear" w:color="auto" w:fill="F0FFFF"/>
          </w:tcPr>
          <w:p>
            <w:pPr>
              <w:ind w:left="1660"/>
              <w:spacing w:after="0"/>
              <w:rPr>
                <w:sz w:val="20"/>
                <w:szCs w:val="20"/>
                <w:color w:val="auto"/>
              </w:rPr>
            </w:pPr>
            <w:r>
              <w:rPr>
                <w:rFonts w:ascii="Arial" w:cs="Arial" w:eastAsia="Arial" w:hAnsi="Arial"/>
                <w:sz w:val="14"/>
                <w:szCs w:val="14"/>
                <w:color w:val="auto"/>
              </w:rPr>
              <w:t>Actuarial losses</w:t>
            </w:r>
          </w:p>
        </w:tc>
        <w:tc>
          <w:tcPr>
            <w:tcW w:w="240" w:type="dxa"/>
            <w:vAlign w:val="bottom"/>
            <w:shd w:val="clear" w:color="auto" w:fill="F0FFFF"/>
          </w:tcPr>
          <w:p>
            <w:pPr>
              <w:spacing w:after="0"/>
              <w:rPr>
                <w:sz w:val="24"/>
                <w:szCs w:val="24"/>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F0FFFF"/>
          </w:tcPr>
          <w:p>
            <w:pPr>
              <w:spacing w:after="0"/>
              <w:rPr>
                <w:sz w:val="24"/>
                <w:szCs w:val="24"/>
                <w:color w:val="auto"/>
              </w:rPr>
            </w:pPr>
          </w:p>
        </w:tc>
        <w:tc>
          <w:tcPr>
            <w:tcW w:w="360" w:type="dxa"/>
            <w:vAlign w:val="bottom"/>
            <w:shd w:val="clear" w:color="auto" w:fill="F0FFFF"/>
          </w:tcPr>
          <w:p>
            <w:pPr>
              <w:spacing w:after="0"/>
              <w:rPr>
                <w:sz w:val="24"/>
                <w:szCs w:val="24"/>
                <w:color w:val="auto"/>
              </w:rPr>
            </w:pPr>
          </w:p>
        </w:tc>
        <w:tc>
          <w:tcPr>
            <w:tcW w:w="5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36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Other expense</w:t>
            </w:r>
          </w:p>
        </w:tc>
      </w:tr>
      <w:tr>
        <w:trPr>
          <w:trHeight w:val="157"/>
        </w:trPr>
        <w:tc>
          <w:tcPr>
            <w:tcW w:w="4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tcPr>
          <w:p>
            <w:pPr>
              <w:ind w:left="140"/>
              <w:spacing w:after="0" w:line="157" w:lineRule="exact"/>
              <w:rPr>
                <w:sz w:val="20"/>
                <w:szCs w:val="20"/>
                <w:color w:val="auto"/>
              </w:rPr>
            </w:pPr>
            <w:r>
              <w:rPr>
                <w:rFonts w:ascii="Arial" w:cs="Arial" w:eastAsia="Arial" w:hAnsi="Arial"/>
                <w:sz w:val="14"/>
                <w:szCs w:val="14"/>
                <w:color w:val="auto"/>
              </w:rPr>
              <w:t>Salaries and employee benefits</w:t>
            </w:r>
          </w:p>
        </w:tc>
      </w:tr>
      <w:tr>
        <w:trPr>
          <w:trHeight w:val="188"/>
        </w:trPr>
        <w:tc>
          <w:tcPr>
            <w:tcW w:w="4100" w:type="dxa"/>
            <w:vAlign w:val="bottom"/>
          </w:tcPr>
          <w:p>
            <w:pPr>
              <w:ind w:left="1660"/>
              <w:spacing w:after="0"/>
              <w:rPr>
                <w:sz w:val="20"/>
                <w:szCs w:val="20"/>
                <w:color w:val="auto"/>
              </w:rPr>
            </w:pPr>
            <w:r>
              <w:rPr>
                <w:rFonts w:ascii="Arial" w:cs="Arial" w:eastAsia="Arial" w:hAnsi="Arial"/>
                <w:sz w:val="14"/>
                <w:szCs w:val="14"/>
                <w:color w:val="auto"/>
              </w:rPr>
              <w:t>Actuarial losses</w:t>
            </w:r>
          </w:p>
        </w:tc>
        <w:tc>
          <w:tcPr>
            <w:tcW w:w="2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(354)</w:t>
            </w:r>
          </w:p>
        </w:tc>
        <w:tc>
          <w:tcPr>
            <w:tcW w:w="3640" w:type="dxa"/>
            <w:vAlign w:val="bottom"/>
          </w:tcPr>
          <w:p>
            <w:pPr>
              <w:ind w:left="140"/>
              <w:spacing w:after="0"/>
              <w:rPr>
                <w:sz w:val="20"/>
                <w:szCs w:val="20"/>
                <w:color w:val="auto"/>
              </w:rPr>
            </w:pPr>
            <w:r>
              <w:rPr>
                <w:rFonts w:ascii="Arial" w:cs="Arial" w:eastAsia="Arial" w:hAnsi="Arial"/>
                <w:sz w:val="14"/>
                <w:szCs w:val="14"/>
                <w:color w:val="auto"/>
              </w:rPr>
              <w:t>expense</w:t>
            </w:r>
          </w:p>
        </w:tc>
      </w:tr>
      <w:tr>
        <w:trPr>
          <w:trHeight w:val="256"/>
        </w:trPr>
        <w:tc>
          <w:tcPr>
            <w:tcW w:w="4100" w:type="dxa"/>
            <w:vAlign w:val="bottom"/>
            <w:tcBorders>
              <w:top w:val="single" w:sz="8" w:color="F0FFFF"/>
            </w:tcBorders>
            <w:shd w:val="clear" w:color="auto" w:fill="F0FFFF"/>
          </w:tcPr>
          <w:p>
            <w:pPr>
              <w:spacing w:after="0"/>
              <w:rPr>
                <w:sz w:val="22"/>
                <w:szCs w:val="22"/>
                <w:color w:val="auto"/>
              </w:rPr>
            </w:pPr>
          </w:p>
        </w:tc>
        <w:tc>
          <w:tcPr>
            <w:tcW w:w="240" w:type="dxa"/>
            <w:vAlign w:val="bottom"/>
            <w:tcBorders>
              <w:top w:val="single" w:sz="8" w:color="auto"/>
            </w:tcBorders>
            <w:shd w:val="clear" w:color="auto" w:fill="F0FFFF"/>
          </w:tcPr>
          <w:p>
            <w:pPr>
              <w:spacing w:after="0"/>
              <w:rPr>
                <w:sz w:val="22"/>
                <w:szCs w:val="22"/>
                <w:color w:val="auto"/>
              </w:rPr>
            </w:pP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Borders>
              <w:top w:val="single" w:sz="8" w:color="F0FFFF"/>
            </w:tcBorders>
            <w:shd w:val="clear" w:color="auto" w:fill="F0FFFF"/>
          </w:tcPr>
          <w:p>
            <w:pPr>
              <w:spacing w:after="0"/>
              <w:rPr>
                <w:sz w:val="22"/>
                <w:szCs w:val="22"/>
                <w:color w:val="auto"/>
              </w:rPr>
            </w:pPr>
          </w:p>
        </w:tc>
        <w:tc>
          <w:tcPr>
            <w:tcW w:w="360" w:type="dxa"/>
            <w:vAlign w:val="bottom"/>
            <w:tcBorders>
              <w:top w:val="single" w:sz="8" w:color="auto"/>
            </w:tcBorders>
            <w:shd w:val="clear" w:color="auto" w:fill="F0FFFF"/>
          </w:tcPr>
          <w:p>
            <w:pPr>
              <w:spacing w:after="0"/>
              <w:rPr>
                <w:sz w:val="22"/>
                <w:szCs w:val="22"/>
                <w:color w:val="auto"/>
              </w:rPr>
            </w:pPr>
          </w:p>
        </w:tc>
        <w:tc>
          <w:tcPr>
            <w:tcW w:w="4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Borders>
              <w:top w:val="single" w:sz="8" w:color="F0FFFF"/>
            </w:tcBorders>
            <w:shd w:val="clear" w:color="auto" w:fill="F0FFFF"/>
          </w:tcPr>
          <w:p>
            <w:pPr>
              <w:spacing w:after="0"/>
              <w:rPr>
                <w:sz w:val="22"/>
                <w:szCs w:val="22"/>
                <w:color w:val="auto"/>
              </w:rPr>
            </w:pPr>
          </w:p>
        </w:tc>
        <w:tc>
          <w:tcPr>
            <w:tcW w:w="340" w:type="dxa"/>
            <w:vAlign w:val="bottom"/>
            <w:tcBorders>
              <w:top w:val="single" w:sz="8" w:color="auto"/>
            </w:tcBorders>
            <w:shd w:val="clear" w:color="auto" w:fill="F0FFFF"/>
          </w:tcPr>
          <w:p>
            <w:pPr>
              <w:spacing w:after="0"/>
              <w:rPr>
                <w:sz w:val="22"/>
                <w:szCs w:val="22"/>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(855)</w:t>
            </w:r>
          </w:p>
        </w:tc>
        <w:tc>
          <w:tcPr>
            <w:tcW w:w="3640" w:type="dxa"/>
            <w:vAlign w:val="bottom"/>
            <w:tcBorders>
              <w:top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rPr>
              <w:t>Total before tax</w:t>
            </w:r>
          </w:p>
        </w:tc>
      </w:tr>
      <w:tr>
        <w:trPr>
          <w:trHeight w:val="264"/>
        </w:trPr>
        <w:tc>
          <w:tcPr>
            <w:tcW w:w="4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F0FF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w:t>
            </w:r>
          </w:p>
        </w:tc>
        <w:tc>
          <w:tcPr>
            <w:tcW w:w="120" w:type="dxa"/>
            <w:vAlign w:val="bottom"/>
            <w:tcBorders>
              <w:bottom w:val="single" w:sz="8" w:color="F0FF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333</w:t>
            </w:r>
          </w:p>
        </w:tc>
        <w:tc>
          <w:tcPr>
            <w:tcW w:w="3640" w:type="dxa"/>
            <w:vAlign w:val="bottom"/>
            <w:tcBorders>
              <w:bottom w:val="single" w:sz="8" w:color="F0FFFF"/>
            </w:tcBorders>
          </w:tcPr>
          <w:p>
            <w:pPr>
              <w:ind w:left="140"/>
              <w:spacing w:after="0"/>
              <w:rPr>
                <w:sz w:val="20"/>
                <w:szCs w:val="20"/>
                <w:color w:val="auto"/>
              </w:rPr>
            </w:pPr>
            <w:r>
              <w:rPr>
                <w:rFonts w:ascii="Arial" w:cs="Arial" w:eastAsia="Arial" w:hAnsi="Arial"/>
                <w:sz w:val="14"/>
                <w:szCs w:val="14"/>
                <w:color w:val="auto"/>
              </w:rPr>
              <w:t>Tax benefit</w:t>
            </w:r>
          </w:p>
        </w:tc>
      </w:tr>
      <w:tr>
        <w:trPr>
          <w:trHeight w:val="243"/>
        </w:trPr>
        <w:tc>
          <w:tcPr>
            <w:tcW w:w="4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(660)</w:t>
            </w:r>
          </w:p>
        </w:tc>
        <w:tc>
          <w:tcPr>
            <w:tcW w:w="12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auto"/>
            </w:tcBorders>
            <w:shd w:val="clear" w:color="auto" w:fill="F0FFFF"/>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(522)</w:t>
            </w:r>
          </w:p>
        </w:tc>
        <w:tc>
          <w:tcPr>
            <w:tcW w:w="36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rPr>
              <w:t>Net of tax</w:t>
            </w: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24"/>
        </w:trPr>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257"/>
        </w:trPr>
        <w:tc>
          <w:tcPr>
            <w:tcW w:w="4100" w:type="dxa"/>
            <w:vAlign w:val="bottom"/>
            <w:tcBorders>
              <w:bottom w:val="single" w:sz="8" w:color="F0FFFF"/>
            </w:tcBorders>
            <w:shd w:val="clear" w:color="auto" w:fill="F0FFFF"/>
          </w:tcPr>
          <w:p>
            <w:pPr>
              <w:ind w:left="1420"/>
              <w:spacing w:after="0"/>
              <w:rPr>
                <w:sz w:val="20"/>
                <w:szCs w:val="20"/>
                <w:color w:val="auto"/>
              </w:rPr>
            </w:pPr>
            <w:r>
              <w:rPr>
                <w:rFonts w:ascii="Arial" w:cs="Arial" w:eastAsia="Arial" w:hAnsi="Arial"/>
                <w:sz w:val="14"/>
                <w:szCs w:val="14"/>
                <w:color w:val="auto"/>
              </w:rPr>
              <w:t>Total reclassifications for the period</w:t>
            </w:r>
          </w:p>
        </w:tc>
        <w:tc>
          <w:tcPr>
            <w:tcW w:w="24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Borders>
              <w:bottom w:val="single" w:sz="8" w:color="F0FFFF"/>
            </w:tcBorders>
            <w:shd w:val="clear" w:color="auto" w:fill="F0FFFF"/>
          </w:tcPr>
          <w:p>
            <w:pPr>
              <w:spacing w:after="0"/>
              <w:rPr>
                <w:sz w:val="22"/>
                <w:szCs w:val="22"/>
                <w:color w:val="auto"/>
              </w:rPr>
            </w:pPr>
          </w:p>
        </w:tc>
        <w:tc>
          <w:tcPr>
            <w:tcW w:w="360" w:type="dxa"/>
            <w:vAlign w:val="bottom"/>
            <w:tcBorders>
              <w:bottom w:val="single" w:sz="8" w:color="auto"/>
            </w:tcBorders>
            <w:shd w:val="clear" w:color="auto" w:fill="F0FFFF"/>
          </w:tcPr>
          <w:p>
            <w:pPr>
              <w:jc w:val="right"/>
              <w:ind w:right="2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0"/>
              </w:rPr>
              <w:t>(4,962)</w:t>
            </w:r>
          </w:p>
        </w:tc>
        <w:tc>
          <w:tcPr>
            <w:tcW w:w="120" w:type="dxa"/>
            <w:vAlign w:val="bottom"/>
            <w:tcBorders>
              <w:bottom w:val="single" w:sz="8" w:color="F0FFFF"/>
            </w:tcBorders>
            <w:shd w:val="clear" w:color="auto" w:fill="F0FFFF"/>
          </w:tcPr>
          <w:p>
            <w:pPr>
              <w:spacing w:after="0"/>
              <w:rPr>
                <w:sz w:val="22"/>
                <w:szCs w:val="22"/>
                <w:color w:val="auto"/>
              </w:rPr>
            </w:pPr>
          </w:p>
        </w:tc>
        <w:tc>
          <w:tcPr>
            <w:tcW w:w="340" w:type="dxa"/>
            <w:vAlign w:val="bottom"/>
            <w:tcBorders>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(2,163)</w:t>
            </w:r>
          </w:p>
        </w:tc>
        <w:tc>
          <w:tcPr>
            <w:tcW w:w="36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rPr>
              <w:t>Net of tax</w:t>
            </w: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154305</wp:posOffset>
            </wp:positionV>
            <wp:extent cx="68008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0850" cy="171450"/>
                    </a:xfrm>
                    <a:prstGeom prst="rect">
                      <a:avLst/>
                    </a:prstGeom>
                    <a:noFill/>
                  </pic:spPr>
                </pic:pic>
              </a:graphicData>
            </a:graphic>
          </wp:anchor>
        </w:drawing>
      </w:r>
    </w:p>
    <w:p>
      <w:pPr>
        <w:spacing w:after="0" w:line="299" w:lineRule="exact"/>
        <w:rPr>
          <w:sz w:val="20"/>
          <w:szCs w:val="20"/>
          <w:color w:val="auto"/>
        </w:rPr>
      </w:pPr>
    </w:p>
    <w:p>
      <w:pPr>
        <w:ind w:left="1752"/>
        <w:spacing w:after="0"/>
        <w:rPr>
          <w:sz w:val="20"/>
          <w:szCs w:val="20"/>
          <w:color w:val="auto"/>
        </w:rPr>
      </w:pPr>
      <w:r>
        <w:rPr>
          <w:rFonts w:ascii="Arial" w:cs="Arial" w:eastAsia="Arial" w:hAnsi="Arial"/>
          <w:sz w:val="14"/>
          <w:szCs w:val="14"/>
          <w:color w:val="auto"/>
        </w:rPr>
        <w:t>Amounts shown above in parentheses reduce earnings</w:t>
      </w:r>
    </w:p>
    <w:p>
      <w:pPr>
        <w:spacing w:after="0" w:line="200" w:lineRule="exact"/>
        <w:rPr>
          <w:sz w:val="20"/>
          <w:szCs w:val="20"/>
          <w:color w:val="auto"/>
        </w:rPr>
      </w:pPr>
    </w:p>
    <w:p>
      <w:pPr>
        <w:spacing w:after="0" w:line="27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32"/>
          </w:cols>
          <w:pgMar w:left="248" w:top="121" w:right="6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net income per common share for the years indicated </w:t>
      </w:r>
      <w:r>
        <w:rPr>
          <w:rFonts w:ascii="Arial" w:cs="Arial" w:eastAsia="Arial" w:hAnsi="Arial"/>
          <w:sz w:val="18"/>
          <w:szCs w:val="18"/>
          <w:i w:val="1"/>
          <w:iCs w:val="1"/>
          <w:color w:val="auto"/>
        </w:rPr>
        <w:t>(in thousands, except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166,111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67,821</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100,656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Dividends and undistributed earnings allocated to unvested shares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6640" w:type="dxa"/>
            <w:vAlign w:val="bottom"/>
            <w:tcBorders>
              <w:bottom w:val="single" w:sz="8" w:color="F0FFFF"/>
            </w:tcBorders>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164,927</w:t>
            </w:r>
          </w:p>
        </w:tc>
        <w:tc>
          <w:tcPr>
            <w:tcW w:w="100" w:type="dxa"/>
            <w:vAlign w:val="bottom"/>
            <w:tcBorders>
              <w:bottom w:val="single" w:sz="8" w:color="F0FF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67,250</w:t>
            </w:r>
          </w:p>
        </w:tc>
        <w:tc>
          <w:tcPr>
            <w:tcW w:w="100" w:type="dxa"/>
            <w:vAlign w:val="bottom"/>
            <w:tcBorders>
              <w:bottom w:val="single" w:sz="8" w:color="F0FF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100,635</w:t>
            </w:r>
          </w:p>
        </w:tc>
      </w:tr>
      <w:tr>
        <w:trPr>
          <w:trHeight w:val="23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Income per common share:</w:t>
            </w:r>
          </w:p>
        </w:tc>
        <w:tc>
          <w:tcPr>
            <w:tcW w:w="28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79,662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73,247</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71,910</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F0FFFF"/>
          </w:tcPr>
          <w:p>
            <w:pPr>
              <w:spacing w:after="0"/>
              <w:rPr>
                <w:sz w:val="22"/>
                <w:szCs w:val="22"/>
                <w:color w:val="auto"/>
              </w:rPr>
            </w:pP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79,671</w:t>
            </w: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spacing w:after="0"/>
              <w:rPr>
                <w:sz w:val="22"/>
                <w:szCs w:val="22"/>
                <w:color w:val="auto"/>
              </w:rPr>
            </w:pP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73,259</w:t>
            </w:r>
          </w:p>
        </w:tc>
        <w:tc>
          <w:tcPr>
            <w:tcW w:w="100" w:type="dxa"/>
            <w:vAlign w:val="bottom"/>
            <w:tcBorders>
              <w:bottom w:val="single" w:sz="8" w:color="F0FFFF"/>
            </w:tcBorders>
            <w:shd w:val="clear" w:color="auto" w:fill="F0FFFF"/>
          </w:tcPr>
          <w:p>
            <w:pPr>
              <w:spacing w:after="0"/>
              <w:rPr>
                <w:sz w:val="22"/>
                <w:szCs w:val="22"/>
                <w:color w:val="auto"/>
              </w:rPr>
            </w:pPr>
          </w:p>
        </w:tc>
        <w:tc>
          <w:tcPr>
            <w:tcW w:w="360" w:type="dxa"/>
            <w:vAlign w:val="bottom"/>
            <w:tcBorders>
              <w:bottom w:val="single" w:sz="8" w:color="auto"/>
            </w:tcBorders>
            <w:shd w:val="clear" w:color="auto" w:fill="F0FFFF"/>
          </w:tcPr>
          <w:p>
            <w:pPr>
              <w:spacing w:after="0"/>
              <w:rPr>
                <w:sz w:val="22"/>
                <w:szCs w:val="22"/>
                <w:color w:val="auto"/>
              </w:rPr>
            </w:pPr>
          </w:p>
        </w:tc>
        <w:tc>
          <w:tcPr>
            <w:tcW w:w="9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71,915</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2018, 32,316 potentially dilutive shares of common stock issuable upon exercise of stock options were excluded from the computation of diluted earnings per share because of their antidilutive effect.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December 31, 2017, United had the following potentially dilutive instruments outstanding: a warrant to purchase 219,909 shares of common stock at $61.40 per share; 60,287 shares of common stock issuable upon exercise of stock options; and 663,817 shares of common stock issuable upon completion of vesting of restricted stock awards.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December 31, 2016, United had the following potentially dilutive instruments outstanding: a warrant to purchase 219,909 shares of common stock at $61.40 per share; 72,665 shares of common stock issuable upon exercise of stock options; and 690,970 shares of common stock issuable upon completion of vesting of restricted stock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Income tax expense is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F0FFFF"/>
            </w:tcBorders>
          </w:tcPr>
          <w:p>
            <w:pPr>
              <w:spacing w:after="0"/>
              <w:rPr>
                <w:sz w:val="2"/>
                <w:szCs w:val="2"/>
                <w:color w:val="auto"/>
              </w:rPr>
            </w:pPr>
          </w:p>
        </w:tc>
        <w:tc>
          <w:tcPr>
            <w:tcW w:w="23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Current</w:t>
            </w:r>
          </w:p>
        </w:tc>
        <w:tc>
          <w:tcPr>
            <w:tcW w:w="2580" w:type="dxa"/>
            <w:vAlign w:val="bottom"/>
            <w:tcBorders>
              <w:bottom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17,185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59,160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Increase in valuation allowance</w:t>
            </w:r>
          </w:p>
        </w:tc>
        <w:tc>
          <w:tcPr>
            <w:tcW w:w="23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Expense due to enactment of federal tax reform</w:t>
            </w:r>
          </w:p>
        </w:tc>
        <w:tc>
          <w:tcPr>
            <w:tcW w:w="2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F0FFFF"/>
            </w:tcBorders>
          </w:tcPr>
          <w:p>
            <w:pPr>
              <w:spacing w:after="0"/>
              <w:rPr>
                <w:sz w:val="2"/>
                <w:szCs w:val="2"/>
                <w:color w:val="auto"/>
              </w:rPr>
            </w:pPr>
          </w:p>
        </w:tc>
        <w:tc>
          <w:tcPr>
            <w:tcW w:w="23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F0FFFF"/>
          </w:tcPr>
          <w:p>
            <w:pPr>
              <w:ind w:left="260"/>
              <w:spacing w:after="0"/>
              <w:rPr>
                <w:sz w:val="20"/>
                <w:szCs w:val="20"/>
                <w:color w:val="auto"/>
              </w:rPr>
            </w:pPr>
            <w:r>
              <w:rPr>
                <w:rFonts w:ascii="Arial" w:cs="Arial" w:eastAsia="Arial" w:hAnsi="Arial"/>
                <w:sz w:val="18"/>
                <w:szCs w:val="18"/>
                <w:color w:val="auto"/>
              </w:rPr>
              <w:t>Total income tax expense</w:t>
            </w:r>
          </w:p>
        </w:tc>
        <w:tc>
          <w:tcPr>
            <w:tcW w:w="25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49,815</w:t>
            </w:r>
          </w:p>
        </w:tc>
        <w:tc>
          <w:tcPr>
            <w:tcW w:w="100" w:type="dxa"/>
            <w:vAlign w:val="bottom"/>
            <w:shd w:val="clear" w:color="auto" w:fill="F0FFFF"/>
          </w:tcPr>
          <w:p>
            <w:pPr>
              <w:spacing w:after="0"/>
              <w:rPr>
                <w:sz w:val="22"/>
                <w:szCs w:val="22"/>
                <w:color w:val="auto"/>
              </w:rPr>
            </w:pPr>
          </w:p>
        </w:tc>
        <w:tc>
          <w:tcPr>
            <w:tcW w:w="30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105,013</w:t>
            </w:r>
          </w:p>
        </w:tc>
        <w:tc>
          <w:tcPr>
            <w:tcW w:w="100" w:type="dxa"/>
            <w:vAlign w:val="bottom"/>
            <w:shd w:val="clear" w:color="auto" w:fill="F0FFFF"/>
          </w:tcPr>
          <w:p>
            <w:pPr>
              <w:spacing w:after="0"/>
              <w:rPr>
                <w:sz w:val="22"/>
                <w:szCs w:val="22"/>
                <w:color w:val="auto"/>
              </w:rPr>
            </w:pPr>
          </w:p>
        </w:tc>
        <w:tc>
          <w:tcPr>
            <w:tcW w:w="360" w:type="dxa"/>
            <w:vAlign w:val="bottom"/>
            <w:shd w:val="clear" w:color="auto" w:fill="F0FF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62,336</w:t>
            </w:r>
          </w:p>
        </w:tc>
        <w:tc>
          <w:tcPr>
            <w:tcW w:w="0" w:type="dxa"/>
            <w:vAlign w:val="bottom"/>
          </w:tcPr>
          <w:p>
            <w:pPr>
              <w:spacing w:after="0"/>
              <w:rPr>
                <w:sz w:val="1"/>
                <w:szCs w:val="1"/>
                <w:color w:val="auto"/>
              </w:rPr>
            </w:pPr>
          </w:p>
        </w:tc>
      </w:tr>
      <w:tr>
        <w:trPr>
          <w:trHeight w:val="20"/>
        </w:trPr>
        <w:tc>
          <w:tcPr>
            <w:tcW w:w="4340" w:type="dxa"/>
            <w:vAlign w:val="bottom"/>
            <w:tcBorders>
              <w:top w:val="single" w:sz="8" w:color="F0FFFF"/>
            </w:tcBorders>
          </w:tcPr>
          <w:p>
            <w:pPr>
              <w:spacing w:after="0" w:line="20" w:lineRule="exact"/>
              <w:rPr>
                <w:sz w:val="1"/>
                <w:szCs w:val="1"/>
                <w:color w:val="auto"/>
              </w:rPr>
            </w:pPr>
          </w:p>
        </w:tc>
        <w:tc>
          <w:tcPr>
            <w:tcW w:w="2300" w:type="dxa"/>
            <w:vAlign w:val="bottom"/>
            <w:tcBorders>
              <w:top w:val="single" w:sz="8" w:color="F0FFFF"/>
              <w:bottom w:val="single" w:sz="8" w:color="F0FFFF"/>
            </w:tcBorders>
            <w:vMerge w:val="restart"/>
          </w:tcPr>
          <w:p>
            <w:pPr>
              <w:jc w:val="right"/>
              <w:ind w:right="1050"/>
              <w:spacing w:after="0"/>
              <w:rPr>
                <w:sz w:val="20"/>
                <w:szCs w:val="20"/>
                <w:color w:val="auto"/>
              </w:rPr>
            </w:pPr>
            <w:r>
              <w:rPr>
                <w:rFonts w:ascii="Arial" w:cs="Arial" w:eastAsia="Arial" w:hAnsi="Arial"/>
                <w:sz w:val="18"/>
                <w:szCs w:val="18"/>
                <w:color w:val="auto"/>
              </w:rPr>
              <w:t>114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00" w:lineRule="exact"/>
        <w:rPr>
          <w:sz w:val="20"/>
          <w:szCs w:val="20"/>
          <w:color w:val="auto"/>
        </w:rPr>
      </w:pPr>
    </w:p>
    <w:p>
      <w:pPr>
        <w:spacing w:after="0" w:line="27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21% in 2018 and 35% in 2017 and 2016 to income before income taxes are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Pretax income at statutory rates</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45,344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60,492</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57,047</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6,765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5,013</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Bank owned life insurance earnings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Adjustment to reserve for uncertain tax positions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Tax-exempt interest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Equity compensation</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Tax credit investments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Change in state statutory tax rate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Increase in valuation allowance</w:t>
            </w: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567</w:t>
            </w:r>
          </w:p>
        </w:tc>
      </w:tr>
      <w:tr>
        <w:trPr>
          <w:trHeight w:val="229"/>
        </w:trPr>
        <w:tc>
          <w:tcPr>
            <w:tcW w:w="6640" w:type="dxa"/>
            <w:vAlign w:val="bottom"/>
          </w:tcPr>
          <w:p>
            <w:pPr>
              <w:ind w:left="160"/>
              <w:spacing w:after="0"/>
              <w:rPr>
                <w:sz w:val="20"/>
                <w:szCs w:val="20"/>
                <w:color w:val="auto"/>
              </w:rPr>
            </w:pPr>
            <w:r>
              <w:rPr>
                <w:rFonts w:ascii="Arial" w:cs="Arial" w:eastAsia="Arial" w:hAnsi="Arial"/>
                <w:sz w:val="18"/>
                <w:szCs w:val="18"/>
                <w:color w:val="auto"/>
              </w:rPr>
              <w:t>Release of disproportionate tax effects related to de-designated cash flow</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hedges</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Expense due to enactment of federal tax reform</w:t>
            </w: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38,198</w:t>
            </w:r>
          </w:p>
        </w:tc>
        <w:tc>
          <w:tcPr>
            <w:tcW w:w="10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49,815</w:t>
            </w: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105,013</w:t>
            </w:r>
          </w:p>
        </w:tc>
        <w:tc>
          <w:tcPr>
            <w:tcW w:w="100" w:type="dxa"/>
            <w:vAlign w:val="bottom"/>
            <w:tcBorders>
              <w:bottom w:val="single" w:sz="8" w:color="F0FFFF"/>
            </w:tcBorders>
            <w:shd w:val="clear" w:color="auto" w:fill="F0FFFF"/>
          </w:tcPr>
          <w:p>
            <w:pPr>
              <w:spacing w:after="0"/>
              <w:rPr>
                <w:sz w:val="22"/>
                <w:szCs w:val="22"/>
                <w:color w:val="auto"/>
              </w:rPr>
            </w:pPr>
          </w:p>
        </w:tc>
        <w:tc>
          <w:tcPr>
            <w:tcW w:w="36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62,336</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December 22, 2017, H.R.1, commonly known as the Tax Cuts and Jobs Act of 2017 (the “Tax Act”) was signed into law. Among other things, the Tax Act reduced United’s corporate federal tax rate from 35% to 21% effective January 1, 2018. As a result, United was required to re-measure, through 2017 income tax expense, its deferred tax assets and liabilities using the enacted rate at which United expects them to be recovered or settled.</w:t>
      </w:r>
    </w:p>
    <w:p>
      <w:pPr>
        <w:spacing w:after="0" w:line="14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 xml:space="preserve">Also on December 22, 2017, the SEC staff issued Staff Accounting Bulletin No. 118 (“SAB 118”), which provided guidance on accounting for the tax effects of the Tax Act. SAB118 provided a one-year measurement period from the Tax Act enactment date for companies to complete the related accounting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United’s 2017 financial results reflected both the income tax effects of the Tax Act for which the accounting was complete and provisional amounts for certain income tax effects of the Tax Act for which the accounting was incomplete, but a reasonable estimate could be determined. In 2017, United recorded a provisional amount of income tax expense of $38.2 million for the impact of the re-measurement of its deferred tax asset. No material adjustments to the provisional amount were recorded during the one-year measurement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deferred tax asset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14,092</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39,204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56,428</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7,760</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Loan purchase accounting adjustments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14,478</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Reserve for losses on foreclosed properties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Nonqualified share based compensation</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1,182</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4,290</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Investment in partnerships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Unamortized pension actuarial losses and prior service cost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2,008</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Unrealized losses on securities available-for-sale</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8,092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2,430</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Unrealized losses on cash flow hedges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Premises and equipment</w:t>
            </w: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3,065</w:t>
            </w:r>
          </w:p>
        </w:tc>
      </w:tr>
      <w:tr>
        <w:trPr>
          <w:trHeight w:val="27"/>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87,233</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108,239</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Acquired intangible assets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3,734</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Loan origination costs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3,881</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Leases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Servicing assets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3,757</w:t>
            </w: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Derivatives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773</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Uncertain tax positions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19,638</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15,776</w:t>
            </w:r>
          </w:p>
        </w:tc>
      </w:tr>
      <w:tr>
        <w:trPr>
          <w:trHeight w:val="237"/>
        </w:trPr>
        <w:tc>
          <w:tcPr>
            <w:tcW w:w="802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4,414</w:t>
            </w:r>
          </w:p>
        </w:tc>
      </w:tr>
      <w:tr>
        <w:trPr>
          <w:trHeight w:val="27"/>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64,224</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88,049</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net deferred tax asset includes an increase of $2.64 million due to current year merger and acquisition activity.</w:t>
      </w:r>
    </w:p>
    <w:p>
      <w:pPr>
        <w:spacing w:after="0" w:line="225"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At December 31, 2018, United had state net operating loss carryforwards of approximately $3.71 million that begin to expire in 2019, $10.5 million that begin to expire in 2021 and $320 million that begin to expire in 2030, if not previously utilized. United had $98.0 million in federal net operating loss carryforwards subject to annual limitation under IRC Section 382 that begin to expire in 2027, if not previously utilized. United had $1.28 million of federal alternative minimum tax credits, which do not expire, subject to annual limitation under IRC Section 382 that are expected to be recovered after 2021 and remain classified as deferred tax assets. United had $5.17 million of state tax credits that begin to expire in 2019, if not previously utilized.</w:t>
      </w:r>
    </w:p>
    <w:p>
      <w:pPr>
        <w:spacing w:after="0" w:line="15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 ASC 740 requires that companies assess whether a valuation allowance should be established against their deferred tax assets based on the consideration of all available evidence using a “more likely than not” standard.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1" w:right="2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At December 31, 2018 and 2017, based on the assessment of all the positive and negative evidence, management concluded that it is more likely than not that nearly all of the net deferred tax asset will be realized based upon future taxable income. The valuation allowance of $3.37 million and $4.41 million, respectively, was related to specific state income tax credits that have short carryforward periods and certain acquired state net operating losses, both of which are expected to expire unused.</w:t>
      </w:r>
    </w:p>
    <w:p>
      <w:pPr>
        <w:spacing w:after="0" w:line="18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valuation allowance could fluctuate in future periods based on the assessment of the positive and negative evidence. Management’s conclusion at December 31, 2018 that it was more likely than not that the net deferred tax asset of $64.2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the deferred tax asset.</w:t>
      </w:r>
    </w:p>
    <w:p>
      <w:pPr>
        <w:spacing w:after="0" w:line="16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A reconciliation of the beginning and ending unrecognized tax benefit related to uncertain tax positions is as follows for the years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3,981</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Decreases resulting from a lapse in the applicable statute of limitations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Remeasurement due to enactment of federal tax reform</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3,892</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Approximately $2.84 million of the unrecognized tax benefit at December 31, 2018 would increase income from continuing operations, and thus affect United’s effective tax rate, if ultimately recognized into income.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There were no penalties and interest related to income taxes recorded in the income statement in 2018, 2017 or 2016. No amounts were accrued for interest and penalties on the balance sheet at December 31, 2018 or 2017.</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and its subsidiaries file a consolidated U.S. federal income tax return, as well as various state returns in the states where it operates. United’s federal and state income tax returns are no longer subject to examination by taxing authorities for years before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Employee Benefit Plans</w:t>
      </w:r>
    </w:p>
    <w:p>
      <w:pPr>
        <w:spacing w:after="0" w:line="229"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United offers a defined contribution 401(k) and Profit Sharing Plan (the “401(k) Plan”) that covers substantially all employees meeting certain minimum service requirements. The Plan allows employees to make pre-tax contributions to the 401(k) Plan and, prior to April 1, 2016, United matched 50% of these employee contributions up to 5% of eligible compensation, subject to Plan and regulatory limits. Effective April 1, 2016, the matching contribution was increased to 70% of employee contributions up to 5% of eligible compensation. The matching contribution was increased again to 100% of employee contributions up to 5% of eligible compensation effective March 1, 2018. Employees begin to receive matching contributions after completing one year of service and benefits vest after three years of service. United’s Plan is administered in accordance with applicable laws and regulations. Compensation expense from continuing operations related to the 401(k) Plan totaled $4.73 million, $2.66 million and $2.28 million in 2018, 2017 and 2016, respectively. The 401(k) Plan allows employees to choose to invest among a number of investment options that previously included United’s common stock. Effective January 1, 2015, United’s common stock was no longer offered as an investment option for new contributions.</w:t>
      </w:r>
    </w:p>
    <w:p>
      <w:pPr>
        <w:spacing w:after="0" w:line="16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sponsors a non-qualified deferred compensation plan for its executive officers, certain other key employees and members of United’s Board of Directors and its community banks’ advisory boards of directors. The deferred compensation plan provides for the pre-tax deferral of compensation, fees and other specified benefits. The deferred compensation plan also permits each employee participant to elect to defer a portion of his or her base salary, bonus or vested restricted stock units and permits each eligible director participant to elect to defer all or a portion of his or her director’s fees. Further, the deferred compensation plan allows for additional contributions by an employee, with matching contributions by United, for amounts that exceed the allowable amounts under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Employee Benefit Plans,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401(k) Plan. During 2018, 2017 and 2016, United recognized $119,000, $35,000 and $26,000, respectively, in matching contributions for this provision of the deferred compensation plan. The Board of Directors may also elect to make a discretionary contribution to any or all participants. No discretionary contributions were made in 2018, 2017 or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Defined Benefit Pension Plans</w:t>
      </w:r>
    </w:p>
    <w:p>
      <w:pPr>
        <w:spacing w:after="0" w:line="27"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United has an unfunded noncontributory defined benefit pension plan (“Modified Retirement Plan”) that covers certain executive officers and other key employees. The Modified Retirement Plan provides a fixed annual retirement benefit to plan participants.</w:t>
      </w:r>
    </w:p>
    <w:p>
      <w:pPr>
        <w:spacing w:after="0" w:line="18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United acquired Palmetto Bancshares, Inc. (“Palmetto”) on September 1, 2015, including its funded noncontributory defined benefit pension plan (“Funded Plan”), which covered all full-time Palmetto employees who had fulfilled at least 12 months of continuous service and attained age 21 by December 31, 2007. Benefits under the Funded Plan are no longer accrued for service subsequent to 2007. On December 28, 2018, United filed a Notice of Standard Termination with the Pension Benefit Guaranty Corporation in accordance with regulatory requirements. As such, United anticipates making final distributions of funds to participants and beneficiaries of the Funded Plan mid-year 2019.</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Weighted-average assumptions used to determine pension benefit obligations at year end and net periodic pension cost are shown in the table below:</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4980" w:type="dxa"/>
            <w:vAlign w:val="bottom"/>
          </w:tcPr>
          <w:p>
            <w:pPr>
              <w:spacing w:after="0"/>
              <w:rPr>
                <w:sz w:val="18"/>
                <w:szCs w:val="18"/>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Modified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Modified</w:t>
            </w:r>
          </w:p>
        </w:tc>
        <w:tc>
          <w:tcPr>
            <w:tcW w:w="110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3"/>
              </w:rPr>
              <w:t>Retirement</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Funded</w:t>
            </w: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3"/>
              </w:rPr>
              <w:t>Retirement</w:t>
            </w:r>
          </w:p>
        </w:tc>
        <w:tc>
          <w:tcPr>
            <w:tcW w:w="1100" w:type="dxa"/>
            <w:vAlign w:val="bottom"/>
          </w:tcPr>
          <w:p>
            <w:pPr>
              <w:jc w:val="right"/>
              <w:ind w:right="313"/>
              <w:spacing w:after="0"/>
              <w:rPr>
                <w:sz w:val="20"/>
                <w:szCs w:val="20"/>
                <w:color w:val="auto"/>
              </w:rPr>
            </w:pPr>
            <w:r>
              <w:rPr>
                <w:rFonts w:ascii="Arial" w:cs="Arial" w:eastAsia="Arial" w:hAnsi="Arial"/>
                <w:sz w:val="16"/>
                <w:szCs w:val="16"/>
                <w:b w:val="1"/>
                <w:bCs w:val="1"/>
                <w:color w:val="auto"/>
              </w:rPr>
              <w:t>Funded</w:t>
            </w:r>
          </w:p>
        </w:tc>
      </w:tr>
      <w:tr>
        <w:trPr>
          <w:trHeight w:val="210"/>
        </w:trPr>
        <w:tc>
          <w:tcPr>
            <w:tcW w:w="4980" w:type="dxa"/>
            <w:vAlign w:val="bottom"/>
          </w:tcPr>
          <w:p>
            <w:pPr>
              <w:spacing w:after="0"/>
              <w:rPr>
                <w:sz w:val="18"/>
                <w:szCs w:val="18"/>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Plan</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Plan</w:t>
            </w: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Plan</w:t>
            </w: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Plan</w:t>
            </w:r>
          </w:p>
        </w:tc>
      </w:tr>
      <w:tr>
        <w:trPr>
          <w:trHeight w:val="33"/>
        </w:trPr>
        <w:tc>
          <w:tcPr>
            <w:tcW w:w="4980" w:type="dxa"/>
            <w:vAlign w:val="bottom"/>
            <w:tcBorders>
              <w:bottom w:val="single" w:sz="8" w:color="F0FF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Discount rate for disclosures</w:t>
            </w:r>
          </w:p>
        </w:tc>
        <w:tc>
          <w:tcPr>
            <w:tcW w:w="13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20" w:type="dxa"/>
            <w:vAlign w:val="bottom"/>
            <w:tcBorders>
              <w:bottom w:val="single" w:sz="8" w:color="F0FFFF"/>
            </w:tcBorders>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Various</w:t>
            </w:r>
          </w:p>
        </w:tc>
        <w:tc>
          <w:tcPr>
            <w:tcW w:w="13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4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Expected long-term rate of return</w:t>
            </w:r>
          </w:p>
        </w:tc>
        <w:tc>
          <w:tcPr>
            <w:tcW w:w="1700" w:type="dxa"/>
            <w:vAlign w:val="bottom"/>
            <w:tcBorders>
              <w:bottom w:val="single" w:sz="8" w:color="F0FFFF"/>
            </w:tcBorders>
            <w:gridSpan w:val="3"/>
            <w:shd w:val="clear" w:color="auto" w:fill="F0FFFF"/>
          </w:tcPr>
          <w:p>
            <w:pPr>
              <w:ind w:left="840"/>
              <w:spacing w:after="0"/>
              <w:rPr>
                <w:sz w:val="20"/>
                <w:szCs w:val="20"/>
                <w:color w:val="auto"/>
              </w:rPr>
            </w:pPr>
            <w:r>
              <w:rPr>
                <w:rFonts w:ascii="Arial" w:cs="Arial" w:eastAsia="Arial" w:hAnsi="Arial"/>
                <w:sz w:val="18"/>
                <w:szCs w:val="18"/>
                <w:color w:val="auto"/>
              </w:rPr>
              <w:t>N/A</w:t>
            </w: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F0FFFF"/>
            </w:tcBorders>
            <w:shd w:val="clear" w:color="auto" w:fill="F0FFFF"/>
          </w:tcPr>
          <w:p>
            <w:pPr>
              <w:spacing w:after="0"/>
              <w:rPr>
                <w:sz w:val="21"/>
                <w:szCs w:val="21"/>
                <w:color w:val="auto"/>
              </w:rPr>
            </w:pPr>
          </w:p>
        </w:tc>
        <w:tc>
          <w:tcPr>
            <w:tcW w:w="1700" w:type="dxa"/>
            <w:vAlign w:val="bottom"/>
            <w:tcBorders>
              <w:bottom w:val="single" w:sz="8" w:color="F0FFFF"/>
            </w:tcBorders>
            <w:gridSpan w:val="3"/>
            <w:shd w:val="clear" w:color="auto" w:fill="F0FFFF"/>
          </w:tcPr>
          <w:p>
            <w:pPr>
              <w:ind w:left="840"/>
              <w:spacing w:after="0"/>
              <w:rPr>
                <w:sz w:val="20"/>
                <w:szCs w:val="20"/>
                <w:color w:val="auto"/>
              </w:rPr>
            </w:pPr>
            <w:r>
              <w:rPr>
                <w:rFonts w:ascii="Arial" w:cs="Arial" w:eastAsia="Arial" w:hAnsi="Arial"/>
                <w:sz w:val="18"/>
                <w:szCs w:val="18"/>
                <w:color w:val="auto"/>
              </w:rPr>
              <w:t>N/A</w:t>
            </w: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7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70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N/A</w:t>
            </w:r>
          </w:p>
        </w:tc>
      </w:tr>
      <w:tr>
        <w:trPr>
          <w:trHeight w:val="27"/>
        </w:trPr>
        <w:tc>
          <w:tcPr>
            <w:tcW w:w="4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980" w:type="dxa"/>
            <w:vAlign w:val="bottom"/>
            <w:shd w:val="clear" w:color="auto" w:fill="F0FFFF"/>
          </w:tcPr>
          <w:p>
            <w:pPr>
              <w:ind w:left="20"/>
              <w:spacing w:after="0"/>
              <w:rPr>
                <w:sz w:val="20"/>
                <w:szCs w:val="20"/>
                <w:color w:val="auto"/>
              </w:rPr>
            </w:pPr>
            <w:r>
              <w:rPr>
                <w:rFonts w:ascii="Arial" w:cs="Arial" w:eastAsia="Arial" w:hAnsi="Arial"/>
                <w:sz w:val="18"/>
                <w:szCs w:val="18"/>
                <w:color w:val="auto"/>
              </w:rPr>
              <w:t>Measurement date</w:t>
            </w:r>
          </w:p>
        </w:tc>
        <w:tc>
          <w:tcPr>
            <w:tcW w:w="1340" w:type="dxa"/>
            <w:vAlign w:val="bottom"/>
            <w:shd w:val="clear" w:color="auto" w:fill="F0FFFF"/>
          </w:tcPr>
          <w:p>
            <w:pPr>
              <w:jc w:val="right"/>
              <w:ind w:right="93"/>
              <w:spacing w:after="0"/>
              <w:rPr>
                <w:sz w:val="20"/>
                <w:szCs w:val="20"/>
                <w:color w:val="auto"/>
              </w:rPr>
            </w:pPr>
            <w:r>
              <w:rPr>
                <w:rFonts w:ascii="Arial" w:cs="Arial" w:eastAsia="Arial" w:hAnsi="Arial"/>
                <w:sz w:val="18"/>
                <w:szCs w:val="18"/>
                <w:color w:val="auto"/>
              </w:rPr>
              <w:t>12/31/2018</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shd w:val="clear" w:color="auto" w:fill="F0FFFF"/>
          </w:tcPr>
          <w:p>
            <w:pPr>
              <w:jc w:val="right"/>
              <w:ind w:right="93"/>
              <w:spacing w:after="0"/>
              <w:rPr>
                <w:sz w:val="20"/>
                <w:szCs w:val="20"/>
                <w:color w:val="auto"/>
              </w:rPr>
            </w:pPr>
            <w:r>
              <w:rPr>
                <w:rFonts w:ascii="Arial" w:cs="Arial" w:eastAsia="Arial" w:hAnsi="Arial"/>
                <w:sz w:val="18"/>
                <w:szCs w:val="18"/>
                <w:color w:val="auto"/>
                <w:w w:val="99"/>
              </w:rPr>
              <w:t>12/31/2018</w:t>
            </w:r>
          </w:p>
        </w:tc>
        <w:tc>
          <w:tcPr>
            <w:tcW w:w="120" w:type="dxa"/>
            <w:vAlign w:val="bottom"/>
            <w:shd w:val="clear" w:color="auto" w:fill="F0FFFF"/>
          </w:tcPr>
          <w:p>
            <w:pPr>
              <w:spacing w:after="0"/>
              <w:rPr>
                <w:sz w:val="21"/>
                <w:szCs w:val="21"/>
                <w:color w:val="auto"/>
              </w:rPr>
            </w:pPr>
          </w:p>
        </w:tc>
        <w:tc>
          <w:tcPr>
            <w:tcW w:w="1340" w:type="dxa"/>
            <w:vAlign w:val="bottom"/>
            <w:shd w:val="clear" w:color="auto" w:fill="F0FFFF"/>
          </w:tcPr>
          <w:p>
            <w:pPr>
              <w:jc w:val="right"/>
              <w:ind w:right="93"/>
              <w:spacing w:after="0"/>
              <w:rPr>
                <w:sz w:val="20"/>
                <w:szCs w:val="20"/>
                <w:color w:val="auto"/>
              </w:rPr>
            </w:pPr>
            <w:r>
              <w:rPr>
                <w:rFonts w:ascii="Arial" w:cs="Arial" w:eastAsia="Arial" w:hAnsi="Arial"/>
                <w:sz w:val="18"/>
                <w:szCs w:val="18"/>
                <w:color w:val="auto"/>
              </w:rPr>
              <w:t>12/31/2017</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shd w:val="clear" w:color="auto" w:fill="F0FFFF"/>
          </w:tcPr>
          <w:p>
            <w:pPr>
              <w:jc w:val="right"/>
              <w:ind w:right="93"/>
              <w:spacing w:after="0"/>
              <w:rPr>
                <w:sz w:val="20"/>
                <w:szCs w:val="20"/>
                <w:color w:val="auto"/>
              </w:rPr>
            </w:pPr>
            <w:r>
              <w:rPr>
                <w:rFonts w:ascii="Arial" w:cs="Arial" w:eastAsia="Arial" w:hAnsi="Arial"/>
                <w:sz w:val="18"/>
                <w:szCs w:val="18"/>
                <w:color w:val="auto"/>
                <w:w w:val="99"/>
              </w:rPr>
              <w:t>12/31/2017</w:t>
            </w:r>
          </w:p>
        </w:tc>
      </w:tr>
      <w:tr>
        <w:trPr>
          <w:trHeight w:val="27"/>
        </w:trPr>
        <w:tc>
          <w:tcPr>
            <w:tcW w:w="4980" w:type="dxa"/>
            <w:vAlign w:val="bottom"/>
            <w:shd w:val="clear" w:color="auto" w:fill="F0FFFF"/>
          </w:tcPr>
          <w:p>
            <w:pPr>
              <w:spacing w:after="0"/>
              <w:rPr>
                <w:sz w:val="2"/>
                <w:szCs w:val="2"/>
                <w:color w:val="auto"/>
              </w:rPr>
            </w:pPr>
          </w:p>
        </w:tc>
        <w:tc>
          <w:tcPr>
            <w:tcW w:w="13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3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The Modified Retirement Plan discount rates are determined in consultation with the third-party actuary and are set by matching the projected benefit cash flow to a notional yield curve developed by reference to high-quality fixed income investments. The discount rates are determined as the rate which would provide the same present value as the plan cash flows discounted to the measurement date using the full series of spot rates along the notional yield curve as of the measurement date. This process is also utilized when determining the Funded Plan discount rate for net periodic benefit cost. Because plan termination of the Funded Plan is imminent, when determining the 2018 discount rate for disclosures, assumptions were utilized that were consistent with those to be used with regard to plan termination. For retirees, a discount rate of 3.6% was determined based on the third-party actuary’s recent experience with group annuities from insurance companies. For non-retirees, the assumption is that all participants will elect a lump-sum payment and, as a result, the IRS assumptions for lump-sum payments were utilized (discount rate of 3.33% for payments in first five years, 4.39% for payments during next 15 years and 4.72% for payments beyond 20 years).</w:t>
      </w:r>
    </w:p>
    <w:p>
      <w:pPr>
        <w:spacing w:after="0" w:line="18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expected long-term rate of return is designed to approximate the actual long-term rate of return over time. Therefore, the pattern of income / expense recognition should match the stable pattern of services provided by employees over the life of the pension obligation. Expected returns on plan assets are developed in conjunction with input from external advisors and take into account the investment policy, actual investment allocation, long-term expected rates of return on the relevant asset classes and considers any material forward-looking return expectations for these major asset classes.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Employee Benefit Plans, continued</w:t>
      </w:r>
    </w:p>
    <w:p>
      <w:pPr>
        <w:spacing w:after="0" w:line="200" w:lineRule="exact"/>
        <w:rPr>
          <w:sz w:val="20"/>
          <w:szCs w:val="20"/>
          <w:color w:val="auto"/>
        </w:rPr>
      </w:pPr>
    </w:p>
    <w:p>
      <w:pPr>
        <w:spacing w:after="0" w:line="27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United recognizes the underfunded status of the plans as a liability in the consolidated balance sheets. Information about changes in obligations and plan assets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2018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Modified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Modified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Funded</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240" w:type="dxa"/>
            <w:vAlign w:val="bottom"/>
          </w:tcPr>
          <w:p>
            <w:pPr>
              <w:spacing w:after="0"/>
              <w:rPr>
                <w:sz w:val="17"/>
                <w:szCs w:val="17"/>
                <w:color w:val="auto"/>
              </w:rPr>
            </w:pPr>
          </w:p>
        </w:tc>
        <w:tc>
          <w:tcPr>
            <w:tcW w:w="1040" w:type="dxa"/>
            <w:vAlign w:val="bottom"/>
          </w:tcPr>
          <w:p>
            <w:pPr>
              <w:jc w:val="right"/>
              <w:ind w:right="291"/>
              <w:spacing w:after="0"/>
              <w:rPr>
                <w:sz w:val="20"/>
                <w:szCs w:val="20"/>
                <w:color w:val="auto"/>
              </w:rPr>
            </w:pPr>
            <w:r>
              <w:rPr>
                <w:rFonts w:ascii="Arial" w:cs="Arial" w:eastAsia="Arial" w:hAnsi="Arial"/>
                <w:sz w:val="16"/>
                <w:szCs w:val="16"/>
                <w:b w:val="1"/>
                <w:bCs w:val="1"/>
                <w:color w:val="auto"/>
              </w:rPr>
              <w:t>Funded</w:t>
            </w:r>
          </w:p>
        </w:tc>
      </w:t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Plan</w:t>
            </w: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Plan</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Plan</w:t>
            </w:r>
          </w:p>
        </w:tc>
        <w:tc>
          <w:tcPr>
            <w:tcW w:w="24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Plan</w:t>
            </w:r>
          </w:p>
        </w:tc>
      </w:tr>
      <w:tr>
        <w:trPr>
          <w:trHeight w:val="33"/>
        </w:trPr>
        <w:tc>
          <w:tcPr>
            <w:tcW w:w="52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Accumulated benefit obligation:</w:t>
            </w:r>
          </w:p>
        </w:tc>
        <w:tc>
          <w:tcPr>
            <w:tcW w:w="20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Accumulated benefit obligation - beginning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19,408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18,501</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Plan amendments</w:t>
            </w:r>
          </w:p>
        </w:tc>
        <w:tc>
          <w:tcPr>
            <w:tcW w:w="20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Actuarial (gains) losses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1,291</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Benefits paid</w:t>
            </w:r>
          </w:p>
        </w:tc>
        <w:tc>
          <w:tcPr>
            <w:tcW w:w="20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(2,830)</w:t>
            </w:r>
          </w:p>
        </w:tc>
      </w:tr>
      <w:tr>
        <w:trPr>
          <w:trHeight w:val="237"/>
        </w:trPr>
        <w:tc>
          <w:tcPr>
            <w:tcW w:w="5240" w:type="dxa"/>
            <w:vAlign w:val="bottom"/>
          </w:tcPr>
          <w:p>
            <w:pPr>
              <w:ind w:left="260"/>
              <w:spacing w:after="0"/>
              <w:rPr>
                <w:sz w:val="20"/>
                <w:szCs w:val="20"/>
                <w:color w:val="auto"/>
              </w:rPr>
            </w:pPr>
            <w:r>
              <w:rPr>
                <w:rFonts w:ascii="Arial" w:cs="Arial" w:eastAsia="Arial" w:hAnsi="Arial"/>
                <w:sz w:val="18"/>
                <w:szCs w:val="18"/>
                <w:color w:val="auto"/>
              </w:rPr>
              <w:t>Accumulated benefit obligation - end of year</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17,700</w:t>
            </w:r>
          </w:p>
        </w:tc>
      </w:tr>
      <w:tr>
        <w:trPr>
          <w:trHeight w:val="27"/>
        </w:trPr>
        <w:tc>
          <w:tcPr>
            <w:tcW w:w="52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Change in plan assets, at fair value:</w:t>
            </w:r>
          </w:p>
        </w:tc>
        <w:tc>
          <w:tcPr>
            <w:tcW w:w="20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Beginning plan assets</w:t>
            </w:r>
          </w:p>
        </w:tc>
        <w:tc>
          <w:tcPr>
            <w:tcW w:w="2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16,264</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Actual return</w:t>
            </w:r>
          </w:p>
        </w:tc>
        <w:tc>
          <w:tcPr>
            <w:tcW w:w="2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1"/>
              <w:spacing w:after="0"/>
              <w:rPr>
                <w:sz w:val="20"/>
                <w:szCs w:val="20"/>
                <w:color w:val="auto"/>
              </w:rPr>
            </w:pPr>
            <w:r>
              <w:rPr>
                <w:rFonts w:ascii="Arial" w:cs="Arial" w:eastAsia="Arial" w:hAnsi="Arial"/>
                <w:sz w:val="18"/>
                <w:szCs w:val="18"/>
                <w:color w:val="auto"/>
              </w:rPr>
              <w:t>874</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Employer contribution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Benefits paid</w:t>
            </w:r>
          </w:p>
        </w:tc>
        <w:tc>
          <w:tcPr>
            <w:tcW w:w="20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(2,830)</w:t>
            </w:r>
          </w:p>
        </w:tc>
      </w:tr>
      <w:tr>
        <w:trPr>
          <w:trHeight w:val="237"/>
        </w:trPr>
        <w:tc>
          <w:tcPr>
            <w:tcW w:w="5240" w:type="dxa"/>
            <w:vAlign w:val="bottom"/>
          </w:tcPr>
          <w:p>
            <w:pPr>
              <w:ind w:left="260"/>
              <w:spacing w:after="0"/>
              <w:rPr>
                <w:sz w:val="20"/>
                <w:szCs w:val="20"/>
                <w:color w:val="auto"/>
              </w:rPr>
            </w:pPr>
            <w:r>
              <w:rPr>
                <w:rFonts w:ascii="Arial" w:cs="Arial" w:eastAsia="Arial" w:hAnsi="Arial"/>
                <w:sz w:val="18"/>
                <w:szCs w:val="18"/>
                <w:color w:val="auto"/>
              </w:rPr>
              <w:t>Plan assets - end of year</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14,308</w:t>
            </w:r>
          </w:p>
        </w:tc>
      </w:tr>
      <w:tr>
        <w:trPr>
          <w:trHeight w:val="27"/>
        </w:trPr>
        <w:tc>
          <w:tcPr>
            <w:tcW w:w="52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w w:val="96"/>
              </w:rPr>
              <w:t>Funded status - end of year (plan assets less benefit obligations)</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(21,736)</w:t>
            </w: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(21,705)</w:t>
            </w: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(3,392)</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Components of net periodic benefit cost and other amounts recognized in other comprehensive income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2018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4"/>
              </w:rPr>
              <w:t>2017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4"/>
              </w:rPr>
              <w:t>2016</w:t>
            </w:r>
          </w:p>
        </w:tc>
        <w:tc>
          <w:tcPr>
            <w:tcW w:w="9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Modified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Modified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Modified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Retirement</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Funded</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Funded</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Funded</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Plan</w:t>
            </w: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Plan</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Plan</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Plan</w:t>
            </w:r>
          </w:p>
        </w:tc>
      </w:tr>
      <w:tr>
        <w:trPr>
          <w:trHeight w:val="33"/>
        </w:trPr>
        <w:tc>
          <w:tcPr>
            <w:tcW w:w="3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551</w:t>
            </w:r>
          </w:p>
        </w:tc>
        <w:tc>
          <w:tcPr>
            <w:tcW w:w="420" w:type="dxa"/>
            <w:vAlign w:val="bottom"/>
            <w:tcBorders>
              <w:bottom w:val="single" w:sz="8" w:color="F0FFFF"/>
            </w:tcBorders>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382</w:t>
            </w:r>
          </w:p>
        </w:tc>
        <w:tc>
          <w:tcPr>
            <w:tcW w:w="420" w:type="dxa"/>
            <w:vAlign w:val="bottom"/>
            <w:tcBorders>
              <w:bottom w:val="single" w:sz="8" w:color="F0FFFF"/>
            </w:tcBorders>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842</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(696)</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Amortization of net losses</w:t>
            </w:r>
          </w:p>
        </w:tc>
        <w:tc>
          <w:tcPr>
            <w:tcW w:w="16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Pr>
          <w:p>
            <w:pPr>
              <w:ind w:left="26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estimated net loss and prior service costs for the Modified Retirement Plan that will be amortized from accumulated other comprehensive income into net periodic benefit cost over the next fiscal year are $59,000 and $635,000, respectively, as of December 31, 2018. For the Funded Plan, United does not expect to amortize any estimated net loss or prior service costs from accumulated other comprehensive income into net periodic benefit cost over the next fiscal year. In 2019, United expects to make contributions to the Modified Retirement Plan of $1.14 million. During 2019, the Company also expects to make contributions to the Funded Plan in conjunction with its termination and final settlement, but such contributions are not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Employee Benefit Plans,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summarizes the estimated future benefit payments expected to be paid from the plans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With regard to the Funded Plan, the estimated future benefit payments were determined without regard to termination.</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Modified</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Retirement</w:t>
            </w:r>
          </w:p>
        </w:tc>
        <w:tc>
          <w:tcPr>
            <w:tcW w:w="300" w:type="dxa"/>
            <w:vAlign w:val="bottom"/>
          </w:tcPr>
          <w:p>
            <w:pPr>
              <w:spacing w:after="0"/>
              <w:rPr>
                <w:sz w:val="17"/>
                <w:szCs w:val="17"/>
                <w:color w:val="auto"/>
              </w:rPr>
            </w:pPr>
          </w:p>
        </w:tc>
        <w:tc>
          <w:tcPr>
            <w:tcW w:w="2900" w:type="dxa"/>
            <w:vAlign w:val="bottom"/>
            <w:gridSpan w:val="2"/>
          </w:tcPr>
          <w:p>
            <w:pPr>
              <w:jc w:val="center"/>
              <w:ind w:right="2020"/>
              <w:spacing w:after="0"/>
              <w:rPr>
                <w:sz w:val="20"/>
                <w:szCs w:val="20"/>
                <w:color w:val="auto"/>
              </w:rPr>
            </w:pPr>
            <w:r>
              <w:rPr>
                <w:rFonts w:ascii="Arial" w:cs="Arial" w:eastAsia="Arial" w:hAnsi="Arial"/>
                <w:sz w:val="16"/>
                <w:szCs w:val="16"/>
                <w:b w:val="1"/>
                <w:bCs w:val="1"/>
                <w:color w:val="auto"/>
                <w:w w:val="89"/>
              </w:rPr>
              <w:t>Funded</w:t>
            </w:r>
          </w:p>
        </w:tc>
      </w:tr>
      <w:tr>
        <w:trPr>
          <w:trHeight w:val="210"/>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2900" w:type="dxa"/>
            <w:vAlign w:val="bottom"/>
            <w:gridSpan w:val="2"/>
          </w:tcPr>
          <w:p>
            <w:pPr>
              <w:jc w:val="center"/>
              <w:ind w:right="2020"/>
              <w:spacing w:after="0"/>
              <w:rPr>
                <w:sz w:val="20"/>
                <w:szCs w:val="20"/>
                <w:color w:val="auto"/>
              </w:rPr>
            </w:pPr>
            <w:r>
              <w:rPr>
                <w:rFonts w:ascii="Arial" w:cs="Arial" w:eastAsia="Arial" w:hAnsi="Arial"/>
                <w:sz w:val="16"/>
                <w:szCs w:val="16"/>
                <w:b w:val="1"/>
                <w:bCs w:val="1"/>
                <w:color w:val="auto"/>
                <w:w w:val="94"/>
              </w:rPr>
              <w:t>Plan</w:t>
            </w:r>
          </w:p>
        </w:tc>
      </w:tr>
      <w:tr>
        <w:trPr>
          <w:trHeight w:val="33"/>
        </w:trPr>
        <w:tc>
          <w:tcPr>
            <w:tcW w:w="59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F0FFFF"/>
            </w:tcBorders>
          </w:tcPr>
          <w:p>
            <w:pPr>
              <w:spacing w:after="0"/>
              <w:rPr>
                <w:sz w:val="2"/>
                <w:szCs w:val="2"/>
                <w:color w:val="auto"/>
              </w:rPr>
            </w:pPr>
          </w:p>
        </w:tc>
      </w:tr>
      <w:tr>
        <w:trPr>
          <w:trHeight w:val="244"/>
        </w:trPr>
        <w:tc>
          <w:tcPr>
            <w:tcW w:w="5900" w:type="dxa"/>
            <w:vAlign w:val="bottom"/>
            <w:tcBorders>
              <w:bottom w:val="single" w:sz="8" w:color="F0FFFF"/>
            </w:tcBorders>
            <w:shd w:val="clear" w:color="auto" w:fill="F0FFFF"/>
          </w:tcPr>
          <w:p>
            <w:pPr>
              <w:ind w:left="17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1,083</w:t>
            </w:r>
          </w:p>
        </w:tc>
        <w:tc>
          <w:tcPr>
            <w:tcW w:w="1700" w:type="dxa"/>
            <w:vAlign w:val="bottom"/>
            <w:tcBorders>
              <w:bottom w:val="single" w:sz="8" w:color="F0FFFF"/>
            </w:tcBorders>
            <w:shd w:val="clear" w:color="auto" w:fill="F0FFFF"/>
          </w:tcPr>
          <w:p>
            <w:pPr>
              <w:spacing w:after="0"/>
              <w:rPr>
                <w:sz w:val="21"/>
                <w:szCs w:val="21"/>
                <w:color w:val="auto"/>
              </w:rPr>
            </w:pPr>
          </w:p>
        </w:tc>
      </w:tr>
      <w:tr>
        <w:trPr>
          <w:trHeight w:val="243"/>
        </w:trPr>
        <w:tc>
          <w:tcPr>
            <w:tcW w:w="5900" w:type="dxa"/>
            <w:vAlign w:val="bottom"/>
          </w:tcPr>
          <w:p>
            <w:pPr>
              <w:ind w:left="17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17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900" w:type="dxa"/>
            <w:vAlign w:val="bottom"/>
            <w:tcBorders>
              <w:bottom w:val="single" w:sz="8" w:color="F0FFFF"/>
            </w:tcBorders>
            <w:shd w:val="clear" w:color="auto" w:fill="F0FFFF"/>
          </w:tcPr>
          <w:p>
            <w:pPr>
              <w:ind w:left="17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1,056</w:t>
            </w:r>
          </w:p>
        </w:tc>
        <w:tc>
          <w:tcPr>
            <w:tcW w:w="1700" w:type="dxa"/>
            <w:vAlign w:val="bottom"/>
            <w:tcBorders>
              <w:bottom w:val="single" w:sz="8" w:color="F0FFFF"/>
            </w:tcBorders>
            <w:shd w:val="clear" w:color="auto" w:fill="F0FFFF"/>
          </w:tcPr>
          <w:p>
            <w:pPr>
              <w:spacing w:after="0"/>
              <w:rPr>
                <w:sz w:val="21"/>
                <w:szCs w:val="21"/>
                <w:color w:val="auto"/>
              </w:rPr>
            </w:pPr>
          </w:p>
        </w:tc>
      </w:tr>
      <w:tr>
        <w:trPr>
          <w:trHeight w:val="243"/>
        </w:trPr>
        <w:tc>
          <w:tcPr>
            <w:tcW w:w="5900" w:type="dxa"/>
            <w:vAlign w:val="bottom"/>
          </w:tcPr>
          <w:p>
            <w:pPr>
              <w:ind w:left="17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1,058</w:t>
            </w:r>
          </w:p>
        </w:tc>
        <w:tc>
          <w:tcPr>
            <w:tcW w:w="17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900" w:type="dxa"/>
            <w:vAlign w:val="bottom"/>
            <w:tcBorders>
              <w:bottom w:val="single" w:sz="8" w:color="F0FFFF"/>
            </w:tcBorders>
            <w:shd w:val="clear" w:color="auto" w:fill="F0FFFF"/>
          </w:tcPr>
          <w:p>
            <w:pPr>
              <w:ind w:left="17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1,037</w:t>
            </w:r>
          </w:p>
        </w:tc>
        <w:tc>
          <w:tcPr>
            <w:tcW w:w="1700" w:type="dxa"/>
            <w:vAlign w:val="bottom"/>
            <w:tcBorders>
              <w:bottom w:val="single" w:sz="8" w:color="F0FFFF"/>
            </w:tcBorders>
            <w:shd w:val="clear" w:color="auto" w:fill="F0FFFF"/>
          </w:tcPr>
          <w:p>
            <w:pPr>
              <w:spacing w:after="0"/>
              <w:rPr>
                <w:sz w:val="21"/>
                <w:szCs w:val="21"/>
                <w:color w:val="auto"/>
              </w:rPr>
            </w:pPr>
          </w:p>
        </w:tc>
      </w:tr>
      <w:tr>
        <w:trPr>
          <w:trHeight w:val="243"/>
        </w:trPr>
        <w:tc>
          <w:tcPr>
            <w:tcW w:w="5900" w:type="dxa"/>
            <w:vAlign w:val="bottom"/>
          </w:tcPr>
          <w:p>
            <w:pPr>
              <w:ind w:left="1740"/>
              <w:spacing w:after="0"/>
              <w:rPr>
                <w:sz w:val="20"/>
                <w:szCs w:val="20"/>
                <w:color w:val="auto"/>
              </w:rPr>
            </w:pPr>
            <w:r>
              <w:rPr>
                <w:rFonts w:ascii="Arial" w:cs="Arial" w:eastAsia="Arial" w:hAnsi="Arial"/>
                <w:sz w:val="18"/>
                <w:szCs w:val="18"/>
                <w:color w:val="auto"/>
              </w:rPr>
              <w:t>2024-2026</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4,984</w:t>
            </w:r>
          </w:p>
        </w:tc>
        <w:tc>
          <w:tcPr>
            <w:tcW w:w="1700" w:type="dxa"/>
            <w:vAlign w:val="bottom"/>
          </w:tcPr>
          <w:p>
            <w:pPr>
              <w:spacing w:after="0"/>
              <w:rPr>
                <w:sz w:val="21"/>
                <w:szCs w:val="21"/>
                <w:color w:val="auto"/>
              </w:rPr>
            </w:pPr>
          </w:p>
        </w:tc>
      </w:tr>
      <w:tr>
        <w:trPr>
          <w:trHeight w:val="27"/>
        </w:trPr>
        <w:tc>
          <w:tcPr>
            <w:tcW w:w="59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00" w:type="dxa"/>
            <w:vAlign w:val="bottom"/>
            <w:tcBorders>
              <w:bottom w:val="single" w:sz="8" w:color="F0FFFF"/>
            </w:tcBorders>
          </w:tcPr>
          <w:p>
            <w:pPr>
              <w:spacing w:after="0"/>
              <w:rPr>
                <w:sz w:val="2"/>
                <w:szCs w:val="2"/>
                <w:color w:val="auto"/>
              </w:rPr>
            </w:pPr>
          </w:p>
        </w:tc>
      </w:tr>
      <w:tr>
        <w:trPr>
          <w:trHeight w:val="269"/>
        </w:trPr>
        <w:tc>
          <w:tcPr>
            <w:tcW w:w="59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F0FFFF"/>
            </w:tcBorders>
            <w:shd w:val="clear" w:color="auto" w:fill="F0FFFF"/>
          </w:tcPr>
          <w:p>
            <w:pPr>
              <w:jc w:val="right"/>
              <w:ind w:right="12"/>
              <w:spacing w:after="0"/>
              <w:rPr>
                <w:sz w:val="20"/>
                <w:szCs w:val="20"/>
                <w:color w:val="auto"/>
              </w:rPr>
            </w:pPr>
            <w:r>
              <w:rPr>
                <w:rFonts w:ascii="Arial" w:cs="Arial" w:eastAsia="Arial" w:hAnsi="Arial"/>
                <w:sz w:val="18"/>
                <w:szCs w:val="18"/>
                <w:color w:val="auto"/>
              </w:rPr>
              <w:t>10,291</w:t>
            </w:r>
          </w:p>
        </w:tc>
        <w:tc>
          <w:tcPr>
            <w:tcW w:w="1700" w:type="dxa"/>
            <w:vAlign w:val="bottom"/>
            <w:tcBorders>
              <w:bottom w:val="single" w:sz="8" w:color="F0FFFF"/>
            </w:tcBorders>
            <w:shd w:val="clear" w:color="auto" w:fill="F0FFFF"/>
          </w:tcPr>
          <w:p>
            <w:pPr>
              <w:spacing w:after="0"/>
              <w:rPr>
                <w:sz w:val="22"/>
                <w:szCs w:val="22"/>
                <w:color w:val="auto"/>
              </w:rPr>
            </w:pPr>
          </w:p>
        </w:tc>
      </w:tr>
      <w:tr>
        <w:trPr>
          <w:trHeight w:val="20"/>
        </w:trPr>
        <w:tc>
          <w:tcPr>
            <w:tcW w:w="59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summarizes the Funded Plan assets by major category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Money market fund</w:t>
            </w:r>
          </w:p>
        </w:tc>
        <w:tc>
          <w:tcPr>
            <w:tcW w:w="24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1,033</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4,881</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U.S. Treasuries</w:t>
            </w: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4,465</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Exchange traded funds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2,216</w:t>
            </w:r>
          </w:p>
        </w:tc>
      </w:tr>
      <w:tr>
        <w:trPr>
          <w:trHeight w:val="27"/>
        </w:trPr>
        <w:tc>
          <w:tcPr>
            <w:tcW w:w="51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24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Total plan assets</w:t>
            </w:r>
          </w:p>
        </w:tc>
        <w:tc>
          <w:tcPr>
            <w:tcW w:w="2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F0FFFF"/>
          </w:tcPr>
          <w:p>
            <w:pPr>
              <w:spacing w:after="0"/>
              <w:rPr>
                <w:sz w:val="22"/>
                <w:szCs w:val="22"/>
                <w:color w:val="auto"/>
              </w:rPr>
            </w:pPr>
          </w:p>
        </w:tc>
        <w:tc>
          <w:tcPr>
            <w:tcW w:w="980" w:type="dxa"/>
            <w:vAlign w:val="bottom"/>
            <w:shd w:val="clear" w:color="auto" w:fill="F0FF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12,595</w:t>
            </w: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Money market fund</w:t>
            </w:r>
          </w:p>
        </w:tc>
        <w:tc>
          <w:tcPr>
            <w:tcW w:w="24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Corporate stocks</w:t>
            </w:r>
          </w:p>
        </w:tc>
        <w:tc>
          <w:tcPr>
            <w:tcW w:w="24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1,346</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Exchange traded funds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11,920</w:t>
            </w:r>
          </w:p>
        </w:tc>
      </w:tr>
      <w:tr>
        <w:trPr>
          <w:trHeight w:val="27"/>
        </w:trPr>
        <w:tc>
          <w:tcPr>
            <w:tcW w:w="51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24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Total plan assets</w:t>
            </w:r>
          </w:p>
        </w:tc>
        <w:tc>
          <w:tcPr>
            <w:tcW w:w="2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13,792</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F0FFFF"/>
          </w:tcPr>
          <w:p>
            <w:pPr>
              <w:spacing w:after="0"/>
              <w:rPr>
                <w:sz w:val="22"/>
                <w:szCs w:val="22"/>
                <w:color w:val="auto"/>
              </w:rPr>
            </w:pPr>
          </w:p>
        </w:tc>
        <w:tc>
          <w:tcPr>
            <w:tcW w:w="980" w:type="dxa"/>
            <w:vAlign w:val="bottom"/>
            <w:shd w:val="clear" w:color="auto" w:fill="F0FF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14,308</w:t>
            </w: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As previously disclosed, on December 28, 2018, United filed a Notice of Standard Termination with the Pension Benefit Guaranty Corporation and anticipates making final distributions of funds to participants and beneficiaries of the Funded Plan mid-year 2019. As such, given the short-term horizon, the investment objectives of the plan portfolio have been revised to position the assets in such a manner as to minimize exposure to market or interest rate volatility to ensure assets are liquid and readily available to meet the pension obligations. The precise amounts for which these obligations will be settled ultimately will depend on future events including the life expectancy of plan participants and annuity settlement rates.</w:t>
      </w:r>
    </w:p>
    <w:p>
      <w:pPr>
        <w:spacing w:after="0" w:line="15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Plan assets are managed by a third-party firm as approved by United’s Employee Benefits Committee. The Board of Directors delegated certain responsibilities to the Employee Benefits Committee including maintaining the investment policy of the plan, approving the appointment of the investment manager, reviewing the performance of the plan assets at least annually and supervising the plan termination process.</w:t>
      </w:r>
    </w:p>
    <w:p>
      <w:pPr>
        <w:spacing w:after="0" w:line="16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fair value measurement, money market funds are valued at amortized cost, which approximates fair value. Mutual funds, U.S. treasuries, corporate stocks, and exchange traded funds are valued at the closing price reported in the active market in which the instrument is traded. See Note 23 for more details regarding fair value measurements and the fair value hierarchy.</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management believes the valuation methods are appropriate and consistent with other</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20"/>
          </w:cols>
          <w:pgMar w:left="240" w:top="121" w:right="2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Employee Benefit Plans,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market participants, the use of different methodologies or assumptions to determine the fair value of certain financial instruments could result in a different fair value measurement at the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 and Hedging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arrangements on a gross basis.</w:t>
      </w:r>
    </w:p>
    <w:p>
      <w:pPr>
        <w:spacing w:after="0" w:line="170"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 xml:space="preserve">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 The table below presents the fair value of derivative financial instruments as of the dates indicated as well as their classification on the consolidated balance sheets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gridSpan w:val="2"/>
          </w:tcPr>
          <w:p>
            <w:pPr>
              <w:ind w:left="1780"/>
              <w:spacing w:after="0"/>
              <w:rPr>
                <w:sz w:val="20"/>
                <w:szCs w:val="20"/>
                <w:color w:val="auto"/>
              </w:rPr>
            </w:pPr>
            <w:r>
              <w:rPr>
                <w:rFonts w:ascii="Arial" w:cs="Arial" w:eastAsia="Arial" w:hAnsi="Arial"/>
                <w:sz w:val="16"/>
                <w:szCs w:val="16"/>
                <w:b w:val="1"/>
                <w:bCs w:val="1"/>
                <w:color w:val="auto"/>
              </w:rPr>
              <w:t>Interest Rate Products</w:t>
            </w:r>
          </w:p>
        </w:tc>
        <w:tc>
          <w:tcPr>
            <w:tcW w:w="2800" w:type="dxa"/>
            <w:vAlign w:val="bottom"/>
            <w:gridSpan w:val="2"/>
          </w:tcPr>
          <w:p>
            <w:pPr>
              <w:ind w:left="54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Fair value hedge of corporate bonds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Fair value hedge of brokered CDs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1,682</w:t>
            </w:r>
          </w:p>
        </w:tc>
        <w:tc>
          <w:tcPr>
            <w:tcW w:w="12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33"/>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1"/>
              </w:rPr>
              <w:t>Derivatives not designated as hedging instruments under ASC 815</w:t>
            </w: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gridSpan w:val="2"/>
          </w:tcPr>
          <w:p>
            <w:pPr>
              <w:ind w:left="1780"/>
              <w:spacing w:after="0"/>
              <w:rPr>
                <w:sz w:val="20"/>
                <w:szCs w:val="20"/>
                <w:color w:val="auto"/>
              </w:rPr>
            </w:pPr>
            <w:r>
              <w:rPr>
                <w:rFonts w:ascii="Arial" w:cs="Arial" w:eastAsia="Arial" w:hAnsi="Arial"/>
                <w:sz w:val="16"/>
                <w:szCs w:val="16"/>
                <w:b w:val="1"/>
                <w:bCs w:val="1"/>
                <w:color w:val="auto"/>
              </w:rPr>
              <w:t>Interest Rate Products</w:t>
            </w:r>
          </w:p>
        </w:tc>
        <w:tc>
          <w:tcPr>
            <w:tcW w:w="2800" w:type="dxa"/>
            <w:vAlign w:val="bottom"/>
            <w:gridSpan w:val="2"/>
          </w:tcPr>
          <w:p>
            <w:pPr>
              <w:ind w:left="54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Customer derivative positions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5,216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Dealer offsets to customer derivative positions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7,620</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Mortgage banking - loan commitment</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Mortgage banking - forward sales commitment</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Bifurcated embedded derivatives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11,057</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Interest rate caps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24,705</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22,385</w:t>
            </w:r>
          </w:p>
        </w:tc>
        <w:tc>
          <w:tcPr>
            <w:tcW w:w="0" w:type="dxa"/>
            <w:vAlign w:val="bottom"/>
          </w:tcPr>
          <w:p>
            <w:pPr>
              <w:spacing w:after="0"/>
              <w:rPr>
                <w:sz w:val="1"/>
                <w:szCs w:val="1"/>
                <w:color w:val="auto"/>
              </w:rPr>
            </w:pPr>
          </w:p>
        </w:tc>
      </w:tr>
      <w:tr>
        <w:trPr>
          <w:trHeight w:val="73"/>
        </w:trPr>
        <w:tc>
          <w:tcPr>
            <w:tcW w:w="5260" w:type="dxa"/>
            <w:vAlign w:val="bottom"/>
            <w:tcBorders>
              <w:bottom w:val="single" w:sz="8" w:color="F0FFFF"/>
            </w:tcBorders>
            <w:gridSpan w:val="2"/>
          </w:tcPr>
          <w:p>
            <w:pPr>
              <w:spacing w:after="0"/>
              <w:rPr>
                <w:sz w:val="6"/>
                <w:szCs w:val="6"/>
                <w:color w:val="auto"/>
              </w:rPr>
            </w:pPr>
          </w:p>
        </w:tc>
        <w:tc>
          <w:tcPr>
            <w:tcW w:w="2800" w:type="dxa"/>
            <w:vAlign w:val="bottom"/>
            <w:tcBorders>
              <w:bottom w:val="single" w:sz="8" w:color="F0FFFF"/>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F0FF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51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Customer derivative positions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9,661</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Dealer offsets to customer derivative positions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Risk participations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Mortgage banking - forward sales commitment</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Dealer offsets to bifurcated embedded derivatives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14,279</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De-designated hedges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24,751</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23,323</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 and Hedging Activities,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58"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6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statements of income.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7" w:lineRule="exact"/>
        <w:rPr>
          <w:sz w:val="20"/>
          <w:szCs w:val="20"/>
          <w:color w:val="auto"/>
        </w:rPr>
      </w:pPr>
    </w:p>
    <w:p>
      <w:pPr>
        <w:jc w:val="both"/>
        <w:ind w:left="340"/>
        <w:spacing w:after="0" w:line="292" w:lineRule="auto"/>
        <w:rPr>
          <w:sz w:val="20"/>
          <w:szCs w:val="20"/>
          <w:color w:val="auto"/>
        </w:rPr>
      </w:pPr>
      <w:r>
        <w:rPr>
          <w:rFonts w:ascii="Arial" w:cs="Arial" w:eastAsia="Arial" w:hAnsi="Arial"/>
          <w:sz w:val="16"/>
          <w:szCs w:val="16"/>
          <w:color w:val="auto"/>
        </w:rPr>
        <w:t>At December 31, 2018 and 2017, United did not have any active cash flow hedges. Changes in balance sheet composition and interest rate risk position made cash flow hedges no longer necessary as protection against rising interest rates, and as a result, instruments previously designated as cash flow hedges were de-designated. However, as the forecasted transactions the swaps were originally designated to hedge are still expected to occur, the remaining loss from these hedges is included in other comprehensive income and is being amortized into earnings over the original term of the swaps. United expects that $198,000 will be reclassified as an increase to interest expense over the next twelve months related to these cash flow hedges.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effect of cash flow hedges on the consolidated statements of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gridSpan w:val="8"/>
          </w:tcPr>
          <w:p>
            <w:pPr>
              <w:jc w:val="center"/>
              <w:ind w:right="1600"/>
              <w:spacing w:after="0"/>
              <w:rPr>
                <w:sz w:val="20"/>
                <w:szCs w:val="20"/>
                <w:color w:val="auto"/>
              </w:rPr>
            </w:pPr>
            <w:r>
              <w:rPr>
                <w:rFonts w:ascii="Arial" w:cs="Arial" w:eastAsia="Arial" w:hAnsi="Arial"/>
                <w:sz w:val="16"/>
                <w:szCs w:val="16"/>
                <w:b w:val="1"/>
                <w:bCs w:val="1"/>
                <w:color w:val="auto"/>
                <w:w w:val="91"/>
              </w:rPr>
              <w:t>Gain (Loss) Reclassified from Accumulated Other</w:t>
            </w:r>
          </w:p>
        </w:tc>
      </w:tr>
      <w:tr>
        <w:trPr>
          <w:trHeight w:val="203"/>
        </w:trPr>
        <w:tc>
          <w:tcPr>
            <w:tcW w:w="12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gridSpan w:val="8"/>
          </w:tcPr>
          <w:p>
            <w:pPr>
              <w:jc w:val="center"/>
              <w:ind w:right="1600"/>
              <w:spacing w:after="0"/>
              <w:rPr>
                <w:sz w:val="20"/>
                <w:szCs w:val="20"/>
                <w:color w:val="auto"/>
              </w:rPr>
            </w:pPr>
            <w:r>
              <w:rPr>
                <w:rFonts w:ascii="Arial" w:cs="Arial" w:eastAsia="Arial" w:hAnsi="Arial"/>
                <w:sz w:val="16"/>
                <w:szCs w:val="16"/>
                <w:b w:val="1"/>
                <w:bCs w:val="1"/>
                <w:color w:val="auto"/>
                <w:w w:val="91"/>
              </w:rPr>
              <w:t>Comprehensive Income into Income (Effective</w:t>
            </w:r>
          </w:p>
        </w:tc>
      </w:tr>
      <w:tr>
        <w:trPr>
          <w:trHeight w:val="210"/>
        </w:trPr>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Portion)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4340" w:type="dxa"/>
            <w:vAlign w:val="bottom"/>
            <w:gridSpan w:val="3"/>
          </w:tcPr>
          <w:p>
            <w:pPr>
              <w:ind w:left="174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500" w:type="dxa"/>
            <w:vAlign w:val="bottom"/>
          </w:tcPr>
          <w:p>
            <w:pPr>
              <w:spacing w:after="0"/>
              <w:rPr>
                <w:sz w:val="20"/>
                <w:szCs w:val="20"/>
                <w:color w:val="auto"/>
              </w:rPr>
            </w:pPr>
          </w:p>
        </w:tc>
      </w:tr>
      <w:tr>
        <w:trPr>
          <w:trHeight w:val="33"/>
        </w:trPr>
        <w:tc>
          <w:tcPr>
            <w:tcW w:w="1280" w:type="dxa"/>
            <w:vAlign w:val="bottom"/>
            <w:tcBorders>
              <w:bottom w:val="single" w:sz="8" w:color="F0FF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F0FFFF"/>
            </w:tcBorders>
          </w:tcPr>
          <w:p>
            <w:pPr>
              <w:spacing w:after="0"/>
              <w:rPr>
                <w:sz w:val="2"/>
                <w:szCs w:val="2"/>
                <w:color w:val="auto"/>
              </w:rPr>
            </w:pPr>
          </w:p>
        </w:tc>
      </w:tr>
      <w:tr>
        <w:trPr>
          <w:trHeight w:val="230"/>
        </w:trPr>
        <w:tc>
          <w:tcPr>
            <w:tcW w:w="1280" w:type="dxa"/>
            <w:vAlign w:val="bottom"/>
            <w:tcBorders>
              <w:bottom w:val="single" w:sz="8" w:color="F0FFFF"/>
            </w:tcBorders>
            <w:shd w:val="clear" w:color="auto" w:fill="F0FFFF"/>
          </w:tcPr>
          <w:p>
            <w:pPr>
              <w:spacing w:after="0"/>
              <w:rPr>
                <w:sz w:val="20"/>
                <w:szCs w:val="20"/>
                <w:color w:val="auto"/>
              </w:rPr>
            </w:pPr>
          </w:p>
        </w:tc>
        <w:tc>
          <w:tcPr>
            <w:tcW w:w="4340" w:type="dxa"/>
            <w:vAlign w:val="bottom"/>
            <w:tcBorders>
              <w:bottom w:val="single" w:sz="8" w:color="F0FFFF"/>
            </w:tcBorders>
            <w:gridSpan w:val="3"/>
            <w:shd w:val="clear" w:color="auto" w:fill="F0FFFF"/>
          </w:tcPr>
          <w:p>
            <w:pPr>
              <w:ind w:left="40"/>
              <w:spacing w:after="0"/>
              <w:rPr>
                <w:sz w:val="20"/>
                <w:szCs w:val="20"/>
                <w:color w:val="auto"/>
              </w:rPr>
            </w:pPr>
            <w:r>
              <w:rPr>
                <w:rFonts w:ascii="Arial" w:cs="Arial" w:eastAsia="Arial" w:hAnsi="Arial"/>
                <w:sz w:val="16"/>
                <w:szCs w:val="16"/>
                <w:color w:val="auto"/>
              </w:rPr>
              <w:t>Interest revenue</w:t>
            </w: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F0FFFF"/>
            </w:tcBorders>
            <w:shd w:val="clear" w:color="auto" w:fill="F0FFFF"/>
          </w:tcPr>
          <w:p>
            <w:pPr>
              <w:spacing w:after="0"/>
              <w:rPr>
                <w:sz w:val="20"/>
                <w:szCs w:val="20"/>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w:t>
            </w:r>
          </w:p>
        </w:tc>
        <w:tc>
          <w:tcPr>
            <w:tcW w:w="1500" w:type="dxa"/>
            <w:vAlign w:val="bottom"/>
            <w:tcBorders>
              <w:bottom w:val="single" w:sz="8" w:color="F0FFFF"/>
            </w:tcBorders>
            <w:shd w:val="clear" w:color="auto" w:fill="F0FFFF"/>
          </w:tcPr>
          <w:p>
            <w:pPr>
              <w:spacing w:after="0"/>
              <w:rPr>
                <w:sz w:val="20"/>
                <w:szCs w:val="20"/>
                <w:color w:val="auto"/>
              </w:rPr>
            </w:pPr>
          </w:p>
        </w:tc>
      </w:tr>
      <w:tr>
        <w:trPr>
          <w:trHeight w:val="237"/>
        </w:trPr>
        <w:tc>
          <w:tcPr>
            <w:tcW w:w="1280" w:type="dxa"/>
            <w:vAlign w:val="bottom"/>
          </w:tcPr>
          <w:p>
            <w:pPr>
              <w:spacing w:after="0"/>
              <w:rPr>
                <w:sz w:val="20"/>
                <w:szCs w:val="20"/>
                <w:color w:val="auto"/>
              </w:rPr>
            </w:pPr>
          </w:p>
        </w:tc>
        <w:tc>
          <w:tcPr>
            <w:tcW w:w="434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04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(1,884)</w:t>
            </w:r>
          </w:p>
        </w:tc>
        <w:tc>
          <w:tcPr>
            <w:tcW w:w="1500" w:type="dxa"/>
            <w:vAlign w:val="bottom"/>
          </w:tcPr>
          <w:p>
            <w:pPr>
              <w:spacing w:after="0"/>
              <w:rPr>
                <w:sz w:val="20"/>
                <w:szCs w:val="20"/>
                <w:color w:val="auto"/>
              </w:rPr>
            </w:pPr>
          </w:p>
        </w:tc>
      </w:tr>
      <w:tr>
        <w:trPr>
          <w:trHeight w:val="33"/>
        </w:trPr>
        <w:tc>
          <w:tcPr>
            <w:tcW w:w="1280" w:type="dxa"/>
            <w:vAlign w:val="bottom"/>
            <w:tcBorders>
              <w:bottom w:val="single" w:sz="8" w:color="F0FFFF"/>
            </w:tcBorders>
          </w:tcPr>
          <w:p>
            <w:pPr>
              <w:spacing w:after="0"/>
              <w:rPr>
                <w:sz w:val="2"/>
                <w:szCs w:val="2"/>
                <w:color w:val="auto"/>
              </w:rPr>
            </w:pPr>
          </w:p>
        </w:tc>
        <w:tc>
          <w:tcPr>
            <w:tcW w:w="40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F0FFFF"/>
            </w:tcBorders>
          </w:tcPr>
          <w:p>
            <w:pPr>
              <w:spacing w:after="0"/>
              <w:rPr>
                <w:sz w:val="2"/>
                <w:szCs w:val="2"/>
                <w:color w:val="auto"/>
              </w:rPr>
            </w:pPr>
          </w:p>
        </w:tc>
      </w:tr>
      <w:tr>
        <w:trPr>
          <w:trHeight w:val="255"/>
        </w:trPr>
        <w:tc>
          <w:tcPr>
            <w:tcW w:w="5620" w:type="dxa"/>
            <w:vAlign w:val="bottom"/>
            <w:tcBorders>
              <w:bottom w:val="single" w:sz="8" w:color="F0FFFF"/>
            </w:tcBorders>
            <w:gridSpan w:val="4"/>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(1,891)</w:t>
            </w:r>
          </w:p>
        </w:tc>
        <w:tc>
          <w:tcPr>
            <w:tcW w:w="1500" w:type="dxa"/>
            <w:vAlign w:val="bottom"/>
            <w:tcBorders>
              <w:bottom w:val="single" w:sz="8" w:color="F0FFFF"/>
            </w:tcBorders>
            <w:shd w:val="clear" w:color="auto" w:fill="F0FFFF"/>
          </w:tcPr>
          <w:p>
            <w:pPr>
              <w:spacing w:after="0"/>
              <w:rPr>
                <w:sz w:val="21"/>
                <w:szCs w:val="21"/>
                <w:color w:val="auto"/>
              </w:rPr>
            </w:pPr>
          </w:p>
        </w:tc>
      </w:tr>
      <w:tr>
        <w:trPr>
          <w:trHeight w:val="20"/>
        </w:trPr>
        <w:tc>
          <w:tcPr>
            <w:tcW w:w="1280" w:type="dxa"/>
            <w:vAlign w:val="bottom"/>
            <w:tcBorders>
              <w:top w:val="single" w:sz="8" w:color="F0FFFF"/>
            </w:tcBorders>
          </w:tcPr>
          <w:p>
            <w:pPr>
              <w:spacing w:after="0" w:line="20" w:lineRule="exact"/>
              <w:rPr>
                <w:sz w:val="1"/>
                <w:szCs w:val="1"/>
                <w:color w:val="auto"/>
              </w:rPr>
            </w:pPr>
          </w:p>
        </w:tc>
        <w:tc>
          <w:tcPr>
            <w:tcW w:w="40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w:t>
      </w:r>
    </w:p>
    <w:p>
      <w:pPr>
        <w:spacing w:after="0" w:line="19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At December 31, 2018, United had four interest rate swaps with an aggregate notional amount of $39.0 million that were designated as fair value hedges of interest rate risk and were pay-variable / receive-fixed swaps, hedging the changes in the fair value of fixed-rate brokered time deposits resulting from changes in interest rates. At December 31, 2017, United had four interest rate swaps with an aggregate notional amount of $40.7 million that were designated as fair value hedges of interest rate risk and were pay-variable / receive-fixed swaps, hedging the changes in the fair value of fixed rate brokered time deposits resulting from changes in interest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 and Hedging Activities,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rates. Also at December 31, 2017, United had one interest rate swap with a notional of $30 million that was designated as a pay-fixed / receive-variable fair value hedge of changes in the fair value of a fixed rate corporate bond.</w:t>
      </w:r>
    </w:p>
    <w:p>
      <w:pPr>
        <w:spacing w:after="0" w:line="170"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year ended December 31, 2018, 2017 and 2016, United recognized a net loss of $456,000, a net loss of $479,000 and a net gain of $2.29 million, respectively, related to ineffectiveness in the fair value hedging relationships. United also recognized a net increase in interest expense of $245,000 for the year ended December 31, 2018 and net reductions of interest expense of $160,000 and $1.61 million for the years ended December 31, 2017 and 2016, respectively, related to fair value hedges of brokered time deposits, which includes net settlements on the derivatives. United recognized an increase in interest revenue on securities of $17,000 during 2018 and reductions of interest revenue on securities of $302,000 and $606,000 during 2017 and 2016, respectively, related to fair value hedges of corporate bonds.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table below presents the effect of derivatives in fair value hedging relationships on the consolidated statements of income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w w:val="93"/>
              </w:rPr>
              <w:t>Location of Gain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Amount of Gain (Loss) Recognized in</w:t>
            </w:r>
          </w:p>
        </w:tc>
        <w:tc>
          <w:tcPr>
            <w:tcW w:w="240" w:type="dxa"/>
            <w:vAlign w:val="bottom"/>
          </w:tcPr>
          <w:p>
            <w:pPr>
              <w:spacing w:after="0"/>
              <w:rPr>
                <w:sz w:val="14"/>
                <w:szCs w:val="14"/>
                <w:color w:val="auto"/>
              </w:rPr>
            </w:pPr>
          </w:p>
        </w:tc>
        <w:tc>
          <w:tcPr>
            <w:tcW w:w="31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w w:val="92"/>
              </w:rPr>
              <w:t>Amount of Gain (Loss) Recognized in</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5"/>
          </w:tcPr>
          <w:p>
            <w:pPr>
              <w:jc w:val="center"/>
              <w:ind w:left="628"/>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6"/>
          </w:tcPr>
          <w:p>
            <w:pPr>
              <w:jc w:val="center"/>
              <w:ind w:left="508"/>
              <w:spacing w:after="0" w:line="149" w:lineRule="exact"/>
              <w:rPr>
                <w:sz w:val="20"/>
                <w:szCs w:val="20"/>
                <w:color w:val="auto"/>
              </w:rPr>
            </w:pPr>
            <w:r>
              <w:rPr>
                <w:rFonts w:ascii="Arial" w:cs="Arial" w:eastAsia="Arial" w:hAnsi="Arial"/>
                <w:sz w:val="14"/>
                <w:szCs w:val="14"/>
                <w:b w:val="1"/>
                <w:bCs w:val="1"/>
                <w:color w:val="auto"/>
                <w:w w:val="93"/>
              </w:rPr>
              <w:t>Income on Hedged Item</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240" w:type="dxa"/>
            <w:vAlign w:val="bottom"/>
          </w:tcPr>
          <w:p>
            <w:pPr>
              <w:spacing w:after="0"/>
              <w:rPr>
                <w:sz w:val="4"/>
                <w:szCs w:val="4"/>
                <w:color w:val="auto"/>
              </w:rPr>
            </w:pPr>
          </w:p>
        </w:tc>
        <w:tc>
          <w:tcPr>
            <w:tcW w:w="15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2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Fair value hedges of brokered CDs</w:t>
            </w:r>
          </w:p>
        </w:tc>
        <w:tc>
          <w:tcPr>
            <w:tcW w:w="15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76"/>
        </w:trPr>
        <w:tc>
          <w:tcPr>
            <w:tcW w:w="2240" w:type="dxa"/>
            <w:vAlign w:val="bottom"/>
            <w:shd w:val="clear" w:color="auto" w:fill="F0FFFF"/>
          </w:tcPr>
          <w:p>
            <w:pPr>
              <w:ind w:left="20"/>
              <w:spacing w:after="0"/>
              <w:rPr>
                <w:sz w:val="20"/>
                <w:szCs w:val="20"/>
                <w:color w:val="auto"/>
              </w:rPr>
            </w:pPr>
            <w:r>
              <w:rPr>
                <w:rFonts w:ascii="Arial" w:cs="Arial" w:eastAsia="Arial" w:hAnsi="Arial"/>
                <w:sz w:val="14"/>
                <w:szCs w:val="14"/>
                <w:color w:val="auto"/>
                <w:w w:val="94"/>
              </w:rPr>
              <w:t>Fair value hedges of corporate bonds</w:t>
            </w:r>
          </w:p>
        </w:tc>
        <w:tc>
          <w:tcPr>
            <w:tcW w:w="1520" w:type="dxa"/>
            <w:vAlign w:val="bottom"/>
          </w:tcPr>
          <w:p>
            <w:pPr>
              <w:ind w:left="40"/>
              <w:spacing w:after="0"/>
              <w:rPr>
                <w:sz w:val="20"/>
                <w:szCs w:val="20"/>
                <w:color w:val="auto"/>
              </w:rPr>
            </w:pPr>
            <w:r>
              <w:rPr>
                <w:rFonts w:ascii="Arial" w:cs="Arial" w:eastAsia="Arial" w:hAnsi="Arial"/>
                <w:sz w:val="14"/>
                <w:szCs w:val="14"/>
                <w:color w:val="auto"/>
              </w:rPr>
              <w:t>Noninterest income</w:t>
            </w:r>
          </w:p>
        </w:tc>
        <w:tc>
          <w:tcPr>
            <w:tcW w:w="120" w:type="dxa"/>
            <w:vAlign w:val="bottom"/>
            <w:shd w:val="clear" w:color="auto" w:fill="F0FFFF"/>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24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w w:val="94"/>
              </w:rPr>
              <w:t>Fair value hedges of corporate bonds</w:t>
            </w:r>
          </w:p>
        </w:tc>
        <w:tc>
          <w:tcPr>
            <w:tcW w:w="1520" w:type="dxa"/>
            <w:vAlign w:val="bottom"/>
            <w:tcBorders>
              <w:bottom w:val="single" w:sz="8" w:color="F0FFFF"/>
            </w:tcBorders>
          </w:tcPr>
          <w:p>
            <w:pPr>
              <w:ind w:left="40"/>
              <w:spacing w:after="0"/>
              <w:rPr>
                <w:sz w:val="20"/>
                <w:szCs w:val="20"/>
                <w:color w:val="auto"/>
              </w:rPr>
            </w:pPr>
            <w:r>
              <w:rPr>
                <w:rFonts w:ascii="Arial" w:cs="Arial" w:eastAsia="Arial" w:hAnsi="Arial"/>
                <w:sz w:val="14"/>
                <w:szCs w:val="14"/>
                <w:color w:val="auto"/>
              </w:rPr>
              <w:t>Interest revenue</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F0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37"/>
        </w:trPr>
        <w:tc>
          <w:tcPr>
            <w:tcW w:w="2240" w:type="dxa"/>
            <w:vAlign w:val="bottom"/>
            <w:shd w:val="clear" w:color="auto" w:fill="F0FFFF"/>
          </w:tcPr>
          <w:p>
            <w:pPr>
              <w:spacing w:after="0"/>
              <w:rPr>
                <w:sz w:val="20"/>
                <w:szCs w:val="20"/>
                <w:color w:val="auto"/>
              </w:rPr>
            </w:pPr>
          </w:p>
        </w:tc>
        <w:tc>
          <w:tcPr>
            <w:tcW w:w="1520" w:type="dxa"/>
            <w:vAlign w:val="bottom"/>
            <w:shd w:val="clear" w:color="auto" w:fill="F0FFFF"/>
          </w:tcPr>
          <w:p>
            <w:pPr>
              <w:spacing w:after="0"/>
              <w:rPr>
                <w:sz w:val="20"/>
                <w:szCs w:val="20"/>
                <w:color w:val="auto"/>
              </w:rPr>
            </w:pPr>
          </w:p>
        </w:tc>
        <w:tc>
          <w:tcPr>
            <w:tcW w:w="3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2240" w:type="dxa"/>
            <w:vAlign w:val="bottom"/>
            <w:tcBorders>
              <w:top w:val="single" w:sz="8" w:color="F0FFFF"/>
            </w:tcBorders>
          </w:tcPr>
          <w:p>
            <w:pPr>
              <w:spacing w:after="0" w:line="20" w:lineRule="exact"/>
              <w:rPr>
                <w:sz w:val="1"/>
                <w:szCs w:val="1"/>
                <w:color w:val="auto"/>
              </w:rPr>
            </w:pPr>
          </w:p>
        </w:tc>
        <w:tc>
          <w:tcPr>
            <w:tcW w:w="15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In certain cases, the estate of deceased brokered certificate of deposit holders may put the certificate of deposit back to United at par upon the death of the holder. When these death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death puts and such gains and losses are included in the amount of reported ineffectiveness gains or losses.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b w:val="1"/>
                <w:bCs w:val="1"/>
                <w:color w:val="auto"/>
              </w:rPr>
              <w:t>Income Statement Location</w:t>
            </w:r>
          </w:p>
        </w:tc>
        <w:tc>
          <w:tcPr>
            <w:tcW w:w="30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r>
      <w:tr>
        <w:trPr>
          <w:trHeight w:val="33"/>
        </w:trPr>
        <w:tc>
          <w:tcPr>
            <w:tcW w:w="4280" w:type="dxa"/>
            <w:vAlign w:val="bottom"/>
            <w:tcBorders>
              <w:bottom w:val="single" w:sz="8" w:color="F0FF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70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2,658</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F0FFFF"/>
            </w:tcBorders>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3,744</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3"/>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Interest rate caps</w:t>
            </w:r>
          </w:p>
        </w:tc>
        <w:tc>
          <w:tcPr>
            <w:tcW w:w="270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De-designated hedges</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Mortgage banking derivatives</w:t>
            </w:r>
          </w:p>
        </w:tc>
        <w:tc>
          <w:tcPr>
            <w:tcW w:w="270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Mortgage loan revenue</w:t>
            </w:r>
          </w:p>
        </w:tc>
        <w:tc>
          <w:tcPr>
            <w:tcW w:w="30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3,002</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Risk participations</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360</w:t>
            </w:r>
          </w:p>
        </w:tc>
      </w:tr>
      <w:tr>
        <w:trPr>
          <w:trHeight w:val="33"/>
        </w:trPr>
        <w:tc>
          <w:tcPr>
            <w:tcW w:w="4280" w:type="dxa"/>
            <w:vAlign w:val="bottom"/>
            <w:tcBorders>
              <w:bottom w:val="single" w:sz="8" w:color="F0FFFF"/>
            </w:tcBorders>
          </w:tcPr>
          <w:p>
            <w:pPr>
              <w:spacing w:after="0"/>
              <w:rPr>
                <w:sz w:val="2"/>
                <w:szCs w:val="2"/>
                <w:color w:val="auto"/>
              </w:rPr>
            </w:pPr>
          </w:p>
        </w:tc>
        <w:tc>
          <w:tcPr>
            <w:tcW w:w="25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gains and losses</w:t>
            </w:r>
          </w:p>
        </w:tc>
        <w:tc>
          <w:tcPr>
            <w:tcW w:w="25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4,413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2,364</w:t>
            </w:r>
          </w:p>
        </w:tc>
        <w:tc>
          <w:tcPr>
            <w:tcW w:w="1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auto"/>
            </w:tcBorders>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7,403</w:t>
            </w:r>
          </w:p>
        </w:tc>
      </w:tr>
      <w:tr>
        <w:trPr>
          <w:trHeight w:val="20"/>
        </w:trPr>
        <w:tc>
          <w:tcPr>
            <w:tcW w:w="4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 As of December 31, 2018, collateral totaling $16.1 million was pledged toward derivatives in a liability position.</w:t>
      </w:r>
    </w:p>
    <w:p>
      <w:pPr>
        <w:spacing w:after="0" w:line="19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1" w:right="2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 and Hedging Activities,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require additional collateral if United’s credit rating were downgraded.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Regulatory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Capital Requirements</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as revised by the Basel III Capital Rules effective as of January 1, 2015,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common equity Tier 1 capital (“CET1”) to risk-weighted assets, and of Tier 1 capital to average assets.</w:t>
      </w:r>
    </w:p>
    <w:p>
      <w:pPr>
        <w:spacing w:after="0" w:line="18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Effective January 1, 2015, the Basel III Capital Rules revised the framework for prompt corrective action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 and (iii) eliminating the current provision that provides that a bank with a composite supervisory rating of 1 may have a 3% leverage ratio and still be adequately capitalized.</w:t>
      </w:r>
    </w:p>
    <w:p>
      <w:pPr>
        <w:spacing w:after="0" w:line="18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2018, United and the Bank were categorized as well-capitalized under the regulatory framework for prompt corrective action in effect at such time. To be categorized as well-capitalized at December 31, 2018, United and the Bank must have exceeded the well-capitalized guideline ratios in effect at such time, as set forth in the table below and have met certain other requirements. Management believes that United and the Bank exceeded all well-capitalized requirements at December 31, 2018, and there have been no conditions or events since year-end that would change the status of well-capitalized.</w:t>
      </w:r>
    </w:p>
    <w:p>
      <w:pPr>
        <w:spacing w:after="0" w:line="18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 xml:space="preserve">Regulatory capital ratios at December 31, 2018 and 2017,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w w:val="94"/>
              </w:rPr>
              <w:t>United Community Banks, Inc.</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2"/>
        </w:trPr>
        <w:tc>
          <w:tcPr>
            <w:tcW w:w="2220" w:type="dxa"/>
            <w:vAlign w:val="bottom"/>
          </w:tcPr>
          <w:p>
            <w:pPr>
              <w:spacing w:after="0"/>
              <w:rPr>
                <w:sz w:val="17"/>
                <w:szCs w:val="17"/>
                <w:color w:val="auto"/>
              </w:rPr>
            </w:pPr>
          </w:p>
        </w:tc>
        <w:tc>
          <w:tcPr>
            <w:tcW w:w="2360" w:type="dxa"/>
            <w:vAlign w:val="bottom"/>
            <w:tcBorders>
              <w:bottom w:val="single" w:sz="8" w:color="auto"/>
            </w:tcBorders>
            <w:gridSpan w:val="3"/>
          </w:tcPr>
          <w:p>
            <w:pPr>
              <w:ind w:left="540"/>
              <w:spacing w:after="0"/>
              <w:rPr>
                <w:sz w:val="20"/>
                <w:szCs w:val="20"/>
                <w:color w:val="auto"/>
              </w:rPr>
            </w:pPr>
            <w:r>
              <w:rPr>
                <w:rFonts w:ascii="Arial" w:cs="Arial" w:eastAsia="Arial" w:hAnsi="Arial"/>
                <w:sz w:val="15"/>
                <w:szCs w:val="15"/>
                <w:b w:val="1"/>
                <w:bCs w:val="1"/>
                <w:color w:val="auto"/>
              </w:rPr>
              <w:t>Basel III Guidelines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5"/>
                <w:szCs w:val="15"/>
                <w:b w:val="1"/>
                <w:bCs w:val="1"/>
                <w:color w:val="auto"/>
                <w:w w:val="89"/>
              </w:rPr>
              <w:t>(consolidated)</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5"/>
                <w:szCs w:val="15"/>
                <w:b w:val="1"/>
                <w:bCs w:val="1"/>
                <w:color w:val="auto"/>
              </w:rPr>
              <w:t>United Community Bank</w:t>
            </w:r>
          </w:p>
        </w:tc>
      </w:tr>
      <w:tr>
        <w:trPr>
          <w:trHeight w:val="213"/>
        </w:trPr>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Well</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22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Minimum</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28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r>
      <w:tr>
        <w:trPr>
          <w:trHeight w:val="33"/>
        </w:trPr>
        <w:tc>
          <w:tcPr>
            <w:tcW w:w="2220" w:type="dxa"/>
            <w:vAlign w:val="bottom"/>
            <w:tcBorders>
              <w:bottom w:val="single" w:sz="8" w:color="F0FF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Risk-based ratios:</w:t>
            </w:r>
          </w:p>
        </w:tc>
        <w:tc>
          <w:tcPr>
            <w:tcW w:w="1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Common equity tier 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capital</w:t>
            </w:r>
          </w:p>
        </w:tc>
        <w:tc>
          <w:tcPr>
            <w:tcW w:w="1120" w:type="dxa"/>
            <w:vAlign w:val="bottom"/>
          </w:tcPr>
          <w:p>
            <w:pPr>
              <w:ind w:left="700"/>
              <w:spacing w:after="0"/>
              <w:rPr>
                <w:sz w:val="20"/>
                <w:szCs w:val="20"/>
                <w:color w:val="auto"/>
              </w:rPr>
            </w:pPr>
            <w:r>
              <w:rPr>
                <w:rFonts w:ascii="Arial" w:cs="Arial" w:eastAsia="Arial" w:hAnsi="Arial"/>
                <w:sz w:val="18"/>
                <w:szCs w:val="18"/>
                <w:color w:val="auto"/>
                <w:w w:val="97"/>
              </w:rPr>
              <w:t>4.5%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120" w:type="dxa"/>
            <w:vAlign w:val="bottom"/>
            <w:tcBorders>
              <w:bottom w:val="single" w:sz="8" w:color="F0FFFF"/>
            </w:tcBorders>
            <w:shd w:val="clear" w:color="auto" w:fill="F0FFFF"/>
          </w:tcPr>
          <w:p>
            <w:pPr>
              <w:ind w:left="70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13"/>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2"/>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rPr>
              <w:t>12.93</w:t>
            </w:r>
          </w:p>
        </w:tc>
      </w:tr>
      <w:tr>
        <w:trPr>
          <w:trHeight w:val="243"/>
        </w:trPr>
        <w:tc>
          <w:tcPr>
            <w:tcW w:w="222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120" w:type="dxa"/>
            <w:vAlign w:val="bottom"/>
          </w:tcPr>
          <w:p>
            <w:pPr>
              <w:ind w:left="7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13.63</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Tier 1 leverage ratio</w:t>
            </w:r>
          </w:p>
        </w:tc>
        <w:tc>
          <w:tcPr>
            <w:tcW w:w="1120" w:type="dxa"/>
            <w:vAlign w:val="bottom"/>
            <w:tcBorders>
              <w:bottom w:val="single" w:sz="8" w:color="F0FFFF"/>
            </w:tcBorders>
            <w:shd w:val="clear" w:color="auto" w:fill="F0FFFF"/>
          </w:tcPr>
          <w:p>
            <w:pPr>
              <w:ind w:left="70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1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13"/>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2"/>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rPr>
              <w:t>9.98</w:t>
            </w:r>
          </w:p>
        </w:tc>
      </w:tr>
      <w:tr>
        <w:trPr>
          <w:trHeight w:val="229"/>
        </w:trPr>
        <w:tc>
          <w:tcPr>
            <w:tcW w:w="2220" w:type="dxa"/>
            <w:vAlign w:val="bottom"/>
          </w:tcPr>
          <w:p>
            <w:pPr>
              <w:ind w:left="160"/>
              <w:spacing w:after="0"/>
              <w:rPr>
                <w:sz w:val="20"/>
                <w:szCs w:val="20"/>
                <w:color w:val="auto"/>
              </w:rPr>
            </w:pPr>
            <w:r>
              <w:rPr>
                <w:rFonts w:ascii="Arial" w:cs="Arial" w:eastAsia="Arial" w:hAnsi="Arial"/>
                <w:sz w:val="18"/>
                <w:szCs w:val="18"/>
                <w:color w:val="auto"/>
              </w:rPr>
              <w:t>Common equity tier 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220" w:type="dxa"/>
            <w:vAlign w:val="bottom"/>
          </w:tcPr>
          <w:p>
            <w:pPr>
              <w:ind w:left="160"/>
              <w:spacing w:after="0"/>
              <w:rPr>
                <w:sz w:val="20"/>
                <w:szCs w:val="20"/>
                <w:color w:val="auto"/>
              </w:rPr>
            </w:pPr>
            <w:r>
              <w:rPr>
                <w:rFonts w:ascii="Arial" w:cs="Arial" w:eastAsia="Arial" w:hAnsi="Arial"/>
                <w:sz w:val="18"/>
                <w:szCs w:val="18"/>
                <w:color w:val="auto"/>
              </w:rPr>
              <w:t>capital</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1,148,355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1,053,983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1,216,449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1,135,728</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13"/>
              <w:spacing w:after="0"/>
              <w:rPr>
                <w:sz w:val="20"/>
                <w:szCs w:val="20"/>
                <w:color w:val="auto"/>
              </w:rPr>
            </w:pPr>
            <w:r>
              <w:rPr>
                <w:rFonts w:ascii="Arial" w:cs="Arial" w:eastAsia="Arial" w:hAnsi="Arial"/>
                <w:sz w:val="18"/>
                <w:szCs w:val="18"/>
                <w:color w:val="auto"/>
              </w:rPr>
              <w:t>1,172,605</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w w:val="99"/>
              </w:rPr>
              <w:t>1,076,465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2"/>
              <w:spacing w:after="0"/>
              <w:rPr>
                <w:sz w:val="20"/>
                <w:szCs w:val="20"/>
                <w:color w:val="auto"/>
              </w:rPr>
            </w:pPr>
            <w:r>
              <w:rPr>
                <w:rFonts w:ascii="Arial" w:cs="Arial" w:eastAsia="Arial" w:hAnsi="Arial"/>
                <w:sz w:val="18"/>
                <w:szCs w:val="18"/>
                <w:color w:val="auto"/>
              </w:rPr>
              <w:t>1,216,449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rPr>
              <w:t>1,135,728</w:t>
            </w:r>
          </w:p>
        </w:tc>
      </w:tr>
      <w:tr>
        <w:trPr>
          <w:trHeight w:val="243"/>
        </w:trPr>
        <w:tc>
          <w:tcPr>
            <w:tcW w:w="222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1,348,843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1,149,191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1,281,062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1,196,954</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Risk-weighted assets</w:t>
            </w:r>
          </w:p>
        </w:tc>
        <w:tc>
          <w:tcPr>
            <w:tcW w:w="1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13"/>
              <w:spacing w:after="0"/>
              <w:rPr>
                <w:sz w:val="20"/>
                <w:szCs w:val="20"/>
                <w:color w:val="auto"/>
              </w:rPr>
            </w:pPr>
            <w:r>
              <w:rPr>
                <w:rFonts w:ascii="Arial" w:cs="Arial" w:eastAsia="Arial" w:hAnsi="Arial"/>
                <w:sz w:val="18"/>
                <w:szCs w:val="18"/>
                <w:color w:val="auto"/>
              </w:rPr>
              <w:t>9,441,622</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w w:val="99"/>
              </w:rPr>
              <w:t>8,797,387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2"/>
              <w:spacing w:after="0"/>
              <w:rPr>
                <w:sz w:val="20"/>
                <w:szCs w:val="20"/>
                <w:color w:val="auto"/>
              </w:rPr>
            </w:pPr>
            <w:r>
              <w:rPr>
                <w:rFonts w:ascii="Arial" w:cs="Arial" w:eastAsia="Arial" w:hAnsi="Arial"/>
                <w:sz w:val="18"/>
                <w:szCs w:val="18"/>
                <w:color w:val="auto"/>
              </w:rPr>
              <w:t>9,421,009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jc w:val="right"/>
              <w:ind w:right="91"/>
              <w:spacing w:after="0"/>
              <w:rPr>
                <w:sz w:val="20"/>
                <w:szCs w:val="20"/>
                <w:color w:val="auto"/>
              </w:rPr>
            </w:pPr>
            <w:r>
              <w:rPr>
                <w:rFonts w:ascii="Arial" w:cs="Arial" w:eastAsia="Arial" w:hAnsi="Arial"/>
                <w:sz w:val="18"/>
                <w:szCs w:val="18"/>
                <w:color w:val="auto"/>
              </w:rPr>
              <w:t>8,781,177</w:t>
            </w:r>
          </w:p>
        </w:tc>
      </w:tr>
      <w:tr>
        <w:trPr>
          <w:trHeight w:val="243"/>
        </w:trPr>
        <w:tc>
          <w:tcPr>
            <w:tcW w:w="2220" w:type="dxa"/>
            <w:vAlign w:val="bottom"/>
          </w:tcPr>
          <w:p>
            <w:pPr>
              <w:ind w:left="160"/>
              <w:spacing w:after="0"/>
              <w:rPr>
                <w:sz w:val="20"/>
                <w:szCs w:val="20"/>
                <w:color w:val="auto"/>
              </w:rPr>
            </w:pPr>
            <w:r>
              <w:rPr>
                <w:rFonts w:ascii="Arial" w:cs="Arial" w:eastAsia="Arial" w:hAnsi="Arial"/>
                <w:sz w:val="18"/>
                <w:szCs w:val="18"/>
                <w:color w:val="auto"/>
              </w:rPr>
              <w:t>Average total assets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12,207,986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88"/>
              </w:rPr>
              <w:t>11,403,248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12,183,341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11,385,716</w:t>
            </w:r>
          </w:p>
        </w:tc>
      </w:tr>
      <w:tr>
        <w:trPr>
          <w:trHeight w:val="702"/>
        </w:trPr>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Regulatory Matters,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Dividend, Loan and Other Restrictions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and 2017, the Bank did not have a required reserve balance at the Federal Reserve Bank of Atlanta.</w:t>
      </w:r>
    </w:p>
    <w:p>
      <w:pPr>
        <w:spacing w:after="0" w:line="21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Federal and state banking regulations place certain restrictions on dividends paid by the Bank to the Holding Company. In addition, dividends paid to the Holding Company require pre-approval of the Georgia Department of Banking and Finance and the FDIC while the Bank has an accumulated deficit (negative retained earnings). At December 31, 2018, the Bank no longer had an accumulated deficit. During 2018 and 2017, the Bank received regulatory approval to pay cash dividends to the Holding Company of $162 million and $103 million, respectively.</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the Holding Company, be secured by specific collateral, that the extension of credit to any one affiliate be limited to 10% of capital and surplus (as defined), and that extensions of credit to all such affiliates be limited to 20% of capital and surplus.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Bank is a party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consolidated balance sheets. The contract amounts of these instruments reflect the extent of involvement the Bank has in particular classes of financial instruments.</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summarizes, as of the dates indicated, the contract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Commitments to extend credit</w:t>
            </w:r>
          </w:p>
        </w:tc>
        <w:tc>
          <w:tcPr>
            <w:tcW w:w="320" w:type="dxa"/>
            <w:vAlign w:val="bottom"/>
            <w:tcBorders>
              <w:bottom w:val="single" w:sz="8" w:color="F0FFFF"/>
            </w:tcBorders>
            <w:shd w:val="clear" w:color="auto" w:fill="F0FF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2,129,463</w:t>
            </w:r>
          </w:p>
        </w:tc>
        <w:tc>
          <w:tcPr>
            <w:tcW w:w="10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w w:val="92"/>
              </w:rPr>
              <w:t>1,910,777</w:t>
            </w:r>
          </w:p>
        </w:tc>
        <w:tc>
          <w:tcPr>
            <w:tcW w:w="0" w:type="dxa"/>
            <w:vAlign w:val="bottom"/>
          </w:tcPr>
          <w:p>
            <w:pPr>
              <w:spacing w:after="0"/>
              <w:rPr>
                <w:sz w:val="1"/>
                <w:szCs w:val="1"/>
                <w:color w:val="auto"/>
              </w:rPr>
            </w:pPr>
          </w:p>
        </w:tc>
      </w:tr>
      <w:tr>
        <w:trPr>
          <w:trHeight w:val="243"/>
        </w:trPr>
        <w:tc>
          <w:tcPr>
            <w:tcW w:w="760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25,447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28,075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shd w:val="clear" w:color="auto" w:fill="F0FFFF"/>
          </w:tcPr>
          <w:p>
            <w:pPr>
              <w:ind w:left="20"/>
              <w:spacing w:after="0"/>
              <w:rPr>
                <w:sz w:val="20"/>
                <w:szCs w:val="20"/>
                <w:color w:val="auto"/>
              </w:rPr>
            </w:pPr>
            <w:r>
              <w:rPr>
                <w:rFonts w:ascii="Arial" w:cs="Arial" w:eastAsia="Arial" w:hAnsi="Arial"/>
                <w:sz w:val="18"/>
                <w:szCs w:val="18"/>
                <w:color w:val="auto"/>
              </w:rPr>
              <w:t>Minimum Lease Payments</w:t>
            </w: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28,844</w:t>
            </w:r>
          </w:p>
        </w:tc>
        <w:tc>
          <w:tcPr>
            <w:tcW w:w="100" w:type="dxa"/>
            <w:vAlign w:val="bottom"/>
            <w:shd w:val="clear" w:color="auto" w:fill="F0FFFF"/>
          </w:tcPr>
          <w:p>
            <w:pPr>
              <w:spacing w:after="0"/>
              <w:rPr>
                <w:sz w:val="21"/>
                <w:szCs w:val="21"/>
                <w:color w:val="auto"/>
              </w:rPr>
            </w:pPr>
          </w:p>
        </w:tc>
        <w:tc>
          <w:tcPr>
            <w:tcW w:w="500" w:type="dxa"/>
            <w:vAlign w:val="bottom"/>
            <w:shd w:val="clear" w:color="auto" w:fill="F0FFFF"/>
          </w:tcPr>
          <w:p>
            <w:pPr>
              <w:spacing w:after="0"/>
              <w:rPr>
                <w:sz w:val="21"/>
                <w:szCs w:val="21"/>
                <w:color w:val="auto"/>
              </w:rPr>
            </w:pPr>
          </w:p>
        </w:tc>
        <w:tc>
          <w:tcPr>
            <w:tcW w:w="8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27,101</w:t>
            </w:r>
          </w:p>
        </w:tc>
        <w:tc>
          <w:tcPr>
            <w:tcW w:w="0" w:type="dxa"/>
            <w:vAlign w:val="bottom"/>
          </w:tcPr>
          <w:p>
            <w:pPr>
              <w:spacing w:after="0"/>
              <w:rPr>
                <w:sz w:val="1"/>
                <w:szCs w:val="1"/>
                <w:color w:val="auto"/>
              </w:rPr>
            </w:pPr>
          </w:p>
        </w:tc>
      </w:tr>
      <w:tr>
        <w:trPr>
          <w:trHeight w:val="27"/>
        </w:trPr>
        <w:tc>
          <w:tcPr>
            <w:tcW w:w="760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50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19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17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maintains an allowance for unfunded loan commitments which is included in the balance of other liabilities in the consolidated balance sheets. The allowance for unfunded loan commitments is determined as part of the quarterly analysis of the allowance for credit losses and is based on probable incurred losses in unfunded loan commitments that are expected to result in funded loans.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1"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Bank holds minor investments in certain limited partnerships for CRA purposes. As of December 31, 2018, the Bank had a recorded investment of $14.7 million in these limited partnerships and had committed to fund an additional $8.39 million related to future capital calls that has not been reflected in the consolidated balance sheet.</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Common and Preferred Stock</w:t>
      </w:r>
    </w:p>
    <w:p>
      <w:pPr>
        <w:spacing w:after="0" w:line="2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In November of 2018, United’s Board of Directors approved an increase and extension of the existing common stock repurchase plan through December 31, 2019. Under the program, shares may be repurchased periodically in open market transactions at prevailing market prices, in privately negotiated transactions, or by other means in accordance with federal securities laws. The actual timing, number and value of shares repurchased depends on a number of factors, including the market price of United’s common stock, general market and economic conditions, and applicable legal requirements. During 2017 and 2018, no shares were repurchased under the program. As of December 31, 2018, United had remaining authorization to repurchase up to $50.0 million of outstanding common stock under the program.</w:t>
      </w:r>
    </w:p>
    <w:p>
      <w:pPr>
        <w:spacing w:after="0" w:line="17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 United had no preferred stock outstanding as of December 31, 2018 or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Equity Compensation and Related Plans</w:t>
      </w:r>
    </w:p>
    <w:p>
      <w:pPr>
        <w:spacing w:after="0" w:line="229"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of United or certain other conditions are met (as defined in the plan document). As of December 31, 2018, 1.55 million additional awards could be granted under the plan. Through December 31, 2018, incentive stock options, nonqualified stock options, restricted stock and restricted stock unit awards, base salary stock grants and performance share awards had been granted under the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1"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Equity Compensation and Related Plans,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and options outstanding and activity for the years ended December 31 consisted of the following:</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Restricted Stock</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4"/>
          </w:tcPr>
          <w:p>
            <w:pPr>
              <w:jc w:val="right"/>
              <w:ind w:right="123"/>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80"/>
              <w:spacing w:after="0" w:line="165" w:lineRule="exact"/>
              <w:rPr>
                <w:sz w:val="20"/>
                <w:szCs w:val="20"/>
                <w:color w:val="auto"/>
              </w:rPr>
            </w:pPr>
            <w:r>
              <w:rPr>
                <w:rFonts w:ascii="Arial" w:cs="Arial" w:eastAsia="Arial" w:hAnsi="Arial"/>
                <w:sz w:val="15"/>
                <w:szCs w:val="15"/>
                <w:b w:val="1"/>
                <w:bCs w:val="1"/>
                <w:color w:val="auto"/>
                <w:w w:val="91"/>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1"/>
              </w:rPr>
              <w:t>Weighted</w:t>
            </w:r>
          </w:p>
        </w:tc>
        <w:tc>
          <w:tcPr>
            <w:tcW w:w="1060" w:type="dxa"/>
            <w:vAlign w:val="bottom"/>
            <w:gridSpan w:val="4"/>
          </w:tcPr>
          <w:p>
            <w:pPr>
              <w:jc w:val="center"/>
              <w:spacing w:after="0" w:line="162" w:lineRule="exact"/>
              <w:rPr>
                <w:sz w:val="20"/>
                <w:szCs w:val="20"/>
                <w:color w:val="auto"/>
              </w:rPr>
            </w:pPr>
            <w:r>
              <w:rPr>
                <w:rFonts w:ascii="Arial" w:cs="Arial" w:eastAsia="Arial" w:hAnsi="Arial"/>
                <w:sz w:val="15"/>
                <w:szCs w:val="15"/>
                <w:b w:val="1"/>
                <w:bCs w:val="1"/>
                <w:color w:val="auto"/>
                <w:w w:val="88"/>
              </w:rPr>
              <w:t>Aggregate</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2"/>
              <w:spacing w:after="0" w:line="162" w:lineRule="exact"/>
              <w:rPr>
                <w:sz w:val="20"/>
                <w:szCs w:val="20"/>
                <w:color w:val="auto"/>
              </w:rPr>
            </w:pPr>
            <w:r>
              <w:rPr>
                <w:rFonts w:ascii="Arial" w:cs="Arial" w:eastAsia="Arial" w:hAnsi="Arial"/>
                <w:sz w:val="15"/>
                <w:szCs w:val="15"/>
                <w:b w:val="1"/>
                <w:bCs w:val="1"/>
                <w:color w:val="auto"/>
                <w:w w:val="91"/>
              </w:rPr>
              <w:t>Weighted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100"/>
              <w:spacing w:after="0" w:line="162" w:lineRule="exact"/>
              <w:rPr>
                <w:sz w:val="20"/>
                <w:szCs w:val="20"/>
                <w:color w:val="auto"/>
              </w:rPr>
            </w:pPr>
            <w:r>
              <w:rPr>
                <w:rFonts w:ascii="Arial" w:cs="Arial" w:eastAsia="Arial" w:hAnsi="Arial"/>
                <w:sz w:val="15"/>
                <w:szCs w:val="15"/>
                <w:b w:val="1"/>
                <w:bCs w:val="1"/>
                <w:color w:val="auto"/>
                <w:w w:val="87"/>
              </w:rPr>
              <w:t>Average</w:t>
            </w:r>
          </w:p>
        </w:tc>
        <w:tc>
          <w:tcPr>
            <w:tcW w:w="160" w:type="dxa"/>
            <w:vAlign w:val="bottom"/>
          </w:tcPr>
          <w:p>
            <w:pPr>
              <w:spacing w:after="0"/>
              <w:rPr>
                <w:sz w:val="14"/>
                <w:szCs w:val="14"/>
                <w:color w:val="auto"/>
              </w:rPr>
            </w:pPr>
          </w:p>
        </w:tc>
        <w:tc>
          <w:tcPr>
            <w:tcW w:w="900" w:type="dxa"/>
            <w:vAlign w:val="bottom"/>
          </w:tcPr>
          <w:p>
            <w:pPr>
              <w:jc w:val="center"/>
              <w:ind w:right="73"/>
              <w:spacing w:after="0" w:line="162" w:lineRule="exact"/>
              <w:rPr>
                <w:sz w:val="20"/>
                <w:szCs w:val="20"/>
                <w:color w:val="auto"/>
              </w:rPr>
            </w:pPr>
            <w:r>
              <w:rPr>
                <w:rFonts w:ascii="Arial" w:cs="Arial" w:eastAsia="Arial" w:hAnsi="Arial"/>
                <w:sz w:val="15"/>
                <w:szCs w:val="15"/>
                <w:b w:val="1"/>
                <w:bCs w:val="1"/>
                <w:color w:val="auto"/>
                <w:w w:val="88"/>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Average Grant</w:t>
            </w:r>
          </w:p>
        </w:tc>
        <w:tc>
          <w:tcPr>
            <w:tcW w:w="240" w:type="dxa"/>
            <w:vAlign w:val="bottom"/>
          </w:tcPr>
          <w:p>
            <w:pPr>
              <w:spacing w:after="0"/>
              <w:rPr>
                <w:sz w:val="14"/>
                <w:szCs w:val="14"/>
                <w:color w:val="auto"/>
              </w:rPr>
            </w:pPr>
          </w:p>
        </w:tc>
        <w:tc>
          <w:tcPr>
            <w:tcW w:w="820" w:type="dxa"/>
            <w:vAlign w:val="bottom"/>
            <w:gridSpan w:val="3"/>
          </w:tcPr>
          <w:p>
            <w:pPr>
              <w:jc w:val="center"/>
              <w:ind w:right="170"/>
              <w:spacing w:after="0" w:line="162" w:lineRule="exact"/>
              <w:rPr>
                <w:sz w:val="20"/>
                <w:szCs w:val="20"/>
                <w:color w:val="auto"/>
              </w:rPr>
            </w:pPr>
            <w:r>
              <w:rPr>
                <w:rFonts w:ascii="Arial" w:cs="Arial" w:eastAsia="Arial" w:hAnsi="Arial"/>
                <w:sz w:val="15"/>
                <w:szCs w:val="15"/>
                <w:b w:val="1"/>
                <w:bCs w:val="1"/>
                <w:color w:val="auto"/>
                <w:w w:val="95"/>
              </w:rPr>
              <w:t>Intrinsic</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2"/>
              <w:spacing w:after="0" w:line="162" w:lineRule="exact"/>
              <w:rPr>
                <w:sz w:val="20"/>
                <w:szCs w:val="20"/>
                <w:color w:val="auto"/>
              </w:rPr>
            </w:pPr>
            <w:r>
              <w:rPr>
                <w:rFonts w:ascii="Arial" w:cs="Arial" w:eastAsia="Arial" w:hAnsi="Arial"/>
                <w:sz w:val="15"/>
                <w:szCs w:val="15"/>
                <w:b w:val="1"/>
                <w:bCs w:val="1"/>
                <w:color w:val="auto"/>
                <w:w w:val="91"/>
              </w:rPr>
              <w:t>Average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100"/>
              <w:spacing w:after="0" w:line="162" w:lineRule="exact"/>
              <w:rPr>
                <w:sz w:val="20"/>
                <w:szCs w:val="20"/>
                <w:color w:val="auto"/>
              </w:rPr>
            </w:pPr>
            <w:r>
              <w:rPr>
                <w:rFonts w:ascii="Arial" w:cs="Arial" w:eastAsia="Arial" w:hAnsi="Arial"/>
                <w:sz w:val="15"/>
                <w:szCs w:val="15"/>
                <w:b w:val="1"/>
                <w:bCs w:val="1"/>
                <w:color w:val="auto"/>
                <w:w w:val="93"/>
              </w:rPr>
              <w:t>Remaining</w:t>
            </w:r>
          </w:p>
        </w:tc>
        <w:tc>
          <w:tcPr>
            <w:tcW w:w="106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Intrinsic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2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360" w:type="dxa"/>
            <w:vAlign w:val="bottom"/>
            <w:tcBorders>
              <w:bottom w:val="single" w:sz="8" w:color="F0FFFF"/>
            </w:tcBorders>
          </w:tcPr>
          <w:p>
            <w:pPr>
              <w:spacing w:after="0"/>
              <w:rPr>
                <w:sz w:val="17"/>
                <w:szCs w:val="17"/>
                <w:color w:val="auto"/>
              </w:rPr>
            </w:pPr>
          </w:p>
        </w:tc>
        <w:tc>
          <w:tcPr>
            <w:tcW w:w="480" w:type="dxa"/>
            <w:vAlign w:val="bottom"/>
            <w:tcBorders>
              <w:bottom w:val="single" w:sz="8" w:color="F0FFFF"/>
            </w:tcBorders>
          </w:tcPr>
          <w:p>
            <w:pPr>
              <w:spacing w:after="0"/>
              <w:rPr>
                <w:sz w:val="17"/>
                <w:szCs w:val="17"/>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F0FFFF"/>
            </w:tcBorders>
          </w:tcPr>
          <w:p>
            <w:pPr>
              <w:spacing w:after="0"/>
              <w:rPr>
                <w:sz w:val="17"/>
                <w:szCs w:val="17"/>
                <w:color w:val="auto"/>
              </w:rPr>
            </w:pPr>
          </w:p>
        </w:tc>
        <w:tc>
          <w:tcPr>
            <w:tcW w:w="80" w:type="dxa"/>
            <w:vAlign w:val="bottom"/>
            <w:tcBorders>
              <w:bottom w:val="single" w:sz="8" w:color="F0FFFF"/>
            </w:tcBorders>
          </w:tcPr>
          <w:p>
            <w:pPr>
              <w:spacing w:after="0"/>
              <w:rPr>
                <w:sz w:val="17"/>
                <w:szCs w:val="17"/>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Date Fair Value</w:t>
            </w:r>
          </w:p>
        </w:tc>
        <w:tc>
          <w:tcPr>
            <w:tcW w:w="120" w:type="dxa"/>
            <w:vAlign w:val="bottom"/>
            <w:tcBorders>
              <w:bottom w:val="single" w:sz="8" w:color="F0FFFF"/>
            </w:tcBorders>
          </w:tcPr>
          <w:p>
            <w:pPr>
              <w:spacing w:after="0"/>
              <w:rPr>
                <w:sz w:val="17"/>
                <w:szCs w:val="17"/>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Value (000’s)</w:t>
            </w:r>
          </w:p>
        </w:tc>
        <w:tc>
          <w:tcPr>
            <w:tcW w:w="120" w:type="dxa"/>
            <w:vAlign w:val="bottom"/>
            <w:tcBorders>
              <w:bottom w:val="single" w:sz="8" w:color="F0FFFF"/>
            </w:tcBorders>
          </w:tcPr>
          <w:p>
            <w:pPr>
              <w:spacing w:after="0"/>
              <w:rPr>
                <w:sz w:val="17"/>
                <w:szCs w:val="17"/>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5"/>
                <w:szCs w:val="15"/>
                <w:b w:val="1"/>
                <w:bCs w:val="1"/>
                <w:color w:val="auto"/>
              </w:rPr>
              <w:t>Shares</w:t>
            </w:r>
          </w:p>
        </w:tc>
        <w:tc>
          <w:tcPr>
            <w:tcW w:w="20" w:type="dxa"/>
            <w:vAlign w:val="bottom"/>
            <w:tcBorders>
              <w:bottom w:val="single" w:sz="8" w:color="F0FFFF"/>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Exercise Price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F0FFFF"/>
            </w:tcBorders>
          </w:tcPr>
          <w:p>
            <w:pPr>
              <w:spacing w:after="0"/>
              <w:rPr>
                <w:sz w:val="17"/>
                <w:szCs w:val="17"/>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5"/>
              </w:rPr>
              <w:t>Term (Yrs.)</w:t>
            </w:r>
          </w:p>
        </w:tc>
        <w:tc>
          <w:tcPr>
            <w:tcW w:w="100" w:type="dxa"/>
            <w:vAlign w:val="bottom"/>
            <w:tcBorders>
              <w:bottom w:val="single" w:sz="8" w:color="F0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5"/>
                <w:szCs w:val="15"/>
                <w:b w:val="1"/>
                <w:bCs w:val="1"/>
                <w:color w:val="auto"/>
                <w:w w:val="92"/>
              </w:rPr>
              <w:t>(000’s)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00" w:type="dxa"/>
            <w:vAlign w:val="bottom"/>
            <w:tcBorders>
              <w:bottom w:val="single" w:sz="8" w:color="F0FFFF"/>
            </w:tcBorders>
            <w:gridSpan w:val="3"/>
            <w:shd w:val="clear" w:color="auto" w:fill="F0FFFF"/>
          </w:tcPr>
          <w:p>
            <w:pPr>
              <w:ind w:left="20"/>
              <w:spacing w:after="0"/>
              <w:rPr>
                <w:sz w:val="20"/>
                <w:szCs w:val="20"/>
                <w:color w:val="auto"/>
              </w:rPr>
            </w:pPr>
            <w:r>
              <w:rPr>
                <w:rFonts w:ascii="Arial" w:cs="Arial" w:eastAsia="Arial" w:hAnsi="Arial"/>
                <w:sz w:val="18"/>
                <w:szCs w:val="18"/>
                <w:color w:val="auto"/>
              </w:rPr>
              <w:t>December 31, 2015</w:t>
            </w:r>
          </w:p>
        </w:tc>
        <w:tc>
          <w:tcPr>
            <w:tcW w:w="1480" w:type="dxa"/>
            <w:vAlign w:val="bottom"/>
            <w:tcBorders>
              <w:bottom w:val="single" w:sz="8" w:color="F0FFFF"/>
            </w:tcBorders>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712,667</w:t>
            </w:r>
          </w:p>
        </w:tc>
        <w:tc>
          <w:tcPr>
            <w:tcW w:w="8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241,493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89.92</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302,012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F0FFFF"/>
            </w:tcBorders>
            <w:gridSpan w:val="4"/>
            <w:shd w:val="clear" w:color="auto" w:fill="F0FFFF"/>
          </w:tcPr>
          <w:p>
            <w:pPr>
              <w:jc w:val="right"/>
              <w:spacing w:after="0"/>
              <w:rPr>
                <w:sz w:val="20"/>
                <w:szCs w:val="20"/>
                <w:color w:val="auto"/>
              </w:rPr>
            </w:pPr>
            <w:r>
              <w:rPr>
                <w:rFonts w:ascii="Arial" w:cs="Arial" w:eastAsia="Arial" w:hAnsi="Arial"/>
                <w:sz w:val="18"/>
                <w:szCs w:val="18"/>
                <w:color w:val="auto"/>
              </w:rPr>
              <w:t>(261,729)</w:t>
            </w: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ind w:left="160"/>
              <w:spacing w:after="0"/>
              <w:rPr>
                <w:sz w:val="20"/>
                <w:szCs w:val="20"/>
                <w:color w:val="auto"/>
              </w:rPr>
            </w:pPr>
            <w:r>
              <w:rPr>
                <w:rFonts w:ascii="Arial" w:cs="Arial" w:eastAsia="Arial" w:hAnsi="Arial"/>
                <w:sz w:val="18"/>
                <w:szCs w:val="18"/>
                <w:color w:val="auto"/>
              </w:rPr>
              <w:t>Expired</w:t>
            </w:r>
          </w:p>
        </w:tc>
        <w:tc>
          <w:tcPr>
            <w:tcW w:w="4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(52,853)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Cancelled</w:t>
            </w:r>
          </w:p>
        </w:tc>
        <w:tc>
          <w:tcPr>
            <w:tcW w:w="4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(61,980)</w:t>
            </w:r>
          </w:p>
        </w:tc>
        <w:tc>
          <w:tcPr>
            <w:tcW w:w="40" w:type="dxa"/>
            <w:vAlign w:val="bottom"/>
            <w:tcBorders>
              <w:bottom w:val="single" w:sz="8" w:color="F0FFFF"/>
            </w:tcBorders>
            <w:shd w:val="clear" w:color="auto" w:fill="F0FFFF"/>
          </w:tcPr>
          <w:p>
            <w:pPr>
              <w:spacing w:after="0"/>
              <w:rPr>
                <w:sz w:val="23"/>
                <w:szCs w:val="23"/>
                <w:color w:val="auto"/>
              </w:rPr>
            </w:pPr>
          </w:p>
        </w:tc>
        <w:tc>
          <w:tcPr>
            <w:tcW w:w="8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64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(115,975)</w:t>
            </w:r>
          </w:p>
        </w:tc>
        <w:tc>
          <w:tcPr>
            <w:tcW w:w="2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104.05</w:t>
            </w:r>
          </w:p>
        </w:tc>
        <w:tc>
          <w:tcPr>
            <w:tcW w:w="6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5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December 31, 2016</w:t>
            </w:r>
          </w:p>
        </w:tc>
        <w:tc>
          <w:tcPr>
            <w:tcW w:w="48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690,970</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72,665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F0FFFF"/>
            </w:tcBorders>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270,339</w:t>
            </w:r>
          </w:p>
        </w:tc>
        <w:tc>
          <w:tcPr>
            <w:tcW w:w="8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ind w:left="160"/>
              <w:spacing w:after="0"/>
              <w:rPr>
                <w:sz w:val="20"/>
                <w:szCs w:val="20"/>
                <w:color w:val="auto"/>
              </w:rPr>
            </w:pPr>
            <w:r>
              <w:rPr>
                <w:rFonts w:ascii="Arial" w:cs="Arial" w:eastAsia="Arial" w:hAnsi="Arial"/>
                <w:sz w:val="18"/>
                <w:szCs w:val="18"/>
                <w:color w:val="auto"/>
              </w:rPr>
              <w:t>Vested</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(284,662)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Expired</w:t>
            </w:r>
          </w:p>
        </w:tc>
        <w:tc>
          <w:tcPr>
            <w:tcW w:w="4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(1,538)</w:t>
            </w: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147.60</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ind w:left="160"/>
              <w:spacing w:after="0"/>
              <w:rPr>
                <w:sz w:val="20"/>
                <w:szCs w:val="20"/>
                <w:color w:val="auto"/>
              </w:rPr>
            </w:pPr>
            <w:r>
              <w:rPr>
                <w:rFonts w:ascii="Arial" w:cs="Arial" w:eastAsia="Arial" w:hAnsi="Arial"/>
                <w:sz w:val="18"/>
                <w:szCs w:val="18"/>
                <w:color w:val="auto"/>
              </w:rPr>
              <w:t>Cancelled</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(12,830)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(10,840)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F0FFFF"/>
            </w:tcBorders>
          </w:tcPr>
          <w:p>
            <w:pPr>
              <w:spacing w:after="0"/>
              <w:rPr>
                <w:sz w:val="2"/>
                <w:szCs w:val="2"/>
                <w:color w:val="auto"/>
              </w:rPr>
            </w:pPr>
          </w:p>
        </w:tc>
        <w:tc>
          <w:tcPr>
            <w:tcW w:w="80" w:type="dxa"/>
            <w:vAlign w:val="bottom"/>
            <w:tcBorders>
              <w:bottom w:val="single" w:sz="8" w:color="F0FFFF"/>
            </w:tcBorders>
          </w:tcPr>
          <w:p>
            <w:pPr>
              <w:spacing w:after="0"/>
              <w:rPr>
                <w:sz w:val="2"/>
                <w:szCs w:val="2"/>
                <w:color w:val="auto"/>
              </w:rPr>
            </w:pPr>
          </w:p>
        </w:tc>
        <w:tc>
          <w:tcPr>
            <w:tcW w:w="180" w:type="dxa"/>
            <w:vAlign w:val="bottom"/>
            <w:tcBorders>
              <w:bottom w:val="single" w:sz="8" w:color="F0FFFF"/>
            </w:tcBorders>
          </w:tcPr>
          <w:p>
            <w:pPr>
              <w:spacing w:after="0"/>
              <w:rPr>
                <w:sz w:val="2"/>
                <w:szCs w:val="2"/>
                <w:color w:val="auto"/>
              </w:rPr>
            </w:pPr>
          </w:p>
        </w:tc>
        <w:tc>
          <w:tcPr>
            <w:tcW w:w="9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6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900" w:type="dxa"/>
            <w:vAlign w:val="bottom"/>
            <w:tcBorders>
              <w:bottom w:val="single" w:sz="8" w:color="F0FF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F0FFFF"/>
            </w:tcBorders>
            <w:gridSpan w:val="3"/>
            <w:shd w:val="clear" w:color="auto" w:fill="F0FFFF"/>
          </w:tcPr>
          <w:p>
            <w:pPr>
              <w:ind w:left="20"/>
              <w:spacing w:after="0"/>
              <w:rPr>
                <w:sz w:val="20"/>
                <w:szCs w:val="20"/>
                <w:color w:val="auto"/>
              </w:rPr>
            </w:pPr>
            <w:r>
              <w:rPr>
                <w:rFonts w:ascii="Arial" w:cs="Arial" w:eastAsia="Arial" w:hAnsi="Arial"/>
                <w:sz w:val="18"/>
                <w:szCs w:val="18"/>
                <w:color w:val="auto"/>
              </w:rPr>
              <w:t>December 31, 2017</w:t>
            </w:r>
          </w:p>
        </w:tc>
        <w:tc>
          <w:tcPr>
            <w:tcW w:w="1480" w:type="dxa"/>
            <w:vAlign w:val="bottom"/>
            <w:tcBorders>
              <w:bottom w:val="single" w:sz="8" w:color="F0FFFF"/>
            </w:tcBorders>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663,817</w:t>
            </w:r>
          </w:p>
        </w:tc>
        <w:tc>
          <w:tcPr>
            <w:tcW w:w="8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60,287</w:t>
            </w: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24.12</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416,484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Vested / Exercised</w:t>
            </w:r>
          </w:p>
        </w:tc>
        <w:tc>
          <w:tcPr>
            <w:tcW w:w="1560" w:type="dxa"/>
            <w:vAlign w:val="bottom"/>
            <w:tcBorders>
              <w:bottom w:val="single" w:sz="8" w:color="F0FFFF"/>
            </w:tcBorders>
            <w:gridSpan w:val="4"/>
            <w:shd w:val="clear" w:color="auto" w:fill="F0FFFF"/>
          </w:tcPr>
          <w:p>
            <w:pPr>
              <w:jc w:val="right"/>
              <w:spacing w:after="0"/>
              <w:rPr>
                <w:sz w:val="20"/>
                <w:szCs w:val="20"/>
                <w:color w:val="auto"/>
              </w:rPr>
            </w:pPr>
            <w:r>
              <w:rPr>
                <w:rFonts w:ascii="Arial" w:cs="Arial" w:eastAsia="Arial" w:hAnsi="Arial"/>
                <w:sz w:val="18"/>
                <w:szCs w:val="18"/>
                <w:color w:val="auto"/>
              </w:rPr>
              <w:t>(290,013)</w:t>
            </w: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0FFFF"/>
            </w:tcBorders>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8,805</w:t>
            </w:r>
          </w:p>
        </w:tc>
        <w:tc>
          <w:tcPr>
            <w:tcW w:w="1160" w:type="dxa"/>
            <w:vAlign w:val="bottom"/>
            <w:tcBorders>
              <w:bottom w:val="single" w:sz="8" w:color="F0FFFF"/>
            </w:tcBorders>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(12,000)</w:t>
            </w: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gridSpan w:val="3"/>
          </w:tcPr>
          <w:p>
            <w:pPr>
              <w:ind w:left="160"/>
              <w:spacing w:after="0"/>
              <w:rPr>
                <w:sz w:val="20"/>
                <w:szCs w:val="20"/>
                <w:color w:val="auto"/>
              </w:rPr>
            </w:pPr>
            <w:r>
              <w:rPr>
                <w:rFonts w:ascii="Arial" w:cs="Arial" w:eastAsia="Arial" w:hAnsi="Arial"/>
                <w:sz w:val="18"/>
                <w:szCs w:val="18"/>
                <w:color w:val="auto"/>
              </w:rPr>
              <w:t>Cancelled</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(30,542)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(1,148)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60" w:type="dxa"/>
            <w:vAlign w:val="bottom"/>
            <w:tcBorders>
              <w:bottom w:val="single" w:sz="8" w:color="F0FFFF"/>
            </w:tcBorders>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F0FFFF"/>
            </w:tcBorders>
          </w:tcPr>
          <w:p>
            <w:pPr>
              <w:spacing w:after="0"/>
              <w:rPr>
                <w:sz w:val="2"/>
                <w:szCs w:val="2"/>
                <w:color w:val="auto"/>
              </w:rPr>
            </w:pPr>
          </w:p>
        </w:tc>
        <w:tc>
          <w:tcPr>
            <w:tcW w:w="80" w:type="dxa"/>
            <w:vAlign w:val="bottom"/>
            <w:tcBorders>
              <w:bottom w:val="single" w:sz="8" w:color="F0FFFF"/>
            </w:tcBorders>
          </w:tcPr>
          <w:p>
            <w:pPr>
              <w:spacing w:after="0"/>
              <w:rPr>
                <w:sz w:val="2"/>
                <w:szCs w:val="2"/>
                <w:color w:val="auto"/>
              </w:rPr>
            </w:pPr>
          </w:p>
        </w:tc>
        <w:tc>
          <w:tcPr>
            <w:tcW w:w="180" w:type="dxa"/>
            <w:vAlign w:val="bottom"/>
            <w:tcBorders>
              <w:bottom w:val="single" w:sz="8" w:color="F0FFFF"/>
            </w:tcBorders>
          </w:tcPr>
          <w:p>
            <w:pPr>
              <w:spacing w:after="0"/>
              <w:rPr>
                <w:sz w:val="2"/>
                <w:szCs w:val="2"/>
                <w:color w:val="auto"/>
              </w:rPr>
            </w:pPr>
          </w:p>
        </w:tc>
        <w:tc>
          <w:tcPr>
            <w:tcW w:w="9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6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900" w:type="dxa"/>
            <w:vAlign w:val="bottom"/>
            <w:tcBorders>
              <w:bottom w:val="single" w:sz="8" w:color="F0FF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0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December 31, 2018</w:t>
            </w:r>
          </w:p>
        </w:tc>
        <w:tc>
          <w:tcPr>
            <w:tcW w:w="14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759,746</w:t>
            </w:r>
          </w:p>
        </w:tc>
        <w:tc>
          <w:tcPr>
            <w:tcW w:w="80" w:type="dxa"/>
            <w:vAlign w:val="bottom"/>
            <w:shd w:val="clear" w:color="auto" w:fill="F0FFFF"/>
          </w:tcPr>
          <w:p>
            <w:pPr>
              <w:spacing w:after="0"/>
              <w:rPr>
                <w:sz w:val="22"/>
                <w:szCs w:val="22"/>
                <w:color w:val="auto"/>
              </w:rPr>
            </w:pPr>
          </w:p>
        </w:tc>
        <w:tc>
          <w:tcPr>
            <w:tcW w:w="4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820" w:type="dxa"/>
            <w:vAlign w:val="bottom"/>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16,304</w:t>
            </w:r>
          </w:p>
        </w:tc>
        <w:tc>
          <w:tcPr>
            <w:tcW w:w="11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47,139</w:t>
            </w:r>
          </w:p>
        </w:tc>
        <w:tc>
          <w:tcPr>
            <w:tcW w:w="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27.07</w:t>
            </w:r>
          </w:p>
        </w:tc>
        <w:tc>
          <w:tcPr>
            <w:tcW w:w="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440" w:type="dxa"/>
            <w:vAlign w:val="bottom"/>
            <w:shd w:val="clear" w:color="auto" w:fill="F0FFFF"/>
          </w:tcPr>
          <w:p>
            <w:pPr>
              <w:spacing w:after="0"/>
              <w:rPr>
                <w:sz w:val="22"/>
                <w:szCs w:val="22"/>
                <w:color w:val="auto"/>
              </w:rPr>
            </w:pPr>
          </w:p>
        </w:tc>
        <w:tc>
          <w:tcPr>
            <w:tcW w:w="6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F0FFFF"/>
              <w:bottom w:val="single" w:sz="8" w:color="F0FFFF"/>
            </w:tcBorders>
            <w:gridSpan w:val="3"/>
            <w:vMerge w:val="restart"/>
          </w:tcPr>
          <w:p>
            <w:pPr>
              <w:ind w:left="20"/>
              <w:spacing w:after="0"/>
              <w:rPr>
                <w:sz w:val="20"/>
                <w:szCs w:val="20"/>
                <w:color w:val="auto"/>
              </w:rPr>
            </w:pPr>
            <w:r>
              <w:rPr>
                <w:rFonts w:ascii="Arial" w:cs="Arial" w:eastAsia="Arial" w:hAnsi="Arial"/>
                <w:sz w:val="18"/>
                <w:szCs w:val="18"/>
                <w:color w:val="auto"/>
              </w:rPr>
              <w:t>Vested / Exercisable</w:t>
            </w:r>
          </w:p>
        </w:tc>
        <w:tc>
          <w:tcPr>
            <w:tcW w:w="48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vMerge w:val="continue"/>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gridSpan w:val="3"/>
            <w:shd w:val="clear" w:color="auto" w:fill="F0FFFF"/>
          </w:tcPr>
          <w:p>
            <w:pPr>
              <w:ind w:left="260"/>
              <w:spacing w:after="0"/>
              <w:rPr>
                <w:sz w:val="20"/>
                <w:szCs w:val="20"/>
                <w:color w:val="auto"/>
              </w:rPr>
            </w:pPr>
            <w:r>
              <w:rPr>
                <w:rFonts w:ascii="Arial" w:cs="Arial" w:eastAsia="Arial" w:hAnsi="Arial"/>
                <w:sz w:val="18"/>
                <w:szCs w:val="18"/>
                <w:color w:val="auto"/>
              </w:rPr>
              <w:t>at December 31, 2018</w:t>
            </w:r>
          </w:p>
        </w:tc>
        <w:tc>
          <w:tcPr>
            <w:tcW w:w="48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2"/>
                <w:szCs w:val="22"/>
                <w:color w:val="auto"/>
              </w:rPr>
            </w:pPr>
          </w:p>
        </w:tc>
        <w:tc>
          <w:tcPr>
            <w:tcW w:w="4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1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47,139</w:t>
            </w:r>
          </w:p>
        </w:tc>
        <w:tc>
          <w:tcPr>
            <w:tcW w:w="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27.07</w:t>
            </w:r>
          </w:p>
        </w:tc>
        <w:tc>
          <w:tcPr>
            <w:tcW w:w="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440" w:type="dxa"/>
            <w:vAlign w:val="bottom"/>
            <w:shd w:val="clear" w:color="auto" w:fill="F0FFFF"/>
          </w:tcPr>
          <w:p>
            <w:pPr>
              <w:spacing w:after="0"/>
              <w:rPr>
                <w:sz w:val="22"/>
                <w:szCs w:val="22"/>
                <w:color w:val="auto"/>
              </w:rPr>
            </w:pPr>
          </w:p>
        </w:tc>
        <w:tc>
          <w:tcPr>
            <w:tcW w:w="6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F0FFFF"/>
            </w:tcBorders>
            <w:gridSpan w:val="2"/>
          </w:tcPr>
          <w:p>
            <w:pPr>
              <w:spacing w:after="0" w:line="20" w:lineRule="exact"/>
              <w:rPr>
                <w:sz w:val="1"/>
                <w:szCs w:val="1"/>
                <w:color w:val="auto"/>
              </w:rPr>
            </w:pPr>
          </w:p>
        </w:tc>
        <w:tc>
          <w:tcPr>
            <w:tcW w:w="1080" w:type="dxa"/>
            <w:vAlign w:val="bottom"/>
            <w:tcBorders>
              <w:top w:val="single" w:sz="8" w:color="F0FFFF"/>
            </w:tcBorders>
            <w:gridSpan w:val="2"/>
          </w:tcPr>
          <w:p>
            <w:pPr>
              <w:spacing w:after="0" w:line="20" w:lineRule="exact"/>
              <w:rPr>
                <w:sz w:val="1"/>
                <w:szCs w:val="1"/>
                <w:color w:val="auto"/>
              </w:rPr>
            </w:pPr>
          </w:p>
        </w:tc>
        <w:tc>
          <w:tcPr>
            <w:tcW w:w="420" w:type="dxa"/>
            <w:vAlign w:val="bottom"/>
            <w:tcBorders>
              <w:top w:val="single" w:sz="8" w:color="F0FFFF"/>
            </w:tcBorders>
            <w:gridSpan w:val="3"/>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40" w:type="dxa"/>
            <w:vAlign w:val="bottom"/>
            <w:gridSpan w:val="16"/>
          </w:tcPr>
          <w:p>
            <w:pPr>
              <w:spacing w:after="0"/>
              <w:rPr>
                <w:sz w:val="20"/>
                <w:szCs w:val="20"/>
                <w:color w:val="auto"/>
              </w:rPr>
            </w:pPr>
            <w:r>
              <w:rPr>
                <w:rFonts w:ascii="Arial" w:cs="Arial" w:eastAsia="Arial" w:hAnsi="Arial"/>
                <w:sz w:val="18"/>
                <w:szCs w:val="18"/>
                <w:color w:val="auto"/>
                <w:w w:val="94"/>
              </w:rPr>
              <w:t>The following is a summary of stock options outstanding at December 31, 2018:</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gridSpan w:val="8"/>
          </w:tcPr>
          <w:p>
            <w:pPr>
              <w:ind w:left="180"/>
              <w:spacing w:after="0"/>
              <w:rPr>
                <w:sz w:val="20"/>
                <w:szCs w:val="20"/>
                <w:color w:val="auto"/>
              </w:rPr>
            </w:pPr>
            <w:r>
              <w:rPr>
                <w:rFonts w:ascii="Arial" w:cs="Arial" w:eastAsia="Arial" w:hAnsi="Arial"/>
                <w:sz w:val="18"/>
                <w:szCs w:val="18"/>
                <w:b w:val="1"/>
                <w:bCs w:val="1"/>
                <w:color w:val="auto"/>
              </w:rPr>
              <w:t>Options Outstanding</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8"/>
          </w:tcPr>
          <w:p>
            <w:pPr>
              <w:ind w:left="740"/>
              <w:spacing w:after="0"/>
              <w:rPr>
                <w:sz w:val="20"/>
                <w:szCs w:val="20"/>
                <w:color w:val="auto"/>
              </w:rPr>
            </w:pPr>
            <w:r>
              <w:rPr>
                <w:rFonts w:ascii="Arial" w:cs="Arial" w:eastAsia="Arial" w:hAnsi="Arial"/>
                <w:sz w:val="18"/>
                <w:szCs w:val="18"/>
                <w:b w:val="1"/>
                <w:bCs w:val="1"/>
                <w:color w:val="auto"/>
                <w:w w:val="91"/>
              </w:rPr>
              <w:t>Options Exercisable</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Average 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53"/>
              <w:spacing w:after="0"/>
              <w:rPr>
                <w:sz w:val="20"/>
                <w:szCs w:val="20"/>
                <w:color w:val="auto"/>
              </w:rPr>
            </w:pPr>
            <w:r>
              <w:rPr>
                <w:rFonts w:ascii="Arial" w:cs="Arial" w:eastAsia="Arial" w:hAnsi="Arial"/>
                <w:sz w:val="18"/>
                <w:szCs w:val="18"/>
                <w:b w:val="1"/>
                <w:bCs w:val="1"/>
                <w:color w:val="auto"/>
                <w:w w:val="98"/>
              </w:rPr>
              <w:t>Weighted Average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ind w:left="540"/>
              <w:spacing w:after="0"/>
              <w:rPr>
                <w:sz w:val="20"/>
                <w:szCs w:val="20"/>
                <w:color w:val="auto"/>
              </w:rPr>
            </w:pPr>
            <w:r>
              <w:rPr>
                <w:rFonts w:ascii="Arial" w:cs="Arial" w:eastAsia="Arial" w:hAnsi="Arial"/>
                <w:sz w:val="18"/>
                <w:szCs w:val="18"/>
                <w:b w:val="1"/>
                <w:bCs w:val="1"/>
                <w:color w:val="auto"/>
              </w:rPr>
              <w:t>Shares</w:t>
            </w:r>
          </w:p>
        </w:tc>
        <w:tc>
          <w:tcPr>
            <w:tcW w:w="14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Range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Life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13,300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15.00 - 20.00</w:t>
            </w:r>
          </w:p>
        </w:tc>
        <w:tc>
          <w:tcPr>
            <w:tcW w:w="1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16.35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2"/>
          </w:tcPr>
          <w:p>
            <w:pPr>
              <w:jc w:val="right"/>
              <w:ind w:right="612"/>
              <w:spacing w:after="0"/>
              <w:rPr>
                <w:sz w:val="20"/>
                <w:szCs w:val="20"/>
                <w:color w:val="auto"/>
              </w:rPr>
            </w:pPr>
            <w:r>
              <w:rPr>
                <w:rFonts w:ascii="Arial" w:cs="Arial" w:eastAsia="Arial" w:hAnsi="Arial"/>
                <w:sz w:val="18"/>
                <w:szCs w:val="18"/>
                <w:color w:val="auto"/>
                <w:w w:val="96"/>
              </w:rPr>
              <w:t>5.41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gridSpan w:val="3"/>
          </w:tcPr>
          <w:p>
            <w:pPr>
              <w:jc w:val="right"/>
              <w:ind w:right="23"/>
              <w:spacing w:after="0"/>
              <w:rPr>
                <w:sz w:val="20"/>
                <w:szCs w:val="20"/>
                <w:color w:val="auto"/>
              </w:rPr>
            </w:pPr>
            <w:r>
              <w:rPr>
                <w:rFonts w:ascii="Arial" w:cs="Arial" w:eastAsia="Arial" w:hAnsi="Arial"/>
                <w:sz w:val="18"/>
                <w:szCs w:val="18"/>
                <w:color w:val="auto"/>
                <w:w w:val="87"/>
              </w:rPr>
              <w:t>13,300</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F0FFFF"/>
            </w:tcBorders>
            <w:shd w:val="clear" w:color="auto" w:fill="F0FFFF"/>
          </w:tcPr>
          <w:p>
            <w:pPr>
              <w:spacing w:after="0"/>
              <w:rPr>
                <w:sz w:val="21"/>
                <w:szCs w:val="21"/>
                <w:color w:val="auto"/>
              </w:rPr>
            </w:pPr>
          </w:p>
        </w:tc>
        <w:tc>
          <w:tcPr>
            <w:tcW w:w="3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20.01 - 25.00</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22.95</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612"/>
              <w:spacing w:after="0"/>
              <w:rPr>
                <w:sz w:val="20"/>
                <w:szCs w:val="20"/>
                <w:color w:val="auto"/>
              </w:rPr>
            </w:pPr>
            <w:r>
              <w:rPr>
                <w:rFonts w:ascii="Arial" w:cs="Arial" w:eastAsia="Arial" w:hAnsi="Arial"/>
                <w:sz w:val="18"/>
                <w:szCs w:val="18"/>
                <w:color w:val="auto"/>
                <w:w w:val="96"/>
              </w:rPr>
              <w:t>1.22</w:t>
            </w:r>
          </w:p>
        </w:tc>
        <w:tc>
          <w:tcPr>
            <w:tcW w:w="1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600" w:type="dxa"/>
            <w:vAlign w:val="bottom"/>
            <w:tcBorders>
              <w:bottom w:val="single" w:sz="8" w:color="F0FFFF"/>
            </w:tcBorders>
            <w:gridSpan w:val="3"/>
            <w:shd w:val="clear" w:color="auto" w:fill="F0FFFF"/>
          </w:tcPr>
          <w:p>
            <w:pPr>
              <w:jc w:val="right"/>
              <w:ind w:right="2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F0FFFF"/>
            </w:tcBorders>
            <w:shd w:val="clear" w:color="auto" w:fill="F0FFFF"/>
          </w:tcPr>
          <w:p>
            <w:pPr>
              <w:spacing w:after="0"/>
              <w:rPr>
                <w:sz w:val="21"/>
                <w:szCs w:val="21"/>
                <w:color w:val="auto"/>
              </w:rPr>
            </w:pPr>
          </w:p>
        </w:tc>
        <w:tc>
          <w:tcPr>
            <w:tcW w:w="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22.95</w:t>
            </w:r>
          </w:p>
        </w:tc>
        <w:tc>
          <w:tcPr>
            <w:tcW w:w="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25.01 - 30.00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29.45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612"/>
              <w:spacing w:after="0"/>
              <w:rPr>
                <w:sz w:val="20"/>
                <w:szCs w:val="20"/>
                <w:color w:val="auto"/>
              </w:rPr>
            </w:pPr>
            <w:r>
              <w:rPr>
                <w:rFonts w:ascii="Arial" w:cs="Arial" w:eastAsia="Arial" w:hAnsi="Arial"/>
                <w:sz w:val="18"/>
                <w:szCs w:val="18"/>
                <w:color w:val="auto"/>
                <w:w w:val="96"/>
              </w:rPr>
              <w:t>0.07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gridSpan w:val="3"/>
          </w:tcPr>
          <w:p>
            <w:pPr>
              <w:jc w:val="right"/>
              <w:ind w:right="23"/>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32,316</w:t>
            </w:r>
          </w:p>
        </w:tc>
        <w:tc>
          <w:tcPr>
            <w:tcW w:w="120" w:type="dxa"/>
            <w:vAlign w:val="bottom"/>
            <w:tcBorders>
              <w:bottom w:val="single" w:sz="8" w:color="F0FFFF"/>
            </w:tcBorders>
            <w:shd w:val="clear" w:color="auto" w:fill="F0FFFF"/>
          </w:tcPr>
          <w:p>
            <w:pPr>
              <w:spacing w:after="0"/>
              <w:rPr>
                <w:sz w:val="23"/>
                <w:szCs w:val="23"/>
                <w:color w:val="auto"/>
              </w:rPr>
            </w:pPr>
          </w:p>
        </w:tc>
        <w:tc>
          <w:tcPr>
            <w:tcW w:w="36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30.01 - 31.50</w:t>
            </w:r>
          </w:p>
        </w:tc>
        <w:tc>
          <w:tcPr>
            <w:tcW w:w="120" w:type="dxa"/>
            <w:vAlign w:val="bottom"/>
            <w:tcBorders>
              <w:bottom w:val="single" w:sz="8" w:color="F0FFFF"/>
            </w:tcBorders>
            <w:shd w:val="clear" w:color="auto" w:fill="F0FFFF"/>
          </w:tcPr>
          <w:p>
            <w:pPr>
              <w:spacing w:after="0"/>
              <w:rPr>
                <w:sz w:val="23"/>
                <w:szCs w:val="23"/>
                <w:color w:val="auto"/>
              </w:rPr>
            </w:pPr>
          </w:p>
        </w:tc>
        <w:tc>
          <w:tcPr>
            <w:tcW w:w="80" w:type="dxa"/>
            <w:vAlign w:val="bottom"/>
            <w:tcBorders>
              <w:bottom w:val="single" w:sz="8" w:color="F0FFFF"/>
            </w:tcBorders>
            <w:shd w:val="clear" w:color="auto" w:fill="F0FFFF"/>
          </w:tcPr>
          <w:p>
            <w:pPr>
              <w:spacing w:after="0"/>
              <w:rPr>
                <w:sz w:val="23"/>
                <w:szCs w:val="23"/>
                <w:color w:val="auto"/>
              </w:rPr>
            </w:pPr>
          </w:p>
        </w:tc>
        <w:tc>
          <w:tcPr>
            <w:tcW w:w="40" w:type="dxa"/>
            <w:vAlign w:val="bottom"/>
            <w:tcBorders>
              <w:bottom w:val="single" w:sz="8" w:color="F0FFFF"/>
            </w:tcBorders>
            <w:shd w:val="clear" w:color="auto" w:fill="F0FFFF"/>
          </w:tcPr>
          <w:p>
            <w:pPr>
              <w:spacing w:after="0"/>
              <w:rPr>
                <w:sz w:val="23"/>
                <w:szCs w:val="23"/>
                <w:color w:val="auto"/>
              </w:rPr>
            </w:pPr>
          </w:p>
        </w:tc>
        <w:tc>
          <w:tcPr>
            <w:tcW w:w="8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gridSpan w:val="3"/>
            <w:shd w:val="clear" w:color="auto" w:fill="F0FFFF"/>
          </w:tcPr>
          <w:p>
            <w:pPr>
              <w:jc w:val="right"/>
              <w:spacing w:after="0"/>
              <w:rPr>
                <w:sz w:val="20"/>
                <w:szCs w:val="20"/>
                <w:color w:val="auto"/>
              </w:rPr>
            </w:pPr>
            <w:r>
              <w:rPr>
                <w:rFonts w:ascii="Arial" w:cs="Arial" w:eastAsia="Arial" w:hAnsi="Arial"/>
                <w:sz w:val="18"/>
                <w:szCs w:val="18"/>
                <w:color w:val="auto"/>
              </w:rPr>
              <w:t>31.47</w:t>
            </w:r>
          </w:p>
        </w:tc>
        <w:tc>
          <w:tcPr>
            <w:tcW w:w="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64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gridSpan w:val="2"/>
            <w:shd w:val="clear" w:color="auto" w:fill="F0FFFF"/>
          </w:tcPr>
          <w:p>
            <w:pPr>
              <w:jc w:val="right"/>
              <w:ind w:right="612"/>
              <w:spacing w:after="0"/>
              <w:rPr>
                <w:sz w:val="20"/>
                <w:szCs w:val="20"/>
                <w:color w:val="auto"/>
              </w:rPr>
            </w:pPr>
            <w:r>
              <w:rPr>
                <w:rFonts w:ascii="Arial" w:cs="Arial" w:eastAsia="Arial" w:hAnsi="Arial"/>
                <w:sz w:val="18"/>
                <w:szCs w:val="18"/>
                <w:color w:val="auto"/>
                <w:w w:val="96"/>
              </w:rPr>
              <w:t>0.50</w:t>
            </w:r>
          </w:p>
        </w:tc>
        <w:tc>
          <w:tcPr>
            <w:tcW w:w="100" w:type="dxa"/>
            <w:vAlign w:val="bottom"/>
            <w:tcBorders>
              <w:bottom w:val="single" w:sz="8" w:color="F0FFFF"/>
            </w:tcBorders>
            <w:shd w:val="clear" w:color="auto" w:fill="F0FFFF"/>
          </w:tcPr>
          <w:p>
            <w:pPr>
              <w:spacing w:after="0"/>
              <w:rPr>
                <w:sz w:val="23"/>
                <w:szCs w:val="23"/>
                <w:color w:val="auto"/>
              </w:rPr>
            </w:pPr>
          </w:p>
        </w:tc>
        <w:tc>
          <w:tcPr>
            <w:tcW w:w="2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spacing w:after="0"/>
              <w:rPr>
                <w:sz w:val="23"/>
                <w:szCs w:val="23"/>
                <w:color w:val="auto"/>
              </w:rPr>
            </w:pPr>
          </w:p>
        </w:tc>
        <w:tc>
          <w:tcPr>
            <w:tcW w:w="600" w:type="dxa"/>
            <w:vAlign w:val="bottom"/>
            <w:tcBorders>
              <w:bottom w:val="single" w:sz="8" w:color="F0FFFF"/>
            </w:tcBorders>
            <w:gridSpan w:val="3"/>
            <w:shd w:val="clear" w:color="auto" w:fill="F0FFFF"/>
          </w:tcPr>
          <w:p>
            <w:pPr>
              <w:jc w:val="right"/>
              <w:ind w:right="23"/>
              <w:spacing w:after="0"/>
              <w:rPr>
                <w:sz w:val="20"/>
                <w:szCs w:val="20"/>
                <w:color w:val="auto"/>
              </w:rPr>
            </w:pPr>
            <w:r>
              <w:rPr>
                <w:rFonts w:ascii="Arial" w:cs="Arial" w:eastAsia="Arial" w:hAnsi="Arial"/>
                <w:sz w:val="18"/>
                <w:szCs w:val="18"/>
                <w:color w:val="auto"/>
                <w:w w:val="87"/>
              </w:rPr>
              <w:t>32,316</w:t>
            </w:r>
          </w:p>
        </w:tc>
        <w:tc>
          <w:tcPr>
            <w:tcW w:w="100" w:type="dxa"/>
            <w:vAlign w:val="bottom"/>
            <w:tcBorders>
              <w:bottom w:val="single" w:sz="8" w:color="F0FFFF"/>
            </w:tcBorders>
            <w:shd w:val="clear" w:color="auto" w:fill="F0FFFF"/>
          </w:tcPr>
          <w:p>
            <w:pPr>
              <w:spacing w:after="0"/>
              <w:rPr>
                <w:sz w:val="23"/>
                <w:szCs w:val="23"/>
                <w:color w:val="auto"/>
              </w:rPr>
            </w:pPr>
          </w:p>
        </w:tc>
        <w:tc>
          <w:tcPr>
            <w:tcW w:w="5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31.47</w:t>
            </w:r>
          </w:p>
        </w:tc>
        <w:tc>
          <w:tcPr>
            <w:tcW w:w="20" w:type="dxa"/>
            <w:vAlign w:val="bottom"/>
            <w:tcBorders>
              <w:bottom w:val="single" w:sz="8" w:color="F0FFFF"/>
            </w:tcBorders>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15.00 - 31.50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27.07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gridSpan w:val="2"/>
          </w:tcPr>
          <w:p>
            <w:pPr>
              <w:jc w:val="right"/>
              <w:ind w:right="612"/>
              <w:spacing w:after="0"/>
              <w:rPr>
                <w:sz w:val="20"/>
                <w:szCs w:val="20"/>
                <w:color w:val="auto"/>
              </w:rPr>
            </w:pPr>
            <w:r>
              <w:rPr>
                <w:rFonts w:ascii="Arial" w:cs="Arial" w:eastAsia="Arial" w:hAnsi="Arial"/>
                <w:sz w:val="18"/>
                <w:szCs w:val="18"/>
                <w:color w:val="auto"/>
                <w:w w:val="96"/>
              </w:rPr>
              <w:t>1.88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3"/>
          </w:tcPr>
          <w:p>
            <w:pPr>
              <w:jc w:val="right"/>
              <w:ind w:right="23"/>
              <w:spacing w:after="0"/>
              <w:rPr>
                <w:sz w:val="20"/>
                <w:szCs w:val="20"/>
                <w:color w:val="auto"/>
              </w:rPr>
            </w:pPr>
            <w:r>
              <w:rPr>
                <w:rFonts w:ascii="Arial" w:cs="Arial" w:eastAsia="Arial" w:hAnsi="Arial"/>
                <w:sz w:val="18"/>
                <w:szCs w:val="18"/>
                <w:color w:val="auto"/>
                <w:w w:val="87"/>
              </w:rPr>
              <w:t>47,139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Compensation expense relating to options of $18,000, $28,000 and $30,000, respectively, was included in earnings for 2018, 2017 and 2016. The amount of compensation expense for all periods was determined based on the fair value of options at the time of grant, multiplied by the number of options granted that were expected to vest, which was then amortized over the vesting period.</w:t>
      </w:r>
    </w:p>
    <w:p>
      <w:pPr>
        <w:spacing w:after="0" w:line="18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 Compensation expense recognized in the consolidated statements of income for employee restricted stock awards in 2018, 2017 and 2016 was $5.69 million, $5.51 million and $4.29 million, respectively. Of the expense recognized related to restricted stock unit awards during 2017, $696,000 related to the modification of existing awards resulting from an acceleration of vesting of unvested awards due to retirement, which was recognized in merger-related and other charges. The remaining expense of $4.82 million was recognized in compensation expense. In addition, in 2018, 2017, and 2016, $338,000, $287,000 and $177,000, respectively, was recognized in other operating expenses for restricted stock unit awards granted to members of United’s board of directors.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121" w:right="2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Equity Compensation and Related Plans, continued</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During the third quarter of 2018, in addition to time-based restricted stock unit awards, United’s Board of Directors approved performance-based restricted stock unit awards with market conditions (“PSUs”). The PSUs will vest based on achieving, during the applicable calendar-year performance periods from 2019 through 2022, certain performance and market targets relative to a bank peer group. Achievement of the base-level performance and market targets for all applicable periods will result in the issuance of 49,268 shares, which are included in the outstanding balance in the table above. Additional shares may be issued if more stringent performance and market hurdles are met. The grant date per share fair market value of these PSUs of $30.28 was estimated using the Monte Carlo Simulation valuation model.</w:t>
      </w:r>
    </w:p>
    <w:p>
      <w:pPr>
        <w:spacing w:after="0" w:line="1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 deferred income tax benefit related to compensation expense for options and restricted stock of $1.54 million, $2.27 million and $1.75 million was included in the determination of income tax expense in 2018, 2017 and 2016, respectively. As of December 31, 2018, there was $17.0 million of unrecognized compensation cost related to nonvested stock options and restricted stock granted under the plan. The cost is expected to be recognized over a weighted-average period of 2.55 years.</w:t>
      </w:r>
    </w:p>
    <w:p>
      <w:pPr>
        <w:spacing w:after="0" w:line="18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In 2018, 2017 and 2016, 7,307, 4,404 and 4,044 shares, respectively, were issued under the DRIP.</w:t>
      </w:r>
    </w:p>
    <w:p>
      <w:pPr>
        <w:spacing w:after="0" w:line="147"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United has an Employee Stock Purchase Program (“ESPP”) that allows eligible employees to purchase shares of common stock at a discount (10%), with no commission charges. During 2018, 2017 and 2016 United issued 17,941, 13,422 shares and 16,456 shares, respectively, through the ESPP.</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sheets as common stock issuable. The deferred compensation plan does not allow for diversification once an election is made to invest in United stock and settlement must be accomplished in shares at the time the deferral period is completed. United also allows restricted stock grantees to defer all or a portion of their restricted stock in the deferred compensation plan upon vesting. At December 31, 2018 and 2017, United had 674,499 shares and 607,869 shares, respectively, of its common stock that was issuable under the deferred compensation plan.</w:t>
      </w:r>
    </w:p>
    <w:p>
      <w:pPr>
        <w:spacing w:after="0" w:line="18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Hierarchy</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Level 1</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10" w:lineRule="exact"/>
        <w:rPr>
          <w:rFonts w:ascii="Arial" w:cs="Arial" w:eastAsia="Arial" w:hAnsi="Arial"/>
          <w:sz w:val="18"/>
          <w:szCs w:val="18"/>
          <w:b w:val="1"/>
          <w:bCs w:val="1"/>
          <w:color w:val="auto"/>
        </w:rPr>
      </w:pPr>
    </w:p>
    <w:p>
      <w:pPr>
        <w:ind w:left="340" w:right="20"/>
        <w:spacing w:after="0" w:line="342"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3"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1"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Assets and Liabilities Measured at Fair Value,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Deferred Compensation Plan Assets and Liabilities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Included in other assets in the consolidated balance sheets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7"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color w:val="auto"/>
        </w:rPr>
        <w:t>United has elected the fair value option for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94"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Financial Instruments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To comply with the provisions of ASC 820, management incorporates credit valuation adjustments to appropriately reflect both its own nonperformance risk and the respective counterparty’s nonperformance risk in the fair value measurements. In adjusting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Assets and Liabilities Measured at Fair Value, continued</w:t>
      </w:r>
    </w:p>
    <w:p>
      <w:pPr>
        <w:spacing w:after="0" w:line="200" w:lineRule="exact"/>
        <w:rPr>
          <w:sz w:val="20"/>
          <w:szCs w:val="20"/>
          <w:color w:val="auto"/>
        </w:rPr>
      </w:pPr>
    </w:p>
    <w:p>
      <w:pPr>
        <w:spacing w:after="0" w:line="27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fair value of its derivative contracts for the effect of nonperformance risk, management has considered the effect of netting and any applicable credit enhancements, such as collateral postings, thresholds, mutual puts, and guarantees.</w:t>
      </w:r>
    </w:p>
    <w:p>
      <w:pPr>
        <w:spacing w:after="0" w:line="170"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2018, management had assessed the significance of the effect of the credit valuation adjustments on the overall valuation of its derivative positions and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SBA/USDA Loans</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7"/>
          <w:szCs w:val="17"/>
          <w:color w:val="auto"/>
        </w:rPr>
        <w:t>United recognizes servicing rights upon the sale of SBA/USDA loans sold with servicing retained. Management has elected to carry this asset at fair value. Given the nature of the asset, the key valuation inputs are unobservable and management considers this asset as Level 3.</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Residential Mortgage Servicing Rights</w:t>
      </w:r>
    </w:p>
    <w:p>
      <w:pPr>
        <w:spacing w:after="0" w:line="27"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color w:val="auto"/>
        </w:rPr>
        <w:t>United recognizes servicing rights upon the sale of residential mortgage loans sold with servicing retained. Effective January 1, 2017, management elected to carry this asset at fair value. Given the nature of the asset, the key valuation inputs are unobservable and management classifies this asset as Level 3. The cumulative effect adjustment of this election to retained earnings, net of income tax effect, was $437,000.</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Pension Plan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disclosure regarding the fair value of pension plan assets, see Note 17.</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Debt securities available for sale:</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U.S. Treasuries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149,307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149,307</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25,553</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233,941</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233,941</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1,445,910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1,445,910</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391,917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391,917</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198,168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199,163</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182,676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182,676</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Mortgage loans held for sale</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18,935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18,935</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6,404</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11,877</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12,864</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11,841</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24,705</w:t>
            </w:r>
          </w:p>
        </w:tc>
      </w:tr>
      <w:tr>
        <w:trPr>
          <w:trHeight w:val="284"/>
        </w:trPr>
        <w:tc>
          <w:tcPr>
            <w:tcW w:w="5260" w:type="dxa"/>
            <w:vAlign w:val="bottom"/>
            <w:tcBorders>
              <w:bottom w:val="single" w:sz="8" w:color="F0FFFF"/>
            </w:tcBorders>
            <w:gridSpan w:val="2"/>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156,787</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2,509,964</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32,223</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2,698,974</w:t>
            </w:r>
          </w:p>
        </w:tc>
      </w:tr>
      <w:tr>
        <w:trPr>
          <w:trHeight w:val="230"/>
        </w:trPr>
        <w:tc>
          <w:tcPr>
            <w:tcW w:w="5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6,404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6,404</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26,433</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F0FFFF"/>
            </w:tcBorders>
            <w:gridSpan w:val="2"/>
            <w:shd w:val="clear" w:color="auto" w:fill="F0FF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6,404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10,701</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15,732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32,837</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121" w:right="239" w:bottom="1440" w:gutter="0" w:footer="0" w:header="0"/>
          <w:type w:val="continuous"/>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Assets and Liabilities Measured at Fair Value,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Securities available for sale:</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U.S. Treasuries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121,113</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121,113</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26,372</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197,286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197,286</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1,311,733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1,311,733</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415,478</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415,478</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305,453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306,353</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237,458</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237,458</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Mortgage loans held for sale</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26,252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26,252</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5,716</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8,262</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22,721</w:t>
            </w:r>
          </w:p>
        </w:tc>
      </w:tr>
      <w:tr>
        <w:trPr>
          <w:trHeight w:val="284"/>
        </w:trPr>
        <w:tc>
          <w:tcPr>
            <w:tcW w:w="5260" w:type="dxa"/>
            <w:vAlign w:val="bottom"/>
            <w:tcBorders>
              <w:bottom w:val="single" w:sz="8" w:color="F0FFFF"/>
            </w:tcBorders>
            <w:gridSpan w:val="2"/>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126,829</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2,530,603</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29,109</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2,686,541</w:t>
            </w:r>
          </w:p>
        </w:tc>
      </w:tr>
      <w:tr>
        <w:trPr>
          <w:trHeight w:val="230"/>
        </w:trPr>
        <w:tc>
          <w:tcPr>
            <w:tcW w:w="5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16,744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25,376</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F0FFFF"/>
            </w:tcBorders>
            <w:gridSpan w:val="2"/>
            <w:shd w:val="clear" w:color="auto" w:fill="F0FF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8,632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16,744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31,092</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Servicing</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Residential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rights for</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mortgage</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Debt Securities</w:t>
            </w: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SBA/USDA</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servicing</w:t>
            </w: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Available-</w:t>
            </w:r>
          </w:p>
        </w:tc>
      </w:tr>
      <w:tr>
        <w:trPr>
          <w:trHeight w:val="210"/>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Asset</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Liability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loans</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rights</w:t>
            </w:r>
          </w:p>
        </w:tc>
        <w:tc>
          <w:tcPr>
            <w:tcW w:w="16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for-Sale</w:t>
            </w:r>
          </w:p>
        </w:tc>
      </w:tr>
      <w:tr>
        <w:trPr>
          <w:trHeight w:val="33"/>
        </w:trPr>
        <w:tc>
          <w:tcPr>
            <w:tcW w:w="436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2015</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9,418</w:t>
            </w:r>
          </w:p>
        </w:tc>
        <w:tc>
          <w:tcPr>
            <w:tcW w:w="1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15,794</w:t>
            </w:r>
          </w:p>
        </w:tc>
        <w:tc>
          <w:tcPr>
            <w:tcW w:w="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3,712</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750</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Sales and settlements</w:t>
            </w:r>
          </w:p>
        </w:tc>
        <w:tc>
          <w:tcPr>
            <w:tcW w:w="1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(509)</w:t>
            </w:r>
          </w:p>
        </w:tc>
        <w:tc>
          <w:tcPr>
            <w:tcW w:w="14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Amounts included in earnings - fair value adjustments</w:t>
            </w:r>
          </w:p>
        </w:tc>
        <w:tc>
          <w:tcPr>
            <w:tcW w:w="18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2,868</w:t>
            </w:r>
          </w:p>
        </w:tc>
        <w:tc>
          <w:tcPr>
            <w:tcW w:w="14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11,777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675</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Transfer from amortization method to fair value</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5,070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Business combinations</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2,737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Sales and settlements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225</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Amounts included in earnings - fair value adjustments</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12,207</w:t>
            </w:r>
          </w:p>
        </w:tc>
        <w:tc>
          <w:tcPr>
            <w:tcW w:w="1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16,744</w:t>
            </w:r>
          </w:p>
        </w:tc>
        <w:tc>
          <w:tcPr>
            <w:tcW w:w="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8,262</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900</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Business combinations</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2,573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4,587</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Sales and settlements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95</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Amounts included in earnings - fair value adjustments</w:t>
            </w: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11,841</w:t>
            </w:r>
          </w:p>
        </w:tc>
        <w:tc>
          <w:tcPr>
            <w:tcW w:w="14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15,732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11,877</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995</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121" w:right="2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Assets and Liabilities Measured at Fair Value,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quantitative information about Level 3 fair value measurements for fair value on a recurring basis at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ind w:left="360"/>
              <w:spacing w:after="0"/>
              <w:rPr>
                <w:sz w:val="20"/>
                <w:szCs w:val="20"/>
                <w:color w:val="auto"/>
              </w:rPr>
            </w:pPr>
            <w:r>
              <w:rPr>
                <w:rFonts w:ascii="Arial" w:cs="Arial" w:eastAsia="Arial" w:hAnsi="Arial"/>
                <w:sz w:val="16"/>
                <w:szCs w:val="16"/>
                <w:b w:val="1"/>
                <w:bCs w:val="1"/>
                <w:color w:val="auto"/>
              </w:rPr>
              <w:t>Weighted Average</w:t>
            </w: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r>
      <w:tr>
        <w:trPr>
          <w:trHeight w:val="217"/>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ind w:left="52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2680" w:type="dxa"/>
            <w:vAlign w:val="bottom"/>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680" w:type="dxa"/>
            <w:vAlign w:val="bottom"/>
            <w:gridSpan w:val="2"/>
          </w:tcPr>
          <w:p>
            <w:pPr>
              <w:ind w:left="800"/>
              <w:spacing w:after="0"/>
              <w:rPr>
                <w:sz w:val="20"/>
                <w:szCs w:val="20"/>
                <w:color w:val="auto"/>
              </w:rPr>
            </w:pPr>
            <w:r>
              <w:rPr>
                <w:rFonts w:ascii="Arial" w:cs="Arial" w:eastAsia="Arial" w:hAnsi="Arial"/>
                <w:sz w:val="16"/>
                <w:szCs w:val="16"/>
                <w:b w:val="1"/>
                <w:bCs w:val="1"/>
                <w:color w:val="auto"/>
              </w:rPr>
              <w:t>Level 3 Assets</w:t>
            </w:r>
          </w:p>
        </w:tc>
        <w:tc>
          <w:tcPr>
            <w:tcW w:w="860" w:type="dxa"/>
            <w:vAlign w:val="bottom"/>
          </w:tcPr>
          <w:p>
            <w:pPr>
              <w:jc w:val="right"/>
              <w:ind w:right="1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Valuation Technique</w:t>
            </w:r>
          </w:p>
        </w:tc>
        <w:tc>
          <w:tcPr>
            <w:tcW w:w="2460" w:type="dxa"/>
            <w:vAlign w:val="bottom"/>
            <w:gridSpan w:val="2"/>
          </w:tcPr>
          <w:p>
            <w:pPr>
              <w:ind w:left="460"/>
              <w:spacing w:after="0"/>
              <w:rPr>
                <w:sz w:val="20"/>
                <w:szCs w:val="20"/>
                <w:color w:val="auto"/>
              </w:rPr>
            </w:pPr>
            <w:r>
              <w:rPr>
                <w:rFonts w:ascii="Arial" w:cs="Arial" w:eastAsia="Arial" w:hAnsi="Arial"/>
                <w:sz w:val="16"/>
                <w:szCs w:val="16"/>
                <w:b w:val="1"/>
                <w:bCs w:val="1"/>
                <w:color w:val="auto"/>
              </w:rPr>
              <w:t>Unobservable Inputs</w:t>
            </w: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940" w:type="dxa"/>
            <w:vAlign w:val="bottom"/>
          </w:tcPr>
          <w:p>
            <w:pPr>
              <w:ind w:left="320"/>
              <w:spacing w:after="0"/>
              <w:rPr>
                <w:sz w:val="20"/>
                <w:szCs w:val="20"/>
                <w:color w:val="auto"/>
              </w:rPr>
            </w:pPr>
            <w:r>
              <w:rPr>
                <w:rFonts w:ascii="Arial" w:cs="Arial" w:eastAsia="Arial" w:hAnsi="Arial"/>
                <w:sz w:val="16"/>
                <w:szCs w:val="16"/>
                <w:b w:val="1"/>
                <w:bCs w:val="1"/>
                <w:color w:val="auto"/>
              </w:rPr>
              <w:t>2017</w:t>
            </w:r>
          </w:p>
        </w:tc>
      </w:tr>
      <w:tr>
        <w:trPr>
          <w:trHeight w:val="33"/>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Servicing rights for SBA/USDA</w:t>
            </w:r>
          </w:p>
        </w:tc>
        <w:tc>
          <w:tcPr>
            <w:tcW w:w="860" w:type="dxa"/>
            <w:vAlign w:val="bottom"/>
            <w:shd w:val="clear" w:color="auto" w:fill="F0FFFF"/>
          </w:tcPr>
          <w:p>
            <w:pPr>
              <w:jc w:val="right"/>
              <w:ind w:right="13"/>
              <w:spacing w:after="0"/>
              <w:rPr>
                <w:sz w:val="20"/>
                <w:szCs w:val="20"/>
                <w:color w:val="auto"/>
              </w:rPr>
            </w:pPr>
            <w:r>
              <w:rPr>
                <w:rFonts w:ascii="Arial" w:cs="Arial" w:eastAsia="Arial" w:hAnsi="Arial"/>
                <w:sz w:val="18"/>
                <w:szCs w:val="18"/>
                <w:color w:val="auto"/>
              </w:rPr>
              <w:t>$   7,510</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shd w:val="clear" w:color="auto" w:fill="F0FFFF"/>
          </w:tcPr>
          <w:p>
            <w:pPr>
              <w:spacing w:after="0"/>
              <w:rPr>
                <w:sz w:val="19"/>
                <w:szCs w:val="19"/>
                <w:color w:val="auto"/>
              </w:rPr>
            </w:pPr>
          </w:p>
        </w:tc>
        <w:tc>
          <w:tcPr>
            <w:tcW w:w="1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Discounted cash</w:t>
            </w:r>
          </w:p>
        </w:tc>
        <w:tc>
          <w:tcPr>
            <w:tcW w:w="23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37"/>
        </w:trPr>
        <w:tc>
          <w:tcPr>
            <w:tcW w:w="26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loans</w:t>
            </w:r>
          </w:p>
        </w:tc>
        <w:tc>
          <w:tcPr>
            <w:tcW w:w="8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6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flow</w:t>
            </w:r>
          </w:p>
        </w:tc>
        <w:tc>
          <w:tcPr>
            <w:tcW w:w="24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Discount rate</w:t>
            </w:r>
          </w:p>
        </w:tc>
        <w:tc>
          <w:tcPr>
            <w:tcW w:w="920" w:type="dxa"/>
            <w:vAlign w:val="bottom"/>
            <w:tcBorders>
              <w:bottom w:val="single" w:sz="8" w:color="F0FFFF"/>
            </w:tcBorders>
            <w:shd w:val="clear" w:color="auto" w:fill="F0FFFF"/>
          </w:tcPr>
          <w:p>
            <w:pPr>
              <w:ind w:left="420"/>
              <w:spacing w:after="0"/>
              <w:rPr>
                <w:sz w:val="20"/>
                <w:szCs w:val="20"/>
                <w:color w:val="auto"/>
              </w:rPr>
            </w:pPr>
            <w:r>
              <w:rPr>
                <w:rFonts w:ascii="Arial" w:cs="Arial" w:eastAsia="Arial" w:hAnsi="Arial"/>
                <w:sz w:val="18"/>
                <w:szCs w:val="18"/>
                <w:color w:val="auto"/>
                <w:w w:val="93"/>
              </w:rPr>
              <w:t>14.5%</w:t>
            </w:r>
          </w:p>
        </w:tc>
        <w:tc>
          <w:tcPr>
            <w:tcW w:w="10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ind w:left="440"/>
              <w:spacing w:after="0"/>
              <w:rPr>
                <w:sz w:val="20"/>
                <w:szCs w:val="20"/>
                <w:color w:val="auto"/>
              </w:rPr>
            </w:pPr>
            <w:r>
              <w:rPr>
                <w:rFonts w:ascii="Arial" w:cs="Arial" w:eastAsia="Arial" w:hAnsi="Arial"/>
                <w:sz w:val="18"/>
                <w:szCs w:val="18"/>
                <w:color w:val="auto"/>
                <w:w w:val="93"/>
              </w:rPr>
              <w:t>12.5%</w:t>
            </w:r>
          </w:p>
        </w:tc>
      </w:tr>
      <w:tr>
        <w:trPr>
          <w:trHeight w:val="243"/>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Prepayment rate</w:t>
            </w:r>
          </w:p>
        </w:tc>
        <w:tc>
          <w:tcPr>
            <w:tcW w:w="920" w:type="dxa"/>
            <w:vAlign w:val="bottom"/>
          </w:tcPr>
          <w:p>
            <w:pPr>
              <w:ind w:left="420"/>
              <w:spacing w:after="0"/>
              <w:rPr>
                <w:sz w:val="20"/>
                <w:szCs w:val="20"/>
                <w:color w:val="auto"/>
              </w:rPr>
            </w:pPr>
            <w:r>
              <w:rPr>
                <w:rFonts w:ascii="Arial" w:cs="Arial" w:eastAsia="Arial" w:hAnsi="Arial"/>
                <w:sz w:val="18"/>
                <w:szCs w:val="18"/>
                <w:color w:val="auto"/>
                <w:w w:val="93"/>
              </w:rPr>
              <w:t>12.1%</w:t>
            </w:r>
          </w:p>
        </w:tc>
        <w:tc>
          <w:tcPr>
            <w:tcW w:w="10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w w:val="93"/>
              </w:rPr>
              <w:t>8.31%</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Residential mortgage servicing</w:t>
            </w:r>
          </w:p>
        </w:tc>
        <w:tc>
          <w:tcPr>
            <w:tcW w:w="860" w:type="dxa"/>
            <w:vAlign w:val="bottom"/>
            <w:shd w:val="clear" w:color="auto" w:fill="F0FFFF"/>
          </w:tcPr>
          <w:p>
            <w:pPr>
              <w:jc w:val="right"/>
              <w:ind w:right="13"/>
              <w:spacing w:after="0"/>
              <w:rPr>
                <w:sz w:val="20"/>
                <w:szCs w:val="20"/>
                <w:color w:val="auto"/>
              </w:rPr>
            </w:pPr>
            <w:r>
              <w:rPr>
                <w:rFonts w:ascii="Arial" w:cs="Arial" w:eastAsia="Arial" w:hAnsi="Arial"/>
                <w:sz w:val="18"/>
                <w:szCs w:val="18"/>
                <w:color w:val="auto"/>
              </w:rPr>
              <w:t>11,877</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8,262</w:t>
            </w:r>
          </w:p>
        </w:tc>
        <w:tc>
          <w:tcPr>
            <w:tcW w:w="120" w:type="dxa"/>
            <w:vAlign w:val="bottom"/>
            <w:shd w:val="clear" w:color="auto" w:fill="F0FFFF"/>
          </w:tcPr>
          <w:p>
            <w:pPr>
              <w:spacing w:after="0"/>
              <w:rPr>
                <w:sz w:val="19"/>
                <w:szCs w:val="19"/>
                <w:color w:val="auto"/>
              </w:rPr>
            </w:pPr>
          </w:p>
        </w:tc>
        <w:tc>
          <w:tcPr>
            <w:tcW w:w="1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Discounted cash</w:t>
            </w:r>
          </w:p>
        </w:tc>
        <w:tc>
          <w:tcPr>
            <w:tcW w:w="23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37"/>
        </w:trPr>
        <w:tc>
          <w:tcPr>
            <w:tcW w:w="26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rights</w:t>
            </w:r>
          </w:p>
        </w:tc>
        <w:tc>
          <w:tcPr>
            <w:tcW w:w="8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6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flow</w:t>
            </w:r>
          </w:p>
        </w:tc>
        <w:tc>
          <w:tcPr>
            <w:tcW w:w="24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Discount rate</w:t>
            </w:r>
          </w:p>
        </w:tc>
        <w:tc>
          <w:tcPr>
            <w:tcW w:w="920" w:type="dxa"/>
            <w:vAlign w:val="bottom"/>
            <w:tcBorders>
              <w:bottom w:val="single" w:sz="8" w:color="F0FFFF"/>
            </w:tcBorders>
            <w:shd w:val="clear" w:color="auto" w:fill="F0FFFF"/>
          </w:tcPr>
          <w:p>
            <w:pPr>
              <w:ind w:left="420"/>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ind w:left="440"/>
              <w:spacing w:after="0"/>
              <w:rPr>
                <w:sz w:val="20"/>
                <w:szCs w:val="20"/>
                <w:color w:val="auto"/>
              </w:rPr>
            </w:pPr>
            <w:r>
              <w:rPr>
                <w:rFonts w:ascii="Arial" w:cs="Arial" w:eastAsia="Arial" w:hAnsi="Arial"/>
                <w:sz w:val="18"/>
                <w:szCs w:val="18"/>
                <w:color w:val="auto"/>
                <w:w w:val="93"/>
              </w:rPr>
              <w:t>10.0%</w:t>
            </w:r>
          </w:p>
        </w:tc>
      </w:tr>
      <w:tr>
        <w:trPr>
          <w:trHeight w:val="243"/>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Prepayment rate</w:t>
            </w:r>
          </w:p>
        </w:tc>
        <w:tc>
          <w:tcPr>
            <w:tcW w:w="920" w:type="dxa"/>
            <w:vAlign w:val="bottom"/>
          </w:tcPr>
          <w:p>
            <w:pPr>
              <w:ind w:left="420"/>
              <w:spacing w:after="0"/>
              <w:rPr>
                <w:sz w:val="20"/>
                <w:szCs w:val="20"/>
                <w:color w:val="auto"/>
              </w:rPr>
            </w:pPr>
            <w:r>
              <w:rPr>
                <w:rFonts w:ascii="Arial" w:cs="Arial" w:eastAsia="Arial" w:hAnsi="Arial"/>
                <w:sz w:val="18"/>
                <w:szCs w:val="18"/>
                <w:color w:val="auto"/>
                <w:w w:val="93"/>
              </w:rPr>
              <w:t>10.6%</w:t>
            </w:r>
          </w:p>
        </w:tc>
        <w:tc>
          <w:tcPr>
            <w:tcW w:w="10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w w:val="93"/>
              </w:rPr>
              <w:t>9.50%</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F0FFFF"/>
          </w:tcPr>
          <w:p>
            <w:pPr>
              <w:jc w:val="right"/>
              <w:ind w:right="13"/>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F0FFFF"/>
          </w:tcPr>
          <w:p>
            <w:pPr>
              <w:spacing w:after="0"/>
              <w:rPr>
                <w:sz w:val="19"/>
                <w:szCs w:val="19"/>
                <w:color w:val="auto"/>
              </w:rPr>
            </w:pPr>
          </w:p>
        </w:tc>
        <w:tc>
          <w:tcPr>
            <w:tcW w:w="1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Indicative bid</w:t>
            </w:r>
          </w:p>
        </w:tc>
        <w:tc>
          <w:tcPr>
            <w:tcW w:w="24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Multiple factors, including but</w:t>
            </w:r>
          </w:p>
        </w:tc>
        <w:tc>
          <w:tcPr>
            <w:tcW w:w="1020" w:type="dxa"/>
            <w:vAlign w:val="bottom"/>
            <w:gridSpan w:val="2"/>
            <w:shd w:val="clear" w:color="auto" w:fill="F0FFFF"/>
          </w:tcPr>
          <w:p>
            <w:pPr>
              <w:ind w:left="42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F0FFFF"/>
          </w:tcPr>
          <w:p>
            <w:pPr>
              <w:ind w:left="440"/>
              <w:spacing w:after="0"/>
              <w:rPr>
                <w:sz w:val="20"/>
                <w:szCs w:val="20"/>
                <w:color w:val="auto"/>
              </w:rPr>
            </w:pPr>
            <w:r>
              <w:rPr>
                <w:rFonts w:ascii="Arial" w:cs="Arial" w:eastAsia="Arial" w:hAnsi="Arial"/>
                <w:sz w:val="18"/>
                <w:szCs w:val="18"/>
                <w:color w:val="auto"/>
              </w:rPr>
              <w:t>N/A</w:t>
            </w:r>
          </w:p>
        </w:tc>
      </w:tr>
      <w:tr>
        <w:trPr>
          <w:trHeight w:val="216"/>
        </w:trPr>
        <w:tc>
          <w:tcPr>
            <w:tcW w:w="2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w w:val="99"/>
              </w:rPr>
              <w:t>provided by a broker</w:t>
            </w:r>
          </w:p>
        </w:tc>
        <w:tc>
          <w:tcPr>
            <w:tcW w:w="24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not limited to, current</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16"/>
        </w:trPr>
        <w:tc>
          <w:tcPr>
            <w:tcW w:w="2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w w:val="99"/>
              </w:rPr>
              <w:t>operations, financial condition,</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16"/>
        </w:trPr>
        <w:tc>
          <w:tcPr>
            <w:tcW w:w="2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cash flows, and recently</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16"/>
        </w:trPr>
        <w:tc>
          <w:tcPr>
            <w:tcW w:w="2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w w:val="95"/>
              </w:rPr>
              <w:t>executed financing transactions</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37"/>
        </w:trPr>
        <w:tc>
          <w:tcPr>
            <w:tcW w:w="25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6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5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4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related to the company</w:t>
            </w:r>
          </w:p>
        </w:tc>
        <w:tc>
          <w:tcPr>
            <w:tcW w:w="9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Derivative assets - mortgage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Internal model</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Pull through rate</w:t>
            </w:r>
          </w:p>
        </w:tc>
        <w:tc>
          <w:tcPr>
            <w:tcW w:w="920" w:type="dxa"/>
            <w:vAlign w:val="bottom"/>
          </w:tcPr>
          <w:p>
            <w:pPr>
              <w:ind w:left="420"/>
              <w:spacing w:after="0"/>
              <w:rPr>
                <w:sz w:val="20"/>
                <w:szCs w:val="20"/>
                <w:color w:val="auto"/>
              </w:rPr>
            </w:pPr>
            <w:r>
              <w:rPr>
                <w:rFonts w:ascii="Arial" w:cs="Arial" w:eastAsia="Arial" w:hAnsi="Arial"/>
                <w:sz w:val="18"/>
                <w:szCs w:val="18"/>
                <w:color w:val="auto"/>
                <w:w w:val="93"/>
              </w:rPr>
              <w:t>80.7%</w:t>
            </w:r>
          </w:p>
        </w:tc>
        <w:tc>
          <w:tcPr>
            <w:tcW w:w="10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w w:val="93"/>
              </w:rPr>
              <w:t>80.0%</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Derivative assets - other</w:t>
            </w:r>
          </w:p>
        </w:tc>
        <w:tc>
          <w:tcPr>
            <w:tcW w:w="860" w:type="dxa"/>
            <w:vAlign w:val="bottom"/>
            <w:tcBorders>
              <w:bottom w:val="single" w:sz="8" w:color="F0FFFF"/>
            </w:tcBorders>
            <w:shd w:val="clear" w:color="auto" w:fill="F0FFFF"/>
          </w:tcPr>
          <w:p>
            <w:pPr>
              <w:jc w:val="right"/>
              <w:ind w:right="13"/>
              <w:spacing w:after="0"/>
              <w:rPr>
                <w:sz w:val="20"/>
                <w:szCs w:val="20"/>
                <w:color w:val="auto"/>
              </w:rPr>
            </w:pPr>
            <w:r>
              <w:rPr>
                <w:rFonts w:ascii="Arial" w:cs="Arial" w:eastAsia="Arial" w:hAnsi="Arial"/>
                <w:sz w:val="18"/>
                <w:szCs w:val="18"/>
                <w:color w:val="auto"/>
              </w:rPr>
              <w:t>10,651</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6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11,057</w:t>
            </w:r>
          </w:p>
        </w:tc>
        <w:tc>
          <w:tcPr>
            <w:tcW w:w="120" w:type="dxa"/>
            <w:vAlign w:val="bottom"/>
            <w:tcBorders>
              <w:bottom w:val="single" w:sz="8" w:color="F0FFFF"/>
            </w:tcBorders>
            <w:shd w:val="clear" w:color="auto" w:fill="F0FFFF"/>
          </w:tcPr>
          <w:p>
            <w:pPr>
              <w:spacing w:after="0"/>
              <w:rPr>
                <w:sz w:val="21"/>
                <w:szCs w:val="21"/>
                <w:color w:val="auto"/>
              </w:rPr>
            </w:pPr>
          </w:p>
        </w:tc>
        <w:tc>
          <w:tcPr>
            <w:tcW w:w="16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Dealer priced</w:t>
            </w:r>
          </w:p>
        </w:tc>
        <w:tc>
          <w:tcPr>
            <w:tcW w:w="24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Dealer priced</w:t>
            </w:r>
          </w:p>
        </w:tc>
        <w:tc>
          <w:tcPr>
            <w:tcW w:w="1020" w:type="dxa"/>
            <w:vAlign w:val="bottom"/>
            <w:tcBorders>
              <w:bottom w:val="single" w:sz="8" w:color="F0FFFF"/>
            </w:tcBorders>
            <w:gridSpan w:val="2"/>
            <w:shd w:val="clear" w:color="auto" w:fill="F0FFFF"/>
          </w:tcPr>
          <w:p>
            <w:pPr>
              <w:ind w:left="420"/>
              <w:spacing w:after="0"/>
              <w:rPr>
                <w:sz w:val="20"/>
                <w:szCs w:val="20"/>
                <w:color w:val="auto"/>
              </w:rPr>
            </w:pPr>
            <w:r>
              <w:rPr>
                <w:rFonts w:ascii="Arial" w:cs="Arial" w:eastAsia="Arial" w:hAnsi="Arial"/>
                <w:sz w:val="18"/>
                <w:szCs w:val="18"/>
                <w:color w:val="auto"/>
              </w:rPr>
              <w:t>N/A</w:t>
            </w:r>
          </w:p>
        </w:tc>
        <w:tc>
          <w:tcPr>
            <w:tcW w:w="940" w:type="dxa"/>
            <w:vAlign w:val="bottom"/>
            <w:tcBorders>
              <w:bottom w:val="single" w:sz="8" w:color="F0FFFF"/>
            </w:tcBorders>
            <w:shd w:val="clear" w:color="auto" w:fill="F0FFFF"/>
          </w:tcPr>
          <w:p>
            <w:pPr>
              <w:ind w:left="440"/>
              <w:spacing w:after="0"/>
              <w:rPr>
                <w:sz w:val="20"/>
                <w:szCs w:val="20"/>
                <w:color w:val="auto"/>
              </w:rPr>
            </w:pPr>
            <w:r>
              <w:rPr>
                <w:rFonts w:ascii="Arial" w:cs="Arial" w:eastAsia="Arial" w:hAnsi="Arial"/>
                <w:sz w:val="18"/>
                <w:szCs w:val="18"/>
                <w:color w:val="auto"/>
              </w:rPr>
              <w:t>N/A</w:t>
            </w: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Derivative liabilities - risk</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Internal model</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participations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Probable exposure rate</w:t>
            </w:r>
          </w:p>
        </w:tc>
        <w:tc>
          <w:tcPr>
            <w:tcW w:w="920" w:type="dxa"/>
            <w:vAlign w:val="bottom"/>
          </w:tcPr>
          <w:p>
            <w:pPr>
              <w:ind w:left="420"/>
              <w:spacing w:after="0"/>
              <w:rPr>
                <w:sz w:val="20"/>
                <w:szCs w:val="20"/>
                <w:color w:val="auto"/>
              </w:rPr>
            </w:pPr>
            <w:r>
              <w:rPr>
                <w:rFonts w:ascii="Arial" w:cs="Arial" w:eastAsia="Arial" w:hAnsi="Arial"/>
                <w:sz w:val="18"/>
                <w:szCs w:val="18"/>
                <w:color w:val="auto"/>
                <w:w w:val="93"/>
              </w:rPr>
              <w:t>0.44%</w:t>
            </w:r>
          </w:p>
        </w:tc>
        <w:tc>
          <w:tcPr>
            <w:tcW w:w="10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w w:val="93"/>
              </w:rPr>
              <w:t>0.37%</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5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6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5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Probability of default rate</w:t>
            </w:r>
          </w:p>
        </w:tc>
        <w:tc>
          <w:tcPr>
            <w:tcW w:w="920" w:type="dxa"/>
            <w:vAlign w:val="bottom"/>
            <w:tcBorders>
              <w:bottom w:val="single" w:sz="8" w:color="F0FFFF"/>
            </w:tcBorders>
            <w:shd w:val="clear" w:color="auto" w:fill="F0FFFF"/>
          </w:tcPr>
          <w:p>
            <w:pPr>
              <w:ind w:left="420"/>
              <w:spacing w:after="0"/>
              <w:rPr>
                <w:sz w:val="20"/>
                <w:szCs w:val="20"/>
                <w:color w:val="auto"/>
              </w:rPr>
            </w:pPr>
            <w:r>
              <w:rPr>
                <w:rFonts w:ascii="Arial" w:cs="Arial" w:eastAsia="Arial" w:hAnsi="Arial"/>
                <w:sz w:val="18"/>
                <w:szCs w:val="18"/>
                <w:color w:val="auto"/>
                <w:w w:val="93"/>
              </w:rPr>
              <w:t>1.80%</w:t>
            </w:r>
          </w:p>
        </w:tc>
        <w:tc>
          <w:tcPr>
            <w:tcW w:w="10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ind w:left="440"/>
              <w:spacing w:after="0"/>
              <w:rPr>
                <w:sz w:val="20"/>
                <w:szCs w:val="20"/>
                <w:color w:val="auto"/>
              </w:rPr>
            </w:pPr>
            <w:r>
              <w:rPr>
                <w:rFonts w:ascii="Arial" w:cs="Arial" w:eastAsia="Arial" w:hAnsi="Arial"/>
                <w:sz w:val="18"/>
                <w:szCs w:val="18"/>
                <w:color w:val="auto"/>
                <w:w w:val="93"/>
              </w:rPr>
              <w:t>1.80%</w:t>
            </w: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Derivative liabilities - other</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16,724</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Dealer priced</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Dealer priced</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940" w:type="dxa"/>
            <w:vAlign w:val="bottom"/>
          </w:tcPr>
          <w:p>
            <w:pPr>
              <w:ind w:left="440"/>
              <w:spacing w:after="0"/>
              <w:rPr>
                <w:sz w:val="20"/>
                <w:szCs w:val="20"/>
                <w:color w:val="auto"/>
              </w:rPr>
            </w:pPr>
            <w:r>
              <w:rPr>
                <w:rFonts w:ascii="Arial" w:cs="Arial" w:eastAsia="Arial" w:hAnsi="Arial"/>
                <w:sz w:val="18"/>
                <w:szCs w:val="18"/>
                <w:color w:val="auto"/>
              </w:rPr>
              <w:t>N/A</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At December 31, 2018, mortgage loans held for sale for which the fair value option was elected had an aggregate fair value and outstanding principal balance of $18.9 million and $18.2 million, respectively. At December 31, 2017, mortgage loans held for sale for which the fair value option was elected had an aggregate fair value and outstanding principal balance of $26.3 million and $25.4 million, respectively. Interest income on these loans is calculated based on the note rate of the loan and is recorded in interest revenue. During 2018, 2017, and 2016 changes in fair value of these loans resulted in net losses of $133,000, net gains of $505,000, and net gains of $322,000 respectively, which were recorded in mortgage loan and other related fees. These changes in fair value were mostly offset by hedging activities. An immaterial portion of these amounts was attributable to changes in instrument-specific credit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lower of amortized cost or fair value accounting or write-downs of individual assets due to impairment. The following table presents the fair value hierarchy and carrying value of all assets that were still held as of December 31, 2018 and 2017,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33"/>
        </w:trPr>
        <w:tc>
          <w:tcPr>
            <w:tcW w:w="1720" w:type="dxa"/>
            <w:vAlign w:val="bottom"/>
            <w:tcBorders>
              <w:bottom w:val="single" w:sz="8" w:color="F0FF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F0FFFF"/>
            </w:tcBorders>
          </w:tcPr>
          <w:p>
            <w:pPr>
              <w:spacing w:after="0"/>
              <w:rPr>
                <w:sz w:val="2"/>
                <w:szCs w:val="2"/>
                <w:color w:val="auto"/>
              </w:rPr>
            </w:pPr>
          </w:p>
        </w:tc>
      </w:tr>
      <w:tr>
        <w:trPr>
          <w:trHeight w:val="230"/>
        </w:trPr>
        <w:tc>
          <w:tcPr>
            <w:tcW w:w="1720" w:type="dxa"/>
            <w:vAlign w:val="bottom"/>
            <w:tcBorders>
              <w:bottom w:val="single" w:sz="8" w:color="F0FFFF"/>
            </w:tcBorders>
            <w:shd w:val="clear" w:color="auto" w:fill="F0FFFF"/>
          </w:tcPr>
          <w:p>
            <w:pPr>
              <w:spacing w:after="0"/>
              <w:rPr>
                <w:sz w:val="20"/>
                <w:szCs w:val="20"/>
                <w:color w:val="auto"/>
              </w:rPr>
            </w:pPr>
          </w:p>
        </w:tc>
        <w:tc>
          <w:tcPr>
            <w:tcW w:w="30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Loans</w:t>
            </w:r>
          </w:p>
        </w:tc>
        <w:tc>
          <w:tcPr>
            <w:tcW w:w="280" w:type="dxa"/>
            <w:vAlign w:val="bottom"/>
            <w:tcBorders>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0FFFF"/>
            </w:tcBorders>
            <w:gridSpan w:val="2"/>
            <w:shd w:val="clear" w:color="auto" w:fill="F0FF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F0FFFF"/>
            </w:tcBorders>
            <w:gridSpan w:val="2"/>
            <w:shd w:val="clear" w:color="auto" w:fill="F0FF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8,631</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8,631</w:t>
            </w:r>
          </w:p>
        </w:tc>
        <w:tc>
          <w:tcPr>
            <w:tcW w:w="1820" w:type="dxa"/>
            <w:vAlign w:val="bottom"/>
            <w:tcBorders>
              <w:bottom w:val="single" w:sz="8" w:color="F0FFFF"/>
            </w:tcBorders>
            <w:shd w:val="clear" w:color="auto" w:fill="F0FFFF"/>
          </w:tcPr>
          <w:p>
            <w:pPr>
              <w:spacing w:after="0"/>
              <w:rPr>
                <w:sz w:val="20"/>
                <w:szCs w:val="20"/>
                <w:color w:val="auto"/>
              </w:rPr>
            </w:pPr>
          </w:p>
        </w:tc>
      </w:tr>
      <w:tr>
        <w:trPr>
          <w:trHeight w:val="270"/>
        </w:trPr>
        <w:tc>
          <w:tcPr>
            <w:tcW w:w="17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20" w:type="dxa"/>
            <w:vAlign w:val="bottom"/>
            <w:tcBorders>
              <w:bottom w:val="single" w:sz="8" w:color="F0FFFF"/>
            </w:tcBorders>
            <w:shd w:val="clear" w:color="auto" w:fill="F0FFFF"/>
          </w:tcPr>
          <w:p>
            <w:pPr>
              <w:spacing w:after="0"/>
              <w:rPr>
                <w:sz w:val="23"/>
                <w:szCs w:val="23"/>
                <w:color w:val="auto"/>
              </w:rPr>
            </w:pPr>
          </w:p>
        </w:tc>
        <w:tc>
          <w:tcPr>
            <w:tcW w:w="3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70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740" w:type="dxa"/>
            <w:vAlign w:val="bottom"/>
            <w:tcBorders>
              <w:bottom w:val="single" w:sz="8" w:color="F0FFFF"/>
            </w:tcBorders>
            <w:shd w:val="clear" w:color="auto" w:fill="F0FFFF"/>
          </w:tcPr>
          <w:p>
            <w:pPr>
              <w:spacing w:after="0"/>
              <w:rPr>
                <w:sz w:val="23"/>
                <w:szCs w:val="23"/>
                <w:color w:val="auto"/>
              </w:rPr>
            </w:pPr>
          </w:p>
        </w:tc>
        <w:tc>
          <w:tcPr>
            <w:tcW w:w="1820" w:type="dxa"/>
            <w:vAlign w:val="bottom"/>
            <w:tcBorders>
              <w:bottom w:val="single" w:sz="8" w:color="F0FFFF"/>
            </w:tcBorders>
            <w:shd w:val="clear" w:color="auto" w:fill="F0FFFF"/>
          </w:tcPr>
          <w:p>
            <w:pPr>
              <w:spacing w:after="0"/>
              <w:rPr>
                <w:sz w:val="23"/>
                <w:szCs w:val="23"/>
                <w:color w:val="auto"/>
              </w:rPr>
            </w:pPr>
          </w:p>
        </w:tc>
      </w:tr>
      <w:tr>
        <w:trPr>
          <w:trHeight w:val="217"/>
        </w:trPr>
        <w:tc>
          <w:tcPr>
            <w:tcW w:w="1720" w:type="dxa"/>
            <w:vAlign w:val="bottom"/>
          </w:tcPr>
          <w:p>
            <w:pPr>
              <w:spacing w:after="0"/>
              <w:rPr>
                <w:sz w:val="18"/>
                <w:szCs w:val="18"/>
                <w:color w:val="auto"/>
              </w:rPr>
            </w:pPr>
          </w:p>
        </w:tc>
        <w:tc>
          <w:tcPr>
            <w:tcW w:w="30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6,905</w:t>
            </w:r>
          </w:p>
        </w:tc>
        <w:tc>
          <w:tcPr>
            <w:tcW w:w="1820" w:type="dxa"/>
            <w:vAlign w:val="bottom"/>
          </w:tcPr>
          <w:p>
            <w:pPr>
              <w:spacing w:after="0"/>
              <w:rPr>
                <w:sz w:val="18"/>
                <w:szCs w:val="18"/>
                <w:color w:val="auto"/>
              </w:rPr>
            </w:pPr>
          </w:p>
        </w:tc>
      </w:tr>
    </w:tbl>
    <w:p>
      <w:pPr>
        <w:spacing w:after="0" w:line="23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420"/>
          </w:cols>
          <w:pgMar w:left="240" w:top="121" w:right="2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Assets and Liabilities Measured at Fair Value,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8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12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440"/>
              <w:spacing w:after="0"/>
              <w:rPr>
                <w:sz w:val="20"/>
                <w:szCs w:val="20"/>
                <w:color w:val="auto"/>
              </w:rPr>
            </w:pPr>
            <w:r>
              <w:rPr>
                <w:rFonts w:ascii="Arial" w:cs="Arial" w:eastAsia="Arial" w:hAnsi="Arial"/>
                <w:sz w:val="16"/>
                <w:szCs w:val="16"/>
                <w:b w:val="1"/>
                <w:bCs w:val="1"/>
                <w:color w:val="auto"/>
              </w:rPr>
              <w:t>Fair Value Level</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Securities held to maturity</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274,407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268,803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268,803</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Loans, net</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8,322,198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8,277,387</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8,277,387</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10,534,513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10,528,834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10,528,834</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Federal Home Loan Bank advances</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160,000</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159,988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159,988</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267,189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278,996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278,996</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0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F0FFFF"/>
            </w:tcBorders>
          </w:tcPr>
          <w:p>
            <w:pPr>
              <w:spacing w:after="0"/>
              <w:rPr>
                <w:sz w:val="2"/>
                <w:szCs w:val="2"/>
                <w:color w:val="auto"/>
              </w:rPr>
            </w:pPr>
          </w:p>
        </w:tc>
        <w:tc>
          <w:tcPr>
            <w:tcW w:w="9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F0FFFF"/>
            </w:tcBorders>
          </w:tcPr>
          <w:p>
            <w:pPr>
              <w:spacing w:after="0"/>
              <w:rPr>
                <w:sz w:val="2"/>
                <w:szCs w:val="2"/>
                <w:color w:val="auto"/>
              </w:rPr>
            </w:pPr>
          </w:p>
        </w:tc>
        <w:tc>
          <w:tcPr>
            <w:tcW w:w="9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F0FFFF"/>
            </w:tcBorders>
          </w:tcPr>
          <w:p>
            <w:pPr>
              <w:spacing w:after="0"/>
              <w:rPr>
                <w:sz w:val="2"/>
                <w:szCs w:val="2"/>
                <w:color w:val="auto"/>
              </w:rPr>
            </w:pPr>
          </w:p>
        </w:tc>
        <w:tc>
          <w:tcPr>
            <w:tcW w:w="9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F0FFFF"/>
            </w:tcBorders>
          </w:tcPr>
          <w:p>
            <w:pPr>
              <w:spacing w:after="0"/>
              <w:rPr>
                <w:sz w:val="2"/>
                <w:szCs w:val="2"/>
                <w:color w:val="auto"/>
              </w:rPr>
            </w:pPr>
          </w:p>
        </w:tc>
        <w:tc>
          <w:tcPr>
            <w:tcW w:w="94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Securities held to maturity</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321,094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321,276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321,276</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Loans, net</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7,676,658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7,674,460</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7,674,460</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Loans held for sale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6,514</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Deposits</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9,807,697</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9,809,264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9,809,264</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Federal Home Loan Bank advances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504,651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504,460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504,460</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F0FFFF"/>
          </w:tcPr>
          <w:p>
            <w:pPr>
              <w:ind w:left="16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120,545</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20"/>
                <w:szCs w:val="20"/>
                <w:color w:val="auto"/>
              </w:rPr>
            </w:pPr>
          </w:p>
        </w:tc>
        <w:tc>
          <w:tcPr>
            <w:tcW w:w="9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123,844</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123,844</w:t>
            </w:r>
          </w:p>
        </w:tc>
        <w:tc>
          <w:tcPr>
            <w:tcW w:w="0" w:type="dxa"/>
            <w:vAlign w:val="bottom"/>
          </w:tcPr>
          <w:p>
            <w:pPr>
              <w:spacing w:after="0"/>
              <w:rPr>
                <w:sz w:val="1"/>
                <w:szCs w:val="1"/>
                <w:color w:val="auto"/>
              </w:rPr>
            </w:pPr>
          </w:p>
        </w:tc>
      </w:tr>
      <w:tr>
        <w:trPr>
          <w:trHeight w:val="33"/>
        </w:trPr>
        <w:tc>
          <w:tcPr>
            <w:tcW w:w="42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20"/>
          </w:cols>
          <w:pgMar w:left="240" w:top="121" w:right="2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60" w:type="dxa"/>
            <w:vAlign w:val="bottom"/>
            <w:gridSpan w:val="8"/>
          </w:tcPr>
          <w:p>
            <w:pPr>
              <w:spacing w:after="0"/>
              <w:rPr>
                <w:sz w:val="20"/>
                <w:szCs w:val="20"/>
                <w:color w:val="auto"/>
              </w:rPr>
            </w:pPr>
            <w:r>
              <w:rPr>
                <w:rFonts w:ascii="Arial" w:cs="Arial" w:eastAsia="Arial" w:hAnsi="Arial"/>
                <w:sz w:val="18"/>
                <w:szCs w:val="18"/>
                <w:b w:val="1"/>
                <w:bCs w:val="1"/>
                <w:color w:val="auto"/>
              </w:rPr>
              <w:t>(24) Condensed Financial Statements of United Community Banks, Inc. (Holding Company Only)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w w:val="88"/>
              </w:rPr>
              <w:t>Statements of Income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4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For the Years Ended December 31, 2018, 2017 and 2016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0" w:type="dxa"/>
            <w:vAlign w:val="bottom"/>
            <w:gridSpan w:val="2"/>
          </w:tcPr>
          <w:p>
            <w:pPr>
              <w:jc w:val="center"/>
              <w:ind w:left="1030"/>
              <w:spacing w:after="0"/>
              <w:rPr>
                <w:sz w:val="20"/>
                <w:szCs w:val="20"/>
                <w:color w:val="auto"/>
              </w:rPr>
            </w:pPr>
            <w:r>
              <w:rPr>
                <w:rFonts w:ascii="Arial" w:cs="Arial" w:eastAsia="Arial" w:hAnsi="Arial"/>
                <w:sz w:val="18"/>
                <w:szCs w:val="18"/>
                <w:i w:val="1"/>
                <w:iCs w:val="1"/>
                <w:color w:val="auto"/>
                <w:w w:val="91"/>
              </w:rPr>
              <w:t>(in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232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376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Borders>
              <w:right w:val="single" w:sz="8" w:color="F0FFFF"/>
            </w:tcBorders>
          </w:tcPr>
          <w:p>
            <w:pPr>
              <w:spacing w:after="0"/>
              <w:rPr>
                <w:sz w:val="21"/>
                <w:szCs w:val="21"/>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Dividends from bank</w:t>
            </w:r>
          </w:p>
        </w:tc>
        <w:tc>
          <w:tcPr>
            <w:tcW w:w="4200" w:type="dxa"/>
            <w:vAlign w:val="bottom"/>
            <w:tcBorders>
              <w:bottom w:val="single" w:sz="8" w:color="F0FFFF"/>
            </w:tcBorders>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161,500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103,200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Dividends from other subsidiaries</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right w:val="single" w:sz="8" w:color="F0FFFF"/>
            </w:tcBorders>
          </w:tcPr>
          <w:p>
            <w:pPr>
              <w:spacing w:after="0"/>
              <w:rPr>
                <w:sz w:val="21"/>
                <w:szCs w:val="21"/>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w w:val="94"/>
              </w:rPr>
              <w:t>Shared service fees from subsidiaries</w:t>
            </w:r>
          </w:p>
        </w:tc>
        <w:tc>
          <w:tcPr>
            <w:tcW w:w="376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Other</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232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376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Borders>
              <w:right w:val="single" w:sz="8" w:color="F0FFFF"/>
            </w:tcBorders>
          </w:tcPr>
          <w:p>
            <w:pPr>
              <w:spacing w:after="0"/>
              <w:rPr>
                <w:sz w:val="21"/>
                <w:szCs w:val="21"/>
                <w:color w:val="auto"/>
              </w:rPr>
            </w:pPr>
          </w:p>
        </w:tc>
        <w:tc>
          <w:tcPr>
            <w:tcW w:w="2860" w:type="dxa"/>
            <w:vAlign w:val="bottom"/>
            <w:tcBorders>
              <w:bottom w:val="single" w:sz="8" w:color="F0FFFF"/>
            </w:tcBorders>
            <w:gridSpan w:val="3"/>
            <w:shd w:val="clear" w:color="auto" w:fill="F0FFFF"/>
          </w:tcPr>
          <w:p>
            <w:pPr>
              <w:ind w:left="240"/>
              <w:spacing w:after="0"/>
              <w:rPr>
                <w:sz w:val="20"/>
                <w:szCs w:val="20"/>
                <w:color w:val="auto"/>
              </w:rPr>
            </w:pPr>
            <w:r>
              <w:rPr>
                <w:rFonts w:ascii="Arial" w:cs="Arial" w:eastAsia="Arial" w:hAnsi="Arial"/>
                <w:sz w:val="18"/>
                <w:szCs w:val="18"/>
                <w:color w:val="auto"/>
              </w:rPr>
              <w:t>Total income</w:t>
            </w:r>
          </w:p>
        </w:tc>
        <w:tc>
          <w:tcPr>
            <w:tcW w:w="376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172,740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114,759</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50,661</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F0FFFF"/>
            </w:tcBorders>
          </w:tcPr>
          <w:p>
            <w:pPr>
              <w:spacing w:after="0"/>
              <w:rPr>
                <w:sz w:val="23"/>
                <w:szCs w:val="23"/>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Other expense</w:t>
            </w:r>
          </w:p>
        </w:tc>
        <w:tc>
          <w:tcPr>
            <w:tcW w:w="376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14,456</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11,380</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860" w:type="dxa"/>
            <w:vAlign w:val="bottom"/>
            <w:gridSpan w:val="3"/>
          </w:tcPr>
          <w:p>
            <w:pPr>
              <w:ind w:left="240"/>
              <w:spacing w:after="0"/>
              <w:rPr>
                <w:sz w:val="20"/>
                <w:szCs w:val="20"/>
                <w:color w:val="auto"/>
              </w:rPr>
            </w:pPr>
            <w:r>
              <w:rPr>
                <w:rFonts w:ascii="Arial" w:cs="Arial" w:eastAsia="Arial" w:hAnsi="Arial"/>
                <w:sz w:val="18"/>
                <w:szCs w:val="18"/>
                <w:color w:val="auto"/>
              </w:rPr>
              <w:t>Total expenses</w:t>
            </w:r>
          </w:p>
        </w:tc>
        <w:tc>
          <w:tcPr>
            <w:tcW w:w="37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22,589</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F0FFFF"/>
            </w:tcBorders>
          </w:tcPr>
          <w:p>
            <w:pPr>
              <w:spacing w:after="0"/>
              <w:rPr>
                <w:sz w:val="23"/>
                <w:szCs w:val="23"/>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Income tax benefit</w:t>
            </w:r>
          </w:p>
        </w:tc>
        <w:tc>
          <w:tcPr>
            <w:tcW w:w="376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6,717</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Income before equity in undistributed (loss) earnings of subsidiaries</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148,056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34,789</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F0FFFF"/>
            </w:tcBorders>
          </w:tcPr>
          <w:p>
            <w:pPr>
              <w:spacing w:after="0"/>
              <w:rPr>
                <w:sz w:val="23"/>
                <w:szCs w:val="23"/>
                <w:color w:val="auto"/>
              </w:rPr>
            </w:pPr>
          </w:p>
        </w:tc>
        <w:tc>
          <w:tcPr>
            <w:tcW w:w="6620" w:type="dxa"/>
            <w:vAlign w:val="bottom"/>
            <w:tcBorders>
              <w:bottom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Equity in undistributed earnings (loss) of subsidiaries</w:t>
            </w: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18,055</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(23,167)</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65,867</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28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376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166,111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w w:val="85"/>
              </w:rPr>
              <w:t>Balance Sheets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89"/>
              </w:rPr>
              <w:t>As of December 31, 2018 and 2017</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0" w:type="dxa"/>
            <w:vAlign w:val="bottom"/>
            <w:gridSpan w:val="2"/>
          </w:tcPr>
          <w:p>
            <w:pPr>
              <w:jc w:val="center"/>
              <w:ind w:left="1030"/>
              <w:spacing w:after="0"/>
              <w:rPr>
                <w:sz w:val="20"/>
                <w:szCs w:val="20"/>
                <w:color w:val="auto"/>
              </w:rPr>
            </w:pPr>
            <w:r>
              <w:rPr>
                <w:rFonts w:ascii="Arial" w:cs="Arial" w:eastAsia="Arial" w:hAnsi="Arial"/>
                <w:sz w:val="18"/>
                <w:szCs w:val="18"/>
                <w:i w:val="1"/>
                <w:iCs w:val="1"/>
                <w:color w:val="auto"/>
                <w:w w:val="91"/>
              </w:rPr>
              <w:t>(in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Borders>
              <w:bottom w:val="single" w:sz="8" w:color="F0FFFF"/>
            </w:tcBorders>
          </w:tcPr>
          <w:p>
            <w:pPr>
              <w:spacing w:after="0"/>
              <w:rPr>
                <w:sz w:val="2"/>
                <w:szCs w:val="2"/>
                <w:color w:val="auto"/>
              </w:rPr>
            </w:pPr>
          </w:p>
        </w:tc>
        <w:tc>
          <w:tcPr>
            <w:tcW w:w="2320" w:type="dxa"/>
            <w:vAlign w:val="bottom"/>
            <w:tcBorders>
              <w:bottom w:val="single" w:sz="8" w:color="F0FFFF"/>
            </w:tcBorders>
          </w:tcPr>
          <w:p>
            <w:pPr>
              <w:spacing w:after="0"/>
              <w:rPr>
                <w:sz w:val="2"/>
                <w:szCs w:val="2"/>
                <w:color w:val="auto"/>
              </w:rPr>
            </w:pPr>
          </w:p>
        </w:tc>
        <w:tc>
          <w:tcPr>
            <w:tcW w:w="60" w:type="dxa"/>
            <w:vAlign w:val="bottom"/>
            <w:tcBorders>
              <w:bottom w:val="single" w:sz="8" w:color="F0FFFF"/>
            </w:tcBorders>
          </w:tcPr>
          <w:p>
            <w:pPr>
              <w:spacing w:after="0"/>
              <w:rPr>
                <w:sz w:val="2"/>
                <w:szCs w:val="2"/>
                <w:color w:val="auto"/>
              </w:rPr>
            </w:pPr>
          </w:p>
        </w:tc>
        <w:tc>
          <w:tcPr>
            <w:tcW w:w="3760" w:type="dxa"/>
            <w:vAlign w:val="bottom"/>
            <w:tcBorders>
              <w:bottom w:val="single" w:sz="8" w:color="F0FFFF"/>
            </w:tcBorders>
          </w:tcPr>
          <w:p>
            <w:pPr>
              <w:spacing w:after="0"/>
              <w:rPr>
                <w:sz w:val="2"/>
                <w:szCs w:val="2"/>
                <w:color w:val="auto"/>
              </w:rPr>
            </w:pPr>
          </w:p>
        </w:tc>
        <w:tc>
          <w:tcPr>
            <w:tcW w:w="44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Borders>
              <w:right w:val="single" w:sz="8" w:color="F0FFFF"/>
            </w:tcBorders>
          </w:tcPr>
          <w:p>
            <w:pPr>
              <w:spacing w:after="0"/>
              <w:rPr>
                <w:sz w:val="21"/>
                <w:szCs w:val="21"/>
                <w:color w:val="auto"/>
              </w:rPr>
            </w:pPr>
          </w:p>
        </w:tc>
        <w:tc>
          <w:tcPr>
            <w:tcW w:w="480" w:type="dxa"/>
            <w:vAlign w:val="bottom"/>
            <w:tcBorders>
              <w:bottom w:val="single" w:sz="8" w:color="auto"/>
            </w:tcBorders>
            <w:shd w:val="clear" w:color="auto" w:fill="F0FF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2380" w:type="dxa"/>
            <w:vAlign w:val="bottom"/>
            <w:tcBorders>
              <w:bottom w:val="single" w:sz="8" w:color="F0FFFF"/>
            </w:tcBorders>
            <w:gridSpan w:val="2"/>
            <w:shd w:val="clear" w:color="auto" w:fill="F0FFFF"/>
          </w:tcPr>
          <w:p>
            <w:pPr>
              <w:spacing w:after="0"/>
              <w:rPr>
                <w:sz w:val="21"/>
                <w:szCs w:val="21"/>
                <w:color w:val="auto"/>
              </w:rPr>
            </w:pPr>
          </w:p>
        </w:tc>
        <w:tc>
          <w:tcPr>
            <w:tcW w:w="376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Cash</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145,669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right w:val="single" w:sz="8" w:color="F0FFFF"/>
            </w:tcBorders>
          </w:tcPr>
          <w:p>
            <w:pPr>
              <w:spacing w:after="0"/>
              <w:rPr>
                <w:sz w:val="21"/>
                <w:szCs w:val="21"/>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Investment in bank</w:t>
            </w:r>
          </w:p>
        </w:tc>
        <w:tc>
          <w:tcPr>
            <w:tcW w:w="376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1,522,402</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1,390,490</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Investment in other subsidiaries</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F0FFFF"/>
            </w:tcBorders>
          </w:tcPr>
          <w:p>
            <w:pPr>
              <w:spacing w:after="0"/>
              <w:rPr>
                <w:sz w:val="23"/>
                <w:szCs w:val="23"/>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Other assets</w:t>
            </w:r>
          </w:p>
        </w:tc>
        <w:tc>
          <w:tcPr>
            <w:tcW w:w="376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21,881</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20,578</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2860" w:type="dxa"/>
            <w:vAlign w:val="bottom"/>
            <w:tcBorders>
              <w:bottom w:val="single" w:sz="8" w:color="F0FFFF"/>
            </w:tcBorders>
            <w:gridSpan w:val="3"/>
          </w:tcPr>
          <w:p>
            <w:pPr>
              <w:ind w:left="240"/>
              <w:spacing w:after="0"/>
              <w:rPr>
                <w:sz w:val="20"/>
                <w:szCs w:val="20"/>
                <w:color w:val="auto"/>
              </w:rPr>
            </w:pPr>
            <w:r>
              <w:rPr>
                <w:rFonts w:ascii="Arial" w:cs="Arial" w:eastAsia="Arial" w:hAnsi="Arial"/>
                <w:sz w:val="18"/>
                <w:szCs w:val="18"/>
                <w:color w:val="auto"/>
              </w:rPr>
              <w:t>Total assets</w:t>
            </w:r>
          </w:p>
        </w:tc>
        <w:tc>
          <w:tcPr>
            <w:tcW w:w="3760" w:type="dxa"/>
            <w:vAlign w:val="bottom"/>
            <w:tcBorders>
              <w:bottom w:val="single" w:sz="8" w:color="F0FFFF"/>
            </w:tcBorders>
          </w:tcPr>
          <w:p>
            <w:pPr>
              <w:spacing w:after="0"/>
              <w:rPr>
                <w:sz w:val="24"/>
                <w:szCs w:val="24"/>
                <w:color w:val="auto"/>
              </w:rPr>
            </w:pPr>
          </w:p>
        </w:tc>
        <w:tc>
          <w:tcPr>
            <w:tcW w:w="440" w:type="dxa"/>
            <w:vAlign w:val="bottom"/>
            <w:tcBorders>
              <w:bottom w:val="single" w:sz="8" w:color="F0FFFF"/>
            </w:tcBorders>
          </w:tcPr>
          <w:p>
            <w:pPr>
              <w:spacing w:after="0"/>
              <w:rPr>
                <w:sz w:val="24"/>
                <w:szCs w:val="24"/>
                <w:color w:val="auto"/>
              </w:rPr>
            </w:pPr>
          </w:p>
        </w:tc>
        <w:tc>
          <w:tcPr>
            <w:tcW w:w="84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1,694,501</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1,441,866</w:t>
            </w:r>
          </w:p>
        </w:tc>
        <w:tc>
          <w:tcPr>
            <w:tcW w:w="0" w:type="dxa"/>
            <w:vAlign w:val="bottom"/>
          </w:tcPr>
          <w:p>
            <w:pPr>
              <w:spacing w:after="0"/>
              <w:rPr>
                <w:sz w:val="1"/>
                <w:szCs w:val="1"/>
                <w:color w:val="auto"/>
              </w:rPr>
            </w:pPr>
          </w:p>
        </w:tc>
      </w:tr>
      <w:tr>
        <w:trPr>
          <w:trHeight w:val="237"/>
        </w:trPr>
        <w:tc>
          <w:tcPr>
            <w:tcW w:w="360" w:type="dxa"/>
            <w:vAlign w:val="bottom"/>
            <w:tcBorders>
              <w:right w:val="single" w:sz="8" w:color="F0FFFF"/>
            </w:tcBorders>
          </w:tcPr>
          <w:p>
            <w:pPr>
              <w:spacing w:after="0"/>
              <w:rPr>
                <w:sz w:val="20"/>
                <w:szCs w:val="20"/>
                <w:color w:val="auto"/>
              </w:rPr>
            </w:pPr>
          </w:p>
        </w:tc>
        <w:tc>
          <w:tcPr>
            <w:tcW w:w="2800" w:type="dxa"/>
            <w:vAlign w:val="bottom"/>
            <w:tcBorders>
              <w:bottom w:val="single" w:sz="8" w:color="auto"/>
            </w:tcBorders>
            <w:gridSpan w:val="2"/>
            <w:shd w:val="clear" w:color="auto" w:fill="F0FFFF"/>
          </w:tcPr>
          <w:p>
            <w:pPr>
              <w:spacing w:after="0" w:line="189" w:lineRule="exact"/>
              <w:rPr>
                <w:sz w:val="20"/>
                <w:szCs w:val="20"/>
                <w:color w:val="auto"/>
              </w:rPr>
            </w:pPr>
            <w:r>
              <w:rPr>
                <w:rFonts w:ascii="Arial" w:cs="Arial" w:eastAsia="Arial" w:hAnsi="Arial"/>
                <w:sz w:val="18"/>
                <w:szCs w:val="18"/>
                <w:b w:val="1"/>
                <w:bCs w:val="1"/>
                <w:color w:val="auto"/>
                <w:w w:val="91"/>
              </w:rPr>
              <w:t>Liabilities and Shareholders’ Equity</w:t>
            </w:r>
          </w:p>
        </w:tc>
        <w:tc>
          <w:tcPr>
            <w:tcW w:w="60" w:type="dxa"/>
            <w:vAlign w:val="bottom"/>
            <w:tcBorders>
              <w:bottom w:val="single" w:sz="8" w:color="F0FFFF"/>
            </w:tcBorders>
            <w:shd w:val="clear" w:color="auto" w:fill="F0FFFF"/>
          </w:tcPr>
          <w:p>
            <w:pPr>
              <w:spacing w:after="0"/>
              <w:rPr>
                <w:sz w:val="20"/>
                <w:szCs w:val="20"/>
                <w:color w:val="auto"/>
              </w:rPr>
            </w:pPr>
          </w:p>
        </w:tc>
        <w:tc>
          <w:tcPr>
            <w:tcW w:w="3760" w:type="dxa"/>
            <w:vAlign w:val="bottom"/>
            <w:tcBorders>
              <w:bottom w:val="single" w:sz="8" w:color="F0FFFF"/>
            </w:tcBorders>
            <w:shd w:val="clear" w:color="auto" w:fill="F0FFFF"/>
          </w:tcPr>
          <w:p>
            <w:pPr>
              <w:spacing w:after="0"/>
              <w:rPr>
                <w:sz w:val="20"/>
                <w:szCs w:val="20"/>
                <w:color w:val="auto"/>
              </w:rPr>
            </w:pPr>
          </w:p>
        </w:tc>
        <w:tc>
          <w:tcPr>
            <w:tcW w:w="44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212,193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120,545</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F0FFFF"/>
            </w:tcBorders>
          </w:tcPr>
          <w:p>
            <w:pPr>
              <w:spacing w:after="0"/>
              <w:rPr>
                <w:sz w:val="23"/>
                <w:szCs w:val="23"/>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376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24,754</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17,987</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3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236,947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138,532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F0FFFF"/>
            </w:tcBorders>
          </w:tcPr>
          <w:p>
            <w:pPr>
              <w:spacing w:after="0"/>
              <w:rPr>
                <w:sz w:val="23"/>
                <w:szCs w:val="23"/>
                <w:color w:val="auto"/>
              </w:rPr>
            </w:pPr>
          </w:p>
        </w:tc>
        <w:tc>
          <w:tcPr>
            <w:tcW w:w="28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376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1,457,554</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1,303,334</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7060" w:type="dxa"/>
            <w:vAlign w:val="bottom"/>
            <w:gridSpan w:val="5"/>
          </w:tcPr>
          <w:p>
            <w:pPr>
              <w:ind w:left="240"/>
              <w:spacing w:after="0"/>
              <w:rPr>
                <w:sz w:val="20"/>
                <w:szCs w:val="20"/>
                <w:color w:val="auto"/>
              </w:rPr>
            </w:pPr>
            <w:r>
              <w:rPr>
                <w:rFonts w:ascii="Arial" w:cs="Arial" w:eastAsia="Arial" w:hAnsi="Arial"/>
                <w:sz w:val="18"/>
                <w:szCs w:val="18"/>
                <w:color w:val="auto"/>
              </w:rPr>
              <w:t>Total liabilities and shareholders’ equity</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1,694,501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1,441,866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vMerge w:val="restart"/>
          </w:tcPr>
          <w:p>
            <w:pPr>
              <w:jc w:val="center"/>
              <w:ind w:left="1130"/>
              <w:spacing w:after="0"/>
              <w:rPr>
                <w:sz w:val="20"/>
                <w:szCs w:val="20"/>
                <w:color w:val="auto"/>
              </w:rPr>
            </w:pPr>
            <w:r>
              <w:rPr>
                <w:rFonts w:ascii="Arial" w:cs="Arial" w:eastAsia="Arial" w:hAnsi="Arial"/>
                <w:sz w:val="18"/>
                <w:szCs w:val="18"/>
                <w:color w:val="auto"/>
                <w:w w:val="86"/>
              </w:rPr>
              <w:t>134</w:t>
            </w: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121" w:right="61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020" w:type="dxa"/>
            <w:vAlign w:val="bottom"/>
            <w:gridSpan w:val="4"/>
          </w:tcPr>
          <w:p>
            <w:pPr>
              <w:ind w:left="2960"/>
              <w:spacing w:after="0"/>
              <w:rPr>
                <w:sz w:val="20"/>
                <w:szCs w:val="20"/>
                <w:color w:val="auto"/>
              </w:rPr>
            </w:pPr>
            <w:r>
              <w:rPr>
                <w:rFonts w:ascii="Arial" w:cs="Arial" w:eastAsia="Arial" w:hAnsi="Arial"/>
                <w:sz w:val="18"/>
                <w:szCs w:val="18"/>
                <w:b w:val="1"/>
                <w:bCs w:val="1"/>
                <w:color w:val="auto"/>
              </w:rPr>
              <w:t>UNITED COMMUNITY BANKS, INC. AND SUBSIDIARIES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080" w:type="dxa"/>
            <w:vAlign w:val="bottom"/>
            <w:gridSpan w:val="2"/>
          </w:tcPr>
          <w:p>
            <w:pPr>
              <w:ind w:left="3700"/>
              <w:spacing w:after="0"/>
              <w:rPr>
                <w:sz w:val="20"/>
                <w:szCs w:val="20"/>
                <w:color w:val="auto"/>
              </w:rPr>
            </w:pPr>
            <w:r>
              <w:rPr>
                <w:rFonts w:ascii="Arial" w:cs="Arial" w:eastAsia="Arial" w:hAnsi="Arial"/>
                <w:sz w:val="18"/>
                <w:szCs w:val="18"/>
                <w:b w:val="1"/>
                <w:bCs w:val="1"/>
                <w:color w:val="auto"/>
                <w:w w:val="89"/>
              </w:rPr>
              <w:t>Notes to Consolidated Financial Statements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w w:val="90"/>
              </w:rPr>
              <w:t>(24) Condensed Financial Statements of United Community Banks, Inc. (Holding Company Only), continued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1"/>
        </w:trPr>
        <w:tc>
          <w:tcPr>
            <w:tcW w:w="340" w:type="dxa"/>
            <w:vAlign w:val="bottom"/>
          </w:tcPr>
          <w:p>
            <w:pPr>
              <w:spacing w:after="0"/>
              <w:rPr>
                <w:sz w:val="24"/>
                <w:szCs w:val="24"/>
                <w:color w:val="auto"/>
              </w:rPr>
            </w:pPr>
          </w:p>
        </w:tc>
        <w:tc>
          <w:tcPr>
            <w:tcW w:w="6640" w:type="dxa"/>
            <w:vAlign w:val="bottom"/>
          </w:tcPr>
          <w:p>
            <w:pPr>
              <w:jc w:val="center"/>
              <w:ind w:left="4330"/>
              <w:spacing w:after="0"/>
              <w:rPr>
                <w:sz w:val="20"/>
                <w:szCs w:val="20"/>
                <w:color w:val="auto"/>
              </w:rPr>
            </w:pPr>
            <w:r>
              <w:rPr>
                <w:rFonts w:ascii="Arial" w:cs="Arial" w:eastAsia="Arial" w:hAnsi="Arial"/>
                <w:sz w:val="18"/>
                <w:szCs w:val="18"/>
                <w:b w:val="1"/>
                <w:bCs w:val="1"/>
                <w:color w:val="auto"/>
                <w:w w:val="88"/>
              </w:rPr>
              <w:t>Statements of Cash Flows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802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0"/>
              </w:rPr>
              <w:t>For the Years Ended December 31, 2018, 2017 and 2016</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640" w:type="dxa"/>
            <w:vAlign w:val="bottom"/>
          </w:tcPr>
          <w:p>
            <w:pPr>
              <w:jc w:val="center"/>
              <w:ind w:left="4350"/>
              <w:spacing w:after="0"/>
              <w:rPr>
                <w:sz w:val="20"/>
                <w:szCs w:val="20"/>
                <w:color w:val="auto"/>
              </w:rPr>
            </w:pPr>
            <w:r>
              <w:rPr>
                <w:rFonts w:ascii="Arial" w:cs="Arial" w:eastAsia="Arial" w:hAnsi="Arial"/>
                <w:sz w:val="18"/>
                <w:szCs w:val="18"/>
                <w:i w:val="1"/>
                <w:iCs w:val="1"/>
                <w:color w:val="auto"/>
                <w:w w:val="91"/>
              </w:rPr>
              <w:t>(in thousands)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166,111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67,821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100,656</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Equity in undistributed (earnings) loss of the subsidiaries</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(65,867)</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Depreciation, amortization and accretion</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4,496</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Change in assets and liabilities:</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14,305</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664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(8,268)</w:t>
            </w:r>
          </w:p>
        </w:tc>
      </w:tr>
      <w:tr>
        <w:trPr>
          <w:trHeight w:val="237"/>
        </w:trPr>
        <w:tc>
          <w:tcPr>
            <w:tcW w:w="340" w:type="dxa"/>
            <w:vAlign w:val="bottom"/>
          </w:tcPr>
          <w:p>
            <w:pPr>
              <w:spacing w:after="0"/>
              <w:rPr>
                <w:sz w:val="20"/>
                <w:szCs w:val="20"/>
                <w:color w:val="auto"/>
              </w:rPr>
            </w:pP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159,014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45,345</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Investing activities:</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Payment for acquisition</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(11,209)</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Purchases of premises and equipment</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Purchases of debt securities available-for-sale and equity securities</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440" w:type="dxa"/>
            <w:vAlign w:val="bottom"/>
            <w:tcBorders>
              <w:bottom w:val="single" w:sz="8" w:color="F0FFFF"/>
            </w:tcBorders>
            <w:shd w:val="clear" w:color="auto" w:fill="F0FFFF"/>
          </w:tcPr>
          <w:p>
            <w:pPr>
              <w:spacing w:after="0"/>
              <w:rPr>
                <w:sz w:val="22"/>
                <w:szCs w:val="22"/>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(87,352)</w:t>
            </w: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F0FFFF"/>
            </w:tcBorders>
            <w:shd w:val="clear" w:color="auto" w:fill="F0FFFF"/>
          </w:tcPr>
          <w:p>
            <w:pPr>
              <w:spacing w:after="0"/>
              <w:rPr>
                <w:sz w:val="22"/>
                <w:szCs w:val="22"/>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(12,334)</w:t>
            </w:r>
          </w:p>
        </w:tc>
      </w:tr>
      <w:tr>
        <w:trPr>
          <w:trHeight w:val="237"/>
        </w:trPr>
        <w:tc>
          <w:tcPr>
            <w:tcW w:w="340" w:type="dxa"/>
            <w:vAlign w:val="bottom"/>
          </w:tcPr>
          <w:p>
            <w:pPr>
              <w:spacing w:after="0"/>
              <w:rPr>
                <w:sz w:val="20"/>
                <w:szCs w:val="20"/>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Repayment of long-term debt</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 net of issuance costs</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w w:val="95"/>
              </w:rPr>
              <w:t>Cash paid for shares withheld to cover payroll taxes upon vesting of restricted stock</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340" w:type="dxa"/>
            <w:vAlign w:val="bottom"/>
          </w:tcPr>
          <w:p>
            <w:pPr>
              <w:spacing w:after="0"/>
              <w:rPr>
                <w:sz w:val="19"/>
                <w:szCs w:val="19"/>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6"/>
              </w:rPr>
              <w:t>Proceeds from issuance of common stock for dividend reinvestment and employee</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benefit plans</w:t>
            </w:r>
          </w:p>
        </w:tc>
        <w:tc>
          <w:tcPr>
            <w:tcW w:w="4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Retirement of preferred stock</w:t>
            </w:r>
          </w:p>
        </w:tc>
        <w:tc>
          <w:tcPr>
            <w:tcW w:w="4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(9,992)</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Repurchase of common stock</w:t>
            </w:r>
          </w:p>
        </w:tc>
        <w:tc>
          <w:tcPr>
            <w:tcW w:w="44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(13,659)</w:t>
            </w:r>
          </w:p>
        </w:tc>
      </w:tr>
      <w:tr>
        <w:trPr>
          <w:trHeight w:val="243"/>
        </w:trPr>
        <w:tc>
          <w:tcPr>
            <w:tcW w:w="3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Cash dividends on common stock</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(15,849)</w:t>
            </w:r>
          </w:p>
        </w:tc>
      </w:tr>
      <w:tr>
        <w:trPr>
          <w:trHeight w:val="27"/>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Cash dividends on Series H preferred stock</w:t>
            </w:r>
          </w:p>
        </w:tc>
        <w:tc>
          <w:tcPr>
            <w:tcW w:w="44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340" w:type="dxa"/>
            <w:vAlign w:val="bottom"/>
          </w:tcPr>
          <w:p>
            <w:pPr>
              <w:spacing w:after="0"/>
              <w:rPr>
                <w:sz w:val="20"/>
                <w:szCs w:val="20"/>
                <w:color w:val="auto"/>
              </w:rPr>
            </w:pPr>
          </w:p>
        </w:tc>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(40,369)</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44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119,615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(7,358)</w:t>
            </w:r>
          </w:p>
        </w:tc>
      </w:tr>
      <w:tr>
        <w:trPr>
          <w:trHeight w:val="243"/>
        </w:trPr>
        <w:tc>
          <w:tcPr>
            <w:tcW w:w="340" w:type="dxa"/>
            <w:vAlign w:val="bottom"/>
          </w:tcPr>
          <w:p>
            <w:pPr>
              <w:spacing w:after="0"/>
              <w:rPr>
                <w:sz w:val="21"/>
                <w:szCs w:val="21"/>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Cash at beginning of year</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50,338</w:t>
            </w:r>
          </w:p>
        </w:tc>
      </w:tr>
      <w:tr>
        <w:trPr>
          <w:trHeight w:val="27"/>
        </w:trPr>
        <w:tc>
          <w:tcPr>
            <w:tcW w:w="340" w:type="dxa"/>
            <w:vAlign w:val="bottom"/>
          </w:tcPr>
          <w:p>
            <w:pPr>
              <w:spacing w:after="0"/>
              <w:rPr>
                <w:sz w:val="2"/>
                <w:szCs w:val="2"/>
                <w:color w:val="auto"/>
              </w:rPr>
            </w:pPr>
          </w:p>
        </w:tc>
        <w:tc>
          <w:tcPr>
            <w:tcW w:w="664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Cash at end of year</w:t>
            </w:r>
          </w:p>
        </w:tc>
        <w:tc>
          <w:tcPr>
            <w:tcW w:w="44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145,669</w:t>
            </w: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26,054</w:t>
            </w: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42,980</w:t>
            </w:r>
          </w:p>
        </w:tc>
      </w:tr>
      <w:tr>
        <w:trPr>
          <w:trHeight w:val="20"/>
        </w:trPr>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240" w:top="121" w:right="6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First Madison Bank &amp; Trust</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February 5, 2019, United announced that it had reached a definitive merger agreement to acquire First Madison Bank &amp; Trust (“First Madison”). As of December 31, 2018, First Madison had total assets of $258 million, loans of $202 million and deposits of $213 million. First Madison, which currently operates four banking offices in the Athens-Clarke County, Georgia metropolitan statistical area, will merge into and operate under the brand of United Community Bank, United’s wholly-owned bank subsidiary.</w:t>
      </w:r>
    </w:p>
    <w:p>
      <w:pPr>
        <w:spacing w:after="0" w:line="19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Under the terms of the merger agreement, which has been unanimously approved by the Boards of Directors of both companies, First Madison shareholders will receive merger consideration of $52.0 million in cash. The merger, which is subject to regulatory approval, the approval of shareholders of First Madison, and other customary conditions, is expected to close in the second quarter of 2019.</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Dividends Declared</w:t>
      </w:r>
    </w:p>
    <w:p>
      <w:pPr>
        <w:spacing w:after="0" w:line="2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On February 6, 2019, United’s Board of Directors approved a regular quarterly cash dividend of $0.16 per common share. The dividend is payable April 5, 2019, to shareholders of record on March 15, 2019.</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Stock Repurchases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February 27, 2019, United had repurchased 176,600 shares totaling $4.65 million during 2019 through its common stock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1" w:right="239" w:bottom="1440" w:gutter="0" w:footer="0" w:header="0"/>
        </w:sectPr>
      </w:pPr>
    </w:p>
    <w:bookmarkStart w:id="144" w:name="page145"/>
    <w:bookmarkEnd w:id="144"/>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United did not have any change in or disagreements with its accountants on any matters of accounting principles or practices or financial statement disclosure.</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SEC’s rules and forms and that the disclosure controls and procedures are designed to ensure that the information required to be disclosed in reports that are filed or submitted under the Exchange Act is recorded, processed, summarized and reported within the time periods specified in the SEC’s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2018 that materially affected, or are reasonably likely to materially affect, United’s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Management’s assessment of the effectiveness of internal control over financial reporting as of December 31, 2018 is included in Item 8 of this report under the heading “Management’s Report on Internal Control Over Financial Reporting.”</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independent auditors have issued an audit report on management’s assessment of internal controls over financial reporting. This report entitled “Report of Independent Registered Accounting Firm” is included in Item 8 of this report under the heading “Report of Independent Registered Public Accounting Firm.”</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required to be reported on Form 8-K during the fourth quarter of 2018 that were not reported on Form 8-K.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80"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2019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contained under the heading “Compensation of Executive Officers and Directors” in the Proxy Statement to be used in connection with the solicitation of proxies for United’s 2019 Annual Meeting of Shareholders, to be filed with the SEC, is incorporated herein by reference.</w:t>
      </w:r>
    </w:p>
    <w:p>
      <w:pPr>
        <w:spacing w:after="0" w:line="143"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under the heading “Principal and Management Shareholders” and the “Equity Compensation Plan Information” table in the Proxy Statement to be used in connection with the solicitation of proxies for United’s 2019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SEC.</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2019 Annual Meeting of Shareholders, to be filed with the SEC,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Accountants” in the Proxy Statement to be used in connection with the solicitation of proxies for United’s 2019 Annual Meeting of Shareholders, to be filed with the SEC, is incorporated herein by reference.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80" w:right="239" w:bottom="1440" w:gutter="0" w:footer="0" w:header="0"/>
        </w:sectPr>
      </w:pPr>
    </w:p>
    <w:bookmarkStart w:id="146" w:name="page147"/>
    <w:bookmarkEnd w:id="14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391" w:lineRule="exact"/>
        <w:rPr>
          <w:sz w:val="20"/>
          <w:szCs w:val="20"/>
          <w:color w:val="auto"/>
        </w:rPr>
      </w:pPr>
    </w:p>
    <w:p>
      <w:pPr>
        <w:ind w:left="380" w:hanging="345"/>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Income - Years ended December 31, 2018, 2017, and 2016</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Balance Sheets - December 31, 2018 and 2017</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Changes in Shareholders’ Equity - Years ended December 31, 2018, 2017, and 2016</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Cash Flows - Years ended December 31, 2018, 2017, and 2016</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Notes to Consolidated Financial Statements</w:t>
      </w:r>
    </w:p>
    <w:p>
      <w:pPr>
        <w:spacing w:after="0" w:line="387" w:lineRule="exact"/>
        <w:rPr>
          <w:sz w:val="20"/>
          <w:szCs w:val="20"/>
          <w:color w:val="auto"/>
        </w:rPr>
      </w:pPr>
    </w:p>
    <w:p>
      <w:pPr>
        <w:ind w:left="760" w:hanging="387"/>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387" w:lineRule="exact"/>
        <w:rPr>
          <w:rFonts w:ascii="Arial" w:cs="Arial" w:eastAsia="Arial" w:hAnsi="Arial"/>
          <w:sz w:val="18"/>
          <w:szCs w:val="18"/>
          <w:color w:val="auto"/>
        </w:rPr>
      </w:pPr>
    </w:p>
    <w:p>
      <w:pPr>
        <w:ind w:left="760" w:hanging="387"/>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required to be filed with this report by Item 601 of Regulation S-K:</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480" w:type="dxa"/>
            <w:vAlign w:val="bottom"/>
            <w:gridSpan w:val="12"/>
          </w:tcPr>
          <w:p>
            <w:pPr>
              <w:spacing w:after="0"/>
              <w:rPr>
                <w:sz w:val="20"/>
                <w:szCs w:val="20"/>
                <w:color w:val="auto"/>
              </w:rPr>
            </w:pPr>
            <w:r>
              <w:rPr>
                <w:rFonts w:ascii="Arial" w:cs="Arial" w:eastAsia="Arial" w:hAnsi="Arial"/>
                <w:sz w:val="14"/>
                <w:szCs w:val="14"/>
                <w:b w:val="1"/>
                <w:bCs w:val="1"/>
                <w:color w:val="auto"/>
              </w:rPr>
              <w:t>Exhibit</w:t>
            </w:r>
          </w:p>
        </w:tc>
      </w:tr>
      <w:tr>
        <w:trPr>
          <w:trHeight w:val="472"/>
        </w:trPr>
        <w:tc>
          <w:tcPr>
            <w:tcW w:w="1220" w:type="dxa"/>
            <w:vAlign w:val="bottom"/>
            <w:tcBorders>
              <w:top w:val="single" w:sz="8" w:color="auto"/>
            </w:tcBorders>
            <w:gridSpan w:val="3"/>
          </w:tcPr>
          <w:p>
            <w:pPr>
              <w:ind w:left="40"/>
              <w:spacing w:after="0"/>
              <w:rPr>
                <w:rFonts w:ascii="Arial" w:cs="Arial" w:eastAsia="Arial" w:hAnsi="Arial"/>
                <w:sz w:val="18"/>
                <w:szCs w:val="18"/>
                <w:color w:val="0000FF"/>
              </w:rPr>
            </w:pPr>
            <w:hyperlink r:id="rId28">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80" w:type="dxa"/>
            <w:vAlign w:val="bottom"/>
            <w:tcBorders>
              <w:top w:val="single" w:sz="8" w:color="auto"/>
            </w:tcBorders>
            <w:gridSpan w:val="12"/>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Agreement and Plan of Merger, dated April 22, 2015, by and between Palmetto Bancshares, Inc. and United Community Banks,</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Inc. (incorporated herein by reference to Exhibit 2.1 to United Community Banks, Inc.’s Current Report on Form 8-K, File No.</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001-35095, filed with the SEC on April 22, 2015).</w:t>
              </w:r>
            </w:hyperlink>
          </w:p>
        </w:tc>
        <w:tc>
          <w:tcPr>
            <w:tcW w:w="5840" w:type="dxa"/>
            <w:vAlign w:val="bottom"/>
            <w:gridSpan w:val="7"/>
          </w:tcPr>
          <w:p>
            <w:pPr>
              <w:spacing w:after="0"/>
              <w:rPr>
                <w:sz w:val="17"/>
                <w:szCs w:val="17"/>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29">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8"/>
              </w:rPr>
            </w:pPr>
            <w:hyperlink r:id="rId29">
              <w:r>
                <w:rPr>
                  <w:rFonts w:ascii="Arial" w:cs="Arial" w:eastAsia="Arial" w:hAnsi="Arial"/>
                  <w:sz w:val="18"/>
                  <w:szCs w:val="18"/>
                  <w:color w:val="0000FF"/>
                  <w:w w:val="98"/>
                </w:rPr>
                <w:t>Agreement and Plan of Merger, dated January 27, 2015, by and between United Community Banks, Inc. and MoneyTree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Corporation (incorporated herein by reference to Exhibit 2.1 to United Community Banks, Inc.’s Current Report on Form 8-K, File</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No. 001-35095, filed with the SEC on January 28, 2015).</w:t>
              </w:r>
            </w:hyperlink>
          </w:p>
        </w:tc>
      </w:tr>
      <w:tr>
        <w:trPr>
          <w:trHeight w:val="20"/>
        </w:trPr>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Agreement and Plan of Merger, dated April 4, 2016, by and between United Community Banks, Inc. and Tidelands Bancshares,</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5"/>
              </w:rPr>
            </w:pPr>
            <w:hyperlink r:id="rId30">
              <w:r>
                <w:rPr>
                  <w:rFonts w:ascii="Arial" w:cs="Arial" w:eastAsia="Arial" w:hAnsi="Arial"/>
                  <w:sz w:val="18"/>
                  <w:szCs w:val="18"/>
                  <w:color w:val="0000FF"/>
                  <w:w w:val="95"/>
                </w:rPr>
                <w:t>Inc. (incorporated herein by reference to Exhibit 2.1 to United Community Banks, Inc.’s Current Report on Form 8-K, File No.</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001-35095, filed with the SEC on April 4, 2016)</w:t>
              </w:r>
            </w:hyperlink>
          </w:p>
        </w:tc>
      </w:tr>
      <w:tr>
        <w:trPr>
          <w:trHeight w:val="20"/>
        </w:trPr>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5"/>
              </w:rPr>
            </w:pPr>
            <w:hyperlink r:id="rId31">
              <w:r>
                <w:rPr>
                  <w:rFonts w:ascii="Arial" w:cs="Arial" w:eastAsia="Arial" w:hAnsi="Arial"/>
                  <w:sz w:val="18"/>
                  <w:szCs w:val="18"/>
                  <w:color w:val="0000FF"/>
                  <w:w w:val="95"/>
                </w:rPr>
                <w:t>Amendment to the Agreement and Plan of Merger, dated April 27, 2016, by and between United Community Banks, Inc. and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Tidelands Bancshares, Inc. (incorporated herein by reference to Exhibit 2.1 to United Community Banks, Inc.’s Quarterly Report</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on Form 10-Q for the period ended June 30, 2016, filed with the SEC on August 8, 2016</w:t>
              </w:r>
            </w:hyperlink>
          </w:p>
        </w:tc>
      </w:tr>
      <w:tr>
        <w:trPr>
          <w:trHeight w:val="20"/>
        </w:trPr>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7"/>
              </w:rPr>
            </w:pPr>
            <w:hyperlink r:id="rId32">
              <w:r>
                <w:rPr>
                  <w:rFonts w:ascii="Arial" w:cs="Arial" w:eastAsia="Arial" w:hAnsi="Arial"/>
                  <w:sz w:val="18"/>
                  <w:szCs w:val="18"/>
                  <w:color w:val="0000FF"/>
                  <w:w w:val="97"/>
                </w:rPr>
                <w:t>Agreement and Plan of Merger, dated April 19, 2017, by and between United Community Banks, Inc. and HCSB Financial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Corporation (incorporated herein by reference to Exhibit 2.1 to United Community Banks, Inc.’s Current Report on Form 8-K, File</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No. 000-26995, filed with the SEC on April 21, 2017).</w:t>
              </w:r>
            </w:hyperlink>
          </w:p>
        </w:tc>
      </w:tr>
      <w:tr>
        <w:trPr>
          <w:trHeight w:val="20"/>
        </w:trPr>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2.</w:t>
              </w:r>
              <w:r>
                <w:rPr>
                  <w:rFonts w:ascii="Arial" w:cs="Arial" w:eastAsia="Arial" w:hAnsi="Arial"/>
                  <w:sz w:val="18"/>
                  <w:szCs w:val="18"/>
                  <w:u w:val="single" w:color="auto"/>
                  <w:color w:val="0000FF"/>
                </w:rPr>
                <w:t>6</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Agreement and Plan of Merger, dated June 26, 2017, by and between United Community Banks, Inc. and Four Oaks Fincorp, Inc.</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(incorporated by reference herein by reference to Exhibit 2.1 to United Community Banks, Inc.’s Current Report on Form 8-K,</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File No. 000-22787, filed with the SEC on June 27, 2017).</w:t>
              </w:r>
            </w:hyperlink>
          </w:p>
        </w:tc>
      </w:tr>
      <w:tr>
        <w:trPr>
          <w:trHeight w:val="20"/>
        </w:trPr>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2.</w:t>
              </w:r>
              <w:r>
                <w:rPr>
                  <w:rFonts w:ascii="Arial" w:cs="Arial" w:eastAsia="Arial" w:hAnsi="Arial"/>
                  <w:sz w:val="18"/>
                  <w:szCs w:val="18"/>
                  <w:u w:val="single" w:color="auto"/>
                  <w:color w:val="0000FF"/>
                </w:rPr>
                <w:t>7</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Agreement and Plan of Merger, dated January 8, 2018, by and between United Community Banks, Inc., United Community Bank,</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Symph Acquisition Corp., NLFC Holdings Corp. and Shareholder Representative Services LLC (incorporated by reference herein</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by reference to Exhibit 2.1 to United Community Banks, Inc.’s Current Report on Form 8-K, File No. 001-35095, filed with the</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34">
              <w:r>
                <w:rPr>
                  <w:rFonts w:ascii="Arial" w:cs="Arial" w:eastAsia="Arial" w:hAnsi="Arial"/>
                  <w:sz w:val="18"/>
                  <w:szCs w:val="18"/>
                  <w:color w:val="0000FF"/>
                  <w:w w:val="88"/>
                </w:rPr>
                <w:t>SEC on January 9, 2018).</w:t>
              </w:r>
            </w:hyperlink>
          </w:p>
        </w:tc>
        <w:tc>
          <w:tcPr>
            <w:tcW w:w="7580" w:type="dxa"/>
            <w:vAlign w:val="bottom"/>
            <w:tcBorders>
              <w:top w:val="single" w:sz="8" w:color="0000FF"/>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220" w:type="dxa"/>
            <w:vAlign w:val="bottom"/>
            <w:gridSpan w:val="3"/>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Restated Articles of Incorporation of United Community Banks, Inc., as amended (incorporated herein by reference to Exhibit 3.1</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tcBorders>
            <w:gridSpan w:val="11"/>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to United Community Banks, Inc.’s Quarterly Report on Form 10-Q for the period ended June 30, 2016, filed with the SEC on</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August 8, 2016).</w:t>
              </w:r>
            </w:hyperlink>
          </w:p>
        </w:tc>
        <w:tc>
          <w:tcPr>
            <w:tcW w:w="822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220" w:type="dxa"/>
            <w:vAlign w:val="bottom"/>
            <w:gridSpan w:val="3"/>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Amended and Restated Bylaws of United Community Banks, Inc., as amended (incorporated herein by reference to Exhibit 3.2 to</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70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United Community Banks, Inc.’s Quarterly Report on Form 10-Q for the period ended March 31, 2015, filed with the SEC on May</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36">
              <w:r>
                <w:rPr>
                  <w:rFonts w:ascii="Arial" w:cs="Arial" w:eastAsia="Arial" w:hAnsi="Arial"/>
                  <w:sz w:val="18"/>
                  <w:szCs w:val="18"/>
                  <w:color w:val="0000FF"/>
                  <w:w w:val="88"/>
                </w:rPr>
                <w:t>11, 2015).</w:t>
              </w:r>
            </w:hyperlink>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820"/>
          </w:cols>
          <w:pgMar w:left="240" w:top="580" w:right="839" w:bottom="350" w:gutter="0" w:footer="0" w:header="0"/>
        </w:sectPr>
      </w:pPr>
    </w:p>
    <w:p>
      <w:pPr>
        <w:spacing w:after="0" w:line="8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820"/>
          </w:cols>
          <w:pgMar w:left="240" w:top="580" w:right="839" w:bottom="35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300" w:type="dxa"/>
            <w:vAlign w:val="bottom"/>
            <w:gridSpan w:val="2"/>
          </w:tcPr>
          <w:p>
            <w:pPr>
              <w:spacing w:after="0"/>
              <w:rPr>
                <w:rFonts w:ascii="Arial" w:cs="Arial" w:eastAsia="Arial" w:hAnsi="Arial"/>
                <w:sz w:val="18"/>
                <w:szCs w:val="18"/>
                <w:color w:val="0000FF"/>
              </w:rPr>
            </w:pPr>
            <w:hyperlink r:id="rId3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0" w:type="dxa"/>
            <w:vAlign w:val="bottom"/>
          </w:tcPr>
          <w:p>
            <w:pPr>
              <w:spacing w:after="0"/>
              <w:rPr>
                <w:sz w:val="17"/>
                <w:szCs w:val="17"/>
                <w:color w:val="auto"/>
              </w:rPr>
            </w:pPr>
          </w:p>
        </w:tc>
        <w:tc>
          <w:tcPr>
            <w:tcW w:w="9460" w:type="dxa"/>
            <w:vAlign w:val="bottom"/>
            <w:gridSpan w:val="15"/>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See Exhibits 3.1 and 3.2 for provisions of the Restated Articles of Incorporation of United Community Banks, Inc., as amended,</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and the Amended and Restated Bylaws, as amended, of United Community Banks, Inc., which define the rights of security</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holders.</w:t>
              </w:r>
            </w:hyperlink>
          </w:p>
        </w:tc>
        <w:tc>
          <w:tcPr>
            <w:tcW w:w="8880" w:type="dxa"/>
            <w:vAlign w:val="bottom"/>
            <w:gridSpan w:val="13"/>
          </w:tcPr>
          <w:p>
            <w:pPr>
              <w:spacing w:after="0"/>
              <w:rPr>
                <w:sz w:val="17"/>
                <w:szCs w:val="17"/>
                <w:color w:val="auto"/>
              </w:rPr>
            </w:pPr>
          </w:p>
        </w:tc>
      </w:tr>
      <w:tr>
        <w:trPr>
          <w:trHeight w:val="372"/>
        </w:trPr>
        <w:tc>
          <w:tcPr>
            <w:tcW w:w="220" w:type="dxa"/>
            <w:vAlign w:val="bottom"/>
          </w:tcPr>
          <w:p>
            <w:pPr>
              <w:spacing w:after="0"/>
              <w:rPr>
                <w:rFonts w:ascii="Arial" w:cs="Arial" w:eastAsia="Arial" w:hAnsi="Arial"/>
                <w:sz w:val="18"/>
                <w:szCs w:val="18"/>
                <w:color w:val="0000FF"/>
                <w:w w:val="79"/>
              </w:rPr>
            </w:pPr>
            <w:hyperlink r:id="rId3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6"/>
              </w:rPr>
            </w:pPr>
            <w:hyperlink r:id="rId37">
              <w:r>
                <w:rPr>
                  <w:rFonts w:ascii="Arial" w:cs="Arial" w:eastAsia="Arial" w:hAnsi="Arial"/>
                  <w:sz w:val="18"/>
                  <w:szCs w:val="18"/>
                  <w:color w:val="0000FF"/>
                  <w:w w:val="96"/>
                </w:rPr>
                <w:t>Indenture, dated August 14, 2015, by and between United Community Banks, Inc. and The Bank of New York Mellon Trust</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bottom w:val="single" w:sz="8" w:color="0000FF"/>
            </w:tcBorders>
            <w:gridSpan w:val="15"/>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Company, N.A., Trustee (incorporated herein by reference to Exhibit 4.1 to United Community Banks, Inc.’s Current Report on</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Form 8-K, File No. 001-35095, filed with the SEC on August 14, 2015).</w:t>
              </w:r>
            </w:hyperlink>
          </w:p>
        </w:tc>
        <w:tc>
          <w:tcPr>
            <w:tcW w:w="4240" w:type="dxa"/>
            <w:vAlign w:val="bottom"/>
            <w:gridSpan w:val="6"/>
          </w:tcPr>
          <w:p>
            <w:pPr>
              <w:spacing w:after="0"/>
              <w:rPr>
                <w:sz w:val="17"/>
                <w:szCs w:val="17"/>
                <w:color w:val="auto"/>
              </w:rPr>
            </w:pPr>
          </w:p>
        </w:tc>
      </w:tr>
      <w:tr>
        <w:trPr>
          <w:trHeight w:val="372"/>
        </w:trPr>
        <w:tc>
          <w:tcPr>
            <w:tcW w:w="300" w:type="dxa"/>
            <w:vAlign w:val="bottom"/>
            <w:gridSpan w:val="2"/>
          </w:tcPr>
          <w:p>
            <w:pPr>
              <w:spacing w:after="0"/>
              <w:rPr>
                <w:rFonts w:ascii="Arial" w:cs="Arial" w:eastAsia="Arial" w:hAnsi="Arial"/>
                <w:sz w:val="18"/>
                <w:szCs w:val="18"/>
                <w:color w:val="0000FF"/>
              </w:rPr>
            </w:pPr>
            <w:hyperlink r:id="rId38">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First Supplemental Indenture to the Indenture, dated August 14, 2015, by and between United Community Banks, Inc. and The</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Bank of New York Mellon Trust Company, N.A., Trustee (incorporated herein by reference to Exhibit 4.2 to United Community</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Banks, Inc.’s Current Report on Form 8-K, File No. 001-35095, filed with the SEC on August 14, 2015).</w:t>
              </w:r>
            </w:hyperlink>
          </w:p>
        </w:tc>
        <w:tc>
          <w:tcPr>
            <w:tcW w:w="18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00" w:type="dxa"/>
            <w:vAlign w:val="bottom"/>
            <w:gridSpan w:val="2"/>
          </w:tcPr>
          <w:p>
            <w:pPr>
              <w:spacing w:after="0"/>
              <w:rPr>
                <w:rFonts w:ascii="Arial" w:cs="Arial" w:eastAsia="Arial" w:hAnsi="Arial"/>
                <w:sz w:val="18"/>
                <w:szCs w:val="18"/>
                <w:color w:val="0000FF"/>
              </w:rPr>
            </w:pPr>
            <w:hyperlink r:id="rId39">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Second Supplemental Indenture to the Indenture, dated August 14, 2015, by and between United Community Banks, Inc. and The</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Bank of New York Mellon Trust Company, N.A., Trustee (incorporated herein by reference to Exhibit 4.3 to United Community</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Banks, Inc.’s Current Report on Form 8-K, File No. 001-35095, filed with the SEC on August 14, 2015).</w:t>
              </w:r>
            </w:hyperlink>
          </w:p>
        </w:tc>
        <w:tc>
          <w:tcPr>
            <w:tcW w:w="18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00" w:type="dxa"/>
            <w:vAlign w:val="bottom"/>
            <w:gridSpan w:val="2"/>
          </w:tcPr>
          <w:p>
            <w:pPr>
              <w:spacing w:after="0"/>
              <w:rPr>
                <w:rFonts w:ascii="Arial" w:cs="Arial" w:eastAsia="Arial" w:hAnsi="Arial"/>
                <w:sz w:val="18"/>
                <w:szCs w:val="18"/>
                <w:color w:val="0000FF"/>
              </w:rPr>
            </w:pPr>
            <w:hyperlink r:id="rId40">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Indenture, dated January 18, 2018, by and between United and The Bank of New York Mellon, N.A., Trustee (incorporated herein</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by reference to Exhibit 4.1 to United Community Banks, Inc.’s Current Report on Form 8-K, File No. 001-35095, filed with the</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SEC on January 23, 2018).</w:t>
              </w:r>
            </w:hyperlink>
          </w:p>
        </w:tc>
        <w:tc>
          <w:tcPr>
            <w:tcW w:w="20" w:type="dxa"/>
            <w:vAlign w:val="bottom"/>
          </w:tcPr>
          <w:p>
            <w:pPr>
              <w:spacing w:after="0"/>
              <w:rPr>
                <w:sz w:val="17"/>
                <w:szCs w:val="17"/>
                <w:color w:val="auto"/>
              </w:rPr>
            </w:pPr>
          </w:p>
        </w:tc>
      </w:tr>
      <w:tr>
        <w:trPr>
          <w:trHeight w:val="20"/>
        </w:trPr>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300" w:type="dxa"/>
            <w:vAlign w:val="bottom"/>
            <w:gridSpan w:val="2"/>
          </w:tcPr>
          <w:p>
            <w:pPr>
              <w:spacing w:after="0"/>
              <w:rPr>
                <w:rFonts w:ascii="Arial" w:cs="Arial" w:eastAsia="Arial" w:hAnsi="Arial"/>
                <w:sz w:val="18"/>
                <w:szCs w:val="18"/>
                <w:color w:val="0000FF"/>
              </w:rPr>
            </w:pPr>
            <w:hyperlink r:id="rId41">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First Supplemental Indenture to the Indenture, dated January 18, 2018, by and between United and The Bank of New York Mellon,</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N.A., Trustee (incorporated herein by reference to Exhibit 4.2 to United Community Banks, Inc.’s Current Report on Form 8-K,</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File No. 001-35095, filed with the SEC on January 23, 2018).</w:t>
              </w:r>
            </w:hyperlink>
          </w:p>
        </w:tc>
        <w:tc>
          <w:tcPr>
            <w:tcW w:w="5000" w:type="dxa"/>
            <w:vAlign w:val="bottom"/>
            <w:gridSpan w:val="8"/>
          </w:tcPr>
          <w:p>
            <w:pPr>
              <w:spacing w:after="0"/>
              <w:rPr>
                <w:sz w:val="17"/>
                <w:szCs w:val="17"/>
                <w:color w:val="auto"/>
              </w:rPr>
            </w:pPr>
          </w:p>
        </w:tc>
      </w:tr>
      <w:tr>
        <w:trPr>
          <w:trHeight w:val="520"/>
        </w:trPr>
        <w:tc>
          <w:tcPr>
            <w:tcW w:w="220" w:type="dxa"/>
            <w:vAlign w:val="bottom"/>
          </w:tcPr>
          <w:p>
            <w:pPr>
              <w:spacing w:after="0"/>
              <w:rPr>
                <w:rFonts w:ascii="Arial" w:cs="Arial" w:eastAsia="Arial" w:hAnsi="Arial"/>
                <w:sz w:val="18"/>
                <w:szCs w:val="18"/>
                <w:color w:val="0000FF"/>
                <w:w w:val="79"/>
              </w:rPr>
            </w:pPr>
            <w:hyperlink r:id="rId4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Form of Indenture for Senior Indebtedness (incorporated herein by reference to Exhibit 4.2 to United Community Banks, Inc.’s</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Form S-3, File No. 333-203548, filed with the SEC on April 21, 2015).</w:t>
              </w:r>
            </w:hyperlink>
          </w:p>
        </w:tc>
        <w:tc>
          <w:tcPr>
            <w:tcW w:w="43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220" w:type="dxa"/>
            <w:vAlign w:val="bottom"/>
          </w:tcPr>
          <w:p>
            <w:pPr>
              <w:spacing w:after="0"/>
              <w:rPr>
                <w:rFonts w:ascii="Arial" w:cs="Arial" w:eastAsia="Arial" w:hAnsi="Arial"/>
                <w:sz w:val="18"/>
                <w:szCs w:val="18"/>
                <w:color w:val="0000FF"/>
                <w:w w:val="79"/>
              </w:rPr>
            </w:pPr>
            <w:hyperlink r:id="rId4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4"/>
              </w:rPr>
            </w:pPr>
            <w:hyperlink r:id="rId43">
              <w:r>
                <w:rPr>
                  <w:rFonts w:ascii="Arial" w:cs="Arial" w:eastAsia="Arial" w:hAnsi="Arial"/>
                  <w:sz w:val="18"/>
                  <w:szCs w:val="18"/>
                  <w:color w:val="0000FF"/>
                  <w:w w:val="94"/>
                </w:rPr>
                <w:t>Form of Indenture for Senior Indebtedness (incorporated herein by reference to Exhibit 4.2 to United Community Banks, Inc.’s</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Form S-3, File No. 333-224367, filed with the SEC on April 20, 2018).</w:t>
              </w:r>
            </w:hyperlink>
          </w:p>
        </w:tc>
        <w:tc>
          <w:tcPr>
            <w:tcW w:w="43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00" w:type="dxa"/>
            <w:vAlign w:val="bottom"/>
            <w:gridSpan w:val="2"/>
          </w:tcPr>
          <w:p>
            <w:pPr>
              <w:spacing w:after="0"/>
              <w:rPr>
                <w:rFonts w:ascii="Arial" w:cs="Arial" w:eastAsia="Arial" w:hAnsi="Arial"/>
                <w:sz w:val="18"/>
                <w:szCs w:val="18"/>
                <w:color w:val="0000FF"/>
              </w:rPr>
            </w:pPr>
            <w:hyperlink r:id="rId44">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10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Form of Indenture for Subordinated Indebtedness (incorporated herein by reference to Exhibit 4.3 to United Community Banks,</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Inc.’s Form S-3, File No. 333-203548, filed with the SEC on April 21, 2015).</w:t>
              </w:r>
            </w:hyperlink>
          </w:p>
        </w:tc>
        <w:tc>
          <w:tcPr>
            <w:tcW w:w="3880" w:type="dxa"/>
            <w:vAlign w:val="bottom"/>
            <w:tcBorders>
              <w:top w:val="single" w:sz="8" w:color="0000FF"/>
            </w:tcBorders>
            <w:gridSpan w:val="5"/>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45">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9460" w:type="dxa"/>
            <w:vAlign w:val="bottom"/>
            <w:gridSpan w:val="15"/>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Form of Indenture for Subordinated Indebtedness (incorporated herein by reference to Exhibit 4.3 to United Community Banks,</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Inc.’s Form S-3, File No. 333-224367, filed with the SEC on April 20, 2018).</w:t>
              </w:r>
            </w:hyperlink>
          </w:p>
        </w:tc>
        <w:tc>
          <w:tcPr>
            <w:tcW w:w="3880" w:type="dxa"/>
            <w:vAlign w:val="bottom"/>
            <w:tcBorders>
              <w:top w:val="single" w:sz="8" w:color="0000FF"/>
            </w:tcBorders>
            <w:gridSpan w:val="5"/>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9460" w:type="dxa"/>
            <w:vAlign w:val="bottom"/>
            <w:gridSpan w:val="15"/>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United Community Banks, Inc.’s Profit Sharing Plan, amended and restated as of January 1, 2001 (incorporated herein by</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reference to Exhibit 4.3 to United Community Banks, Inc.’s Registration Statement on Form S-8, File No. 333-86876, filed with</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the SEC on April 24, 2002).*</w:t>
              </w:r>
            </w:hyperlink>
          </w:p>
        </w:tc>
        <w:tc>
          <w:tcPr>
            <w:tcW w:w="732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9460" w:type="dxa"/>
            <w:vAlign w:val="bottom"/>
            <w:gridSpan w:val="15"/>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Amendment No. 1 to United Community Banks, Inc.’s Profit Sharing Plan, dated as of March 15, 2002 (incorporated herein by</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gridSpan w:val="15"/>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reference to Exhibit 4.4 to United Community Banks, Inc.’s Registration Statement on Form S-8, File No. 333-86876, filed with</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the SEC on April 24, 2002).*</w:t>
              </w:r>
            </w:hyperlink>
          </w:p>
        </w:tc>
        <w:tc>
          <w:tcPr>
            <w:tcW w:w="732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546"/>
        </w:trPr>
        <w:tc>
          <w:tcPr>
            <w:tcW w:w="1300" w:type="dxa"/>
            <w:vAlign w:val="bottom"/>
            <w:gridSpan w:val="3"/>
          </w:tcPr>
          <w:p>
            <w:pPr>
              <w:spacing w:after="0"/>
              <w:rPr>
                <w:sz w:val="20"/>
                <w:szCs w:val="20"/>
                <w:color w:val="auto"/>
              </w:rPr>
            </w:pPr>
            <w:r>
              <w:rPr>
                <w:rFonts w:ascii="Arial" w:cs="Arial" w:eastAsia="Arial" w:hAnsi="Arial"/>
                <w:sz w:val="18"/>
                <w:szCs w:val="18"/>
                <w:color w:val="auto"/>
              </w:rPr>
              <w:t>10.3</w:t>
            </w:r>
          </w:p>
        </w:tc>
        <w:tc>
          <w:tcPr>
            <w:tcW w:w="9460" w:type="dxa"/>
            <w:vAlign w:val="bottom"/>
            <w:gridSpan w:val="15"/>
          </w:tcPr>
          <w:p>
            <w:pPr>
              <w:spacing w:after="0"/>
              <w:rPr>
                <w:sz w:val="20"/>
                <w:szCs w:val="20"/>
                <w:color w:val="auto"/>
              </w:rPr>
            </w:pPr>
            <w:r>
              <w:rPr>
                <w:rFonts w:ascii="Arial" w:cs="Arial" w:eastAsia="Arial" w:hAnsi="Arial"/>
                <w:sz w:val="18"/>
                <w:szCs w:val="18"/>
                <w:color w:val="auto"/>
                <w:w w:val="92"/>
              </w:rPr>
              <w:t>Split-Dollar Agreement between United Community Banks, Inc. and Jimmy C. Tallent dated June 1, 1994 (incorporated herein by</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auto"/>
                <w:w w:val="95"/>
              </w:rPr>
              <w:t>reference to Exhibit 10.11 to United Community Banks, Inc.’s Annual Report on Form 10-K for the year ended December 31,</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auto"/>
              </w:rPr>
              <w:t>1994, File No. 0-21656).*</w:t>
            </w:r>
          </w:p>
        </w:tc>
      </w:tr>
      <w:tr>
        <w:trPr>
          <w:trHeight w:val="500"/>
        </w:trPr>
        <w:tc>
          <w:tcPr>
            <w:tcW w:w="1300" w:type="dxa"/>
            <w:vAlign w:val="bottom"/>
            <w:gridSpan w:val="3"/>
          </w:tcPr>
          <w:p>
            <w:pPr>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9460" w:type="dxa"/>
            <w:vAlign w:val="bottom"/>
            <w:gridSpan w:val="15"/>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United Community Banks, Inc.’s Amended and Restated 2000 Key Employee Stock Option Plan (incorporated herein by reference</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bottom w:val="single" w:sz="8" w:color="0000FF"/>
            </w:tcBorders>
            <w:gridSpan w:val="15"/>
          </w:tcPr>
          <w:p>
            <w:pPr>
              <w:spacing w:after="0" w:line="19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to Exhibit 10.1 to United Community Banks, Inc.’s Current Report on Form 8-K, File No. 000-21656, filed with the SEC on May</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1, 2007).*</w:t>
              </w:r>
            </w:hyperlink>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9460" w:type="dxa"/>
            <w:vAlign w:val="bottom"/>
            <w:gridSpan w:val="15"/>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Amendment No. 1 to United Community Banks, Inc.’s Amended and Restated 2000 Key Employee Stock Option Plan dated April</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80" w:type="dxa"/>
            <w:vAlign w:val="bottom"/>
            <w:gridSpan w:val="5"/>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13, 2007 (incorporated herein by reference to Exhibit 10.1 to United Community Banks, Inc.’s Current Report on Form 8-K, File</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4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No. 000-21656, filed with the SEC on April 13, 2007).*</w:t>
              </w:r>
            </w:hyperlink>
          </w:p>
        </w:tc>
        <w:tc>
          <w:tcPr>
            <w:tcW w:w="5420" w:type="dxa"/>
            <w:vAlign w:val="bottom"/>
            <w:gridSpan w:val="9"/>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9460" w:type="dxa"/>
            <w:vAlign w:val="bottom"/>
            <w:gridSpan w:val="15"/>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Form of Amended and Restated Change of Control Severance Agreement by and between United Community Banks, Inc. and</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920" w:type="dxa"/>
            <w:vAlign w:val="bottom"/>
            <w:gridSpan w:val="10"/>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gridSpan w:val="15"/>
          </w:tcPr>
          <w:p>
            <w:pPr>
              <w:spacing w:after="0" w:line="19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Jimmy C. Tallent and H. Lynn Harton (incorporated herein by reference to Exhibit 10.8 to United Community Banks, Inc.’s</w:t>
              </w:r>
            </w:hyperlink>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920" w:type="dxa"/>
            <w:vAlign w:val="bottom"/>
            <w:gridSpan w:val="10"/>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bottom w:val="single" w:sz="8" w:color="0000FF"/>
            </w:tcBorders>
            <w:gridSpan w:val="15"/>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Annual Report on Form 10-K for the year ended December 31, 2008, File No. 000-21656, filed with the SEC on February 27,</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2009).*</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9460" w:type="dxa"/>
            <w:vAlign w:val="bottom"/>
            <w:gridSpan w:val="15"/>
          </w:tcPr>
          <w:p>
            <w:pPr>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Executive Transition Agreement by and between United Community Banks, Inc. and Jimmy C. Tallent dated May 10, 2018</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(incorporated herein by reference to Exhibit 10.1 to United Community Banks, Inc.’s Quarterly Report on Form 10-Q for the</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gridSpan w:val="1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period ended June 30, 2018, File No. 001-35095, filed with the SEC on August 6, 2018).*</w:t>
              </w:r>
            </w:hyperlink>
          </w:p>
        </w:tc>
      </w:tr>
      <w:tr>
        <w:trPr>
          <w:trHeight w:val="20"/>
        </w:trPr>
        <w:tc>
          <w:tcPr>
            <w:tcW w:w="1300" w:type="dxa"/>
            <w:vAlign w:val="bottom"/>
            <w:gridSpan w:val="3"/>
          </w:tcPr>
          <w:p>
            <w:pPr>
              <w:spacing w:after="0" w:line="20" w:lineRule="exact"/>
              <w:rPr>
                <w:sz w:val="1"/>
                <w:szCs w:val="1"/>
                <w:color w:val="auto"/>
              </w:rPr>
            </w:pPr>
          </w:p>
        </w:tc>
        <w:tc>
          <w:tcPr>
            <w:tcW w:w="6480" w:type="dxa"/>
            <w:vAlign w:val="bottom"/>
            <w:gridSpan w:val="11"/>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9460" w:type="dxa"/>
            <w:vAlign w:val="bottom"/>
            <w:gridSpan w:val="15"/>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Change in Control Severance Agreement by and between United Community Banks, Inc. and Jefferson L. Harralson, Bill</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Gilbert, and Rob Edwards (incorporated herein by reference to Exhibit 10.1 to United Community Banks, Inc.’s Quarterly Report</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on Form 10-Q for the period ended March 31, 2017, File No. 35095, filed with the SEC on May 5, 2017).*</w:t>
              </w:r>
            </w:hyperlink>
          </w:p>
        </w:tc>
        <w:tc>
          <w:tcPr>
            <w:tcW w:w="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280" w:top="729" w:right="859" w:bottom="188" w:gutter="0" w:footer="0" w:header="0"/>
        </w:sectPr>
      </w:pP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760"/>
          </w:cols>
          <w:pgMar w:left="280" w:top="729" w:right="859" w:bottom="188" w:gutter="0" w:footer="0" w:header="0"/>
          <w:type w:val="continuous"/>
        </w:sectPr>
      </w:pPr>
    </w:p>
    <w:bookmarkStart w:id="148" w:name="page149"/>
    <w:bookmarkEnd w:id="148"/>
    <w:tbl>
      <w:tblPr>
        <w:tblLayout w:type="fixed"/>
        <w:tblInd w:w="5"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900" w:type="dxa"/>
            <w:vAlign w:val="bottom"/>
          </w:tcPr>
          <w:p>
            <w:pPr>
              <w:spacing w:after="0"/>
              <w:rPr>
                <w:sz w:val="17"/>
                <w:szCs w:val="17"/>
                <w:color w:val="auto"/>
              </w:rPr>
            </w:pPr>
          </w:p>
        </w:tc>
        <w:tc>
          <w:tcPr>
            <w:tcW w:w="9460" w:type="dxa"/>
            <w:vAlign w:val="bottom"/>
            <w:gridSpan w:val="14"/>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United Community Banks, Inc.’s Amended and Restated Modified Retirement Plan, effective as of January 1, 2005 (incorporated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herein by reference to Exhibit 10.10 to United Community Banks, Inc.’s Annual Report on Form 10-K for the year ended</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1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December 31, 2008, File No. 000-21656, filed with the SEC on February 27, 2009).*</w:t>
              </w:r>
            </w:hyperlink>
          </w:p>
        </w:tc>
        <w:tc>
          <w:tcPr>
            <w:tcW w:w="3320" w:type="dxa"/>
            <w:vAlign w:val="bottom"/>
            <w:gridSpan w:val="6"/>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460" w:type="dxa"/>
            <w:vAlign w:val="bottom"/>
            <w:gridSpan w:val="14"/>
          </w:tcPr>
          <w:p>
            <w:pPr>
              <w:spacing w:after="0"/>
              <w:rPr>
                <w:rFonts w:ascii="Arial" w:cs="Arial" w:eastAsia="Arial" w:hAnsi="Arial"/>
                <w:sz w:val="18"/>
                <w:szCs w:val="18"/>
                <w:color w:val="0000FF"/>
              </w:rPr>
            </w:pPr>
            <w:hyperlink r:id="rId54">
              <w:r>
                <w:rPr>
                  <w:rFonts w:ascii="Arial" w:cs="Arial" w:eastAsia="Arial" w:hAnsi="Arial"/>
                  <w:sz w:val="18"/>
                  <w:szCs w:val="18"/>
                  <w:color w:val="0000FF"/>
                </w:rPr>
                <w:t>United Community Banks, Inc.’s Amended and Restated Deferred Compensation Plan, effective as of January 1, 2005</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(incorporated herein by reference to Exhibit 10.11 to United Community Banks, Inc.’s Annual Report on Form 10-K for the year</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ended December 31, 2008, File No. 000-21656, filed with the SEC on February 27, 2009).*</w:t>
              </w:r>
            </w:hyperlink>
          </w:p>
        </w:tc>
        <w:tc>
          <w:tcPr>
            <w:tcW w:w="2840" w:type="dxa"/>
            <w:vAlign w:val="bottom"/>
            <w:gridSpan w:val="4"/>
          </w:tcPr>
          <w:p>
            <w:pPr>
              <w:spacing w:after="0"/>
              <w:rPr>
                <w:sz w:val="17"/>
                <w:szCs w:val="17"/>
                <w:color w:val="auto"/>
              </w:rPr>
            </w:pPr>
          </w:p>
        </w:tc>
      </w:tr>
      <w:tr>
        <w:trPr>
          <w:trHeight w:val="52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900" w:type="dxa"/>
            <w:vAlign w:val="bottom"/>
          </w:tcPr>
          <w:p>
            <w:pPr>
              <w:spacing w:after="0"/>
              <w:rPr>
                <w:sz w:val="24"/>
                <w:szCs w:val="24"/>
                <w:color w:val="auto"/>
              </w:rPr>
            </w:pPr>
          </w:p>
        </w:tc>
        <w:tc>
          <w:tcPr>
            <w:tcW w:w="9460" w:type="dxa"/>
            <w:vAlign w:val="bottom"/>
            <w:tcBorders>
              <w:bottom w:val="single" w:sz="8" w:color="0000FF"/>
            </w:tcBorders>
            <w:gridSpan w:val="14"/>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United Community Banks, Inc. Amended and Restated Dividend Reinvestment and Share Purchase Plan (incorporated herein by</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reference to Exhibit 4 to United Community Banks, Inc.’s Registration Statement on Form S-3D, File No. 333-197026, filed with</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the SEC on June 25, 2014).*</w:t>
              </w:r>
            </w:hyperlink>
          </w:p>
        </w:tc>
      </w:tr>
      <w:tr>
        <w:trPr>
          <w:trHeight w:val="20"/>
        </w:trPr>
        <w:tc>
          <w:tcPr>
            <w:tcW w:w="1300" w:type="dxa"/>
            <w:vAlign w:val="bottom"/>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9460" w:type="dxa"/>
            <w:vAlign w:val="bottom"/>
            <w:gridSpan w:val="14"/>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United Community Banks, Inc. Employee Stock Purchase Plan, effective as of December 20, 2005 (incorporated herein by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reference to Exhibit 4 to United Community Banks, Inc.’s Registration Statement on Form S-8, File No. 333-130489, filed with</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the SEC on December 20, 2005).*</w:t>
              </w:r>
            </w:hyperlink>
          </w:p>
        </w:tc>
        <w:tc>
          <w:tcPr>
            <w:tcW w:w="6980" w:type="dxa"/>
            <w:vAlign w:val="bottom"/>
            <w:gridSpan w:val="10"/>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9460" w:type="dxa"/>
            <w:vAlign w:val="bottom"/>
            <w:gridSpan w:val="14"/>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United Community Banks, Inc.’s Management Incentive Plan, effective as of January 1, 2007 (incorporated herein by reference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tcBorders>
            <w:gridSpan w:val="14"/>
          </w:tcPr>
          <w:p>
            <w:pPr>
              <w:spacing w:after="0" w:line="19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Exhibit 10.5 to United Community Banks, Inc.’s Current Report on Form 8-K, File No. 000-21656, filed with the SEC on May 1,</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2007).*</w:t>
              </w:r>
            </w:hyperlink>
          </w:p>
        </w:tc>
        <w:tc>
          <w:tcPr>
            <w:tcW w:w="2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9460" w:type="dxa"/>
            <w:vAlign w:val="bottom"/>
            <w:gridSpan w:val="14"/>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Amendment No. 2 to United Community Banks, Inc.’s Amended and Restated 2000 Key Employee Stock Option Plan dated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March 20, 2012 (incorporated herein by reference to Exhibit 10.1 to United Community Banks, Inc.’s Current Report on Form 8-</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4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K, File No. 001-35095, filed with the SEC on May 24, 2012).*</w:t>
              </w:r>
            </w:hyperlink>
          </w:p>
        </w:tc>
        <w:tc>
          <w:tcPr>
            <w:tcW w:w="4920" w:type="dxa"/>
            <w:vAlign w:val="bottom"/>
            <w:gridSpan w:val="7"/>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460" w:type="dxa"/>
            <w:vAlign w:val="bottom"/>
            <w:gridSpan w:val="14"/>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Amendment No. 3 to United Community Banks, Inc.’s Amended and Restated 2000 Key Employee Stock Option Plan dated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March 20, 2012 (incorporated herein by reference to Exhibit 10.1 to United Community Banks, Inc.’s Current Report on Form 8-</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4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K, File No. 001-35095, filed with the SEC on May 24, 2012).*</w:t>
              </w:r>
            </w:hyperlink>
          </w:p>
        </w:tc>
        <w:tc>
          <w:tcPr>
            <w:tcW w:w="4920" w:type="dxa"/>
            <w:vAlign w:val="bottom"/>
            <w:gridSpan w:val="7"/>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9460" w:type="dxa"/>
            <w:vAlign w:val="bottom"/>
            <w:gridSpan w:val="14"/>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Employment Agreement, dated as of September 14, 2012, between United Community Bank and H. Lynn Harton (incorporated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herein by reference to Exhibit 10.1 to United Community Banks, Inc.’s Current Report on Form 8-K, File No. 001-35095, filed</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with the SEC on September 19, 2012).*</w:t>
              </w:r>
            </w:hyperlink>
          </w:p>
        </w:tc>
        <w:tc>
          <w:tcPr>
            <w:tcW w:w="6580" w:type="dxa"/>
            <w:vAlign w:val="bottom"/>
            <w:gridSpan w:val="9"/>
          </w:tcPr>
          <w:p>
            <w:pPr>
              <w:spacing w:after="0"/>
              <w:rPr>
                <w:sz w:val="17"/>
                <w:szCs w:val="17"/>
                <w:color w:val="auto"/>
              </w:rPr>
            </w:pPr>
          </w:p>
        </w:tc>
      </w:tr>
      <w:tr>
        <w:trPr>
          <w:trHeight w:val="520"/>
        </w:trPr>
        <w:tc>
          <w:tcPr>
            <w:tcW w:w="400" w:type="dxa"/>
            <w:vAlign w:val="bottom"/>
            <w:gridSpan w:val="2"/>
          </w:tcPr>
          <w:p>
            <w:pPr>
              <w:spacing w:after="0"/>
              <w:rPr>
                <w:rFonts w:ascii="Arial" w:cs="Arial" w:eastAsia="Arial" w:hAnsi="Arial"/>
                <w:sz w:val="18"/>
                <w:szCs w:val="18"/>
                <w:color w:val="0000FF"/>
                <w:w w:val="84"/>
              </w:rPr>
            </w:pPr>
            <w:hyperlink r:id="rId6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90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Credit Agreement, dated as of January 7, 2014, between United Community Banks, Inc. and Synovus Bank, as amended</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(incorporated herein by reference to Exhibit 10.1 to United Community Banks, Inc.’s Quarterly Report on Form 10-Q for the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period ended June 30, 2017, File No. 001-35095, filed with the SEC on August 4, 2017).</w:t>
              </w:r>
            </w:hyperlink>
          </w:p>
        </w:tc>
        <w:tc>
          <w:tcPr>
            <w:tcW w:w="3060" w:type="dxa"/>
            <w:vAlign w:val="bottom"/>
            <w:gridSpan w:val="5"/>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460" w:type="dxa"/>
            <w:vAlign w:val="bottom"/>
            <w:gridSpan w:val="14"/>
          </w:tcPr>
          <w:p>
            <w:pPr>
              <w:spacing w:after="0"/>
              <w:rPr>
                <w:rFonts w:ascii="Arial" w:cs="Arial" w:eastAsia="Arial" w:hAnsi="Arial"/>
                <w:sz w:val="18"/>
                <w:szCs w:val="18"/>
                <w:color w:val="0000FF"/>
                <w:w w:val="97"/>
              </w:rPr>
            </w:pPr>
            <w:hyperlink r:id="rId61">
              <w:r>
                <w:rPr>
                  <w:rFonts w:ascii="Arial" w:cs="Arial" w:eastAsia="Arial" w:hAnsi="Arial"/>
                  <w:sz w:val="18"/>
                  <w:szCs w:val="18"/>
                  <w:color w:val="0000FF"/>
                  <w:w w:val="97"/>
                </w:rPr>
                <w:t>Form of Incentive Stock Option Award Agreement (incorporated herein by reference to Exhibit 10.15 to United Community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Banks, Inc.’s Form 10-K for the year ended December 31, 2014, File No. 001-35095, filed with the SEC on February 27, 2015).*</w:t>
              </w:r>
            </w:hyperlink>
          </w:p>
        </w:tc>
        <w:tc>
          <w:tcPr>
            <w:tcW w:w="140" w:type="dxa"/>
            <w:vAlign w:val="bottom"/>
            <w:tcBorders>
              <w:top w:val="single" w:sz="8" w:color="0000FF"/>
            </w:tcBorders>
            <w:gridSpan w:val="2"/>
          </w:tcPr>
          <w:p>
            <w:pPr>
              <w:spacing w:after="0"/>
              <w:rPr>
                <w:sz w:val="17"/>
                <w:szCs w:val="17"/>
                <w:color w:val="auto"/>
              </w:rPr>
            </w:pPr>
          </w:p>
        </w:tc>
      </w:tr>
      <w:tr>
        <w:trPr>
          <w:trHeight w:val="520"/>
        </w:trPr>
        <w:tc>
          <w:tcPr>
            <w:tcW w:w="400" w:type="dxa"/>
            <w:vAlign w:val="bottom"/>
            <w:gridSpan w:val="2"/>
          </w:tcPr>
          <w:p>
            <w:pPr>
              <w:spacing w:after="0"/>
              <w:rPr>
                <w:rFonts w:ascii="Arial" w:cs="Arial" w:eastAsia="Arial" w:hAnsi="Arial"/>
                <w:sz w:val="18"/>
                <w:szCs w:val="18"/>
                <w:color w:val="0000FF"/>
                <w:w w:val="84"/>
              </w:rPr>
            </w:pPr>
            <w:hyperlink r:id="rId6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900" w:type="dxa"/>
            <w:vAlign w:val="bottom"/>
          </w:tcPr>
          <w:p>
            <w:pPr>
              <w:spacing w:after="0"/>
              <w:rPr>
                <w:sz w:val="24"/>
                <w:szCs w:val="24"/>
                <w:color w:val="auto"/>
              </w:rPr>
            </w:pPr>
          </w:p>
        </w:tc>
        <w:tc>
          <w:tcPr>
            <w:tcW w:w="9460" w:type="dxa"/>
            <w:vAlign w:val="bottom"/>
            <w:gridSpan w:val="14"/>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Form of Nonqualified Stock Option Award Agreement (incorporated herein by reference to Exhibit 10.16 to United Community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Banks, Inc.’s Form 10-K for the year ended December 31, 2014, File No. 001-35095, filed with the SEC on February 27, 2015).*</w:t>
              </w:r>
            </w:hyperlink>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460" w:type="dxa"/>
            <w:vAlign w:val="bottom"/>
            <w:gridSpan w:val="14"/>
          </w:tcPr>
          <w:p>
            <w:pPr>
              <w:spacing w:after="0"/>
              <w:rPr>
                <w:rFonts w:ascii="Arial" w:cs="Arial" w:eastAsia="Arial" w:hAnsi="Arial"/>
                <w:sz w:val="18"/>
                <w:szCs w:val="18"/>
                <w:color w:val="0000FF"/>
                <w:w w:val="97"/>
              </w:rPr>
            </w:pPr>
            <w:hyperlink r:id="rId63">
              <w:r>
                <w:rPr>
                  <w:rFonts w:ascii="Arial" w:cs="Arial" w:eastAsia="Arial" w:hAnsi="Arial"/>
                  <w:sz w:val="18"/>
                  <w:szCs w:val="18"/>
                  <w:color w:val="0000FF"/>
                  <w:w w:val="97"/>
                </w:rPr>
                <w:t>Form of Restricted Stock Unit Award Agreement for Directors (incorporated herein by reference to Exhibit 10.19 to United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Community Banks, Inc.’s Form 10-K for the year ended December 31, 2016, File No. 001-35095, filed with the SEC on February</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27, 2017).*</w:t>
              </w:r>
            </w:hyperlink>
          </w:p>
        </w:tc>
        <w:tc>
          <w:tcPr>
            <w:tcW w:w="12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460" w:type="dxa"/>
            <w:vAlign w:val="bottom"/>
            <w:gridSpan w:val="14"/>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Form of Restricted Stock Unit Award Agreement (incorporated herein by reference to Exhibit 10.20 to United Community Banks,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Inc.’s Form 10-K for the year ended December 31, 2016, File No. 001-35095, filed with the SEC on February 27, 2017).*</w:t>
              </w:r>
            </w:hyperlink>
          </w:p>
        </w:tc>
        <w:tc>
          <w:tcPr>
            <w:tcW w:w="680" w:type="dxa"/>
            <w:vAlign w:val="bottom"/>
            <w:tcBorders>
              <w:top w:val="single" w:sz="8" w:color="0000FF"/>
            </w:tcBorders>
            <w:gridSpan w:val="3"/>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460" w:type="dxa"/>
            <w:vAlign w:val="bottom"/>
            <w:gridSpan w:val="14"/>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Form of Restricted Stock Unit Award for Key Employees (incorporated herein by reference to Exhibit 10.21 to United Community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Banks, Inc.’s Form 10-K for the year ended December 31, 2016, File No. 001-35095, filed with the SEC on February 27, 2017).*</w:t>
              </w:r>
            </w:hyperlink>
          </w:p>
        </w:tc>
        <w:tc>
          <w:tcPr>
            <w:tcW w:w="140" w:type="dxa"/>
            <w:vAlign w:val="bottom"/>
            <w:tcBorders>
              <w:top w:val="single" w:sz="8" w:color="0000FF"/>
            </w:tcBorders>
            <w:gridSpan w:val="2"/>
          </w:tcPr>
          <w:p>
            <w:pPr>
              <w:spacing w:after="0"/>
              <w:rPr>
                <w:sz w:val="17"/>
                <w:szCs w:val="17"/>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460" w:type="dxa"/>
            <w:vAlign w:val="bottom"/>
            <w:gridSpan w:val="14"/>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Amended and Restated Restricted Stock Unit Award for Key Employees (incorporated herein by reference to Exhibit 10.1</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tcBorders>
            <w:gridSpan w:val="14"/>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to United Community Banks, Inc.’s Quarterly Report on Form 10-Q for the period ended September 30, 2018, File No. 001-35095,</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filed with the SEC on November 8, 2018).*</w:t>
              </w:r>
            </w:hyperlink>
          </w:p>
        </w:tc>
        <w:tc>
          <w:tcPr>
            <w:tcW w:w="20" w:type="dxa"/>
            <w:vAlign w:val="bottom"/>
          </w:tcPr>
          <w:p>
            <w:pPr>
              <w:spacing w:after="0"/>
              <w:rPr>
                <w:sz w:val="17"/>
                <w:szCs w:val="17"/>
                <w:color w:val="auto"/>
              </w:rPr>
            </w:pPr>
          </w:p>
        </w:tc>
      </w:tr>
      <w:tr>
        <w:trPr>
          <w:trHeight w:val="20"/>
        </w:trPr>
        <w:tc>
          <w:tcPr>
            <w:tcW w:w="1300" w:type="dxa"/>
            <w:vAlign w:val="bottom"/>
            <w:gridSpan w:val="3"/>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r>
      <w:tr>
        <w:trPr>
          <w:trHeight w:val="372"/>
        </w:trPr>
        <w:tc>
          <w:tcPr>
            <w:tcW w:w="1300" w:type="dxa"/>
            <w:vAlign w:val="bottom"/>
            <w:gridSpan w:val="3"/>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9460" w:type="dxa"/>
            <w:vAlign w:val="bottom"/>
            <w:gridSpan w:val="14"/>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Amendment No. 4 to United Community Banks, Inc.’s Amended and Restated 2000 Key Employee Stock Option Plan dated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March 18, 2016 (incorporated herein by reference to Exhibit 10.1 to United Community Banks, Inc.’s Current Report on Form 8-</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K, File No. 001-35095, filed with the SEC on June 23, 2016).*</w:t>
              </w:r>
            </w:hyperlink>
          </w:p>
        </w:tc>
        <w:tc>
          <w:tcPr>
            <w:tcW w:w="4920" w:type="dxa"/>
            <w:vAlign w:val="bottom"/>
            <w:gridSpan w:val="7"/>
          </w:tcPr>
          <w:p>
            <w:pPr>
              <w:spacing w:after="0"/>
              <w:rPr>
                <w:sz w:val="17"/>
                <w:szCs w:val="17"/>
                <w:color w:val="auto"/>
              </w:rPr>
            </w:pPr>
          </w:p>
        </w:tc>
      </w:tr>
    </w:tbl>
    <w:p>
      <w:pPr>
        <w:spacing w:after="0" w:line="337" w:lineRule="exact"/>
        <w:rPr>
          <w:sz w:val="20"/>
          <w:szCs w:val="20"/>
          <w:color w:val="auto"/>
        </w:rPr>
      </w:pPr>
    </w:p>
    <w:p>
      <w:pPr>
        <w:ind w:left="1305" w:right="20" w:hanging="1305"/>
        <w:spacing w:after="0" w:line="308" w:lineRule="auto"/>
        <w:tabs>
          <w:tab w:leader="none" w:pos="1305" w:val="left"/>
        </w:tabs>
        <w:numPr>
          <w:ilvl w:val="0"/>
          <w:numId w:val="53"/>
        </w:numPr>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Code of Ethical Conduct (incorporated herein by reference to Exhibit 14 to United Community Banks, Inc.’s Annual Report on</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Form 10-K for the year ended December 31, 2003, File No. 000-21656, filed with the SEC on March 8, 2004).</w:t>
        </w:r>
      </w:hyperlink>
    </w:p>
    <w:p>
      <w:pPr>
        <w:spacing w:after="0" w:line="201" w:lineRule="exact"/>
        <w:rPr>
          <w:rFonts w:ascii="Arial" w:cs="Arial" w:eastAsia="Arial" w:hAnsi="Arial"/>
          <w:sz w:val="17"/>
          <w:szCs w:val="17"/>
          <w:u w:val="single" w:color="auto"/>
          <w:color w:val="0000FF"/>
        </w:rPr>
      </w:pPr>
    </w:p>
    <w:p>
      <w:pPr>
        <w:ind w:left="5545"/>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765"/>
          </w:cols>
          <w:pgMar w:left="275" w:top="945" w:right="859" w:bottom="302" w:gutter="0" w:footer="0" w:header="0"/>
        </w:sectPr>
      </w:pPr>
    </w:p>
    <w:bookmarkStart w:id="149" w:name="page150"/>
    <w:bookmarkEnd w:id="149"/>
    <w:p>
      <w:pPr>
        <w:ind w:left="40"/>
        <w:spacing w:after="0"/>
        <w:tabs>
          <w:tab w:leader="none" w:pos="132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21</w:t>
      </w:r>
      <w:r>
        <w:rPr>
          <w:sz w:val="20"/>
          <w:szCs w:val="20"/>
          <w:color w:val="auto"/>
        </w:rPr>
        <w:tab/>
      </w:r>
      <w:hyperlink w:anchor="page154">
        <w:r>
          <w:rPr>
            <w:rFonts w:ascii="Arial" w:cs="Arial" w:eastAsia="Arial" w:hAnsi="Arial"/>
            <w:sz w:val="18"/>
            <w:szCs w:val="18"/>
            <w:u w:val="single" w:color="auto"/>
            <w:color w:val="0000FF"/>
          </w:rPr>
          <w:t>Subsidiaries of United Community Banks, Inc.</w:t>
        </w:r>
      </w:hyperlink>
    </w:p>
    <w:p>
      <w:pPr>
        <w:spacing w:after="0" w:line="333" w:lineRule="exact"/>
        <w:rPr>
          <w:sz w:val="20"/>
          <w:szCs w:val="20"/>
          <w:color w:val="auto"/>
        </w:rPr>
      </w:pPr>
    </w:p>
    <w:p>
      <w:pPr>
        <w:ind w:left="1340" w:hanging="1305"/>
        <w:spacing w:after="0"/>
        <w:tabs>
          <w:tab w:leader="none" w:pos="1340" w:val="left"/>
        </w:tabs>
        <w:numPr>
          <w:ilvl w:val="0"/>
          <w:numId w:val="54"/>
        </w:numPr>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Consent of Independent Registered Public Accounting Firm</w:t>
        </w:r>
      </w:hyperlink>
    </w:p>
    <w:p>
      <w:pPr>
        <w:spacing w:after="0" w:line="333" w:lineRule="exact"/>
        <w:rPr>
          <w:rFonts w:ascii="Arial" w:cs="Arial" w:eastAsia="Arial" w:hAnsi="Arial"/>
          <w:sz w:val="18"/>
          <w:szCs w:val="18"/>
          <w:u w:val="single" w:color="auto"/>
          <w:color w:val="0000FF"/>
        </w:rPr>
      </w:pPr>
    </w:p>
    <w:p>
      <w:pPr>
        <w:ind w:left="1340" w:hanging="1305"/>
        <w:spacing w:after="0"/>
        <w:tabs>
          <w:tab w:leader="none" w:pos="1340" w:val="left"/>
        </w:tabs>
        <w:numPr>
          <w:ilvl w:val="0"/>
          <w:numId w:val="54"/>
        </w:numPr>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Power of Attorney of certain officers and directors of United (included on Signature Page)</w:t>
        </w:r>
      </w:hyperlink>
    </w:p>
    <w:p>
      <w:pPr>
        <w:spacing w:after="0" w:line="316"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460" w:type="dxa"/>
            <w:vAlign w:val="bottom"/>
            <w:gridSpan w:val="5"/>
          </w:tcPr>
          <w:p>
            <w:pPr>
              <w:spacing w:after="0"/>
              <w:rPr>
                <w:rFonts w:ascii="Arial" w:cs="Arial" w:eastAsia="Arial" w:hAnsi="Arial"/>
                <w:sz w:val="18"/>
                <w:szCs w:val="18"/>
                <w:color w:val="0000FF"/>
                <w:w w:val="92"/>
              </w:rPr>
            </w:pPr>
            <w:hyperlink w:anchor="page157">
              <w:r>
                <w:rPr>
                  <w:rFonts w:ascii="Arial" w:cs="Arial" w:eastAsia="Arial" w:hAnsi="Arial"/>
                  <w:sz w:val="18"/>
                  <w:szCs w:val="18"/>
                  <w:color w:val="0000FF"/>
                  <w:w w:val="92"/>
                </w:rPr>
                <w:t>Certification by H. Lynn Harton, President and Chief Executive Officer of United Community Banks, Inc., as adopted pursuant to</w:t>
              </w:r>
            </w:hyperlink>
          </w:p>
        </w:tc>
      </w:tr>
      <w:tr>
        <w:trPr>
          <w:trHeight w:val="196"/>
        </w:trPr>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94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157">
              <w:r>
                <w:rPr>
                  <w:rFonts w:ascii="Arial" w:cs="Arial" w:eastAsia="Arial" w:hAnsi="Arial"/>
                  <w:sz w:val="18"/>
                  <w:szCs w:val="18"/>
                  <w:color w:val="0000FF"/>
                </w:rPr>
                <w:t>Section 302 of the Sarbanes-Oxley Act of 2002.</w:t>
              </w:r>
            </w:hyperlink>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520"/>
        </w:trPr>
        <w:tc>
          <w:tcPr>
            <w:tcW w:w="1300" w:type="dxa"/>
            <w:vAlign w:val="bottom"/>
            <w:gridSpan w:val="3"/>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9460" w:type="dxa"/>
            <w:vAlign w:val="bottom"/>
            <w:gridSpan w:val="5"/>
          </w:tcPr>
          <w:p>
            <w:pPr>
              <w:spacing w:after="0"/>
              <w:rPr>
                <w:rFonts w:ascii="Arial" w:cs="Arial" w:eastAsia="Arial" w:hAnsi="Arial"/>
                <w:sz w:val="18"/>
                <w:szCs w:val="18"/>
                <w:color w:val="0000FF"/>
                <w:w w:val="92"/>
              </w:rPr>
            </w:pPr>
            <w:hyperlink w:anchor="page158">
              <w:r>
                <w:rPr>
                  <w:rFonts w:ascii="Arial" w:cs="Arial" w:eastAsia="Arial" w:hAnsi="Arial"/>
                  <w:sz w:val="18"/>
                  <w:szCs w:val="18"/>
                  <w:color w:val="0000FF"/>
                  <w:w w:val="92"/>
                </w:rPr>
                <w:t>Certification by Jefferson L. Harralson, Executive Vice President and Chief Financial Officer of United Community Banks, Inc., as</w:t>
              </w:r>
            </w:hyperlink>
          </w:p>
        </w:tc>
      </w:tr>
      <w:tr>
        <w:trPr>
          <w:trHeight w:val="196"/>
        </w:trPr>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94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158">
              <w:r>
                <w:rPr>
                  <w:rFonts w:ascii="Arial" w:cs="Arial" w:eastAsia="Arial" w:hAnsi="Arial"/>
                  <w:sz w:val="18"/>
                  <w:szCs w:val="18"/>
                  <w:color w:val="0000FF"/>
                </w:rPr>
                <w:t>adopted pursuant to Section 302 of the Sarbanes-Oxley Act of 2002.</w:t>
              </w:r>
            </w:hyperlink>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520"/>
        </w:trPr>
        <w:tc>
          <w:tcPr>
            <w:tcW w:w="180" w:type="dxa"/>
            <w:vAlign w:val="bottom"/>
            <w:tcBorders>
              <w:bottom w:val="single" w:sz="8" w:color="0000FF"/>
            </w:tcBorders>
          </w:tcPr>
          <w:p>
            <w:pPr>
              <w:spacing w:after="0"/>
              <w:rPr>
                <w:rFonts w:ascii="Arial" w:cs="Arial" w:eastAsia="Arial" w:hAnsi="Arial"/>
                <w:sz w:val="18"/>
                <w:szCs w:val="18"/>
                <w:color w:val="0000FF"/>
                <w:w w:val="79"/>
              </w:rPr>
            </w:pPr>
            <w:hyperlink w:anchor="page159">
              <w:r>
                <w:rPr>
                  <w:rFonts w:ascii="Arial" w:cs="Arial" w:eastAsia="Arial" w:hAnsi="Arial"/>
                  <w:sz w:val="18"/>
                  <w:szCs w:val="18"/>
                  <w:color w:val="0000FF"/>
                  <w:w w:val="79"/>
                </w:rPr>
                <w:t>32</w:t>
              </w:r>
            </w:hyperlink>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2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59">
              <w:r>
                <w:rPr>
                  <w:rFonts w:ascii="Arial" w:cs="Arial" w:eastAsia="Arial" w:hAnsi="Arial"/>
                  <w:sz w:val="18"/>
                  <w:szCs w:val="18"/>
                  <w:color w:val="0000FF"/>
                  <w:w w:val="90"/>
                </w:rPr>
                <w:t>Certification pursuant to 18 U.S.C. Section 1350, as adopted pursuant to Section 906 of the Sarbanes-Oxley Act of 2002.</w:t>
              </w:r>
            </w:hyperlink>
          </w:p>
        </w:tc>
        <w:tc>
          <w:tcPr>
            <w:tcW w:w="740" w:type="dxa"/>
            <w:vAlign w:val="bottom"/>
            <w:gridSpan w:val="2"/>
          </w:tcPr>
          <w:p>
            <w:pPr>
              <w:spacing w:after="0"/>
              <w:rPr>
                <w:sz w:val="24"/>
                <w:szCs w:val="24"/>
                <w:color w:val="auto"/>
              </w:rPr>
            </w:pPr>
          </w:p>
        </w:tc>
      </w:tr>
      <w:tr>
        <w:trPr>
          <w:trHeight w:val="426"/>
        </w:trPr>
        <w:tc>
          <w:tcPr>
            <w:tcW w:w="13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Report Instance Document</w:t>
            </w:r>
          </w:p>
        </w:tc>
      </w:tr>
      <w:tr>
        <w:trPr>
          <w:trHeight w:val="540"/>
        </w:trPr>
        <w:tc>
          <w:tcPr>
            <w:tcW w:w="13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3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540"/>
        </w:trPr>
        <w:tc>
          <w:tcPr>
            <w:tcW w:w="13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Label Linkbase Document</w:t>
            </w:r>
          </w:p>
        </w:tc>
      </w:tr>
      <w:tr>
        <w:trPr>
          <w:trHeight w:val="540"/>
        </w:trPr>
        <w:tc>
          <w:tcPr>
            <w:tcW w:w="13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3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29" w:lineRule="exact"/>
        <w:rPr>
          <w:sz w:val="20"/>
          <w:szCs w:val="20"/>
          <w:color w:val="auto"/>
        </w:rPr>
      </w:pPr>
    </w:p>
    <w:p>
      <w:pPr>
        <w:ind w:left="340" w:hanging="332"/>
        <w:spacing w:after="0" w:line="258"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Annual Report on Form 10-K pursuant to Item 15(b) of Form 10-K.</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furnished herewith.</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746" w:right="27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United has duly caused this annual report on Form 10-K, to be signed on its behalf by the undersigned, thereunto duly authorized, on the 27</w:t>
      </w:r>
      <w:r>
        <w:rPr>
          <w:rFonts w:ascii="Arial" w:cs="Arial" w:eastAsia="Arial" w:hAnsi="Arial"/>
          <w:sz w:val="14"/>
          <w:szCs w:val="14"/>
          <w:color w:val="auto"/>
        </w:rPr>
        <w:t>th</w:t>
      </w:r>
      <w:r>
        <w:rPr>
          <w:rFonts w:ascii="Arial" w:cs="Arial" w:eastAsia="Arial" w:hAnsi="Arial"/>
          <w:sz w:val="18"/>
          <w:szCs w:val="18"/>
          <w:color w:val="auto"/>
        </w:rPr>
        <w:t xml:space="preserve"> day of February,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ectPr>
          <w:pgSz w:w="11900" w:h="16838" w:orient="portrait"/>
          <w:cols w:equalWidth="0" w:num="1">
            <w:col w:w="11420"/>
          </w:cols>
          <w:pgMar w:left="240" w:top="580" w:right="239" w:bottom="1440" w:gutter="0" w:footer="0" w:header="0"/>
        </w:sect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Vice President, Chief Accounting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564" w:lineRule="exact"/>
        <w:rPr>
          <w:sz w:val="20"/>
          <w:szCs w:val="20"/>
          <w:color w:val="auto"/>
        </w:rPr>
      </w:pPr>
    </w:p>
    <w:p>
      <w:pPr>
        <w:sectPr>
          <w:pgSz w:w="11900" w:h="16838" w:orient="portrait"/>
          <w:cols w:equalWidth="0" w:num="2">
            <w:col w:w="5480" w:space="720"/>
            <w:col w:w="5220"/>
          </w:cols>
          <w:pgMar w:left="240" w:top="580" w:right="2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580" w:right="239"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H. Lynn Harton and Thomas A. Richlovsky,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United and in the capacities set forth and on the 7th day of February, 2019.</w:t>
      </w:r>
    </w:p>
    <w:p>
      <w:pPr>
        <w:sectPr>
          <w:pgSz w:w="11900" w:h="16838" w:orient="portrait"/>
          <w:cols w:equalWidth="0" w:num="1">
            <w:col w:w="11420"/>
          </w:cols>
          <w:pgMar w:left="240" w:top="580"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Jimmy C. Tallent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A. Richlovsky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Lead Independent Director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Blalock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Jennifer Mann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 Cathy Cox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Kenneth L. Daniels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Lance F. Drummond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C. Shaver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H. Wilkins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347" w:lineRule="exact"/>
        <w:rPr>
          <w:sz w:val="20"/>
          <w:szCs w:val="20"/>
          <w:color w:val="auto"/>
        </w:rPr>
      </w:pPr>
    </w:p>
    <w:p>
      <w:pPr>
        <w:sectPr>
          <w:pgSz w:w="11900" w:h="16838" w:orient="portrait"/>
          <w:cols w:equalWidth="0" w:num="2">
            <w:col w:w="5480" w:space="720"/>
            <w:col w:w="522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580" w:right="2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1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EXHIBIT INDEX</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54"/>
        </w:trPr>
        <w:tc>
          <w:tcPr>
            <w:tcW w:w="3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96"/>
              </w:rPr>
              <w:t>Exhibit No.</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154">
              <w:r>
                <w:rPr>
                  <w:rFonts w:ascii="Arial" w:cs="Arial" w:eastAsia="Arial" w:hAnsi="Arial"/>
                  <w:sz w:val="18"/>
                  <w:szCs w:val="18"/>
                  <w:color w:val="0000EE"/>
                  <w:w w:val="89"/>
                </w:rPr>
                <w:t>21</w:t>
              </w:r>
            </w:hyperlink>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54">
              <w:r>
                <w:rPr>
                  <w:rFonts w:ascii="Arial" w:cs="Arial" w:eastAsia="Arial" w:hAnsi="Arial"/>
                  <w:sz w:val="18"/>
                  <w:szCs w:val="18"/>
                  <w:color w:val="0000EE"/>
                  <w:w w:val="91"/>
                </w:rPr>
                <w:t>Subsidiaries of United.</w:t>
              </w:r>
            </w:hyperlink>
          </w:p>
        </w:tc>
      </w:tr>
    </w:tbl>
    <w:p>
      <w:pPr>
        <w:spacing w:after="0" w:line="337" w:lineRule="exact"/>
        <w:rPr>
          <w:sz w:val="20"/>
          <w:szCs w:val="20"/>
          <w:color w:val="auto"/>
        </w:rPr>
      </w:pPr>
    </w:p>
    <w:p>
      <w:pPr>
        <w:ind w:left="1880" w:hanging="1253"/>
        <w:spacing w:after="0"/>
        <w:tabs>
          <w:tab w:leader="none" w:pos="1880" w:val="left"/>
        </w:tabs>
        <w:numPr>
          <w:ilvl w:val="0"/>
          <w:numId w:val="56"/>
        </w:numPr>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Consent of Independent Registered Public Accounting Firm.</w:t>
        </w:r>
      </w:hyperlink>
    </w:p>
    <w:p>
      <w:pPr>
        <w:spacing w:after="0" w:line="333" w:lineRule="exact"/>
        <w:rPr>
          <w:rFonts w:ascii="Arial" w:cs="Arial" w:eastAsia="Arial" w:hAnsi="Arial"/>
          <w:sz w:val="18"/>
          <w:szCs w:val="18"/>
          <w:u w:val="single" w:color="auto"/>
          <w:color w:val="0000EE"/>
        </w:rPr>
      </w:pPr>
    </w:p>
    <w:p>
      <w:pPr>
        <w:ind w:left="1880" w:hanging="1253"/>
        <w:spacing w:after="0"/>
        <w:tabs>
          <w:tab w:leader="none" w:pos="1880" w:val="left"/>
        </w:tabs>
        <w:numPr>
          <w:ilvl w:val="0"/>
          <w:numId w:val="56"/>
        </w:numPr>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Power of Attorney of certain officers and directors of United (included on Signature Page).</w:t>
        </w:r>
      </w:hyperlink>
    </w:p>
    <w:p>
      <w:pPr>
        <w:spacing w:after="0" w:line="316" w:lineRule="exact"/>
        <w:rPr>
          <w:rFonts w:ascii="Arial" w:cs="Arial" w:eastAsia="Arial" w:hAnsi="Arial"/>
          <w:sz w:val="18"/>
          <w:szCs w:val="18"/>
          <w:u w:val="single" w:color="auto"/>
          <w:color w:val="0000EE"/>
        </w:rPr>
      </w:pPr>
    </w:p>
    <w:tbl>
      <w:tblPr>
        <w:tblLayout w:type="fixed"/>
        <w:tblInd w:w="560" w:type="dxa"/>
        <w:tblCellMar>
          <w:top w:w="0" w:type="dxa"/>
          <w:left w:w="0" w:type="dxa"/>
          <w:bottom w:w="0" w:type="dxa"/>
          <w:right w:w="0" w:type="dxa"/>
        </w:tblCellMar>
      </w:tblPr>
      <w:tr>
        <w:trPr>
          <w:trHeight w:val="207"/>
        </w:trPr>
        <w:tc>
          <w:tcPr>
            <w:tcW w:w="320" w:type="dxa"/>
            <w:vAlign w:val="bottom"/>
          </w:tcPr>
          <w:p>
            <w:pPr>
              <w:jc w:val="right"/>
              <w:spacing w:after="0"/>
              <w:rPr>
                <w:rFonts w:ascii="Arial" w:cs="Arial" w:eastAsia="Arial" w:hAnsi="Arial"/>
                <w:sz w:val="18"/>
                <w:szCs w:val="18"/>
                <w:color w:val="0000EE"/>
                <w:w w:val="85"/>
              </w:rPr>
            </w:pPr>
            <w:hyperlink w:anchor="page15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0" w:type="dxa"/>
            <w:vAlign w:val="bottom"/>
          </w:tcPr>
          <w:p>
            <w:pPr>
              <w:spacing w:after="0"/>
              <w:rPr>
                <w:sz w:val="17"/>
                <w:szCs w:val="17"/>
                <w:color w:val="auto"/>
              </w:rPr>
            </w:pPr>
          </w:p>
        </w:tc>
        <w:tc>
          <w:tcPr>
            <w:tcW w:w="8900" w:type="dxa"/>
            <w:vAlign w:val="bottom"/>
            <w:gridSpan w:val="4"/>
          </w:tcPr>
          <w:p>
            <w:pPr>
              <w:spacing w:after="0"/>
              <w:rPr>
                <w:rFonts w:ascii="Arial" w:cs="Arial" w:eastAsia="Arial" w:hAnsi="Arial"/>
                <w:sz w:val="18"/>
                <w:szCs w:val="18"/>
                <w:color w:val="0000EE"/>
                <w:w w:val="96"/>
              </w:rPr>
            </w:pPr>
            <w:hyperlink w:anchor="page157">
              <w:r>
                <w:rPr>
                  <w:rFonts w:ascii="Arial" w:cs="Arial" w:eastAsia="Arial" w:hAnsi="Arial"/>
                  <w:sz w:val="18"/>
                  <w:szCs w:val="18"/>
                  <w:color w:val="0000EE"/>
                  <w:w w:val="96"/>
                </w:rPr>
                <w:t>Certification by H. Lynn Harton, President and Chief Executive Officer of United Community Banks, Inc., as adopted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4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pursuant to Section 302 of the Sarbanes-Oxley Act of 2002.</w:t>
              </w:r>
            </w:hyperlink>
          </w:p>
        </w:tc>
        <w:tc>
          <w:tcPr>
            <w:tcW w:w="4180" w:type="dxa"/>
            <w:vAlign w:val="bottom"/>
            <w:tcBorders>
              <w:top w:val="single" w:sz="8" w:color="0000EE"/>
            </w:tcBorders>
            <w:gridSpan w:val="2"/>
          </w:tcPr>
          <w:p>
            <w:pPr>
              <w:spacing w:after="0"/>
              <w:rPr>
                <w:sz w:val="17"/>
                <w:szCs w:val="17"/>
                <w:color w:val="auto"/>
              </w:rPr>
            </w:pPr>
          </w:p>
        </w:tc>
        <w:tc>
          <w:tcPr>
            <w:tcW w:w="400" w:type="dxa"/>
            <w:vAlign w:val="bottom"/>
          </w:tcPr>
          <w:p>
            <w:pPr>
              <w:spacing w:after="0"/>
              <w:rPr>
                <w:sz w:val="17"/>
                <w:szCs w:val="17"/>
                <w:color w:val="auto"/>
              </w:rPr>
            </w:pPr>
          </w:p>
        </w:tc>
      </w:tr>
      <w:tr>
        <w:trPr>
          <w:trHeight w:val="520"/>
        </w:trPr>
        <w:tc>
          <w:tcPr>
            <w:tcW w:w="1320" w:type="dxa"/>
            <w:vAlign w:val="bottom"/>
            <w:gridSpan w:val="2"/>
          </w:tcPr>
          <w:p>
            <w:pPr>
              <w:jc w:val="right"/>
              <w:ind w:right="1000"/>
              <w:spacing w:after="0"/>
              <w:rPr>
                <w:rFonts w:ascii="Arial" w:cs="Arial" w:eastAsia="Arial" w:hAnsi="Arial"/>
                <w:sz w:val="18"/>
                <w:szCs w:val="18"/>
                <w:color w:val="0000EE"/>
                <w:w w:val="85"/>
              </w:rPr>
            </w:pPr>
            <w:hyperlink w:anchor="page15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8900" w:type="dxa"/>
            <w:vAlign w:val="bottom"/>
            <w:gridSpan w:val="4"/>
          </w:tcPr>
          <w:p>
            <w:pPr>
              <w:spacing w:after="0"/>
              <w:rPr>
                <w:rFonts w:ascii="Arial" w:cs="Arial" w:eastAsia="Arial" w:hAnsi="Arial"/>
                <w:sz w:val="18"/>
                <w:szCs w:val="18"/>
                <w:color w:val="0000EE"/>
                <w:w w:val="92"/>
              </w:rPr>
            </w:pPr>
            <w:hyperlink w:anchor="page158">
              <w:r>
                <w:rPr>
                  <w:rFonts w:ascii="Arial" w:cs="Arial" w:eastAsia="Arial" w:hAnsi="Arial"/>
                  <w:sz w:val="18"/>
                  <w:szCs w:val="18"/>
                  <w:color w:val="0000EE"/>
                  <w:w w:val="92"/>
                </w:rPr>
                <w:t>Certification by Jefferson L. Harralson, Executive Vice President and Chief Financial Officer of United Community Banks,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89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Inc., as adopted pursuant to Section 302 of the Sarbanes-Oxley Act of 2002.</w:t>
              </w:r>
            </w:hyperlink>
          </w:p>
        </w:tc>
      </w:tr>
      <w:tr>
        <w:trPr>
          <w:trHeight w:val="20"/>
        </w:trPr>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580" w:right="120" w:hanging="4953"/>
        <w:spacing w:after="0" w:line="841" w:lineRule="auto"/>
        <w:tabs>
          <w:tab w:leader="none" w:pos="1886" w:val="left"/>
        </w:tabs>
        <w:numPr>
          <w:ilvl w:val="0"/>
          <w:numId w:val="57"/>
        </w:numPr>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Certification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145</w:t>
      </w:r>
    </w:p>
    <w:p>
      <w:pPr>
        <w:sectPr>
          <w:pgSz w:w="11900" w:h="16838" w:orient="portrait"/>
          <w:cols w:equalWidth="0" w:num="1">
            <w:col w:w="10780"/>
          </w:cols>
          <w:pgMar w:left="240" w:top="580" w:right="87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 21</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Subsidiaries of United Community Banks, Inc.</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980" w:type="dxa"/>
            <w:vAlign w:val="bottom"/>
            <w:gridSpan w:val="2"/>
          </w:tcPr>
          <w:p>
            <w:pPr>
              <w:jc w:val="center"/>
              <w:ind w:left="4350"/>
              <w:spacing w:after="0"/>
              <w:rPr>
                <w:sz w:val="20"/>
                <w:szCs w:val="20"/>
                <w:color w:val="auto"/>
              </w:rPr>
            </w:pPr>
            <w:r>
              <w:rPr>
                <w:rFonts w:ascii="Arial" w:cs="Arial" w:eastAsia="Arial" w:hAnsi="Arial"/>
                <w:sz w:val="18"/>
                <w:szCs w:val="18"/>
                <w:color w:val="auto"/>
                <w:w w:val="91"/>
              </w:rPr>
              <w:t>State of Organization</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460"/>
              <w:spacing w:after="0"/>
              <w:rPr>
                <w:sz w:val="20"/>
                <w:szCs w:val="20"/>
                <w:color w:val="auto"/>
              </w:rPr>
            </w:pPr>
            <w:r>
              <w:rPr>
                <w:rFonts w:ascii="Arial" w:cs="Arial" w:eastAsia="Arial" w:hAnsi="Arial"/>
                <w:sz w:val="18"/>
                <w:szCs w:val="18"/>
                <w:color w:val="auto"/>
              </w:rPr>
              <w:t>NLFC Holdings Corp.</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jc w:val="center"/>
              <w:ind w:right="2470"/>
              <w:spacing w:after="0"/>
              <w:rPr>
                <w:sz w:val="20"/>
                <w:szCs w:val="20"/>
                <w:color w:val="auto"/>
              </w:rPr>
            </w:pPr>
            <w:r>
              <w:rPr>
                <w:rFonts w:ascii="Arial" w:cs="Arial" w:eastAsia="Arial" w:hAnsi="Arial"/>
                <w:sz w:val="18"/>
                <w:szCs w:val="18"/>
                <w:color w:val="auto"/>
                <w:w w:val="92"/>
              </w:rPr>
              <w:t>Navitas Credit Corp.</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5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18"/>
                <w:szCs w:val="18"/>
                <w:color w:val="auto"/>
              </w:rPr>
              <w:t>Navitas Equipment Receivables LLC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18"/>
                <w:szCs w:val="18"/>
                <w:color w:val="auto"/>
                <w:w w:val="99"/>
              </w:rPr>
              <w:t>Navitas Equipment Receivables LLC 2015-1</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18"/>
                <w:szCs w:val="18"/>
                <w:color w:val="auto"/>
                <w:w w:val="99"/>
              </w:rPr>
              <w:t>Navitas Equipment Receivables LLC 2015-2</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18"/>
                <w:szCs w:val="18"/>
                <w:color w:val="auto"/>
                <w:w w:val="99"/>
              </w:rPr>
              <w:t>Navitas Equipment Receivables LLC 2016-1</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ind w:left="560"/>
              <w:spacing w:after="0"/>
              <w:rPr>
                <w:sz w:val="20"/>
                <w:szCs w:val="20"/>
                <w:color w:val="auto"/>
              </w:rPr>
            </w:pPr>
            <w:r>
              <w:rPr>
                <w:rFonts w:ascii="Arial" w:cs="Arial" w:eastAsia="Arial" w:hAnsi="Arial"/>
                <w:sz w:val="18"/>
                <w:szCs w:val="18"/>
                <w:color w:val="auto"/>
              </w:rPr>
              <w:t>Liberty Financial Group,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540"/>
        </w:trPr>
        <w:tc>
          <w:tcPr>
            <w:tcW w:w="40" w:type="dxa"/>
            <w:vAlign w:val="bottom"/>
          </w:tcPr>
          <w:p>
            <w:pPr>
              <w:spacing w:after="0"/>
              <w:rPr>
                <w:sz w:val="24"/>
                <w:szCs w:val="24"/>
                <w:color w:val="auto"/>
              </w:rPr>
            </w:pPr>
          </w:p>
        </w:tc>
        <w:tc>
          <w:tcPr>
            <w:tcW w:w="4860" w:type="dxa"/>
            <w:vAlign w:val="bottom"/>
            <w:gridSpan w:val="2"/>
          </w:tcPr>
          <w:p>
            <w:pPr>
              <w:jc w:val="center"/>
              <w:ind w:right="1690"/>
              <w:spacing w:after="0"/>
              <w:rPr>
                <w:sz w:val="20"/>
                <w:szCs w:val="20"/>
                <w:color w:val="auto"/>
              </w:rPr>
            </w:pPr>
            <w:r>
              <w:rPr>
                <w:rFonts w:ascii="Arial" w:cs="Arial" w:eastAsia="Arial" w:hAnsi="Arial"/>
                <w:sz w:val="18"/>
                <w:szCs w:val="18"/>
                <w:color w:val="auto"/>
                <w:w w:val="91"/>
              </w:rPr>
              <w:t>NLFC Reinsurance Ltd.</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Turks &amp; Caicos</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United Community Insurance Services,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Union Holdings,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540"/>
        </w:trPr>
        <w:tc>
          <w:tcPr>
            <w:tcW w:w="40" w:type="dxa"/>
            <w:vAlign w:val="bottom"/>
          </w:tcPr>
          <w:p>
            <w:pPr>
              <w:spacing w:after="0"/>
              <w:rPr>
                <w:sz w:val="24"/>
                <w:szCs w:val="24"/>
                <w:color w:val="auto"/>
              </w:rPr>
            </w:pPr>
          </w:p>
        </w:tc>
        <w:tc>
          <w:tcPr>
            <w:tcW w:w="4860" w:type="dxa"/>
            <w:vAlign w:val="bottom"/>
            <w:gridSpan w:val="2"/>
          </w:tcPr>
          <w:p>
            <w:pPr>
              <w:jc w:val="center"/>
              <w:ind w:right="1690"/>
              <w:spacing w:after="0"/>
              <w:rPr>
                <w:sz w:val="20"/>
                <w:szCs w:val="20"/>
                <w:color w:val="auto"/>
              </w:rPr>
            </w:pPr>
            <w:r>
              <w:rPr>
                <w:rFonts w:ascii="Arial" w:cs="Arial" w:eastAsia="Arial" w:hAnsi="Arial"/>
                <w:sz w:val="18"/>
                <w:szCs w:val="18"/>
                <w:color w:val="auto"/>
                <w:w w:val="91"/>
              </w:rPr>
              <w:t>Union Investments,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United Community Development Corporation</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North Georgia Properties,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Metro Properties,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Coastal Properties,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Tennessee Properties,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North Carolina Properties,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South Carolina Properties,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South Carolina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Real Estate Investments,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 Metro Real Estate Investments, Inc.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UCBI Georgia Credits LLC</w:t>
            </w:r>
          </w:p>
        </w:tc>
        <w:tc>
          <w:tcPr>
            <w:tcW w:w="44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bl>
    <w:p>
      <w:pPr>
        <w:sectPr>
          <w:pgSz w:w="11900" w:h="16838" w:orient="portrait"/>
          <w:cols w:equalWidth="0" w:num="1">
            <w:col w:w="10880"/>
          </w:cols>
          <w:pgMar w:left="240" w:top="581" w:right="77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ind w:left="340"/>
              <w:spacing w:after="0"/>
              <w:rPr>
                <w:sz w:val="20"/>
                <w:szCs w:val="20"/>
                <w:color w:val="auto"/>
              </w:rPr>
            </w:pPr>
            <w:r>
              <w:rPr>
                <w:rFonts w:ascii="Arial" w:cs="Arial" w:eastAsia="Arial" w:hAnsi="Arial"/>
                <w:sz w:val="18"/>
                <w:szCs w:val="18"/>
                <w:color w:val="auto"/>
              </w:rPr>
              <w:t>United Community Payment Systems, LLC (50% owned by United Community Bank)</w:t>
            </w:r>
          </w:p>
        </w:tc>
        <w:tc>
          <w:tcPr>
            <w:tcW w:w="2260" w:type="dxa"/>
            <w:vAlign w:val="bottom"/>
          </w:tcPr>
          <w:p>
            <w:pPr>
              <w:jc w:val="center"/>
              <w:ind w:left="1470"/>
              <w:spacing w:after="0"/>
              <w:rPr>
                <w:sz w:val="20"/>
                <w:szCs w:val="20"/>
                <w:color w:val="auto"/>
              </w:rPr>
            </w:pPr>
            <w:r>
              <w:rPr>
                <w:rFonts w:ascii="Arial" w:cs="Arial" w:eastAsia="Arial" w:hAnsi="Arial"/>
                <w:sz w:val="18"/>
                <w:szCs w:val="18"/>
                <w:color w:val="auto"/>
                <w:w w:val="92"/>
              </w:rPr>
              <w:t>Delaware</w:t>
            </w:r>
          </w:p>
        </w:tc>
      </w:tr>
      <w:tr>
        <w:trPr>
          <w:trHeight w:val="540"/>
        </w:trPr>
        <w:tc>
          <w:tcPr>
            <w:tcW w:w="816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2260" w:type="dxa"/>
            <w:vAlign w:val="bottom"/>
          </w:tcPr>
          <w:p>
            <w:pPr>
              <w:jc w:val="center"/>
              <w:ind w:left="1470"/>
              <w:spacing w:after="0"/>
              <w:rPr>
                <w:sz w:val="20"/>
                <w:szCs w:val="20"/>
                <w:color w:val="auto"/>
              </w:rPr>
            </w:pPr>
            <w:r>
              <w:rPr>
                <w:rFonts w:ascii="Arial" w:cs="Arial" w:eastAsia="Arial" w:hAnsi="Arial"/>
                <w:sz w:val="18"/>
                <w:szCs w:val="18"/>
                <w:color w:val="auto"/>
                <w:w w:val="92"/>
              </w:rPr>
              <w:t>Delaware</w:t>
            </w:r>
          </w:p>
        </w:tc>
      </w:tr>
      <w:tr>
        <w:trPr>
          <w:trHeight w:val="540"/>
        </w:trPr>
        <w:tc>
          <w:tcPr>
            <w:tcW w:w="8160" w:type="dxa"/>
            <w:vAlign w:val="bottom"/>
          </w:tcPr>
          <w:p>
            <w:pPr>
              <w:spacing w:after="0"/>
              <w:rPr>
                <w:sz w:val="20"/>
                <w:szCs w:val="20"/>
                <w:color w:val="auto"/>
              </w:rPr>
            </w:pPr>
            <w:r>
              <w:rPr>
                <w:rFonts w:ascii="Arial" w:cs="Arial" w:eastAsia="Arial" w:hAnsi="Arial"/>
                <w:sz w:val="18"/>
                <w:szCs w:val="18"/>
                <w:color w:val="auto"/>
              </w:rPr>
              <w:t>United Community Risk Management Services, Inc.</w:t>
            </w:r>
          </w:p>
        </w:tc>
        <w:tc>
          <w:tcPr>
            <w:tcW w:w="2260" w:type="dxa"/>
            <w:vAlign w:val="bottom"/>
          </w:tcPr>
          <w:p>
            <w:pPr>
              <w:jc w:val="center"/>
              <w:ind w:left="1470"/>
              <w:spacing w:after="0"/>
              <w:rPr>
                <w:sz w:val="20"/>
                <w:szCs w:val="20"/>
                <w:color w:val="auto"/>
              </w:rPr>
            </w:pPr>
            <w:r>
              <w:rPr>
                <w:rFonts w:ascii="Arial" w:cs="Arial" w:eastAsia="Arial" w:hAnsi="Arial"/>
                <w:sz w:val="18"/>
                <w:szCs w:val="18"/>
                <w:color w:val="auto"/>
                <w:w w:val="86"/>
              </w:rPr>
              <w:t>Nevada</w:t>
            </w:r>
          </w:p>
        </w:tc>
      </w:tr>
      <w:tr>
        <w:trPr>
          <w:trHeight w:val="540"/>
        </w:trPr>
        <w:tc>
          <w:tcPr>
            <w:tcW w:w="8160" w:type="dxa"/>
            <w:vAlign w:val="bottom"/>
          </w:tcPr>
          <w:p>
            <w:pPr>
              <w:spacing w:after="0"/>
              <w:rPr>
                <w:sz w:val="20"/>
                <w:szCs w:val="20"/>
                <w:color w:val="auto"/>
              </w:rPr>
            </w:pPr>
            <w:r>
              <w:rPr>
                <w:rFonts w:ascii="Arial" w:cs="Arial" w:eastAsia="Arial" w:hAnsi="Arial"/>
                <w:sz w:val="18"/>
                <w:szCs w:val="18"/>
                <w:color w:val="auto"/>
              </w:rPr>
              <w:t>Tidelands Statutory Trust I</w:t>
            </w:r>
          </w:p>
        </w:tc>
        <w:tc>
          <w:tcPr>
            <w:tcW w:w="2260" w:type="dxa"/>
            <w:vAlign w:val="bottom"/>
          </w:tcPr>
          <w:p>
            <w:pPr>
              <w:jc w:val="center"/>
              <w:ind w:left="1470"/>
              <w:spacing w:after="0"/>
              <w:rPr>
                <w:sz w:val="20"/>
                <w:szCs w:val="20"/>
                <w:color w:val="auto"/>
              </w:rPr>
            </w:pPr>
            <w:r>
              <w:rPr>
                <w:rFonts w:ascii="Arial" w:cs="Arial" w:eastAsia="Arial" w:hAnsi="Arial"/>
                <w:sz w:val="18"/>
                <w:szCs w:val="18"/>
                <w:color w:val="auto"/>
                <w:w w:val="92"/>
              </w:rPr>
              <w:t>Delaware</w:t>
            </w:r>
          </w:p>
        </w:tc>
      </w:tr>
      <w:tr>
        <w:trPr>
          <w:trHeight w:val="540"/>
        </w:trPr>
        <w:tc>
          <w:tcPr>
            <w:tcW w:w="8160" w:type="dxa"/>
            <w:vAlign w:val="bottom"/>
          </w:tcPr>
          <w:p>
            <w:pPr>
              <w:spacing w:after="0"/>
              <w:rPr>
                <w:sz w:val="20"/>
                <w:szCs w:val="20"/>
                <w:color w:val="auto"/>
              </w:rPr>
            </w:pPr>
            <w:r>
              <w:rPr>
                <w:rFonts w:ascii="Arial" w:cs="Arial" w:eastAsia="Arial" w:hAnsi="Arial"/>
                <w:sz w:val="18"/>
                <w:szCs w:val="18"/>
                <w:color w:val="auto"/>
              </w:rPr>
              <w:t>Four Oaks Statutory Trust I</w:t>
            </w:r>
          </w:p>
        </w:tc>
        <w:tc>
          <w:tcPr>
            <w:tcW w:w="2260" w:type="dxa"/>
            <w:vAlign w:val="bottom"/>
          </w:tcPr>
          <w:p>
            <w:pPr>
              <w:jc w:val="center"/>
              <w:ind w:left="1470"/>
              <w:spacing w:after="0"/>
              <w:rPr>
                <w:sz w:val="20"/>
                <w:szCs w:val="20"/>
                <w:color w:val="auto"/>
              </w:rPr>
            </w:pPr>
            <w:r>
              <w:rPr>
                <w:rFonts w:ascii="Arial" w:cs="Arial" w:eastAsia="Arial" w:hAnsi="Arial"/>
                <w:sz w:val="18"/>
                <w:szCs w:val="18"/>
                <w:color w:val="auto"/>
                <w:w w:val="92"/>
              </w:rPr>
              <w:t>Delaware</w:t>
            </w:r>
          </w:p>
        </w:tc>
      </w:tr>
      <w:tr>
        <w:trPr>
          <w:trHeight w:val="540"/>
        </w:trPr>
        <w:tc>
          <w:tcPr>
            <w:tcW w:w="8160" w:type="dxa"/>
            <w:vAlign w:val="bottom"/>
          </w:tcPr>
          <w:p>
            <w:pPr>
              <w:spacing w:after="0"/>
              <w:rPr>
                <w:sz w:val="20"/>
                <w:szCs w:val="20"/>
                <w:color w:val="auto"/>
              </w:rPr>
            </w:pPr>
            <w:r>
              <w:rPr>
                <w:rFonts w:ascii="Arial" w:cs="Arial" w:eastAsia="Arial" w:hAnsi="Arial"/>
                <w:sz w:val="18"/>
                <w:szCs w:val="18"/>
                <w:color w:val="auto"/>
              </w:rPr>
              <w:t>HCSB Financial Trust I</w:t>
            </w:r>
          </w:p>
        </w:tc>
        <w:tc>
          <w:tcPr>
            <w:tcW w:w="2260" w:type="dxa"/>
            <w:vAlign w:val="bottom"/>
          </w:tcPr>
          <w:p>
            <w:pPr>
              <w:jc w:val="center"/>
              <w:ind w:left="147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420"/>
          </w:cols>
          <w:pgMar w:left="280" w:top="747" w:right="119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 on Form S-3 (No. 333-175226, 333-185733, 333-197026 and 333-203548) and S-8 (Nos. 333-86876, 333-99849, 333-120623, 333-125017, 333-130489, 333-145027, 333-145029, 333-159989, 333-167185, 333-167186, 333-167187, 333-181675, 333-183767, 333-183768, and 333-183769) of United Community Banks, Inc. of our report dated February 27,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8367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380"/>
          </w:cols>
          <w:pgMar w:left="240" w:top="580" w:right="27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firstLine="77"/>
        <w:spacing w:after="0" w:line="277" w:lineRule="auto"/>
        <w:tabs>
          <w:tab w:leader="none" w:pos="93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firstLine="77"/>
        <w:spacing w:after="0" w:line="277" w:lineRule="auto"/>
        <w:tabs>
          <w:tab w:leader="none" w:pos="942"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2018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194"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February 27, 2019</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Letter"/>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lowerRoman"/>
      <w:start w:val="3"/>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4"/>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2"/>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2"/>
    </w:lvl>
  </w:abstractNum>
  <w:abstractNum w:abstractNumId="32">
    <w:nsid w:val="542289EC"/>
    <w:multiLevelType w:val="hybridMultilevel"/>
    <w:lvl w:ilvl="0">
      <w:lvlJc w:val="left"/>
      <w:lvlText w:val="(%1)"/>
      <w:numFmt w:val="decimal"/>
      <w:start w:val="3"/>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amp;"/>
      <w:numFmt w:val="bullet"/>
      <w:start w:val="1"/>
    </w:lvl>
  </w:abstractNum>
  <w:abstractNum w:abstractNumId="35">
    <w:nsid w:val="7644A45C"/>
    <w:multiLevelType w:val="hybridMultilevel"/>
    <w:lvl w:ilvl="0">
      <w:lvlJc w:val="left"/>
      <w:lvlText w:val="(%1)"/>
      <w:numFmt w:val="decimal"/>
      <w:start w:val="3"/>
    </w:lvl>
  </w:abstractNum>
  <w:abstractNum w:abstractNumId="36">
    <w:nsid w:val="32FFF902"/>
    <w:multiLevelType w:val="hybridMultilevel"/>
    <w:lvl w:ilvl="0">
      <w:lvlJc w:val="left"/>
      <w:lvlText w:val="(%1)"/>
      <w:numFmt w:val="decimal"/>
      <w:start w:val="3"/>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decimal"/>
      <w:start w:val="3"/>
    </w:lvl>
  </w:abstractNum>
  <w:abstractNum w:abstractNumId="39">
    <w:nsid w:val="749ABB43"/>
    <w:multiLevelType w:val="hybridMultilevel"/>
    <w:lvl w:ilvl="0">
      <w:lvlJc w:val="left"/>
      <w:lvlText w:val="(%1)"/>
      <w:numFmt w:val="decimal"/>
      <w:start w:val="3"/>
    </w:lvl>
  </w:abstractNum>
  <w:abstractNum w:abstractNumId="40">
    <w:nsid w:val="3DC240FB"/>
    <w:multiLevelType w:val="hybridMultilevel"/>
    <w:lvl w:ilvl="0">
      <w:lvlJc w:val="left"/>
      <w:lvlText w:val="(%1)"/>
      <w:numFmt w:val="decimal"/>
      <w:start w:val="5"/>
    </w:lvl>
  </w:abstractNum>
  <w:abstractNum w:abstractNumId="41">
    <w:nsid w:val="1BA026FA"/>
    <w:multiLevelType w:val="hybridMultilevel"/>
    <w:lvl w:ilvl="0">
      <w:lvlJc w:val="left"/>
      <w:lvlText w:val="(%1)"/>
      <w:numFmt w:val="decimal"/>
      <w:start w:val="7"/>
    </w:lvl>
  </w:abstractNum>
  <w:abstractNum w:abstractNumId="42">
    <w:nsid w:val="79A1DEAA"/>
    <w:multiLevelType w:val="hybridMultilevel"/>
    <w:lvl w:ilvl="0">
      <w:lvlJc w:val="left"/>
      <w:lvlText w:val="(%1)"/>
      <w:numFmt w:val="decimal"/>
      <w:start w:val="7"/>
    </w:lvl>
  </w:abstractNum>
  <w:abstractNum w:abstractNumId="43">
    <w:nsid w:val="75C6C33A"/>
    <w:multiLevelType w:val="hybridMultilevel"/>
    <w:lvl w:ilvl="0">
      <w:lvlJc w:val="left"/>
      <w:lvlText w:val="(%1)"/>
      <w:numFmt w:val="decimal"/>
      <w:start w:val="8"/>
    </w:lvl>
  </w:abstractNum>
  <w:abstractNum w:abstractNumId="44">
    <w:nsid w:val="12E685FB"/>
    <w:multiLevelType w:val="hybridMultilevel"/>
    <w:lvl w:ilvl="0">
      <w:lvlJc w:val="left"/>
      <w:lvlText w:val="(%1)"/>
      <w:numFmt w:val="decimal"/>
      <w:start w:val="9"/>
    </w:lvl>
  </w:abstractNum>
  <w:abstractNum w:abstractNumId="45">
    <w:nsid w:val="70C6A529"/>
    <w:multiLevelType w:val="hybridMultilevel"/>
    <w:lvl w:ilvl="0">
      <w:lvlJc w:val="left"/>
      <w:lvlText w:val="(%1)"/>
      <w:numFmt w:val="decimal"/>
      <w:start w:val="9"/>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1"/>
    </w:lvl>
  </w:abstractNum>
  <w:abstractNum w:abstractNumId="48">
    <w:nsid w:val="4F4EF005"/>
    <w:multiLevelType w:val="hybridMultilevel"/>
    <w:lvl w:ilvl="0">
      <w:lvlJc w:val="left"/>
      <w:lvlText w:val="(%1)"/>
      <w:numFmt w:val="decimal"/>
      <w:start w:val="14"/>
    </w:lvl>
  </w:abstractNum>
  <w:abstractNum w:abstractNumId="49">
    <w:nsid w:val="23F9C13C"/>
    <w:multiLevelType w:val="hybridMultilevel"/>
    <w:lvl w:ilvl="0">
      <w:lvlJc w:val="left"/>
      <w:lvlText w:val="(%1)"/>
      <w:numFmt w:val="decimal"/>
      <w:start w:val="23"/>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decimal"/>
      <w:start w:val="2"/>
    </w:lvl>
  </w:abstractNum>
  <w:abstractNum w:abstractNumId="52">
    <w:nsid w:val="39386575"/>
    <w:multiLevelType w:val="hybridMultilevel"/>
    <w:lvl w:ilvl="0">
      <w:lvlJc w:val="left"/>
      <w:lvlText w:val="%1"/>
      <w:numFmt w:val="decimal"/>
      <w:start w:val="14"/>
    </w:lvl>
  </w:abstractNum>
  <w:abstractNum w:abstractNumId="53">
    <w:nsid w:val="1CF10FD8"/>
    <w:multiLevelType w:val="hybridMultilevel"/>
    <w:lvl w:ilvl="0">
      <w:lvlJc w:val="left"/>
      <w:lvlText w:val="%1"/>
      <w:numFmt w:val="decimal"/>
      <w:start w:val="23"/>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23"/>
    </w:lvl>
  </w:abstractNum>
  <w:abstractNum w:abstractNumId="56">
    <w:nsid w:val="47398C89"/>
    <w:multiLevelType w:val="hybridMultilevel"/>
    <w:lvl w:ilvl="0">
      <w:lvlJc w:val="left"/>
      <w:lvlText w:val="%1"/>
      <w:numFmt w:val="decimal"/>
      <w:start w:val="32"/>
    </w:lvl>
  </w:abstractNum>
  <w:abstractNum w:abstractNumId="57">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76" Type="http://schemas.openxmlformats.org/officeDocument/2006/relationships/image" Target="media/image28.png"/><Relationship Id="rId77" Type="http://schemas.openxmlformats.org/officeDocument/2006/relationships/image" Target="media/image29.png"/><Relationship Id="rId78" Type="http://schemas.openxmlformats.org/officeDocument/2006/relationships/image" Target="media/image30.png"/><Relationship Id="rId79"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28" Type="http://schemas.openxmlformats.org/officeDocument/2006/relationships/hyperlink" Target="http://www.sec.gov/Archives/edgar/data/857855/000157104915003023/t82104_ex2-1.htm" TargetMode="External"/><Relationship Id="rId29" Type="http://schemas.openxmlformats.org/officeDocument/2006/relationships/hyperlink" Target="http://www.sec.gov/Archives/edgar/data/857855/000157104915000467/t81222_ex2-1.htm" TargetMode="External"/><Relationship Id="rId30" Type="http://schemas.openxmlformats.org/officeDocument/2006/relationships/hyperlink" Target="http://www.sec.gov/Archives/edgar/data/857855/000157104916013619/t1600184_ex2-1.htm" TargetMode="External"/><Relationship Id="rId31" Type="http://schemas.openxmlformats.org/officeDocument/2006/relationships/hyperlink" Target="http://www.sec.gov/Archives/edgar/data/857855/000157104916017224/t1600485_ex2-1.htm" TargetMode="External"/><Relationship Id="rId32" Type="http://schemas.openxmlformats.org/officeDocument/2006/relationships/hyperlink" Target="http://www.sec.gov/Archives/edgar/data/857855/000157104917003762/t1700234_ex2-1.htm" TargetMode="External"/><Relationship Id="rId33" Type="http://schemas.openxmlformats.org/officeDocument/2006/relationships/hyperlink" Target="http://www.sec.gov/Archives/edgar/data/857855/000157104917006276/t1700404_ex2-1.htm" TargetMode="External"/><Relationship Id="rId34" Type="http://schemas.openxmlformats.org/officeDocument/2006/relationships/hyperlink" Target="http://www.sec.gov/Archives/edgar/data/857855/000114420418001423/tv482858_ex2-1.htm" TargetMode="External"/><Relationship Id="rId35" Type="http://schemas.openxmlformats.org/officeDocument/2006/relationships/hyperlink" Target="http://www.sec.gov/Archives/edgar/data/857855/000157104916017224/t1600485_ex3-1.htm" TargetMode="External"/><Relationship Id="rId36" Type="http://schemas.openxmlformats.org/officeDocument/2006/relationships/hyperlink" Target="http://www.sec.gov/Archives/edgar/data/857855/000157104915003882/t82199_ex3-2.htm" TargetMode="External"/><Relationship Id="rId37" Type="http://schemas.openxmlformats.org/officeDocument/2006/relationships/hyperlink" Target="http://www.sec.gov/Archives/edgar/data/857855/000157104915006745/t1501908_ex4-1.htm" TargetMode="External"/><Relationship Id="rId38" Type="http://schemas.openxmlformats.org/officeDocument/2006/relationships/hyperlink" Target="http://www.sec.gov/Archives/edgar/data/857855/000157104915006745/t1501908_ex4-2.htm" TargetMode="External"/><Relationship Id="rId39" Type="http://schemas.openxmlformats.org/officeDocument/2006/relationships/hyperlink" Target="http://www.sec.gov/Archives/edgar/data/857855/000157104915006745/t1501908_ex4-3.htm" TargetMode="External"/><Relationship Id="rId40" Type="http://schemas.openxmlformats.org/officeDocument/2006/relationships/hyperlink" Target="http://www.sec.gov/Archives/edgar/data/857855/000114420418003238/tv483592_ex4-1.htm" TargetMode="External"/><Relationship Id="rId41" Type="http://schemas.openxmlformats.org/officeDocument/2006/relationships/hyperlink" Target="http://www.sec.gov/Archives/edgar/data/857855/000114420418003238/tv483592_ex4-2.htm" TargetMode="External"/><Relationship Id="rId42" Type="http://schemas.openxmlformats.org/officeDocument/2006/relationships/hyperlink" Target="http://www.sec.gov/Archives/edgar/data/857855/000157104915003003/t82085_ex4-2.htm" TargetMode="External"/><Relationship Id="rId43" Type="http://schemas.openxmlformats.org/officeDocument/2006/relationships/hyperlink" Target="http://www.sec.gov/Archives/edgar/data/857855/000114420418021524/tv491354_ex4-2.htm" TargetMode="External"/><Relationship Id="rId44" Type="http://schemas.openxmlformats.org/officeDocument/2006/relationships/hyperlink" Target="http://www.sec.gov/Archives/edgar/data/857855/000157104915003003/t82085_ex4-3.htm" TargetMode="External"/><Relationship Id="rId45" Type="http://schemas.openxmlformats.org/officeDocument/2006/relationships/hyperlink" Target="http://www.sec.gov/Archives/edgar/data/857855/000114420418021524/tv491354_ex4-3.htm" TargetMode="External"/><Relationship Id="rId46" Type="http://schemas.openxmlformats.org/officeDocument/2006/relationships/hyperlink" Target="http://www.sec.gov/Archives/edgar/data/857855/000110704902000384/profitplan.txt" TargetMode="External"/><Relationship Id="rId47" Type="http://schemas.openxmlformats.org/officeDocument/2006/relationships/hyperlink" Target="http://www.sec.gov/Archives/edgar/data/857855/000110704902000384/amendment.htm" TargetMode="External"/><Relationship Id="rId48" Type="http://schemas.openxmlformats.org/officeDocument/2006/relationships/hyperlink" Target="http://www.sec.gov/Archives/edgar/data/857855/000095014407004014/g07026exv10w1.htm" TargetMode="External"/><Relationship Id="rId49" Type="http://schemas.openxmlformats.org/officeDocument/2006/relationships/hyperlink" Target="http://www.sec.gov/Archives/edgar/data/857855/000095014407003403/g06711exv10w1.htm" TargetMode="External"/><Relationship Id="rId50" Type="http://schemas.openxmlformats.org/officeDocument/2006/relationships/hyperlink" Target="http://www.sec.gov/Archives/edgar/data/857855/000118811209000433/ex10-8.htm" TargetMode="External"/><Relationship Id="rId51" Type="http://schemas.openxmlformats.org/officeDocument/2006/relationships/hyperlink" Target="http://www.sec.gov/Archives/edgar/data/857855/000085785518000031/ucbi630201810-qexhibit101.htm" TargetMode="External"/><Relationship Id="rId52" Type="http://schemas.openxmlformats.org/officeDocument/2006/relationships/hyperlink" Target="http://www.sec.gov/Archives/edgar/data/857855/000157104917004559/t1700285_ex10-1.htm" TargetMode="External"/><Relationship Id="rId53" Type="http://schemas.openxmlformats.org/officeDocument/2006/relationships/hyperlink" Target="http://www.sec.gov/Archives/edgar/data/857855/000118811209000433/ex10-10.htm" TargetMode="External"/><Relationship Id="rId54" Type="http://schemas.openxmlformats.org/officeDocument/2006/relationships/hyperlink" Target="http://www.sec.gov/Archives/edgar/data/857855/000118811209000433/ex10-11.htm" TargetMode="External"/><Relationship Id="rId55" Type="http://schemas.openxmlformats.org/officeDocument/2006/relationships/hyperlink" Target="http://www.sec.gov/Archives/edgar/data/857855/000157104914002639/ex4.htm" TargetMode="External"/><Relationship Id="rId56" Type="http://schemas.openxmlformats.org/officeDocument/2006/relationships/hyperlink" Target="http://www.sec.gov/Archives/edgar/data/857855/000118811205002129/ex-4.htm" TargetMode="External"/><Relationship Id="rId57" Type="http://schemas.openxmlformats.org/officeDocument/2006/relationships/hyperlink" Target="http://www.sec.gov/Archives/edgar/data/857855/000095014407004014/g07026exv10w5.htm" TargetMode="External"/><Relationship Id="rId58" Type="http://schemas.openxmlformats.org/officeDocument/2006/relationships/hyperlink" Target="http://www.sec.gov/Archives/edgar/data/857855/000118811212001779/ex10-1.htm" TargetMode="External"/><Relationship Id="rId59" Type="http://schemas.openxmlformats.org/officeDocument/2006/relationships/hyperlink" Target="http://www.sec.gov/Archives/edgar/data/857855/000118811212002901/ex10-1.htm" TargetMode="External"/><Relationship Id="rId60" Type="http://schemas.openxmlformats.org/officeDocument/2006/relationships/hyperlink" Target="http://www.sec.gov/Archives/edgar/data/857855/000114420417040548/v472005_ex10-1.htm" TargetMode="External"/><Relationship Id="rId61" Type="http://schemas.openxmlformats.org/officeDocument/2006/relationships/hyperlink" Target="http://www.sec.gov/Archives/edgar/data/857855/000157104915001493/t81558_ex10-15.htm" TargetMode="External"/><Relationship Id="rId62" Type="http://schemas.openxmlformats.org/officeDocument/2006/relationships/hyperlink" Target="http://www.sec.gov/Archives/edgar/data/857855/000157104915001493/t81558_ex10-16.htm" TargetMode="External"/><Relationship Id="rId63" Type="http://schemas.openxmlformats.org/officeDocument/2006/relationships/hyperlink" Target="http://www.sec.gov/Archives/edgar/data/857855/000157104917001658/t1700132_ex10-19.htm" TargetMode="External"/><Relationship Id="rId64" Type="http://schemas.openxmlformats.org/officeDocument/2006/relationships/hyperlink" Target="http://www.sec.gov/Archives/edgar/data/857855/000157104917001658/t1700132_ex10-20.htm" TargetMode="External"/><Relationship Id="rId65" Type="http://schemas.openxmlformats.org/officeDocument/2006/relationships/hyperlink" Target="http://www.sec.gov/Archives/edgar/data/857855/000157104917001658/t1700132_ex10-21.htm" TargetMode="External"/><Relationship Id="rId66" Type="http://schemas.openxmlformats.org/officeDocument/2006/relationships/hyperlink" Target="http://www.sec.gov/Archives/edgar/data/857855/000085785518000053/ucbi930201810-qexhibit101.htm" TargetMode="External"/><Relationship Id="rId67" Type="http://schemas.openxmlformats.org/officeDocument/2006/relationships/hyperlink" Target="http://www.sec.gov/Archives/edgar/data/857855/000157104916016224/t1600413_ex10-1.htm" TargetMode="External"/><Relationship Id="rId68" Type="http://schemas.openxmlformats.org/officeDocument/2006/relationships/hyperlink" Target="http://www.sec.gov/Archives/edgar/data/857855/000095014404002107/g87455exv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2019-12-28T16:08:25Z</dcterms:created>
  <dcterms:modified xsi:type="dcterms:W3CDTF">2019-12-28T16:08:25Z</dcterms:modified>
</cp:coreProperties>
</file>