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269034.xml.htm"/>
      <w:bookmarkStart w:id="1" w:name="kswkform4_17852690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DANIELS KENNETH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UNITED COMMUNITY BANKS,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EAST CAMPERDOWN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COMMUNITY BANKS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UCB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2"/>
        <w:gridCol w:w="923"/>
        <w:gridCol w:w="791"/>
        <w:gridCol w:w="613"/>
        <w:gridCol w:w="350"/>
        <w:gridCol w:w="845"/>
        <w:gridCol w:w="448"/>
        <w:gridCol w:w="615"/>
        <w:gridCol w:w="1161"/>
        <w:gridCol w:w="999"/>
        <w:gridCol w:w="119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2,526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2,330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2,526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23,094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Self, as Trustee of Kenneth L. Daniels Revocable Trust DTD 12/09/2016</w:t>
            </w:r>
          </w:p>
        </w:tc>
      </w:tr>
      <w:tr>
        <w:trPr/>
        <w:tc>
          <w:tcPr>
            <w:tcW w:w="226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Individual Retirement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24, 2026, the Reporting Person transferred 2,526 shares of Issuer's common stock directly held by the Reporting Person to a family trust of which the Reporting Person is trustee. The Reporting Person and immediate family members are the sole beneficiaries of the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Melinda Davis Lux,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7935" TargetMode="External"/><Relationship Id="rId5" Type="http://schemas.openxmlformats.org/officeDocument/2006/relationships/hyperlink" Target="http://www.sec.gov/cgi-bin/browse-edgar?action=getcompany&amp;CIK=00008578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644</Words>
  <Characters>3473</Characters>
  <CharactersWithSpaces>4036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