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COMMUNITY BANKS,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60" w:type="dxa"/>
        <w:tblCellMar>
          <w:top w:w="0" w:type="dxa"/>
          <w:left w:w="0" w:type="dxa"/>
          <w:bottom w:w="0" w:type="dxa"/>
          <w:right w:w="0" w:type="dxa"/>
        </w:tblCellMar>
      </w:tblPr>
      <w:tr>
        <w:trPr>
          <w:trHeight w:val="218"/>
        </w:trPr>
        <w:tc>
          <w:tcPr>
            <w:tcW w:w="2780" w:type="dxa"/>
            <w:vAlign w:val="bottom"/>
          </w:tcPr>
          <w:p>
            <w:pPr>
              <w:jc w:val="center"/>
              <w:ind w:right="500"/>
              <w:spacing w:after="0"/>
              <w:rPr>
                <w:sz w:val="20"/>
                <w:szCs w:val="20"/>
                <w:color w:val="auto"/>
              </w:rPr>
            </w:pPr>
            <w:r>
              <w:rPr>
                <w:rFonts w:ascii="Arial" w:cs="Arial" w:eastAsia="Arial" w:hAnsi="Arial"/>
                <w:sz w:val="18"/>
                <w:szCs w:val="18"/>
                <w:b w:val="1"/>
                <w:bCs w:val="1"/>
                <w:color w:val="auto"/>
                <w:w w:val="88"/>
              </w:rPr>
              <w:t>Georgia</w:t>
            </w:r>
          </w:p>
        </w:tc>
        <w:tc>
          <w:tcPr>
            <w:tcW w:w="4680" w:type="dxa"/>
            <w:vAlign w:val="bottom"/>
          </w:tcPr>
          <w:p>
            <w:pPr>
              <w:jc w:val="right"/>
              <w:ind w:right="44"/>
              <w:spacing w:after="0"/>
              <w:rPr>
                <w:sz w:val="20"/>
                <w:szCs w:val="20"/>
                <w:color w:val="auto"/>
              </w:rPr>
            </w:pPr>
            <w:r>
              <w:rPr>
                <w:rFonts w:ascii="Arial" w:cs="Arial" w:eastAsia="Arial" w:hAnsi="Arial"/>
                <w:sz w:val="18"/>
                <w:szCs w:val="18"/>
                <w:b w:val="1"/>
                <w:bCs w:val="1"/>
                <w:color w:val="auto"/>
              </w:rPr>
              <w:t>58-1807304</w:t>
            </w:r>
          </w:p>
        </w:tc>
      </w:tr>
      <w:tr>
        <w:trPr>
          <w:trHeight w:val="149"/>
        </w:trPr>
        <w:tc>
          <w:tcPr>
            <w:tcW w:w="2780" w:type="dxa"/>
            <w:vAlign w:val="bottom"/>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4680" w:type="dxa"/>
            <w:vAlign w:val="bottom"/>
          </w:tcPr>
          <w:p>
            <w:pPr>
              <w:jc w:val="center"/>
              <w:ind w:left="3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80" w:type="dxa"/>
            <w:vAlign w:val="bottom"/>
          </w:tcPr>
          <w:p>
            <w:pPr>
              <w:spacing w:after="0"/>
              <w:rPr>
                <w:sz w:val="15"/>
                <w:szCs w:val="15"/>
                <w:color w:val="auto"/>
              </w:rPr>
            </w:pPr>
          </w:p>
        </w:tc>
        <w:tc>
          <w:tcPr>
            <w:tcW w:w="4680" w:type="dxa"/>
            <w:vAlign w:val="bottom"/>
          </w:tcPr>
          <w:p>
            <w:pPr>
              <w:jc w:val="center"/>
              <w:ind w:left="35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780" w:type="dxa"/>
            <w:vAlign w:val="bottom"/>
          </w:tcPr>
          <w:p>
            <w:pPr>
              <w:jc w:val="center"/>
              <w:ind w:right="480"/>
              <w:spacing w:after="0"/>
              <w:rPr>
                <w:sz w:val="20"/>
                <w:szCs w:val="20"/>
                <w:color w:val="auto"/>
              </w:rPr>
            </w:pPr>
            <w:r>
              <w:rPr>
                <w:rFonts w:ascii="Arial" w:cs="Arial" w:eastAsia="Arial" w:hAnsi="Arial"/>
                <w:sz w:val="18"/>
                <w:szCs w:val="18"/>
                <w:b w:val="1"/>
                <w:bCs w:val="1"/>
                <w:color w:val="auto"/>
                <w:w w:val="88"/>
              </w:rPr>
              <w:t>125 Highway 515 East</w:t>
            </w:r>
          </w:p>
        </w:tc>
        <w:tc>
          <w:tcPr>
            <w:tcW w:w="4680" w:type="dxa"/>
            <w:vAlign w:val="bottom"/>
          </w:tcPr>
          <w:p>
            <w:pPr>
              <w:spacing w:after="0"/>
              <w:rPr>
                <w:sz w:val="24"/>
                <w:szCs w:val="24"/>
                <w:color w:val="auto"/>
              </w:rPr>
            </w:pPr>
          </w:p>
        </w:tc>
      </w:tr>
      <w:tr>
        <w:trPr>
          <w:trHeight w:val="231"/>
        </w:trPr>
        <w:tc>
          <w:tcPr>
            <w:tcW w:w="2780" w:type="dxa"/>
            <w:vAlign w:val="bottom"/>
          </w:tcPr>
          <w:p>
            <w:pPr>
              <w:jc w:val="center"/>
              <w:ind w:right="480"/>
              <w:spacing w:after="0"/>
              <w:rPr>
                <w:sz w:val="20"/>
                <w:szCs w:val="20"/>
                <w:color w:val="auto"/>
              </w:rPr>
            </w:pPr>
            <w:r>
              <w:rPr>
                <w:rFonts w:ascii="Arial" w:cs="Arial" w:eastAsia="Arial" w:hAnsi="Arial"/>
                <w:sz w:val="18"/>
                <w:szCs w:val="18"/>
                <w:b w:val="1"/>
                <w:bCs w:val="1"/>
                <w:color w:val="auto"/>
                <w:w w:val="89"/>
              </w:rPr>
              <w:t>Blairsville, Georgia</w:t>
            </w:r>
          </w:p>
        </w:tc>
        <w:tc>
          <w:tcPr>
            <w:tcW w:w="4680" w:type="dxa"/>
            <w:vAlign w:val="bottom"/>
          </w:tcPr>
          <w:p>
            <w:pPr>
              <w:jc w:val="right"/>
              <w:ind w:right="244"/>
              <w:spacing w:after="0"/>
              <w:rPr>
                <w:sz w:val="20"/>
                <w:szCs w:val="20"/>
                <w:color w:val="auto"/>
              </w:rPr>
            </w:pPr>
            <w:r>
              <w:rPr>
                <w:rFonts w:ascii="Arial" w:cs="Arial" w:eastAsia="Arial" w:hAnsi="Arial"/>
                <w:sz w:val="18"/>
                <w:szCs w:val="18"/>
                <w:b w:val="1"/>
                <w:bCs w:val="1"/>
                <w:color w:val="auto"/>
              </w:rPr>
              <w:t>30512</w:t>
            </w:r>
          </w:p>
        </w:tc>
      </w:tr>
      <w:tr>
        <w:trPr>
          <w:trHeight w:val="174"/>
        </w:trPr>
        <w:tc>
          <w:tcPr>
            <w:tcW w:w="2780" w:type="dxa"/>
            <w:vAlign w:val="bottom"/>
          </w:tcPr>
          <w:p>
            <w:pPr>
              <w:jc w:val="center"/>
              <w:ind w:right="4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680" w:type="dxa"/>
            <w:vAlign w:val="bottom"/>
          </w:tcPr>
          <w:p>
            <w:pPr>
              <w:jc w:val="center"/>
              <w:ind w:left="3544"/>
              <w:spacing w:after="0"/>
              <w:rPr>
                <w:sz w:val="20"/>
                <w:szCs w:val="20"/>
                <w:color w:val="auto"/>
              </w:rPr>
            </w:pPr>
            <w:r>
              <w:rPr>
                <w:rFonts w:ascii="Arial" w:cs="Arial" w:eastAsia="Arial" w:hAnsi="Arial"/>
                <w:sz w:val="14"/>
                <w:szCs w:val="14"/>
                <w:b w:val="1"/>
                <w:bCs w:val="1"/>
                <w:color w:val="auto"/>
                <w:w w:val="89"/>
              </w:rPr>
              <w:t>(Zip Code)</w:t>
            </w:r>
          </w:p>
        </w:tc>
      </w:tr>
      <w:tr>
        <w:trPr>
          <w:trHeight w:val="514"/>
        </w:trPr>
        <w:tc>
          <w:tcPr>
            <w:tcW w:w="2780" w:type="dxa"/>
            <w:vAlign w:val="bottom"/>
          </w:tcPr>
          <w:p>
            <w:pPr>
              <w:spacing w:after="0"/>
              <w:rPr>
                <w:sz w:val="24"/>
                <w:szCs w:val="24"/>
                <w:color w:val="auto"/>
              </w:rPr>
            </w:pPr>
          </w:p>
        </w:tc>
        <w:tc>
          <w:tcPr>
            <w:tcW w:w="4680" w:type="dxa"/>
            <w:vAlign w:val="bottom"/>
          </w:tcPr>
          <w:p>
            <w:pPr>
              <w:jc w:val="right"/>
              <w:ind w:right="2884"/>
              <w:spacing w:after="0"/>
              <w:rPr>
                <w:sz w:val="20"/>
                <w:szCs w:val="20"/>
                <w:color w:val="auto"/>
              </w:rPr>
            </w:pPr>
            <w:r>
              <w:rPr>
                <w:rFonts w:ascii="Arial" w:cs="Arial" w:eastAsia="Arial" w:hAnsi="Arial"/>
                <w:sz w:val="18"/>
                <w:szCs w:val="18"/>
                <w:b w:val="1"/>
                <w:bCs w:val="1"/>
                <w:color w:val="auto"/>
              </w:rPr>
              <w:t>(706) 781-2265</w:t>
            </w:r>
          </w:p>
        </w:tc>
      </w:tr>
      <w:tr>
        <w:trPr>
          <w:trHeight w:val="174"/>
        </w:trPr>
        <w:tc>
          <w:tcPr>
            <w:tcW w:w="2780" w:type="dxa"/>
            <w:vAlign w:val="bottom"/>
          </w:tcPr>
          <w:p>
            <w:pPr>
              <w:spacing w:after="0"/>
              <w:rPr>
                <w:sz w:val="15"/>
                <w:szCs w:val="15"/>
                <w:color w:val="auto"/>
              </w:rPr>
            </w:pPr>
          </w:p>
        </w:tc>
        <w:tc>
          <w:tcPr>
            <w:tcW w:w="4680" w:type="dxa"/>
            <w:vAlign w:val="bottom"/>
          </w:tcPr>
          <w:p>
            <w:pPr>
              <w:jc w:val="center"/>
              <w:ind w:right="2264"/>
              <w:spacing w:after="0"/>
              <w:rPr>
                <w:sz w:val="20"/>
                <w:szCs w:val="20"/>
                <w:color w:val="auto"/>
              </w:rPr>
            </w:pPr>
            <w:r>
              <w:rPr>
                <w:rFonts w:ascii="Arial" w:cs="Arial" w:eastAsia="Arial" w:hAnsi="Arial"/>
                <w:sz w:val="14"/>
                <w:szCs w:val="14"/>
                <w:b w:val="1"/>
                <w:bCs w:val="1"/>
                <w:color w:val="auto"/>
                <w:w w:val="86"/>
              </w:rPr>
              <w:t>(Telephone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20"/>
        <w:spacing w:after="0" w:line="227" w:lineRule="exact"/>
        <w:rPr>
          <w:sz w:val="20"/>
          <w:szCs w:val="20"/>
          <w:color w:val="auto"/>
        </w:rPr>
      </w:pPr>
      <w:r>
        <w:rPr>
          <w:rFonts w:ascii="Arial" w:cs="Arial" w:eastAsia="Arial" w:hAnsi="Arial"/>
          <w:sz w:val="16"/>
          <w:szCs w:val="16"/>
          <w:b w:val="1"/>
          <w:bCs w:val="1"/>
          <w:color w:val="auto"/>
        </w:rPr>
        <w:t xml:space="preserve">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or a smaller reporting company.</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See definitions of “large accelerated filer”, “accelerated filer” and “smaller reporting company” in Rule 12b-2 of the Exchange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60" w:type="dxa"/>
            <w:vAlign w:val="bottom"/>
          </w:tcPr>
          <w:p>
            <w:pPr>
              <w:spacing w:after="0"/>
              <w:rPr>
                <w:sz w:val="20"/>
                <w:szCs w:val="20"/>
                <w:color w:val="auto"/>
              </w:rPr>
            </w:pPr>
            <w:r>
              <w:rPr>
                <w:rFonts w:ascii="Arial" w:cs="Arial" w:eastAsia="Arial" w:hAnsi="Arial"/>
                <w:sz w:val="18"/>
                <w:szCs w:val="18"/>
                <w:b w:val="1"/>
                <w:bCs w:val="1"/>
                <w:color w:val="auto"/>
                <w:w w:val="96"/>
              </w:rPr>
              <w:t>Large accelerated filer</w:t>
            </w:r>
          </w:p>
        </w:tc>
        <w:tc>
          <w:tcPr>
            <w:tcW w:w="66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66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(Do not check if a smaller reporting company)</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480" w:type="dxa"/>
            <w:vAlign w:val="bottom"/>
            <w:gridSpan w:val="2"/>
          </w:tcPr>
          <w:p>
            <w:pPr>
              <w:spacing w:after="0" w:line="207" w:lineRule="exact"/>
              <w:rPr>
                <w:sz w:val="20"/>
                <w:szCs w:val="20"/>
                <w:color w:val="auto"/>
              </w:rPr>
            </w:pPr>
            <w:r>
              <w:rPr>
                <w:rFonts w:ascii="Arial" w:cs="Arial" w:eastAsia="Arial" w:hAnsi="Arial"/>
                <w:sz w:val="18"/>
                <w:szCs w:val="18"/>
                <w:b w:val="1"/>
                <w:bCs w:val="1"/>
                <w:color w:val="auto"/>
                <w:w w:val="89"/>
              </w:rPr>
              <w:t xml:space="preserve">Indicate by check mark whether the registrant is a shell company (as defined in Rule 12b-2 of the Act).  YES </w:t>
            </w:r>
            <w:r>
              <w:rPr>
                <w:rFonts w:ascii="MS PGothic" w:cs="MS PGothic" w:eastAsia="MS PGothic" w:hAnsi="MS PGothic"/>
                <w:sz w:val="18"/>
                <w:szCs w:val="18"/>
                <w:color w:val="auto"/>
                <w:w w:val="89"/>
              </w:rPr>
              <w:t>☐</w:t>
            </w:r>
          </w:p>
        </w:tc>
        <w:tc>
          <w:tcPr>
            <w:tcW w:w="2500" w:type="dxa"/>
            <w:vAlign w:val="bottom"/>
          </w:tcPr>
          <w:p>
            <w:pPr>
              <w:ind w:left="140"/>
              <w:spacing w:after="0" w:line="207" w:lineRule="exact"/>
              <w:rPr>
                <w:sz w:val="20"/>
                <w:szCs w:val="20"/>
                <w:color w:val="auto"/>
              </w:rPr>
            </w:pP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r>
      <w:tr>
        <w:trPr>
          <w:trHeight w:val="358"/>
        </w:trPr>
        <w:tc>
          <w:tcPr>
            <w:tcW w:w="1860" w:type="dxa"/>
            <w:vAlign w:val="bottom"/>
          </w:tcPr>
          <w:p>
            <w:pPr>
              <w:spacing w:after="0"/>
              <w:rPr>
                <w:sz w:val="24"/>
                <w:szCs w:val="24"/>
                <w:color w:val="auto"/>
              </w:rPr>
            </w:pPr>
          </w:p>
        </w:tc>
        <w:tc>
          <w:tcPr>
            <w:tcW w:w="9120" w:type="dxa"/>
            <w:vAlign w:val="bottom"/>
            <w:gridSpan w:val="2"/>
          </w:tcPr>
          <w:p>
            <w:pPr>
              <w:ind w:left="520"/>
              <w:spacing w:after="0"/>
              <w:rPr>
                <w:sz w:val="20"/>
                <w:szCs w:val="20"/>
                <w:color w:val="auto"/>
              </w:rPr>
            </w:pPr>
            <w:r>
              <w:rPr>
                <w:rFonts w:ascii="Arial" w:cs="Arial" w:eastAsia="Arial" w:hAnsi="Arial"/>
                <w:sz w:val="18"/>
                <w:szCs w:val="18"/>
                <w:b w:val="1"/>
                <w:bCs w:val="1"/>
                <w:color w:val="auto"/>
              </w:rPr>
              <w:t>Common stock, par value $1 per share 57,613,842 shares outstanding as of April 30, 2012</w:t>
            </w:r>
          </w:p>
        </w:tc>
        <w:tc>
          <w:tcPr>
            <w:tcW w:w="440" w:type="dxa"/>
            <w:vAlign w:val="bottom"/>
          </w:tcPr>
          <w:p>
            <w:pPr>
              <w:spacing w:after="0"/>
              <w:rPr>
                <w:sz w:val="24"/>
                <w:szCs w:val="24"/>
                <w:color w:val="auto"/>
              </w:rPr>
            </w:pPr>
          </w:p>
        </w:tc>
      </w:tr>
      <w:tr>
        <w:trPr>
          <w:trHeight w:val="124"/>
        </w:trPr>
        <w:tc>
          <w:tcPr>
            <w:tcW w:w="1860" w:type="dxa"/>
            <w:vAlign w:val="bottom"/>
            <w:tcBorders>
              <w:bottom w:val="single" w:sz="8" w:color="auto"/>
            </w:tcBorders>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780" w:type="dxa"/>
            <w:vAlign w:val="bottom"/>
            <w:gridSpan w:val="22"/>
          </w:tcPr>
          <w:p>
            <w:pPr>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19"/>
                <w:szCs w:val="19"/>
                <w:color w:val="auto"/>
              </w:rPr>
            </w:pPr>
          </w:p>
        </w:tc>
      </w:tr>
      <w:tr>
        <w:trPr>
          <w:trHeight w:val="380"/>
        </w:trPr>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838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54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Statement of Operations (unaudited) for the Three Months Ended March 31, 2012 and 2011</w:t>
              </w:r>
            </w:hyperlink>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Consolidated Statement of Comprehensive Income (Loss) (unaudited) for the Three Months Ended March 31, 2012 and 2011</w:t>
              </w:r>
            </w:hyperlink>
          </w:p>
        </w:tc>
        <w:tc>
          <w:tcPr>
            <w:tcW w:w="54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Consolidated Balance Sheet at March 31, 2012 (unaudited), December 31, 2011 (audited) and March 31, 2011 (unaudited)</w:t>
              </w:r>
            </w:hyperlink>
          </w:p>
        </w:tc>
        <w:tc>
          <w:tcPr>
            <w:tcW w:w="80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b w:val="1"/>
                <w:bCs w:val="1"/>
                <w:color w:val="0000EE"/>
                <w:w w:val="91"/>
              </w:rPr>
            </w:pPr>
            <w:hyperlink w:anchor="page6">
              <w:r>
                <w:rPr>
                  <w:rFonts w:ascii="Arial" w:cs="Arial" w:eastAsia="Arial" w:hAnsi="Arial"/>
                  <w:sz w:val="18"/>
                  <w:szCs w:val="18"/>
                  <w:b w:val="1"/>
                  <w:bCs w:val="1"/>
                  <w:color w:val="0000EE"/>
                  <w:w w:val="91"/>
                </w:rPr>
                <w:t>Consolidated Statement of Changes in Shareholders’ Equity (unaudited) for the Three Months Ended March 31, 2012 and 2011</w:t>
              </w:r>
            </w:hyperlink>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2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Cash Flows (unaudited) for the Three Months Ended March 31, 2012 and 2011</w:t>
              </w:r>
            </w:hyperlink>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Notes to Consolidated Financial Statements</w:t>
              </w:r>
            </w:hyperlink>
          </w:p>
        </w:tc>
        <w:tc>
          <w:tcPr>
            <w:tcW w:w="4660" w:type="dxa"/>
            <w:vAlign w:val="bottom"/>
            <w:tcBorders>
              <w:top w:val="single" w:sz="8" w:color="0000EE"/>
            </w:tcBorders>
            <w:gridSpan w:val="4"/>
          </w:tcPr>
          <w:p>
            <w:pPr>
              <w:spacing w:after="0"/>
              <w:rPr>
                <w:sz w:val="24"/>
                <w:szCs w:val="24"/>
                <w:color w:val="auto"/>
              </w:rPr>
            </w:pPr>
          </w:p>
        </w:tc>
        <w:tc>
          <w:tcPr>
            <w:tcW w:w="198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04"/>
        </w:trPr>
        <w:tc>
          <w:tcPr>
            <w:tcW w:w="44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b w:val="1"/>
                <w:bCs w:val="1"/>
                <w:color w:val="0000EE"/>
                <w:w w:val="87"/>
              </w:rPr>
            </w:pPr>
            <w:hyperlink w:anchor="page28">
              <w:r>
                <w:rPr>
                  <w:rFonts w:ascii="Arial" w:cs="Arial" w:eastAsia="Arial" w:hAnsi="Arial"/>
                  <w:sz w:val="18"/>
                  <w:szCs w:val="18"/>
                  <w:b w:val="1"/>
                  <w:bCs w:val="1"/>
                  <w:color w:val="0000EE"/>
                  <w:w w:val="87"/>
                </w:rPr>
                <w:t>Item 2. Management’s Discussion and Analysis of Financial Condition and Results of Operations</w:t>
              </w:r>
            </w:hyperlink>
          </w:p>
        </w:tc>
        <w:tc>
          <w:tcPr>
            <w:tcW w:w="31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04"/>
        </w:trPr>
        <w:tc>
          <w:tcPr>
            <w:tcW w:w="440" w:type="dxa"/>
            <w:vAlign w:val="bottom"/>
          </w:tcPr>
          <w:p>
            <w:pPr>
              <w:spacing w:after="0"/>
              <w:rPr>
                <w:sz w:val="24"/>
                <w:szCs w:val="24"/>
                <w:color w:val="auto"/>
              </w:rPr>
            </w:pPr>
          </w:p>
        </w:tc>
        <w:tc>
          <w:tcPr>
            <w:tcW w:w="10340" w:type="dxa"/>
            <w:vAlign w:val="bottom"/>
            <w:gridSpan w:val="21"/>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3. 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04"/>
        </w:trPr>
        <w:tc>
          <w:tcPr>
            <w:tcW w:w="44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87"/>
              </w:rPr>
            </w:pPr>
            <w:hyperlink w:anchor="page51">
              <w:r>
                <w:rPr>
                  <w:rFonts w:ascii="Arial" w:cs="Arial" w:eastAsia="Arial" w:hAnsi="Arial"/>
                  <w:sz w:val="18"/>
                  <w:szCs w:val="18"/>
                  <w:b w:val="1"/>
                  <w:bCs w:val="1"/>
                  <w:color w:val="0000EE"/>
                  <w:w w:val="87"/>
                </w:rPr>
                <w:t>Item 4. Controls and Procedures</w:t>
              </w:r>
            </w:hyperlink>
          </w:p>
        </w:tc>
        <w:tc>
          <w:tcPr>
            <w:tcW w:w="2680" w:type="dxa"/>
            <w:vAlign w:val="bottom"/>
            <w:tcBorders>
              <w:top w:val="single" w:sz="8" w:color="0000EE"/>
            </w:tcBorders>
            <w:gridSpan w:val="4"/>
          </w:tcPr>
          <w:p>
            <w:pPr>
              <w:spacing w:after="0"/>
              <w:rPr>
                <w:sz w:val="24"/>
                <w:szCs w:val="24"/>
                <w:color w:val="auto"/>
              </w:rPr>
            </w:pPr>
          </w:p>
        </w:tc>
        <w:tc>
          <w:tcPr>
            <w:tcW w:w="522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04"/>
        </w:trPr>
        <w:tc>
          <w:tcPr>
            <w:tcW w:w="10780" w:type="dxa"/>
            <w:vAlign w:val="bottom"/>
            <w:gridSpan w:val="22"/>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 - Other Information</w:t>
              </w:r>
            </w:hyperlink>
          </w:p>
        </w:tc>
        <w:tc>
          <w:tcPr>
            <w:tcW w:w="54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94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51">
              <w:r>
                <w:rPr>
                  <w:rFonts w:ascii="Arial" w:cs="Arial" w:eastAsia="Arial" w:hAnsi="Arial"/>
                  <w:sz w:val="18"/>
                  <w:szCs w:val="18"/>
                  <w:b w:val="1"/>
                  <w:bCs w:val="1"/>
                  <w:color w:val="0000EE"/>
                  <w:w w:val="86"/>
                </w:rPr>
                <w:t>Item 1. Legal Proceedings</w:t>
              </w:r>
            </w:hyperlink>
          </w:p>
        </w:tc>
        <w:tc>
          <w:tcPr>
            <w:tcW w:w="840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196"/>
        </w:trPr>
        <w:tc>
          <w:tcPr>
            <w:tcW w:w="4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1A. 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20"/>
        </w:trPr>
        <w:tc>
          <w:tcPr>
            <w:tcW w:w="4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2. Unregistered Sales of Equity Securities and Use of Proceeds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4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color w:val="0000EE"/>
                <w:w w:val="87"/>
              </w:rPr>
            </w:pPr>
            <w:hyperlink w:anchor="page51">
              <w:r>
                <w:rPr>
                  <w:rFonts w:ascii="Arial" w:cs="Arial" w:eastAsia="Arial" w:hAnsi="Arial"/>
                  <w:sz w:val="18"/>
                  <w:szCs w:val="18"/>
                  <w:b w:val="1"/>
                  <w:bCs w:val="1"/>
                  <w:color w:val="0000EE"/>
                  <w:w w:val="87"/>
                </w:rPr>
                <w:t>Item 3. Defaults Upon Senior Securities</w:t>
              </w:r>
            </w:hyperlink>
          </w:p>
        </w:tc>
        <w:tc>
          <w:tcPr>
            <w:tcW w:w="2060" w:type="dxa"/>
            <w:vAlign w:val="bottom"/>
            <w:tcBorders>
              <w:top w:val="single" w:sz="8" w:color="0000EE"/>
            </w:tcBorders>
            <w:gridSpan w:val="2"/>
          </w:tcPr>
          <w:p>
            <w:pPr>
              <w:spacing w:after="0"/>
              <w:rPr>
                <w:sz w:val="17"/>
                <w:szCs w:val="17"/>
                <w:color w:val="auto"/>
              </w:rPr>
            </w:pPr>
          </w:p>
        </w:tc>
        <w:tc>
          <w:tcPr>
            <w:tcW w:w="532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4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4. Mine Safety Disclosures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4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5. Other Information</w:t>
              </w:r>
            </w:hyperlink>
          </w:p>
        </w:tc>
        <w:tc>
          <w:tcPr>
            <w:tcW w:w="380" w:type="dxa"/>
            <w:vAlign w:val="bottom"/>
            <w:tcBorders>
              <w:top w:val="single" w:sz="8" w:color="0000EE"/>
            </w:tcBorders>
            <w:gridSpan w:val="2"/>
          </w:tcPr>
          <w:p>
            <w:pPr>
              <w:spacing w:after="0"/>
              <w:rPr>
                <w:sz w:val="17"/>
                <w:szCs w:val="17"/>
                <w:color w:val="auto"/>
              </w:rPr>
            </w:pPr>
          </w:p>
        </w:tc>
        <w:tc>
          <w:tcPr>
            <w:tcW w:w="798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44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6. Exhibits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r>
      <w:tr>
        <w:trPr>
          <w:trHeight w:val="383"/>
        </w:trPr>
        <w:tc>
          <w:tcPr>
            <w:tcW w:w="460" w:type="dxa"/>
            <w:vAlign w:val="bottom"/>
            <w:gridSpan w:val="2"/>
          </w:tcPr>
          <w:p>
            <w:pPr>
              <w:spacing w:after="0"/>
              <w:rPr>
                <w:sz w:val="24"/>
                <w:szCs w:val="24"/>
                <w:color w:val="auto"/>
              </w:rPr>
            </w:pPr>
          </w:p>
        </w:tc>
        <w:tc>
          <w:tcPr>
            <w:tcW w:w="1180" w:type="dxa"/>
            <w:vAlign w:val="bottom"/>
            <w:tcBorders>
              <w:top w:val="single" w:sz="8" w:color="0000EE"/>
            </w:tcBorders>
            <w:gridSpan w:val="2"/>
          </w:tcPr>
          <w:p>
            <w:pPr>
              <w:spacing w:after="0"/>
              <w:rPr>
                <w:sz w:val="24"/>
                <w:szCs w:val="24"/>
                <w:color w:val="auto"/>
              </w:rPr>
            </w:pPr>
          </w:p>
        </w:tc>
        <w:tc>
          <w:tcPr>
            <w:tcW w:w="6040" w:type="dxa"/>
            <w:vAlign w:val="bottom"/>
            <w:gridSpan w:val="13"/>
          </w:tcPr>
          <w:p>
            <w:pPr>
              <w:jc w:val="right"/>
              <w:ind w:right="192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Operations </w:t>
      </w: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6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96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 revenue:</w:t>
            </w:r>
          </w:p>
        </w:tc>
        <w:tc>
          <w:tcPr>
            <w:tcW w:w="7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55,759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securities, including tax exempt of $250 and $259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13,004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Federal funds sold, reverse repurchase agreements, commercial paper and deposits in banks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interest revenue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69,775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75,530</w:t>
            </w:r>
          </w:p>
        </w:tc>
        <w:tc>
          <w:tcPr>
            <w:tcW w:w="0" w:type="dxa"/>
            <w:vAlign w:val="bottom"/>
          </w:tcPr>
          <w:p>
            <w:pPr>
              <w:spacing w:after="0"/>
              <w:rPr>
                <w:sz w:val="1"/>
                <w:szCs w:val="1"/>
                <w:color w:val="auto"/>
              </w:rPr>
            </w:pPr>
          </w:p>
        </w:tc>
      </w:tr>
      <w:tr>
        <w:trPr>
          <w:trHeight w:val="222"/>
        </w:trPr>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860"/>
              <w:spacing w:after="0"/>
              <w:rPr>
                <w:sz w:val="20"/>
                <w:szCs w:val="20"/>
                <w:color w:val="auto"/>
              </w:rPr>
            </w:pPr>
            <w:r>
              <w:rPr>
                <w:rFonts w:ascii="Arial" w:cs="Arial" w:eastAsia="Arial" w:hAnsi="Arial"/>
                <w:sz w:val="18"/>
                <w:szCs w:val="18"/>
                <w:color w:val="auto"/>
              </w:rPr>
              <w:t>NOW</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860"/>
              <w:spacing w:after="0"/>
              <w:rPr>
                <w:sz w:val="20"/>
                <w:szCs w:val="20"/>
                <w:color w:val="auto"/>
              </w:rPr>
            </w:pPr>
            <w:r>
              <w:rPr>
                <w:rFonts w:ascii="Arial" w:cs="Arial" w:eastAsia="Arial" w:hAnsi="Arial"/>
                <w:sz w:val="18"/>
                <w:szCs w:val="18"/>
                <w:color w:val="auto"/>
              </w:rPr>
              <w:t>Savings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Time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gridSpan w:val="2"/>
          </w:tcPr>
          <w:p>
            <w:pPr>
              <w:ind w:left="1280"/>
              <w:spacing w:after="0"/>
              <w:rPr>
                <w:sz w:val="20"/>
                <w:szCs w:val="20"/>
                <w:color w:val="auto"/>
              </w:rPr>
            </w:pPr>
            <w:r>
              <w:rPr>
                <w:rFonts w:ascii="Arial" w:cs="Arial" w:eastAsia="Arial" w:hAnsi="Arial"/>
                <w:sz w:val="18"/>
                <w:szCs w:val="18"/>
                <w:color w:val="auto"/>
              </w:rPr>
              <w:t>Total deposit interest expense</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7,474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gridSpan w:val="2"/>
          </w:tcPr>
          <w:p>
            <w:pPr>
              <w:ind w:left="86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11,357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interest revenue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58,418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15,000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interest revenue after provision for loan losses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43,418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(134,043)</w:t>
            </w:r>
          </w:p>
        </w:tc>
        <w:tc>
          <w:tcPr>
            <w:tcW w:w="0" w:type="dxa"/>
            <w:vAlign w:val="bottom"/>
          </w:tcPr>
          <w:p>
            <w:pPr>
              <w:spacing w:after="0"/>
              <w:rPr>
                <w:sz w:val="1"/>
                <w:szCs w:val="1"/>
                <w:color w:val="auto"/>
              </w:rPr>
            </w:pPr>
          </w:p>
        </w:tc>
      </w:tr>
      <w:tr>
        <w:trPr>
          <w:trHeight w:val="222"/>
        </w:trPr>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Mortgage loan and other related fees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Brokerage fees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Securities gains, net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prepayment of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fee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58,797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25,225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Communications and equipment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 and public relations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Postage, printing and supplies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Foreclosed property</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FDIC assessments and other regulatory charges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46,955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(loss) before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11,842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(237,336)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Preferred stock dividends and discount accretion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(240,114)</w:t>
            </w:r>
          </w:p>
        </w:tc>
        <w:tc>
          <w:tcPr>
            <w:tcW w:w="0" w:type="dxa"/>
            <w:vAlign w:val="bottom"/>
          </w:tcPr>
          <w:p>
            <w:pPr>
              <w:spacing w:after="0"/>
              <w:rPr>
                <w:sz w:val="1"/>
                <w:szCs w:val="1"/>
                <w:color w:val="auto"/>
              </w:rPr>
            </w:pPr>
          </w:p>
        </w:tc>
      </w:tr>
      <w:tr>
        <w:trPr>
          <w:trHeight w:val="20"/>
        </w:trPr>
        <w:tc>
          <w:tcPr>
            <w:tcW w:w="9680" w:type="dxa"/>
            <w:vAlign w:val="bottom"/>
            <w:gridSpan w:val="3"/>
            <w:vMerge w:val="restart"/>
          </w:tcPr>
          <w:p>
            <w:pPr>
              <w:spacing w:after="0"/>
              <w:rPr>
                <w:sz w:val="20"/>
                <w:szCs w:val="20"/>
                <w:color w:val="auto"/>
              </w:rPr>
            </w:pPr>
            <w:r>
              <w:rPr>
                <w:rFonts w:ascii="Arial" w:cs="Arial" w:eastAsia="Arial" w:hAnsi="Arial"/>
                <w:sz w:val="18"/>
                <w:szCs w:val="18"/>
                <w:color w:val="auto"/>
              </w:rPr>
              <w:t>Earnings (loss) per common share—Basic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 Diluted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57,764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(Loss) </w:t>
      </w: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88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88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11,528</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$(237,336)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losses on available for sale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Unrealized holding losses arising during period</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(3,340)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8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gains included in net income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680" w:type="dxa"/>
            <w:vAlign w:val="bottom"/>
            <w:gridSpan w:val="2"/>
          </w:tcPr>
          <w:p>
            <w:pPr>
              <w:ind w:left="440"/>
              <w:spacing w:after="0"/>
              <w:rPr>
                <w:sz w:val="20"/>
                <w:szCs w:val="20"/>
                <w:color w:val="auto"/>
              </w:rPr>
            </w:pPr>
            <w:r>
              <w:rPr>
                <w:rFonts w:ascii="Arial" w:cs="Arial" w:eastAsia="Arial" w:hAnsi="Arial"/>
                <w:sz w:val="18"/>
                <w:szCs w:val="18"/>
                <w:color w:val="auto"/>
              </w:rPr>
              <w:t>Amortization of gains included in net income (loss) on available for sale securities transferred to held to maturity</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(413)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Amortization of gains included in net income (loss) on derivative financial instruments accounted for as cash flow hedges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(1,600)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23"/>
        </w:trPr>
        <w:tc>
          <w:tcPr>
            <w:tcW w:w="9680" w:type="dxa"/>
            <w:vAlign w:val="bottom"/>
            <w:gridSpan w:val="2"/>
          </w:tcPr>
          <w:p>
            <w:pPr>
              <w:ind w:left="440"/>
              <w:spacing w:after="0"/>
              <w:rPr>
                <w:sz w:val="20"/>
                <w:szCs w:val="20"/>
                <w:color w:val="auto"/>
              </w:rPr>
            </w:pPr>
            <w:r>
              <w:rPr>
                <w:rFonts w:ascii="Arial" w:cs="Arial" w:eastAsia="Arial" w:hAnsi="Arial"/>
                <w:sz w:val="18"/>
                <w:szCs w:val="18"/>
                <w:color w:val="auto"/>
                <w:w w:val="93"/>
              </w:rPr>
              <w:t>Amortization of prior service cost and actuarial losses included in net periodic pension cost for defined benefit pension plans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8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other comprehensive loss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(5,756)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60" w:type="dxa"/>
            <w:vAlign w:val="bottom"/>
            <w:vMerge w:val="restart"/>
          </w:tcPr>
          <w:p>
            <w:pPr>
              <w:ind w:left="6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8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(243,236)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March 31,</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8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80" w:type="dxa"/>
            <w:vAlign w:val="bottom"/>
            <w:gridSpan w:val="3"/>
            <w:vMerge w:val="continue"/>
          </w:tcPr>
          <w:p>
            <w:pPr>
              <w:spacing w:after="0"/>
              <w:rPr>
                <w:sz w:val="11"/>
                <w:szCs w:val="11"/>
                <w:color w:val="auto"/>
              </w:rPr>
            </w:pPr>
          </w:p>
        </w:tc>
        <w:tc>
          <w:tcPr>
            <w:tcW w:w="800" w:type="dxa"/>
            <w:vAlign w:val="bottom"/>
            <w:gridSpan w:val="2"/>
          </w:tcPr>
          <w:p>
            <w:pPr>
              <w:jc w:val="right"/>
              <w:ind w:right="13"/>
              <w:spacing w:after="0" w:line="129" w:lineRule="exact"/>
              <w:rPr>
                <w:sz w:val="20"/>
                <w:szCs w:val="20"/>
                <w:color w:val="auto"/>
              </w:rPr>
            </w:pPr>
            <w:r>
              <w:rPr>
                <w:rFonts w:ascii="Arial" w:cs="Arial" w:eastAsia="Arial" w:hAnsi="Arial"/>
                <w:sz w:val="14"/>
                <w:szCs w:val="14"/>
                <w:i w:val="1"/>
                <w:iCs w:val="1"/>
                <w:color w:val="auto"/>
                <w:w w:val="95"/>
              </w:rPr>
              <w:t>(unaudited)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3"/>
              <w:spacing w:after="0" w:line="129" w:lineRule="exact"/>
              <w:rPr>
                <w:sz w:val="20"/>
                <w:szCs w:val="20"/>
                <w:color w:val="auto"/>
              </w:rPr>
            </w:pPr>
            <w:r>
              <w:rPr>
                <w:rFonts w:ascii="Arial" w:cs="Arial" w:eastAsia="Arial" w:hAnsi="Arial"/>
                <w:sz w:val="14"/>
                <w:szCs w:val="14"/>
                <w:i w:val="1"/>
                <w:iCs w:val="1"/>
                <w:color w:val="auto"/>
                <w:w w:val="97"/>
              </w:rPr>
              <w:t>(audited)</w:t>
            </w:r>
          </w:p>
        </w:tc>
        <w:tc>
          <w:tcPr>
            <w:tcW w:w="320" w:type="dxa"/>
            <w:vAlign w:val="bottom"/>
          </w:tcPr>
          <w:p>
            <w:pPr>
              <w:spacing w:after="0"/>
              <w:rPr>
                <w:sz w:val="11"/>
                <w:szCs w:val="11"/>
                <w:color w:val="auto"/>
              </w:rPr>
            </w:pPr>
          </w:p>
        </w:tc>
        <w:tc>
          <w:tcPr>
            <w:tcW w:w="800" w:type="dxa"/>
            <w:vAlign w:val="bottom"/>
            <w:gridSpan w:val="2"/>
          </w:tcPr>
          <w:p>
            <w:pPr>
              <w:jc w:val="right"/>
              <w:ind w:right="13"/>
              <w:spacing w:after="0" w:line="129"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53,147</w:t>
            </w: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53,807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in banks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139,609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w w:val="99"/>
              </w:rPr>
              <w:t>Federal funds sold, reverse repurchase agreements, commercial paper and short-term investments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378,416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Securities available for sale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1,898,815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1,790,047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1,638,494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Securities held to maturity (fair value $318,490, $343,531 and $248,361)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330,203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 loans held for 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Loans, net of unearned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4,127,566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4,109,614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4,194,372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allowance for loan losses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1280"/>
              <w:spacing w:after="0"/>
              <w:rPr>
                <w:sz w:val="20"/>
                <w:szCs w:val="20"/>
                <w:color w:val="auto"/>
              </w:rPr>
            </w:pPr>
            <w:r>
              <w:rPr>
                <w:rFonts w:ascii="Arial" w:cs="Arial" w:eastAsia="Arial" w:hAnsi="Arial"/>
                <w:sz w:val="18"/>
                <w:szCs w:val="18"/>
                <w:color w:val="auto"/>
              </w:rPr>
              <w:t>Loans, net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4,013,965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3,995,146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4,061,251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Assets covered by loss sharing agreements with the FDIC</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Premises and equipment,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175,088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owned life insurance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Accrued interest receivable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20,292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20,693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Foreclosed property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32,859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Unsettled securities sales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7,173,693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6,983,420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7,709,488</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Demand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1,101,757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992,109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60"/>
              <w:spacing w:after="0"/>
              <w:rPr>
                <w:sz w:val="20"/>
                <w:szCs w:val="20"/>
                <w:color w:val="auto"/>
              </w:rPr>
            </w:pPr>
            <w:r>
              <w:rPr>
                <w:rFonts w:ascii="Arial" w:cs="Arial" w:eastAsia="Arial" w:hAnsi="Arial"/>
                <w:sz w:val="18"/>
                <w:szCs w:val="18"/>
                <w:color w:val="auto"/>
              </w:rPr>
              <w:t>NOW</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1,389,016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1,509,896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Money market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1,123,734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1,038,778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60"/>
              <w:spacing w:after="0"/>
              <w:rPr>
                <w:sz w:val="20"/>
                <w:szCs w:val="20"/>
                <w:color w:val="auto"/>
              </w:rPr>
            </w:pPr>
            <w:r>
              <w:rPr>
                <w:rFonts w:ascii="Arial" w:cs="Arial" w:eastAsia="Arial" w:hAnsi="Arial"/>
                <w:sz w:val="18"/>
                <w:szCs w:val="18"/>
                <w:color w:val="auto"/>
              </w:rPr>
              <w:t>Savings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214,150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199,007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Time: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280"/>
              <w:spacing w:after="0"/>
              <w:rPr>
                <w:sz w:val="20"/>
                <w:szCs w:val="20"/>
                <w:color w:val="auto"/>
              </w:rPr>
            </w:pPr>
            <w:r>
              <w:rPr>
                <w:rFonts w:ascii="Arial" w:cs="Arial" w:eastAsia="Arial" w:hAnsi="Arial"/>
                <w:sz w:val="18"/>
                <w:szCs w:val="18"/>
                <w:color w:val="auto"/>
              </w:rPr>
              <w:t>Less than $100,000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1,207,479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1,332,394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Greater than $100,000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847,152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1280"/>
              <w:spacing w:after="0"/>
              <w:rPr>
                <w:sz w:val="20"/>
                <w:szCs w:val="20"/>
                <w:color w:val="auto"/>
              </w:rPr>
            </w:pPr>
            <w:r>
              <w:rPr>
                <w:rFonts w:ascii="Arial" w:cs="Arial" w:eastAsia="Arial" w:hAnsi="Arial"/>
                <w:sz w:val="18"/>
                <w:szCs w:val="18"/>
                <w:color w:val="auto"/>
              </w:rPr>
              <w:t>Brokered</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167,521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178,647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6,000,539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6,097,983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6,597,748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102,577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Home Loan Bank advances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120,245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120,225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Unsettled securities purchases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6,594,154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6,407,934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7,123,444</w:t>
            </w:r>
          </w:p>
        </w:tc>
        <w:tc>
          <w:tcPr>
            <w:tcW w:w="0" w:type="dxa"/>
            <w:vAlign w:val="bottom"/>
          </w:tcPr>
          <w:p>
            <w:pPr>
              <w:spacing w:after="0"/>
              <w:rPr>
                <w:sz w:val="1"/>
                <w:szCs w:val="1"/>
                <w:color w:val="auto"/>
              </w:rPr>
            </w:pPr>
          </w:p>
        </w:tc>
      </w:tr>
      <w:tr>
        <w:trPr>
          <w:trHeight w:val="222"/>
        </w:trPr>
        <w:tc>
          <w:tcPr>
            <w:tcW w:w="82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$1 par value; 10,000,000 shares authorized;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60"/>
              <w:spacing w:after="0"/>
              <w:rPr>
                <w:sz w:val="20"/>
                <w:szCs w:val="20"/>
                <w:color w:val="auto"/>
              </w:rPr>
            </w:pPr>
            <w:r>
              <w:rPr>
                <w:rFonts w:ascii="Arial" w:cs="Arial" w:eastAsia="Arial" w:hAnsi="Arial"/>
                <w:sz w:val="18"/>
                <w:szCs w:val="18"/>
                <w:color w:val="auto"/>
              </w:rPr>
              <w:t>Series A; $10 stated value; 21,700 shares issued and outstanding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Series B; $1,000 stated value; 180,000 shares issued and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177,092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60"/>
              <w:spacing w:after="0"/>
              <w:rPr>
                <w:sz w:val="20"/>
                <w:szCs w:val="20"/>
                <w:color w:val="auto"/>
              </w:rPr>
            </w:pPr>
            <w:r>
              <w:rPr>
                <w:rFonts w:ascii="Arial" w:cs="Arial" w:eastAsia="Arial" w:hAnsi="Arial"/>
                <w:sz w:val="18"/>
                <w:szCs w:val="18"/>
                <w:color w:val="auto"/>
              </w:rPr>
              <w:t>Series D; $1,000 stated value; 16,613 shares issued and outstanding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16,613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Series F; $1,000 stated value; 195,872 shares issued and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60"/>
              <w:spacing w:after="0"/>
              <w:rPr>
                <w:sz w:val="20"/>
                <w:szCs w:val="20"/>
                <w:color w:val="auto"/>
              </w:rPr>
            </w:pPr>
            <w:r>
              <w:rPr>
                <w:rFonts w:ascii="Arial" w:cs="Arial" w:eastAsia="Arial" w:hAnsi="Arial"/>
                <w:sz w:val="18"/>
                <w:szCs w:val="18"/>
                <w:color w:val="auto"/>
              </w:rPr>
              <w:t>Series G; $1,000 stated value; 151,185 shares issued and outstanding</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151,185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$1 par value; 100,000,000 shares authorized; 41,688,647, 41,647,100 and 20,903,111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shares issued and outstanding</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41,689</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41,647</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non-voting, $1 par value; 30,000,000 shares authorized; 15,914,209 shares issued and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64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15,914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15,914</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issuable; 90,126, 93,681 and 79,428 shares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Capital surplus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1,056,135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1,054,940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(722,363)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(730,861)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(732,390)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(9,065)</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(3,309)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579,539</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575,486</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7,173,693</w:t>
            </w:r>
          </w:p>
        </w:tc>
        <w:tc>
          <w:tcPr>
            <w:tcW w:w="3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6,983,420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7,709,488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085"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085"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Consolidated Statement of Changes in Shareholders’ Equity </w:t>
      </w:r>
      <w:r>
        <w:rPr>
          <w:rFonts w:ascii="Arial" w:cs="Arial" w:eastAsia="Arial" w:hAnsi="Arial"/>
          <w:sz w:val="15"/>
          <w:szCs w:val="15"/>
          <w:i w:val="1"/>
          <w:iCs w:val="1"/>
          <w:color w:val="auto"/>
        </w:rPr>
        <w:t>(Unaudited)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ectPr>
          <w:pgSz w:w="11900" w:h="16838" w:orient="portrait"/>
          <w:cols w:equalWidth="0" w:num="1">
            <w:col w:w="11380"/>
          </w:cols>
          <w:pgMar w:left="240" w:top="459" w:right="27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and</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Non-Voting</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18"/>
        </w:trPr>
        <w:tc>
          <w:tcPr>
            <w:tcW w:w="28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3"/>
          </w:tcPr>
          <w:p>
            <w:pPr>
              <w:spacing w:after="0" w:line="118" w:lineRule="exact"/>
              <w:rPr>
                <w:sz w:val="20"/>
                <w:szCs w:val="20"/>
                <w:color w:val="auto"/>
              </w:rPr>
            </w:pPr>
            <w:r>
              <w:rPr>
                <w:rFonts w:ascii="Arial" w:cs="Arial" w:eastAsia="Arial" w:hAnsi="Arial"/>
                <w:sz w:val="12"/>
                <w:szCs w:val="12"/>
                <w:b w:val="1"/>
                <w:bCs w:val="1"/>
                <w:color w:val="auto"/>
                <w:w w:val="94"/>
              </w:rPr>
              <w:t>Series</w:t>
            </w:r>
          </w:p>
        </w:tc>
        <w:tc>
          <w:tcPr>
            <w:tcW w:w="100" w:type="dxa"/>
            <w:vAlign w:val="bottom"/>
          </w:tcPr>
          <w:p>
            <w:pPr>
              <w:spacing w:after="0"/>
              <w:rPr>
                <w:sz w:val="10"/>
                <w:szCs w:val="10"/>
                <w:color w:val="auto"/>
              </w:rPr>
            </w:pPr>
          </w:p>
        </w:tc>
        <w:tc>
          <w:tcPr>
            <w:tcW w:w="520" w:type="dxa"/>
            <w:vAlign w:val="bottom"/>
          </w:tcPr>
          <w:p>
            <w:pPr>
              <w:jc w:val="right"/>
              <w:ind w:right="14"/>
              <w:spacing w:after="0" w:line="118" w:lineRule="exact"/>
              <w:rPr>
                <w:sz w:val="20"/>
                <w:szCs w:val="20"/>
                <w:color w:val="auto"/>
              </w:rPr>
            </w:pPr>
            <w:r>
              <w:rPr>
                <w:rFonts w:ascii="Arial" w:cs="Arial" w:eastAsia="Arial" w:hAnsi="Arial"/>
                <w:sz w:val="12"/>
                <w:szCs w:val="12"/>
                <w:b w:val="1"/>
                <w:bCs w:val="1"/>
                <w:color w:val="auto"/>
              </w:rPr>
              <w:t>Series</w:t>
            </w:r>
          </w:p>
        </w:tc>
        <w:tc>
          <w:tcPr>
            <w:tcW w:w="140" w:type="dxa"/>
            <w:vAlign w:val="bottom"/>
          </w:tcPr>
          <w:p>
            <w:pPr>
              <w:spacing w:after="0"/>
              <w:rPr>
                <w:sz w:val="10"/>
                <w:szCs w:val="10"/>
                <w:color w:val="auto"/>
              </w:rPr>
            </w:pPr>
          </w:p>
        </w:tc>
        <w:tc>
          <w:tcPr>
            <w:tcW w:w="580" w:type="dxa"/>
            <w:vAlign w:val="bottom"/>
            <w:gridSpan w:val="3"/>
          </w:tcPr>
          <w:p>
            <w:pPr>
              <w:jc w:val="right"/>
              <w:ind w:right="180"/>
              <w:spacing w:after="0" w:line="118" w:lineRule="exact"/>
              <w:rPr>
                <w:sz w:val="20"/>
                <w:szCs w:val="20"/>
                <w:color w:val="auto"/>
              </w:rPr>
            </w:pPr>
            <w:r>
              <w:rPr>
                <w:rFonts w:ascii="Arial" w:cs="Arial" w:eastAsia="Arial" w:hAnsi="Arial"/>
                <w:sz w:val="12"/>
                <w:szCs w:val="12"/>
                <w:b w:val="1"/>
                <w:bCs w:val="1"/>
                <w:color w:val="auto"/>
              </w:rPr>
              <w:t>Series</w:t>
            </w:r>
          </w:p>
        </w:tc>
        <w:tc>
          <w:tcPr>
            <w:tcW w:w="60" w:type="dxa"/>
            <w:vAlign w:val="bottom"/>
          </w:tcPr>
          <w:p>
            <w:pPr>
              <w:spacing w:after="0"/>
              <w:rPr>
                <w:sz w:val="10"/>
                <w:szCs w:val="10"/>
                <w:color w:val="auto"/>
              </w:rPr>
            </w:pPr>
          </w:p>
        </w:tc>
        <w:tc>
          <w:tcPr>
            <w:tcW w:w="520" w:type="dxa"/>
            <w:vAlign w:val="bottom"/>
            <w:gridSpan w:val="2"/>
          </w:tcPr>
          <w:p>
            <w:pPr>
              <w:ind w:left="20"/>
              <w:spacing w:after="0" w:line="118" w:lineRule="exact"/>
              <w:rPr>
                <w:sz w:val="20"/>
                <w:szCs w:val="20"/>
                <w:color w:val="auto"/>
              </w:rPr>
            </w:pPr>
            <w:r>
              <w:rPr>
                <w:rFonts w:ascii="Arial" w:cs="Arial" w:eastAsia="Arial" w:hAnsi="Arial"/>
                <w:sz w:val="12"/>
                <w:szCs w:val="12"/>
                <w:b w:val="1"/>
                <w:bCs w:val="1"/>
                <w:color w:val="auto"/>
              </w:rPr>
              <w:t>Series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Series</w:t>
            </w:r>
          </w:p>
        </w:tc>
        <w:tc>
          <w:tcPr>
            <w:tcW w:w="140" w:type="dxa"/>
            <w:vAlign w:val="bottom"/>
          </w:tcPr>
          <w:p>
            <w:pPr>
              <w:spacing w:after="0"/>
              <w:rPr>
                <w:sz w:val="10"/>
                <w:szCs w:val="10"/>
                <w:color w:val="auto"/>
              </w:rPr>
            </w:pPr>
          </w:p>
        </w:tc>
        <w:tc>
          <w:tcPr>
            <w:tcW w:w="640" w:type="dxa"/>
            <w:vAlign w:val="bottom"/>
            <w:gridSpan w:val="3"/>
          </w:tcPr>
          <w:p>
            <w:pPr>
              <w:spacing w:after="0" w:line="118" w:lineRule="exact"/>
              <w:rPr>
                <w:sz w:val="20"/>
                <w:szCs w:val="20"/>
                <w:color w:val="auto"/>
              </w:rPr>
            </w:pPr>
            <w:r>
              <w:rPr>
                <w:rFonts w:ascii="Arial" w:cs="Arial" w:eastAsia="Arial" w:hAnsi="Arial"/>
                <w:sz w:val="12"/>
                <w:szCs w:val="12"/>
                <w:b w:val="1"/>
                <w:bCs w:val="1"/>
                <w:color w:val="auto"/>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18" w:lineRule="exact"/>
              <w:rPr>
                <w:sz w:val="20"/>
                <w:szCs w:val="20"/>
                <w:color w:val="auto"/>
              </w:rPr>
            </w:pPr>
            <w:r>
              <w:rPr>
                <w:rFonts w:ascii="Arial" w:cs="Arial" w:eastAsia="Arial" w:hAnsi="Arial"/>
                <w:sz w:val="12"/>
                <w:szCs w:val="12"/>
                <w:b w:val="1"/>
                <w:bCs w:val="1"/>
                <w:color w:val="auto"/>
                <w:w w:val="96"/>
              </w:rPr>
              <w:t>Common</w:t>
            </w:r>
          </w:p>
        </w:tc>
        <w:tc>
          <w:tcPr>
            <w:tcW w:w="80" w:type="dxa"/>
            <w:vAlign w:val="bottom"/>
          </w:tcPr>
          <w:p>
            <w:pPr>
              <w:spacing w:after="0"/>
              <w:rPr>
                <w:sz w:val="10"/>
                <w:szCs w:val="10"/>
                <w:color w:val="auto"/>
              </w:rPr>
            </w:pPr>
          </w:p>
        </w:tc>
        <w:tc>
          <w:tcPr>
            <w:tcW w:w="560" w:type="dxa"/>
            <w:vAlign w:val="bottom"/>
            <w:gridSpan w:val="2"/>
          </w:tcPr>
          <w:p>
            <w:pPr>
              <w:jc w:val="right"/>
              <w:ind w:right="220"/>
              <w:spacing w:after="0" w:line="118" w:lineRule="exact"/>
              <w:rPr>
                <w:sz w:val="20"/>
                <w:szCs w:val="20"/>
                <w:color w:val="auto"/>
              </w:rPr>
            </w:pPr>
            <w:r>
              <w:rPr>
                <w:rFonts w:ascii="Arial" w:cs="Arial" w:eastAsia="Arial" w:hAnsi="Arial"/>
                <w:sz w:val="12"/>
                <w:szCs w:val="12"/>
                <w:b w:val="1"/>
                <w:bCs w:val="1"/>
                <w:color w:val="auto"/>
                <w:w w:val="97"/>
              </w:rPr>
              <w:t>Stock</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80"/>
              <w:spacing w:after="0" w:line="118" w:lineRule="exact"/>
              <w:rPr>
                <w:sz w:val="20"/>
                <w:szCs w:val="20"/>
                <w:color w:val="auto"/>
              </w:rPr>
            </w:pPr>
            <w:r>
              <w:rPr>
                <w:rFonts w:ascii="Arial" w:cs="Arial" w:eastAsia="Arial" w:hAnsi="Arial"/>
                <w:sz w:val="12"/>
                <w:szCs w:val="12"/>
                <w:b w:val="1"/>
                <w:bCs w:val="1"/>
                <w:color w:val="auto"/>
              </w:rPr>
              <w:t>Capital</w:t>
            </w:r>
          </w:p>
        </w:tc>
        <w:tc>
          <w:tcPr>
            <w:tcW w:w="6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Arial" w:cs="Arial" w:eastAsia="Arial" w:hAnsi="Arial"/>
                <w:sz w:val="12"/>
                <w:szCs w:val="12"/>
                <w:b w:val="1"/>
                <w:bCs w:val="1"/>
                <w:color w:val="auto"/>
              </w:rPr>
              <w:t>Comprehensive</w:t>
            </w:r>
          </w:p>
        </w:tc>
        <w:tc>
          <w:tcPr>
            <w:tcW w:w="0" w:type="dxa"/>
            <w:vAlign w:val="bottom"/>
          </w:tcPr>
          <w:p>
            <w:pPr>
              <w:spacing w:after="0"/>
              <w:rPr>
                <w:sz w:val="1"/>
                <w:szCs w:val="1"/>
                <w:color w:val="auto"/>
              </w:rPr>
            </w:pPr>
          </w:p>
        </w:tc>
      </w:tr>
      <w:tr>
        <w:trPr>
          <w:trHeight w:val="179"/>
        </w:trPr>
        <w:tc>
          <w:tcPr>
            <w:tcW w:w="280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per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5"/>
                <w:szCs w:val="15"/>
                <w:color w:val="auto"/>
              </w:rPr>
            </w:pPr>
          </w:p>
        </w:tc>
        <w:tc>
          <w:tcPr>
            <w:tcW w:w="520" w:type="dxa"/>
            <w:vAlign w:val="bottom"/>
          </w:tcPr>
          <w:p>
            <w:pPr>
              <w:jc w:val="right"/>
              <w:ind w:right="134"/>
              <w:spacing w:after="0" w:line="159"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D</w:t>
            </w:r>
          </w:p>
        </w:tc>
        <w:tc>
          <w:tcPr>
            <w:tcW w:w="60" w:type="dxa"/>
            <w:vAlign w:val="bottom"/>
          </w:tcPr>
          <w:p>
            <w:pPr>
              <w:spacing w:after="0"/>
              <w:rPr>
                <w:sz w:val="15"/>
                <w:szCs w:val="15"/>
                <w:color w:val="auto"/>
              </w:rPr>
            </w:pPr>
          </w:p>
        </w:tc>
        <w:tc>
          <w:tcPr>
            <w:tcW w:w="52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F</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ind w:left="140"/>
              <w:spacing w:after="0" w:line="159" w:lineRule="exact"/>
              <w:rPr>
                <w:sz w:val="20"/>
                <w:szCs w:val="20"/>
                <w:color w:val="auto"/>
              </w:rPr>
            </w:pPr>
            <w:r>
              <w:rPr>
                <w:rFonts w:ascii="Arial" w:cs="Arial" w:eastAsia="Arial" w:hAnsi="Arial"/>
                <w:sz w:val="14"/>
                <w:szCs w:val="14"/>
                <w:b w:val="1"/>
                <w:bCs w:val="1"/>
                <w:color w:val="auto"/>
              </w:rPr>
              <w:t>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Stock</w:t>
            </w:r>
          </w:p>
        </w:tc>
        <w:tc>
          <w:tcPr>
            <w:tcW w:w="6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Issuable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w w:val="84"/>
              </w:rPr>
              <w:t>Surplus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5"/>
                <w:szCs w:val="15"/>
                <w:color w:val="auto"/>
              </w:rPr>
            </w:pPr>
          </w:p>
        </w:tc>
        <w:tc>
          <w:tcPr>
            <w:tcW w:w="940" w:type="dxa"/>
            <w:vAlign w:val="bottom"/>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125"/>
        </w:trPr>
        <w:tc>
          <w:tcPr>
            <w:tcW w:w="184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b w:val="1"/>
                <w:bCs w:val="1"/>
                <w:color w:val="auto"/>
                <w:w w:val="97"/>
              </w:rPr>
              <w:t>Balance, December 31, 2010</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w w:val="85"/>
              </w:rPr>
              <w:t>$175,711</w:t>
            </w: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ind w:left="240"/>
              <w:spacing w:after="0" w:line="12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ind w:left="240"/>
              <w:spacing w:after="0" w:line="12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18,937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3,894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741,244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(492,276)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20,851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(237,336)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(5,900)</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1"/>
              </w:rPr>
              <w:t>Preferred for common equity exchange related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tax benefits preservation plan (1,551,126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common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16,613</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(15,062)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4"/>
              </w:rPr>
              <w:t>Common stock issued to dividend reinvestment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plan and employee benefit plans (46,019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3"/>
              </w:rPr>
              <w:t>Common and preferred stock issued (3,467,699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common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195,872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auto"/>
                <w:w w:val="82"/>
              </w:rPr>
              <w:t>151,185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3,468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12,004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1"/>
              </w:rPr>
              <w:t>Amortization of stock options and restricted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3"/>
              </w:rPr>
              <w:t>Vesting of restricted stock (1,419 shares issued,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6,382 shares 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Deferred compensation plan, net, including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dividend equivalents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3"/>
              </w:rPr>
              <w:t>Shares issued from deferred compensation 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(2,098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Tax on option exercise and restricted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vesting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dividends: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Series 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Series B</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Series 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March 31, 2011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2"/>
            <w:vMerge w:val="continue"/>
          </w:tcPr>
          <w:p>
            <w:pPr>
              <w:spacing w:after="0"/>
              <w:rPr>
                <w:sz w:val="13"/>
                <w:szCs w:val="13"/>
                <w:color w:val="auto"/>
              </w:rPr>
            </w:pPr>
          </w:p>
        </w:tc>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217</w:t>
            </w: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176,049</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3"/>
              </w:rPr>
              <w:t>16,613</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gridSpan w:val="2"/>
          </w:tcPr>
          <w:p>
            <w:pPr>
              <w:ind w:left="20"/>
              <w:spacing w:after="0" w:line="155" w:lineRule="exact"/>
              <w:rPr>
                <w:sz w:val="20"/>
                <w:szCs w:val="20"/>
                <w:color w:val="auto"/>
              </w:rPr>
            </w:pPr>
            <w:r>
              <w:rPr>
                <w:rFonts w:ascii="Arial" w:cs="Arial" w:eastAsia="Arial" w:hAnsi="Arial"/>
                <w:sz w:val="14"/>
                <w:szCs w:val="14"/>
                <w:color w:val="auto"/>
                <w:w w:val="94"/>
              </w:rPr>
              <w:t>195,872</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spacing w:after="0" w:line="155" w:lineRule="exact"/>
              <w:rPr>
                <w:sz w:val="20"/>
                <w:szCs w:val="20"/>
                <w:color w:val="auto"/>
              </w:rPr>
            </w:pPr>
            <w:r>
              <w:rPr>
                <w:rFonts w:ascii="Arial" w:cs="Arial" w:eastAsia="Arial" w:hAnsi="Arial"/>
                <w:sz w:val="14"/>
                <w:szCs w:val="14"/>
                <w:color w:val="auto"/>
                <w:w w:val="82"/>
              </w:rPr>
              <w:t>151,185</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20,903</w:t>
            </w:r>
          </w:p>
        </w:tc>
        <w:tc>
          <w:tcPr>
            <w:tcW w:w="100" w:type="dxa"/>
            <w:vAlign w:val="bottom"/>
          </w:tcPr>
          <w:p>
            <w:pPr>
              <w:spacing w:after="0"/>
              <w:rPr>
                <w:sz w:val="13"/>
                <w:szCs w:val="13"/>
                <w:color w:val="auto"/>
              </w:rPr>
            </w:pPr>
          </w:p>
        </w:tc>
        <w:tc>
          <w:tcPr>
            <w:tcW w:w="120" w:type="dxa"/>
            <w:vAlign w:val="bottom"/>
            <w:gridSpan w:val="2"/>
          </w:tcPr>
          <w:p>
            <w:pPr>
              <w:ind w:left="4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3,681</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738,963</w:t>
            </w: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(732,390)</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14,951</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 2011</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00" w:type="dxa"/>
            <w:vAlign w:val="bottom"/>
            <w:gridSpan w:val="2"/>
            <w:vMerge w:val="continue"/>
          </w:tcPr>
          <w:p>
            <w:pPr>
              <w:spacing w:after="0"/>
              <w:rPr>
                <w:sz w:val="11"/>
                <w:szCs w:val="11"/>
                <w:color w:val="auto"/>
              </w:rPr>
            </w:pPr>
          </w:p>
        </w:tc>
        <w:tc>
          <w:tcPr>
            <w:tcW w:w="100" w:type="dxa"/>
            <w:vAlign w:val="bottom"/>
            <w:gridSpan w:val="2"/>
          </w:tcPr>
          <w:p>
            <w:pPr>
              <w:spacing w:after="0" w:line="13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32" w:lineRule="exact"/>
              <w:rPr>
                <w:sz w:val="20"/>
                <w:szCs w:val="20"/>
                <w:color w:val="auto"/>
              </w:rPr>
            </w:pPr>
            <w:r>
              <w:rPr>
                <w:rFonts w:ascii="Arial" w:cs="Arial" w:eastAsia="Arial" w:hAnsi="Arial"/>
                <w:sz w:val="14"/>
                <w:szCs w:val="14"/>
                <w:color w:val="auto"/>
              </w:rPr>
              <w:t>217</w:t>
            </w:r>
          </w:p>
        </w:tc>
        <w:tc>
          <w:tcPr>
            <w:tcW w:w="62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$177,092</w:t>
            </w:r>
          </w:p>
        </w:tc>
        <w:tc>
          <w:tcPr>
            <w:tcW w:w="20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4"/>
                <w:szCs w:val="14"/>
                <w:color w:val="auto"/>
                <w:w w:val="83"/>
              </w:rPr>
              <w:t>16,613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40"/>
              <w:spacing w:after="0" w:line="132"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3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32"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32" w:lineRule="exact"/>
              <w:rPr>
                <w:sz w:val="20"/>
                <w:szCs w:val="20"/>
                <w:color w:val="auto"/>
              </w:rPr>
            </w:pPr>
            <w:r>
              <w:rPr>
                <w:rFonts w:ascii="Arial" w:cs="Arial" w:eastAsia="Arial" w:hAnsi="Arial"/>
                <w:sz w:val="14"/>
                <w:szCs w:val="14"/>
                <w:color w:val="auto"/>
              </w:rPr>
              <w:t>41,647</w:t>
            </w:r>
          </w:p>
        </w:tc>
        <w:tc>
          <w:tcPr>
            <w:tcW w:w="100" w:type="dxa"/>
            <w:vAlign w:val="bottom"/>
          </w:tcPr>
          <w:p>
            <w:pPr>
              <w:spacing w:after="0"/>
              <w:rPr>
                <w:sz w:val="11"/>
                <w:szCs w:val="11"/>
                <w:color w:val="auto"/>
              </w:rPr>
            </w:pPr>
          </w:p>
        </w:tc>
        <w:tc>
          <w:tcPr>
            <w:tcW w:w="120" w:type="dxa"/>
            <w:vAlign w:val="bottom"/>
            <w:gridSpan w:val="2"/>
          </w:tcPr>
          <w:p>
            <w:pPr>
              <w:ind w:left="40"/>
              <w:spacing w:after="0" w:line="132"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32" w:lineRule="exact"/>
              <w:rPr>
                <w:sz w:val="20"/>
                <w:szCs w:val="20"/>
                <w:color w:val="auto"/>
              </w:rPr>
            </w:pPr>
            <w:r>
              <w:rPr>
                <w:rFonts w:ascii="Arial" w:cs="Arial" w:eastAsia="Arial" w:hAnsi="Arial"/>
                <w:sz w:val="14"/>
                <w:szCs w:val="14"/>
                <w:color w:val="auto"/>
              </w:rPr>
              <w:t>15,914</w:t>
            </w:r>
          </w:p>
        </w:tc>
        <w:tc>
          <w:tcPr>
            <w:tcW w:w="80" w:type="dxa"/>
            <w:vAlign w:val="bottom"/>
          </w:tcPr>
          <w:p>
            <w:pPr>
              <w:spacing w:after="0" w:line="132"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32" w:lineRule="exact"/>
              <w:rPr>
                <w:sz w:val="20"/>
                <w:szCs w:val="20"/>
                <w:color w:val="auto"/>
              </w:rPr>
            </w:pPr>
            <w:r>
              <w:rPr>
                <w:rFonts w:ascii="Arial" w:cs="Arial" w:eastAsia="Arial" w:hAnsi="Arial"/>
                <w:sz w:val="14"/>
                <w:szCs w:val="14"/>
                <w:color w:val="auto"/>
              </w:rPr>
              <w:t>3,233</w:t>
            </w:r>
          </w:p>
        </w:tc>
        <w:tc>
          <w:tcPr>
            <w:tcW w:w="12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32" w:lineRule="exact"/>
              <w:rPr>
                <w:sz w:val="20"/>
                <w:szCs w:val="20"/>
                <w:color w:val="auto"/>
              </w:rPr>
            </w:pPr>
            <w:r>
              <w:rPr>
                <w:rFonts w:ascii="Arial" w:cs="Arial" w:eastAsia="Arial" w:hAnsi="Arial"/>
                <w:sz w:val="14"/>
                <w:szCs w:val="14"/>
                <w:color w:val="auto"/>
                <w:w w:val="83"/>
              </w:rPr>
              <w:t>1,054,940</w:t>
            </w:r>
          </w:p>
        </w:tc>
        <w:tc>
          <w:tcPr>
            <w:tcW w:w="200" w:type="dxa"/>
            <w:vAlign w:val="bottom"/>
            <w:gridSpan w:val="2"/>
          </w:tcPr>
          <w:p>
            <w:pPr>
              <w:ind w:left="60"/>
              <w:spacing w:after="0" w:line="13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4"/>
                <w:szCs w:val="14"/>
                <w:color w:val="auto"/>
              </w:rPr>
              <w:t>(730,861)</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(5,756)</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4"/>
              </w:rPr>
              <w:t>Common stock issued to dividend reinvestment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plan and to employee benefit plans (35,648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1"/>
              </w:rPr>
              <w:t>Amortization of stock options and restricted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3"/>
              </w:rPr>
              <w:t>Vesting of restricted stock (4,397 shares issued,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8,399 shares 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Deferred compensation plan, net, including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dividend equivalents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3"/>
              </w:rPr>
              <w:t>Shares issued from deferred compensation plan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(1,502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dividends: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Series 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Series B</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Series 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March 31, 2012</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2"/>
            <w:vMerge w:val="continue"/>
          </w:tcPr>
          <w:p>
            <w:pPr>
              <w:spacing w:after="0"/>
              <w:rPr>
                <w:sz w:val="13"/>
                <w:szCs w:val="13"/>
                <w:color w:val="auto"/>
              </w:rPr>
            </w:pPr>
          </w:p>
        </w:tc>
        <w:tc>
          <w:tcPr>
            <w:tcW w:w="10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217</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177,451</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3"/>
              </w:rPr>
              <w:t>16,613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41,689</w:t>
            </w:r>
          </w:p>
        </w:tc>
        <w:tc>
          <w:tcPr>
            <w:tcW w:w="100" w:type="dxa"/>
            <w:vAlign w:val="bottom"/>
          </w:tcPr>
          <w:p>
            <w:pPr>
              <w:spacing w:after="0"/>
              <w:rPr>
                <w:sz w:val="13"/>
                <w:szCs w:val="13"/>
                <w:color w:val="auto"/>
              </w:rPr>
            </w:pPr>
          </w:p>
        </w:tc>
        <w:tc>
          <w:tcPr>
            <w:tcW w:w="120" w:type="dxa"/>
            <w:vAlign w:val="bottom"/>
            <w:gridSpan w:val="2"/>
          </w:tcPr>
          <w:p>
            <w:pPr>
              <w:ind w:left="4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15,914</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2,948</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3"/>
              </w:rPr>
              <w:t>1,056,135</w:t>
            </w: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(722,363)</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(9,065)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-4150360</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-3772535</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-3301365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-2923540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-1834515</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-1268730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-4347210</wp:posOffset>
            </wp:positionV>
            <wp:extent cx="72466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13" w:lineRule="exact"/>
        <w:rPr>
          <w:sz w:val="20"/>
          <w:szCs w:val="20"/>
          <w:color w:val="auto"/>
        </w:rPr>
      </w:pPr>
    </w:p>
    <w:p>
      <w:pPr>
        <w:ind w:left="120" w:hanging="115"/>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2"/>
          <w:szCs w:val="12"/>
          <w:color w:val="auto"/>
        </w:rPr>
        <w:t>468,578</w:t>
      </w:r>
    </w:p>
    <w:p>
      <w:pPr>
        <w:spacing w:after="0" w:line="12" w:lineRule="exact"/>
        <w:rPr>
          <w:rFonts w:ascii="Arial" w:cs="Arial" w:eastAsia="Arial" w:hAnsi="Arial"/>
          <w:sz w:val="12"/>
          <w:szCs w:val="12"/>
          <w:color w:val="auto"/>
        </w:rPr>
      </w:pPr>
    </w:p>
    <w:p>
      <w:pPr>
        <w:ind w:left="80"/>
        <w:spacing w:after="0"/>
        <w:rPr>
          <w:rFonts w:ascii="Arial" w:cs="Arial" w:eastAsia="Arial" w:hAnsi="Arial"/>
          <w:sz w:val="12"/>
          <w:szCs w:val="12"/>
          <w:color w:val="auto"/>
        </w:rPr>
      </w:pPr>
      <w:r>
        <w:rPr>
          <w:rFonts w:ascii="Arial" w:cs="Arial" w:eastAsia="Arial" w:hAnsi="Arial"/>
          <w:sz w:val="12"/>
          <w:szCs w:val="12"/>
          <w:color w:val="auto"/>
        </w:rPr>
        <w:t>(237,336)</w:t>
      </w:r>
    </w:p>
    <w:p>
      <w:pPr>
        <w:spacing w:after="0" w:line="1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1"/>
          <w:szCs w:val="11"/>
          <w:color w:val="auto"/>
        </w:rPr>
        <w:t>(5,900)</w:t>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375</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362,529</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549</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65</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(376)</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jc w:val="right"/>
        <w:spacing w:after="0" w:line="221" w:lineRule="auto"/>
        <w:rPr>
          <w:sz w:val="20"/>
          <w:szCs w:val="20"/>
          <w:color w:val="auto"/>
        </w:rPr>
      </w:pPr>
      <w:r>
        <w:rPr>
          <w:rFonts w:ascii="Arial" w:cs="Arial" w:eastAsia="Arial" w:hAnsi="Arial"/>
          <w:sz w:val="14"/>
          <w:szCs w:val="14"/>
          <w:color w:val="auto"/>
        </w:rPr>
        <w:t>(2,264)</w:t>
      </w:r>
    </w:p>
    <w:p>
      <w:pPr>
        <w:jc w:val="right"/>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51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u w:val="single" w:color="auto"/>
          <w:color w:val="auto"/>
        </w:rPr>
        <w:t>$ 586,044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3517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45" w:lineRule="exact"/>
        <w:rPr>
          <w:sz w:val="20"/>
          <w:szCs w:val="20"/>
          <w:color w:val="auto"/>
        </w:rPr>
      </w:pPr>
    </w:p>
    <w:p>
      <w:pPr>
        <w:ind w:left="120" w:hanging="115"/>
        <w:spacing w:after="0"/>
        <w:tabs>
          <w:tab w:leader="none" w:pos="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575,486</w:t>
      </w:r>
    </w:p>
    <w:p>
      <w:pPr>
        <w:spacing w:after="0" w:line="22"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2"/>
          <w:szCs w:val="12"/>
          <w:color w:val="auto"/>
        </w:rPr>
        <w:t>11,528</w:t>
      </w:r>
    </w:p>
    <w:p>
      <w:pPr>
        <w:spacing w:after="0" w:line="10"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1"/>
          <w:szCs w:val="11"/>
          <w:color w:val="auto"/>
        </w:rPr>
        <w:t>(5,756)</w:t>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278</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585</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40</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49</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jc w:val="right"/>
        <w:spacing w:after="0" w:line="221" w:lineRule="auto"/>
        <w:rPr>
          <w:sz w:val="20"/>
          <w:szCs w:val="20"/>
          <w:color w:val="auto"/>
        </w:rPr>
      </w:pPr>
      <w:r>
        <w:rPr>
          <w:rFonts w:ascii="Arial" w:cs="Arial" w:eastAsia="Arial" w:hAnsi="Arial"/>
          <w:sz w:val="14"/>
          <w:szCs w:val="14"/>
          <w:color w:val="auto"/>
        </w:rPr>
        <w:t>(2,249)</w:t>
      </w:r>
    </w:p>
    <w:p>
      <w:pPr>
        <w:jc w:val="right"/>
        <w:spacing w:after="0"/>
        <w:rPr>
          <w:sz w:val="20"/>
          <w:szCs w:val="20"/>
          <w:color w:val="auto"/>
        </w:rPr>
      </w:pPr>
      <w:r>
        <w:rPr>
          <w:rFonts w:ascii="Arial" w:cs="Arial" w:eastAsia="Arial" w:hAnsi="Arial"/>
          <w:sz w:val="14"/>
          <w:szCs w:val="14"/>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51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u w:val="single" w:color="auto"/>
          <w:color w:val="auto"/>
        </w:rPr>
        <w:t>$ 579,539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351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10660" w:space="120"/>
            <w:col w:w="60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832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Net income (loss)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11,528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Depreciation, amortization and accretion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6,803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loan losses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Stock based 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Securities gains,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Losses and write downs on sales of other real estate owned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2,204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prepayment of borrowings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Changes in assets and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 loans held for sale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33,151</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Investment securities held to maturity: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maturities and calls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Purchases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securities available for sale: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Proceeds from sales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61,585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maturities and calls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142,236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Purchases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(253,229)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(405,979)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(increase) decrease in loans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(41,418)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Funds collected from FDIC under loss sharing agreements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2,568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sales of premises and equipment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Purchases of premises and equipment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other real estate</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(57,509)</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Net change in deposits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(97,444)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change in federal funds purchased, repurchase agreements, and other short-term borrowings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Proceeds from Federal Home Loan Bank advances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499,000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Settlement of Federal Home Loan Bank advances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(324,982)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Cash dividends on preferred stock</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73,528</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49,170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440,177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378,416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427,586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1,089,634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Cash paid during the period for: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Unsettled securities 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Unsettled securities purchases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119,565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177,532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2011.</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Accounting Standards Codification (“ASC”) 360-20, </w:t>
      </w:r>
      <w:r>
        <w:rPr>
          <w:rFonts w:ascii="Arial" w:cs="Arial" w:eastAsia="Arial" w:hAnsi="Arial"/>
          <w:sz w:val="16"/>
          <w:szCs w:val="16"/>
          <w:i w:val="1"/>
          <w:iCs w:val="1"/>
          <w:color w:val="auto"/>
        </w:rPr>
        <w:t>Real Estate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Standards Updates</w:t>
      </w:r>
    </w:p>
    <w:p>
      <w:pPr>
        <w:spacing w:after="0" w:line="96"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color w:val="auto"/>
        </w:rPr>
        <w:t>In April 2012, the Financial Accounting Standards Board issued a proposed Accounting Standards Update to address the subsequent measurement of indemnification assets recognized as a result of a government assisted acquisition of a financial institution. The proposal requires an indemnification asset recognized as a result of a government assisted acquisition to be subsequently measured on the same basis as the indemnified item subject to the contractual limitations and amounts of the underlying contract. Comment letters on this proposed guidance are due by July 16, 2012. Because this standard is still in the proposal stage, the impact on United’s financial position, results of operations and disclosures has not been assessed.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Mergers and Acquisitions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June 19, 2009, United Community Bank (“UCB” or the “Bank”) purchased substantially all the assets and assumed substantially all the liabilities of Southern Community Bank (“SCB”) from the Federal Deposit Insurance Corporation (“FDIC”), as Receiver of SCB.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Under the loss sharing agreement, the portion of the losses expected to be indemnified by FDIC is considered an indemnification asset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Loans, foreclosed property and the estimated FDIC reimbursement resulting from the loss sharing agreements with the FDIC are reported as “assets covered by loss sharing agreements with the FDIC” in the consolidated balance sheet.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shows the components of covered assets at March 31,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4100" w:type="dxa"/>
            <w:vAlign w:val="bottom"/>
            <w:vMerge w:val="restart"/>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Impaired</w:t>
            </w:r>
          </w:p>
        </w:tc>
        <w:tc>
          <w:tcPr>
            <w:tcW w:w="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41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7"/>
              </w:rPr>
              <w:t>Loans</w:t>
            </w:r>
          </w:p>
        </w:tc>
        <w:tc>
          <w:tcPr>
            <w:tcW w:w="48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Loans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Other</w:t>
            </w:r>
          </w:p>
        </w:tc>
        <w:tc>
          <w:tcPr>
            <w:tcW w:w="460" w:type="dxa"/>
            <w:vAlign w:val="bottom"/>
          </w:tcPr>
          <w:p>
            <w:pPr>
              <w:spacing w:after="0"/>
              <w:rPr>
                <w:sz w:val="14"/>
                <w:szCs w:val="14"/>
                <w:color w:val="auto"/>
              </w:rPr>
            </w:pPr>
          </w:p>
        </w:tc>
        <w:tc>
          <w:tcPr>
            <w:tcW w:w="6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$ 29,888</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$29,888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546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145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6,797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Total covered loans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691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46,475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Covered foreclosed property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13,983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Estimated loss reimbursement from the FDIC</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11,705</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covered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691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$ 46,475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25,688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Reverse Repurchase Agreements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United enters into reverse repurchase agreements in order to invest short-term funds. In addition, United enters into repurchase agreements and reverse repurchase agreements with the same counter party in transactions that are subject to master netting agreements under which the balances are netted in the balance sheet in accordance with ASC 210-20. The following table presents a summary of amounts outstanding under reverse repurchase agreements including those entered into in connection with repurchase agreements with the same counterparty under master netting agreements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March 31, 2012</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4"/>
              </w:rPr>
              <w:t>Reverse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28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2"/>
              </w:rPr>
              <w:t>Repurchase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Agreements</w:t>
            </w:r>
          </w:p>
        </w:tc>
        <w:tc>
          <w:tcPr>
            <w:tcW w:w="28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1"/>
              </w:rPr>
              <w:t>Agreements</w:t>
            </w: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Net Reported</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(Assets)</w:t>
            </w:r>
          </w:p>
        </w:tc>
        <w:tc>
          <w:tcPr>
            <w:tcW w:w="2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(Liabilities)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1"/>
              </w:rPr>
              <w:t>Balance (Asset)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Amounts subject to master netting agreements</w:t>
            </w:r>
          </w:p>
        </w:tc>
        <w:tc>
          <w:tcPr>
            <w:tcW w:w="1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$ 171,000</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$ 171,000</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reverse repurchase agreements</w:t>
            </w:r>
          </w:p>
        </w:tc>
        <w:tc>
          <w:tcPr>
            <w:tcW w:w="1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$ 406,000</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$ 171,000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Weighted average interest rate</w:t>
            </w:r>
          </w:p>
        </w:tc>
        <w:tc>
          <w:tcPr>
            <w:tcW w:w="1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vMerge w:val="continue"/>
          </w:tcPr>
          <w:p>
            <w:pPr>
              <w:spacing w:after="0"/>
              <w:rPr>
                <w:sz w:val="18"/>
                <w:szCs w:val="18"/>
                <w:color w:val="auto"/>
              </w:rPr>
            </w:pPr>
          </w:p>
        </w:tc>
        <w:tc>
          <w:tcPr>
            <w:tcW w:w="2400" w:type="dxa"/>
            <w:vAlign w:val="bottom"/>
            <w:gridSpan w:val="3"/>
          </w:tcPr>
          <w:p>
            <w:pPr>
              <w:jc w:val="right"/>
              <w:ind w:right="260"/>
              <w:spacing w:after="0"/>
              <w:rPr>
                <w:sz w:val="20"/>
                <w:szCs w:val="20"/>
                <w:color w:val="auto"/>
              </w:rPr>
            </w:pPr>
            <w:r>
              <w:rPr>
                <w:rFonts w:ascii="Arial" w:cs="Arial" w:eastAsia="Arial" w:hAnsi="Arial"/>
                <w:sz w:val="18"/>
                <w:szCs w:val="18"/>
                <w:color w:val="auto"/>
              </w:rPr>
              <w:t>1.17%</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United did not have any outstanding reverse repurchase agreements at March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Realized gains and losses are derived using the specific identification method for determining the cost of securities sold. The following table summarizes securities sales activity for the three months ended March 31, 2012 and 2011</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sales</w:t>
            </w:r>
          </w:p>
        </w:tc>
        <w:tc>
          <w:tcPr>
            <w:tcW w:w="3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105,111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3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40" w:type="dxa"/>
            <w:vAlign w:val="bottom"/>
            <w:vMerge w:val="continue"/>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40"/>
              <w:spacing w:after="0"/>
              <w:rPr>
                <w:sz w:val="20"/>
                <w:szCs w:val="20"/>
                <w:color w:val="auto"/>
              </w:rPr>
            </w:pPr>
            <w:r>
              <w:rPr>
                <w:rFonts w:ascii="Arial" w:cs="Arial" w:eastAsia="Arial" w:hAnsi="Arial"/>
                <w:sz w:val="18"/>
                <w:szCs w:val="18"/>
                <w:color w:val="auto"/>
              </w:rPr>
              <w:t>Net gains on sales of securities</w:t>
            </w:r>
          </w:p>
        </w:tc>
        <w:tc>
          <w:tcPr>
            <w:tcW w:w="3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380" w:type="dxa"/>
            <w:vAlign w:val="bottom"/>
            <w:vMerge w:val="restart"/>
          </w:tcPr>
          <w:p>
            <w:pPr>
              <w:jc w:val="right"/>
              <w:ind w:right="235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Substantially all securities with a carrying value of $1.38 billion, $1.72 billion, and $1.83 billion were pledged to secure public deposits, FHLB advances and other secured borrowings at March 31, 2012, December 31, 2011 and March 31, 2011, respectively.</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Securities are classified as held to maturity when management has the positive intent and ability to hold them until maturity. Securities held to maturity are carried at amortized cost. The amortized cost, gross unrealized gains and losses and fair value of securities held to maturity at March 31, 2012, December 31, 2011, and March 31, 2011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color w:val="auto"/>
              </w:rPr>
              <w:t>Gross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Amortized</w:t>
            </w:r>
          </w:p>
        </w:tc>
        <w:tc>
          <w:tcPr>
            <w:tcW w:w="4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color w:val="auto"/>
                <w:w w:val="86"/>
              </w:rPr>
              <w:t>Unrealized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Cost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Gains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20"/>
              <w:spacing w:after="0" w:line="159" w:lineRule="exact"/>
              <w:rPr>
                <w:sz w:val="20"/>
                <w:szCs w:val="20"/>
                <w:color w:val="auto"/>
              </w:rPr>
            </w:pPr>
            <w:r>
              <w:rPr>
                <w:rFonts w:ascii="Arial" w:cs="Arial" w:eastAsia="Arial" w:hAnsi="Arial"/>
                <w:sz w:val="14"/>
                <w:szCs w:val="14"/>
                <w:color w:val="auto"/>
              </w:rPr>
              <w:t>Losses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76"/>
        </w:trPr>
        <w:tc>
          <w:tcPr>
            <w:tcW w:w="15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As of March 31, 2012</w:t>
            </w:r>
          </w:p>
        </w:tc>
        <w:tc>
          <w:tcPr>
            <w:tcW w:w="48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51,893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251,743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303,636</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14,854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As of December 31, 2011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4"/>
          </w:tcPr>
          <w:p>
            <w:pPr>
              <w:ind w:left="44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4"/>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273,300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342</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282,577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330,203</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13,683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spacing w:after="0"/>
              <w:rPr>
                <w:sz w:val="20"/>
                <w:szCs w:val="20"/>
                <w:color w:val="auto"/>
              </w:rPr>
            </w:pPr>
            <w:r>
              <w:rPr>
                <w:rFonts w:ascii="Arial" w:cs="Arial" w:eastAsia="Arial" w:hAnsi="Arial"/>
                <w:sz w:val="18"/>
                <w:szCs w:val="18"/>
                <w:color w:val="auto"/>
              </w:rPr>
              <w:t>As of March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44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731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191,944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245,430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3,669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738</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248,361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All are residential type mortgage-backed securities</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March 31, 2012, December 31, 2011 and March 31, 2011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1"/>
              </w:rPr>
              <w:t>Amortized</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4"/>
              <w:spacing w:after="0" w:line="159" w:lineRule="exact"/>
              <w:rPr>
                <w:sz w:val="20"/>
                <w:szCs w:val="20"/>
                <w:color w:val="auto"/>
              </w:rPr>
            </w:pPr>
            <w:r>
              <w:rPr>
                <w:rFonts w:ascii="Arial" w:cs="Arial" w:eastAsia="Arial" w:hAnsi="Arial"/>
                <w:sz w:val="14"/>
                <w:szCs w:val="14"/>
                <w:color w:val="auto"/>
              </w:rPr>
              <w:t>Cost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Gains</w:t>
            </w:r>
          </w:p>
        </w:tc>
        <w:tc>
          <w:tcPr>
            <w:tcW w:w="100" w:type="dxa"/>
            <w:vAlign w:val="bottom"/>
          </w:tcPr>
          <w:p>
            <w:pPr>
              <w:spacing w:after="0"/>
              <w:rPr>
                <w:sz w:val="13"/>
                <w:szCs w:val="13"/>
                <w:color w:val="auto"/>
              </w:rPr>
            </w:pPr>
          </w:p>
        </w:tc>
        <w:tc>
          <w:tcPr>
            <w:tcW w:w="7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1"/>
              </w:rPr>
              <w:t>Losses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76"/>
        </w:trPr>
        <w:tc>
          <w:tcPr>
            <w:tcW w:w="15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As of March 31, 2012</w:t>
            </w:r>
          </w:p>
        </w:tc>
        <w:tc>
          <w:tcPr>
            <w:tcW w:w="2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9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U.S. Government agencies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43,593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State and political subdivisions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1,692,446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33,212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1,725,068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1,879,247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34,819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1,898,815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As of December 31, 2011</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40" w:type="dxa"/>
            <w:vAlign w:val="bottom"/>
            <w:gridSpan w:val="4"/>
            <w:vMerge w:val="continue"/>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U.S. Government agencies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State and political subdivisions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1,576,064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33,988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Corporate bonds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119,110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1,766,134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35,491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11,578</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1,790,047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5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As of March 31, 2011</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U.S. Government agencies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94,966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State and political subdivisions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1,388,702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27,617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1,414,845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1,613,946</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28,766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1,638,494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All are residential type mortgage-backed securities</w:t>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There were no held to maturity securities in an unrealized loss position at March 31, 2012. The following table summarizes held to maturity securities in an unrealized loss position as of December 31, 2011 and March 31,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135"/>
              <w:spacing w:after="0"/>
              <w:rPr>
                <w:sz w:val="20"/>
                <w:szCs w:val="20"/>
                <w:color w:val="auto"/>
              </w:rPr>
            </w:pPr>
            <w:r>
              <w:rPr>
                <w:rFonts w:ascii="Arial" w:cs="Arial" w:eastAsia="Arial" w:hAnsi="Arial"/>
                <w:sz w:val="14"/>
                <w:szCs w:val="14"/>
                <w:color w:val="auto"/>
                <w:w w:val="95"/>
              </w:rPr>
              <w:t>Less than 12 Months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color w:val="auto"/>
              </w:rPr>
              <w:t>12 Months or More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3"/>
              </w:rPr>
              <w:t>Unrealized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960" w:type="dxa"/>
            <w:vAlign w:val="bottom"/>
            <w:gridSpan w:val="3"/>
          </w:tcPr>
          <w:p>
            <w:pPr>
              <w:spacing w:after="0" w:line="159" w:lineRule="exact"/>
              <w:rPr>
                <w:sz w:val="20"/>
                <w:szCs w:val="20"/>
                <w:color w:val="auto"/>
              </w:rPr>
            </w:pPr>
            <w:r>
              <w:rPr>
                <w:rFonts w:ascii="Arial" w:cs="Arial" w:eastAsia="Arial" w:hAnsi="Arial"/>
                <w:sz w:val="14"/>
                <w:szCs w:val="14"/>
                <w:color w:val="auto"/>
              </w:rPr>
              <w:t>Fair Value</w:t>
            </w:r>
          </w:p>
        </w:tc>
        <w:tc>
          <w:tcPr>
            <w:tcW w:w="140" w:type="dxa"/>
            <w:vAlign w:val="bottom"/>
          </w:tcPr>
          <w:p>
            <w:pPr>
              <w:spacing w:after="0"/>
              <w:rPr>
                <w:sz w:val="13"/>
                <w:szCs w:val="13"/>
                <w:color w:val="auto"/>
              </w:rPr>
            </w:pPr>
          </w:p>
        </w:tc>
        <w:tc>
          <w:tcPr>
            <w:tcW w:w="460" w:type="dxa"/>
            <w:vAlign w:val="bottom"/>
          </w:tcPr>
          <w:p>
            <w:pPr>
              <w:jc w:val="right"/>
              <w:ind w:right="75"/>
              <w:spacing w:after="0" w:line="159" w:lineRule="exact"/>
              <w:rPr>
                <w:sz w:val="20"/>
                <w:szCs w:val="20"/>
                <w:color w:val="auto"/>
              </w:rPr>
            </w:pPr>
            <w:r>
              <w:rPr>
                <w:rFonts w:ascii="Arial" w:cs="Arial" w:eastAsia="Arial" w:hAnsi="Arial"/>
                <w:sz w:val="14"/>
                <w:szCs w:val="14"/>
                <w:color w:val="auto"/>
                <w:w w:val="94"/>
              </w:rPr>
              <w:t>Loss</w:t>
            </w:r>
          </w:p>
        </w:tc>
        <w:tc>
          <w:tcPr>
            <w:tcW w:w="40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Arial" w:cs="Arial" w:eastAsia="Arial" w:hAnsi="Arial"/>
                <w:sz w:val="14"/>
                <w:szCs w:val="14"/>
                <w:color w:val="auto"/>
                <w:w w:val="84"/>
              </w:rPr>
              <w:t>Fair Value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Loss</w:t>
            </w:r>
          </w:p>
        </w:tc>
        <w:tc>
          <w:tcPr>
            <w:tcW w:w="200" w:type="dxa"/>
            <w:vAlign w:val="bottom"/>
          </w:tcPr>
          <w:p>
            <w:pPr>
              <w:spacing w:after="0"/>
              <w:rPr>
                <w:sz w:val="13"/>
                <w:szCs w:val="13"/>
                <w:color w:val="auto"/>
              </w:rPr>
            </w:pPr>
          </w:p>
        </w:tc>
        <w:tc>
          <w:tcPr>
            <w:tcW w:w="62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0"/>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7"/>
              </w:rPr>
              <w:t>As of December 31, 2011</w:t>
            </w:r>
          </w:p>
        </w:tc>
        <w:tc>
          <w:tcPr>
            <w:tcW w:w="40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363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10,967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3"/>
          </w:tcPr>
          <w:p>
            <w:pPr>
              <w:ind w:left="420"/>
              <w:spacing w:after="0"/>
              <w:rPr>
                <w:sz w:val="20"/>
                <w:szCs w:val="20"/>
                <w:color w:val="auto"/>
              </w:rPr>
            </w:pPr>
            <w:r>
              <w:rPr>
                <w:rFonts w:ascii="Arial" w:cs="Arial" w:eastAsia="Arial" w:hAnsi="Arial"/>
                <w:sz w:val="18"/>
                <w:szCs w:val="18"/>
                <w:color w:val="auto"/>
              </w:rPr>
              <w:t>Total unrealized loss position</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10,967</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363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13</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11,330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As of March 31, 2011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21,313</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731</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21,313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3"/>
          </w:tcPr>
          <w:p>
            <w:pPr>
              <w:ind w:left="420"/>
              <w:spacing w:after="0"/>
              <w:rPr>
                <w:sz w:val="20"/>
                <w:szCs w:val="20"/>
                <w:color w:val="auto"/>
              </w:rPr>
            </w:pPr>
            <w:r>
              <w:rPr>
                <w:rFonts w:ascii="Arial" w:cs="Arial" w:eastAsia="Arial" w:hAnsi="Arial"/>
                <w:sz w:val="18"/>
                <w:szCs w:val="18"/>
                <w:color w:val="auto"/>
              </w:rPr>
              <w:t>Total unrealized loss position</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23,255</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23,255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March 31, 2012, December 31, 2011 and March 31, 2011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ind w:left="120"/>
              <w:spacing w:after="0"/>
              <w:rPr>
                <w:sz w:val="20"/>
                <w:szCs w:val="20"/>
                <w:color w:val="auto"/>
              </w:rPr>
            </w:pPr>
            <w:r>
              <w:rPr>
                <w:rFonts w:ascii="Arial" w:cs="Arial" w:eastAsia="Arial" w:hAnsi="Arial"/>
                <w:sz w:val="14"/>
                <w:szCs w:val="14"/>
                <w:color w:val="auto"/>
              </w:rPr>
              <w:t>Less than 12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ind w:left="120"/>
              <w:spacing w:after="0"/>
              <w:rPr>
                <w:sz w:val="20"/>
                <w:szCs w:val="20"/>
                <w:color w:val="auto"/>
              </w:rPr>
            </w:pPr>
            <w:r>
              <w:rPr>
                <w:rFonts w:ascii="Arial" w:cs="Arial" w:eastAsia="Arial" w:hAnsi="Arial"/>
                <w:sz w:val="14"/>
                <w:szCs w:val="14"/>
                <w:color w:val="auto"/>
              </w:rPr>
              <w:t>12 Months or More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6"/>
              </w:rPr>
              <w:t>Unrealized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6"/>
              </w:rPr>
              <w:t>Unrealized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3"/>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w w:val="93"/>
              </w:rPr>
              <w:t>Fair Value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Loss</w:t>
            </w:r>
          </w:p>
        </w:tc>
        <w:tc>
          <w:tcPr>
            <w:tcW w:w="140" w:type="dxa"/>
            <w:vAlign w:val="bottom"/>
          </w:tcPr>
          <w:p>
            <w:pPr>
              <w:spacing w:after="0"/>
              <w:rPr>
                <w:sz w:val="13"/>
                <w:szCs w:val="13"/>
                <w:color w:val="auto"/>
              </w:rPr>
            </w:pPr>
          </w:p>
        </w:tc>
        <w:tc>
          <w:tcPr>
            <w:tcW w:w="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Loss</w:t>
            </w:r>
          </w:p>
        </w:tc>
        <w:tc>
          <w:tcPr>
            <w:tcW w:w="140" w:type="dxa"/>
            <w:vAlign w:val="bottom"/>
          </w:tcPr>
          <w:p>
            <w:pPr>
              <w:spacing w:after="0"/>
              <w:rPr>
                <w:sz w:val="13"/>
                <w:szCs w:val="13"/>
                <w:color w:val="auto"/>
              </w:rPr>
            </w:pPr>
          </w:p>
        </w:tc>
        <w:tc>
          <w:tcPr>
            <w:tcW w:w="98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3"/>
                <w:szCs w:val="13"/>
                <w:color w:val="auto"/>
              </w:rPr>
            </w:pPr>
          </w:p>
        </w:tc>
        <w:tc>
          <w:tcPr>
            <w:tcW w:w="5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As of March 31, 2012</w:t>
            </w:r>
          </w:p>
        </w:tc>
        <w:tc>
          <w:tcPr>
            <w:tcW w:w="45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9,905</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405,039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21,067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426,106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69,230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11,696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104,536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450,250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3,536</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90,308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11,715</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540,558</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7"/>
              </w:rPr>
              <w:t>As of December 31, 2011</w:t>
            </w:r>
          </w:p>
        </w:tc>
        <w:tc>
          <w:tcPr>
            <w:tcW w:w="4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22,719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121,406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42,864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64,765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141,551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87,495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229,046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5"/>
            <w:vMerge w:val="restart"/>
          </w:tcPr>
          <w:p>
            <w:pPr>
              <w:spacing w:after="0"/>
              <w:rPr>
                <w:sz w:val="20"/>
                <w:szCs w:val="20"/>
                <w:color w:val="auto"/>
              </w:rPr>
            </w:pPr>
            <w:r>
              <w:rPr>
                <w:rFonts w:ascii="Arial" w:cs="Arial" w:eastAsia="Arial" w:hAnsi="Arial"/>
                <w:sz w:val="18"/>
                <w:szCs w:val="18"/>
                <w:color w:val="auto"/>
              </w:rPr>
              <w:t>As of March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73,763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292,379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292,379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79,386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446,626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446,637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March 31, 2012, there were 53 available for sale securities and no held to maturity securities that were in an unrealized loss position. United does not intend to sell nor believes it will be required to sell securities in an unrealized loss position prior to the recovery of its amortized cost basis. Unrealized losses at March 31, 2012 are primarily related to changes in interest rates, however the unrealized losses in corporate bonds also reflect downgrades in the underlying securities ratings. The bonds remain above investment grade and United does not consider them to be impaired. Unrealized losses at March 31, 2011 were primarily attributable to changes in interest rates.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first quarter of 2012 or 2011.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amortized cost and fair value of available for sale and held to maturity securities at March 31, 2012,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513"/>
              <w:spacing w:after="0"/>
              <w:rPr>
                <w:sz w:val="20"/>
                <w:szCs w:val="20"/>
                <w:color w:val="auto"/>
              </w:rPr>
            </w:pPr>
            <w:r>
              <w:rPr>
                <w:rFonts w:ascii="Arial" w:cs="Arial" w:eastAsia="Arial" w:hAnsi="Arial"/>
                <w:sz w:val="14"/>
                <w:szCs w:val="14"/>
                <w:color w:val="auto"/>
              </w:rPr>
              <w:t>Available for Sale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360"/>
              <w:spacing w:after="0"/>
              <w:rPr>
                <w:sz w:val="20"/>
                <w:szCs w:val="20"/>
                <w:color w:val="auto"/>
              </w:rPr>
            </w:pPr>
            <w:r>
              <w:rPr>
                <w:rFonts w:ascii="Arial" w:cs="Arial" w:eastAsia="Arial" w:hAnsi="Arial"/>
                <w:sz w:val="14"/>
                <w:szCs w:val="14"/>
                <w:color w:val="auto"/>
              </w:rPr>
              <w:t>Held to Maturity</w:t>
            </w: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Amortized Cost</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90"/>
              </w:rPr>
              <w:t>Fair Value</w:t>
            </w:r>
          </w:p>
        </w:tc>
        <w:tc>
          <w:tcPr>
            <w:tcW w:w="48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Amortized Cost</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Fair Value</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Government agencies: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34,995</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35,153</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43,789</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Within 1 year</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to 5 years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23,667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23,413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21,490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22,808</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51,893</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1 to 5 years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17,668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to 10 years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119,154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2,564</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Within 1 year</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to 5 years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139,476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127,088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23,667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23,413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1,692,446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1,725,068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251,743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262,184</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1,879,247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1,898,815</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303,636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318,490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Maturities of mortgage-backed securities may differ from contractual maturities because borrowers have the right to call or prepay obligations with or without call or prepayment penalties.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Allowance for Loan Losses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March 31, 2012, December 31, 2011 and March 31, 2011,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180" w:type="dxa"/>
            <w:vAlign w:val="bottom"/>
          </w:tcPr>
          <w:p>
            <w:pPr>
              <w:spacing w:after="0"/>
              <w:rPr>
                <w:sz w:val="14"/>
                <w:szCs w:val="14"/>
                <w:color w:val="auto"/>
              </w:rPr>
            </w:pPr>
          </w:p>
        </w:tc>
        <w:tc>
          <w:tcPr>
            <w:tcW w:w="80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4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0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$1,843,207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$1,821,414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$1,692,154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439,496</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431,473</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213,177</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Total commercial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2,449,825</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2,336,804</w:t>
            </w:r>
          </w:p>
        </w:tc>
        <w:tc>
          <w:tcPr>
            <w:tcW w:w="100" w:type="dxa"/>
            <w:vAlign w:val="bottom"/>
          </w:tcPr>
          <w:p>
            <w:pPr>
              <w:spacing w:after="0"/>
              <w:rPr>
                <w:sz w:val="19"/>
                <w:szCs w:val="19"/>
                <w:color w:val="auto"/>
              </w:rPr>
            </w:pPr>
          </w:p>
        </w:tc>
      </w:tr>
      <w:tr>
        <w:trPr>
          <w:trHeight w:val="21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1,131,248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1,186,531</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435,375</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549,618</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121,419</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Total loans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4,127,566</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4,109,614</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4,194,372</w:t>
            </w:r>
          </w:p>
        </w:tc>
        <w:tc>
          <w:tcPr>
            <w:tcW w:w="100" w:type="dxa"/>
            <w:vAlign w:val="bottom"/>
          </w:tcPr>
          <w:p>
            <w:pPr>
              <w:spacing w:after="0"/>
              <w:rPr>
                <w:sz w:val="19"/>
                <w:szCs w:val="19"/>
                <w:color w:val="auto"/>
              </w:rPr>
            </w:pPr>
          </w:p>
        </w:tc>
      </w:tr>
      <w:tr>
        <w:trPr>
          <w:trHeight w:val="21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133,121</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Loans, net</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4,013,965</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3,995,146</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4,061,251</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Bank makes loans and extensions of credit to individuals and a variety of firms and corporations located primarily in counties in north Georgia, the Atlanta, Georgia metropolitan statistical area, the Gainesville, Georgia metropolitan statistical area,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the allowance for loan losses for the three months ended March 31, 2012 and 2011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$114,468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48,707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49,715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92,255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840"/>
              <w:spacing w:after="0"/>
              <w:rPr>
                <w:sz w:val="20"/>
                <w:szCs w:val="20"/>
                <w:color w:val="auto"/>
              </w:rPr>
            </w:pPr>
            <w:r>
              <w:rPr>
                <w:rFonts w:ascii="Arial" w:cs="Arial" w:eastAsia="Arial" w:hAnsi="Arial"/>
                <w:sz w:val="18"/>
                <w:szCs w:val="18"/>
                <w:color w:val="auto"/>
              </w:rPr>
              <w:t>Total loans charged-off</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17,197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232,811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840"/>
              <w:spacing w:after="0"/>
              <w:rPr>
                <w:sz w:val="20"/>
                <w:szCs w:val="20"/>
                <w:color w:val="auto"/>
              </w:rPr>
            </w:pPr>
            <w:r>
              <w:rPr>
                <w:rFonts w:ascii="Arial" w:cs="Arial" w:eastAsia="Arial" w:hAnsi="Arial"/>
                <w:sz w:val="18"/>
                <w:szCs w:val="18"/>
                <w:color w:val="auto"/>
              </w:rPr>
              <w:t>Total recoveries</w:t>
            </w:r>
          </w:p>
        </w:tc>
        <w:tc>
          <w:tcPr>
            <w:tcW w:w="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4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charge-offs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231,574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840"/>
              <w:spacing w:after="0"/>
              <w:rPr>
                <w:sz w:val="20"/>
                <w:szCs w:val="20"/>
                <w:color w:val="auto"/>
              </w:rPr>
            </w:pPr>
            <w:r>
              <w:rPr>
                <w:rFonts w:ascii="Arial" w:cs="Arial" w:eastAsia="Arial" w:hAnsi="Arial"/>
                <w:sz w:val="18"/>
                <w:szCs w:val="18"/>
                <w:color w:val="auto"/>
              </w:rPr>
              <w:t>Balance end of period</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113,601</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At March 31, 2012, December 31, 2011 and March 31, 2011, loans with a carrying value of $1.58 billion, $1.52 billion and $857 million were pledged as collateral to secure FHLB advances and other contingent funding sources.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presents the balance and activity in the allowance for loan losses by portfolio segment and the recorded investment in loans by portfolio segment based on impairment method as of March 31, 2012, December 31, 2011 and March 31,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(Secured by</w:t>
            </w:r>
          </w:p>
        </w:tc>
        <w:tc>
          <w:tcPr>
            <w:tcW w:w="6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Commercial</w:t>
            </w:r>
          </w:p>
        </w:tc>
        <w:tc>
          <w:tcPr>
            <w:tcW w:w="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Residential</w:t>
            </w:r>
          </w:p>
        </w:tc>
        <w:tc>
          <w:tcPr>
            <w:tcW w:w="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Residential</w:t>
            </w:r>
          </w:p>
        </w:tc>
        <w:tc>
          <w:tcPr>
            <w:tcW w:w="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Consumer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Real Estate)</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&amp; Industrial</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8"/>
              </w:rPr>
              <w:t>Construction</w:t>
            </w:r>
          </w:p>
        </w:tc>
        <w:tc>
          <w:tcPr>
            <w:tcW w:w="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Mortgage</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8"/>
              </w:rPr>
              <w:t>Construction</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Installment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Unallocated</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8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 March 31, 2012</w:t>
            </w: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Allowance for loan losses:</w:t>
            </w:r>
          </w:p>
        </w:tc>
        <w:tc>
          <w:tcPr>
            <w:tcW w:w="2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5,681</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29,076</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30,379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(5,629)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(753)</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Provision</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2,667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252</w:t>
            </w: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5,472</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9,583</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27,356</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29,473</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1,898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113,601</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4"/>
                <w:szCs w:val="14"/>
                <w:color w:val="auto"/>
              </w:rPr>
              <w:t>Ending allowance attributable to 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1,122</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3,236</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22,960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4,350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25,102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26,237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1,835</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9,205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97,352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5,472</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9,583</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27,356</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29,473</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1,898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113,601</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117,999</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60,568</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46,549</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21,525</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47,048</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1,725,208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378,928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120,573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1,109,723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388,327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110,787</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3,833,546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1,843,207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439,496</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167,122</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1,131,248</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435,375</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111,118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4,127,566</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Allowance for loan losses: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spacing w:after="0" w:line="149" w:lineRule="exact"/>
              <w:rPr>
                <w:sz w:val="20"/>
                <w:szCs w:val="20"/>
                <w:color w:val="auto"/>
              </w:rPr>
            </w:pPr>
            <w:r>
              <w:rPr>
                <w:rFonts w:ascii="Arial" w:cs="Arial" w:eastAsia="Arial" w:hAnsi="Arial"/>
                <w:sz w:val="14"/>
                <w:szCs w:val="14"/>
                <w:color w:val="auto"/>
              </w:rPr>
              <w:t>Ending allowance attributable to loans: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7,491</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1,117</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2,234</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3,731</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24,153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4,564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26,842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26,648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2,108</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5,681</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29,076</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30,379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2,124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114,468</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107,831</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57,828</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26,245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18,376</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46,687</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1,713,583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370,421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137,910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1,116,526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112,211</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3,852,355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1,821,414</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428,249</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164,155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1,134,902</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448,391</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112,503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4,109,614</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March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Allowance for loan losses:</w:t>
            </w:r>
          </w:p>
        </w:tc>
        <w:tc>
          <w:tcPr>
            <w:tcW w:w="2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31,191</w:t>
            </w:r>
          </w:p>
        </w:tc>
        <w:tc>
          <w:tcPr>
            <w:tcW w:w="120" w:type="dxa"/>
            <w:vAlign w:val="bottom"/>
          </w:tcPr>
          <w:p>
            <w:pPr>
              <w:spacing w:after="0"/>
              <w:rPr>
                <w:sz w:val="12"/>
                <w:szCs w:val="12"/>
                <w:color w:val="auto"/>
              </w:rPr>
            </w:pPr>
          </w:p>
        </w:tc>
        <w:tc>
          <w:tcPr>
            <w:tcW w:w="2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7,580</w:t>
            </w:r>
          </w:p>
        </w:tc>
        <w:tc>
          <w:tcPr>
            <w:tcW w:w="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100" w:type="dxa"/>
            <w:vAlign w:val="bottom"/>
          </w:tcPr>
          <w:p>
            <w:pPr>
              <w:spacing w:after="0"/>
              <w:rPr>
                <w:sz w:val="12"/>
                <w:szCs w:val="12"/>
                <w:color w:val="auto"/>
              </w:rPr>
            </w:pP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22,305</w:t>
            </w:r>
          </w:p>
        </w:tc>
        <w:tc>
          <w:tcPr>
            <w:tcW w:w="10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92,571</w:t>
            </w:r>
          </w:p>
        </w:tc>
        <w:tc>
          <w:tcPr>
            <w:tcW w:w="120" w:type="dxa"/>
            <w:vAlign w:val="bottom"/>
          </w:tcPr>
          <w:p>
            <w:pPr>
              <w:spacing w:after="0"/>
              <w:rPr>
                <w:sz w:val="12"/>
                <w:szCs w:val="12"/>
                <w:color w:val="auto"/>
              </w:rPr>
            </w:pP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3,030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11,238</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(48,707)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(4,362)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(49,715)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(92,255)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(1,096)</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(232,811)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405</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4,047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62,087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217</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4"/>
                <w:szCs w:val="14"/>
                <w:color w:val="auto"/>
              </w:rPr>
              <w:t>Ending balance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gridSpan w:val="4"/>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20,259</w:t>
            </w:r>
          </w:p>
        </w:tc>
        <w:tc>
          <w:tcPr>
            <w:tcW w:w="120" w:type="dxa"/>
            <w:vAlign w:val="bottom"/>
          </w:tcPr>
          <w:p>
            <w:pPr>
              <w:spacing w:after="0"/>
              <w:rPr>
                <w:sz w:val="13"/>
                <w:szCs w:val="13"/>
                <w:color w:val="auto"/>
              </w:rPr>
            </w:pPr>
          </w:p>
        </w:tc>
        <w:tc>
          <w:tcPr>
            <w:tcW w:w="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7,587</w:t>
            </w:r>
          </w:p>
        </w:tc>
        <w:tc>
          <w:tcPr>
            <w:tcW w:w="2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5,981</w:t>
            </w:r>
          </w:p>
        </w:tc>
        <w:tc>
          <w:tcPr>
            <w:tcW w:w="10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25,129</w:t>
            </w:r>
          </w:p>
        </w:tc>
        <w:tc>
          <w:tcPr>
            <w:tcW w:w="10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62,520</w:t>
            </w:r>
          </w:p>
        </w:tc>
        <w:tc>
          <w:tcPr>
            <w:tcW w:w="120" w:type="dxa"/>
            <w:vAlign w:val="bottom"/>
          </w:tcPr>
          <w:p>
            <w:pPr>
              <w:spacing w:after="0"/>
              <w:rPr>
                <w:sz w:val="13"/>
                <w:szCs w:val="13"/>
                <w:color w:val="auto"/>
              </w:rPr>
            </w:pP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2,556</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9,089</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Ending allowance attributable to loans: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7,587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2,556</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3"/>
            <w:vMerge w:val="restart"/>
          </w:tcPr>
          <w:p>
            <w:pPr>
              <w:ind w:left="860"/>
              <w:spacing w:after="0"/>
              <w:rPr>
                <w:sz w:val="20"/>
                <w:szCs w:val="20"/>
                <w:color w:val="auto"/>
              </w:rPr>
            </w:pPr>
            <w:r>
              <w:rPr>
                <w:rFonts w:ascii="Arial" w:cs="Arial" w:eastAsia="Arial" w:hAnsi="Arial"/>
                <w:sz w:val="14"/>
                <w:szCs w:val="14"/>
                <w:color w:val="auto"/>
              </w:rPr>
              <w:t>Total ending allowance balance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20,259</w:t>
            </w:r>
          </w:p>
        </w:tc>
        <w:tc>
          <w:tcPr>
            <w:tcW w:w="120" w:type="dxa"/>
            <w:vAlign w:val="bottom"/>
          </w:tcPr>
          <w:p>
            <w:pPr>
              <w:spacing w:after="0"/>
              <w:rPr>
                <w:sz w:val="13"/>
                <w:szCs w:val="13"/>
                <w:color w:val="auto"/>
              </w:rPr>
            </w:pPr>
          </w:p>
        </w:tc>
        <w:tc>
          <w:tcPr>
            <w:tcW w:w="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7,587</w:t>
            </w:r>
          </w:p>
        </w:tc>
        <w:tc>
          <w:tcPr>
            <w:tcW w:w="2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5,981</w:t>
            </w:r>
          </w:p>
        </w:tc>
        <w:tc>
          <w:tcPr>
            <w:tcW w:w="10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25,129</w:t>
            </w:r>
          </w:p>
        </w:tc>
        <w:tc>
          <w:tcPr>
            <w:tcW w:w="10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62,520</w:t>
            </w:r>
          </w:p>
        </w:tc>
        <w:tc>
          <w:tcPr>
            <w:tcW w:w="120" w:type="dxa"/>
            <w:vAlign w:val="bottom"/>
          </w:tcPr>
          <w:p>
            <w:pPr>
              <w:spacing w:after="0"/>
              <w:rPr>
                <w:sz w:val="13"/>
                <w:szCs w:val="13"/>
                <w:color w:val="auto"/>
              </w:rPr>
            </w:pP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2,556</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9,089</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8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Loans: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17,154</w:t>
            </w:r>
          </w:p>
        </w:tc>
        <w:tc>
          <w:tcPr>
            <w:tcW w:w="120" w:type="dxa"/>
            <w:vAlign w:val="bottom"/>
          </w:tcPr>
          <w:p>
            <w:pPr>
              <w:spacing w:after="0"/>
              <w:rPr>
                <w:sz w:val="12"/>
                <w:szCs w:val="12"/>
                <w:color w:val="auto"/>
              </w:rPr>
            </w:pPr>
          </w:p>
        </w:tc>
        <w:tc>
          <w:tcPr>
            <w:tcW w:w="2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3,624</w:t>
            </w:r>
          </w:p>
        </w:tc>
        <w:tc>
          <w:tcPr>
            <w:tcW w:w="100" w:type="dxa"/>
            <w:vAlign w:val="bottom"/>
          </w:tcPr>
          <w:p>
            <w:pPr>
              <w:spacing w:after="0"/>
              <w:rPr>
                <w:sz w:val="12"/>
                <w:szCs w:val="12"/>
                <w:color w:val="auto"/>
              </w:rPr>
            </w:pP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5,157</w:t>
            </w:r>
          </w:p>
        </w:tc>
        <w:tc>
          <w:tcPr>
            <w:tcW w:w="10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22,667</w:t>
            </w:r>
          </w:p>
        </w:tc>
        <w:tc>
          <w:tcPr>
            <w:tcW w:w="120" w:type="dxa"/>
            <w:vAlign w:val="bottom"/>
          </w:tcPr>
          <w:p>
            <w:pPr>
              <w:spacing w:after="0"/>
              <w:rPr>
                <w:sz w:val="12"/>
                <w:szCs w:val="12"/>
                <w:color w:val="auto"/>
              </w:rPr>
            </w:pP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Collectively evaluated for impairment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1,675,000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431,473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1,181,374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121,419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4,145,770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3"/>
            <w:vMerge w:val="restart"/>
          </w:tcPr>
          <w:p>
            <w:pPr>
              <w:ind w:left="860"/>
              <w:spacing w:after="0"/>
              <w:rPr>
                <w:sz w:val="20"/>
                <w:szCs w:val="20"/>
                <w:color w:val="auto"/>
              </w:rPr>
            </w:pPr>
            <w:r>
              <w:rPr>
                <w:rFonts w:ascii="Arial" w:cs="Arial" w:eastAsia="Arial" w:hAnsi="Arial"/>
                <w:sz w:val="14"/>
                <w:szCs w:val="14"/>
                <w:color w:val="auto"/>
              </w:rPr>
              <w:t>Total loans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1,692,154</w:t>
            </w:r>
          </w:p>
        </w:tc>
        <w:tc>
          <w:tcPr>
            <w:tcW w:w="120" w:type="dxa"/>
            <w:vAlign w:val="bottom"/>
          </w:tcPr>
          <w:p>
            <w:pPr>
              <w:spacing w:after="0"/>
              <w:rPr>
                <w:sz w:val="13"/>
                <w:szCs w:val="13"/>
                <w:color w:val="auto"/>
              </w:rPr>
            </w:pPr>
          </w:p>
        </w:tc>
        <w:tc>
          <w:tcPr>
            <w:tcW w:w="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431,473</w:t>
            </w:r>
          </w:p>
        </w:tc>
        <w:tc>
          <w:tcPr>
            <w:tcW w:w="2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213,177</w:t>
            </w:r>
          </w:p>
        </w:tc>
        <w:tc>
          <w:tcPr>
            <w:tcW w:w="10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1,186,531</w:t>
            </w:r>
          </w:p>
        </w:tc>
        <w:tc>
          <w:tcPr>
            <w:tcW w:w="100" w:type="dxa"/>
            <w:vAlign w:val="bottom"/>
          </w:tcPr>
          <w:p>
            <w:pPr>
              <w:spacing w:after="0"/>
              <w:rPr>
                <w:sz w:val="13"/>
                <w:szCs w:val="13"/>
                <w:color w:val="auto"/>
              </w:rPr>
            </w:pPr>
          </w:p>
        </w:tc>
        <w:tc>
          <w:tcPr>
            <w:tcW w:w="2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549,618</w:t>
            </w:r>
          </w:p>
        </w:tc>
        <w:tc>
          <w:tcPr>
            <w:tcW w:w="120" w:type="dxa"/>
            <w:vAlign w:val="bottom"/>
          </w:tcPr>
          <w:p>
            <w:pPr>
              <w:spacing w:after="0"/>
              <w:rPr>
                <w:sz w:val="13"/>
                <w:szCs w:val="13"/>
                <w:color w:val="auto"/>
              </w:rPr>
            </w:pP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8"/>
              </w:rPr>
              <w:t>121,419</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3"/>
              </w:rPr>
              <w:t>4,194,372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United reviews all loans that are on nonaccrual with a balance of $500,000 or greater for impairment as well as accruing substandard relationships greater than $2 million and all troubled debt restructurings (“TDRs”). A loan is considered impaired when, based on current events and circumstances, it is probable that all amounts due, according to the contractual terms of the loan, will not be collected. All troubled debt restructurings are considered impaired regardless of accrual status. Impaired loans are measured based on the present value of expected future cash flows, discounted at the loan’s effective interest rate, at the loan’s observable market price, or the fair value of the collateral if the loan is collateral dependent. Interest payments received on impaired loans that are on nonaccrual status are applied as a reduction of the outstanding principal balance. For impaired loans not on nonaccrual status, interest is accrued according to the terms of the loan agreement. Impairment amounts are recorded quarterly and specific reserves are recorded in the allowance for loan losses.</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first quarter of 2011, United’s Board of Directors adopted an accelerated problem asset disposition plan which included the bulk sale of $267 million in classified loans. Those loans were classified as held for sale at the end of the first quarter and were written down to the expected proceeds from the sale. The charge-offs on the loans transferred to held for sale in anticipation of the bulk loan sale, which closed on April 18, 2011, increased first quarter 2011 loan charge-offs by $186 million. The actual loss on the bulk loan sale at closing was less than the amount charged-off in the first quarter, resulting in a $7.27 million reduction of second quarter 2011 charge-offs.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recorded investments in individually evaluated impaired loans at March 31, 2012, December 31, 2011 and March 31, 2011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March 31,</w:t>
            </w: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Period-end loans with no allocated allowance for loan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208,302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188,509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Period-end loans with allocated allowance for loan losses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85,718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68,750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294,020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257,259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Amount of allowance for loan losses allocated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16,249</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14,825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 xml:space="preserve">The increase in the amount of impaired loans is due to an increase in the number and balance of TDRs. The average balances of impaired loans and income recognized on impaired loans while they were considered impaired is presented below for the three months ended March 31, 2012 and March 31, 2011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5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balance of individually evaluated impaired loans during period</w:t>
            </w:r>
          </w:p>
        </w:tc>
        <w:tc>
          <w:tcPr>
            <w:tcW w:w="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$280,626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$95,163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income recognized during impairment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2,267</w:t>
            </w:r>
          </w:p>
        </w:tc>
        <w:tc>
          <w:tcPr>
            <w:tcW w:w="4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Cash-basis interest income recognized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March 31, 2012, December 31, 2011 and March 31, 2011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March 31, 2012</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March 31, 2011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Unpaid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Loan</w:t>
            </w:r>
          </w:p>
        </w:tc>
        <w:tc>
          <w:tcPr>
            <w:tcW w:w="16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Unpaid</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for Loan</w:t>
            </w:r>
          </w:p>
        </w:tc>
        <w:tc>
          <w:tcPr>
            <w:tcW w:w="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Unpaid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for Loan</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2"/>
                <w:szCs w:val="12"/>
                <w:color w:val="auto"/>
              </w:rPr>
            </w:pPr>
          </w:p>
        </w:tc>
        <w:tc>
          <w:tcPr>
            <w:tcW w:w="5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Principal</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Losses</w:t>
            </w: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Allocated</w:t>
            </w:r>
          </w:p>
        </w:tc>
        <w:tc>
          <w:tcPr>
            <w:tcW w:w="16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Balance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3"/>
              </w:rPr>
              <w:t>Investment</w:t>
            </w:r>
          </w:p>
        </w:tc>
        <w:tc>
          <w:tcPr>
            <w:tcW w:w="16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Allocated</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Allocated</w:t>
            </w:r>
          </w:p>
        </w:tc>
        <w:tc>
          <w:tcPr>
            <w:tcW w:w="0" w:type="dxa"/>
            <w:vAlign w:val="bottom"/>
          </w:tcPr>
          <w:p>
            <w:pPr>
              <w:spacing w:after="0"/>
              <w:rPr>
                <w:sz w:val="1"/>
                <w:szCs w:val="1"/>
                <w:color w:val="auto"/>
              </w:rPr>
            </w:pPr>
          </w:p>
        </w:tc>
      </w:tr>
      <w:tr>
        <w:trPr>
          <w:trHeight w:val="129"/>
        </w:trPr>
        <w:tc>
          <w:tcPr>
            <w:tcW w:w="4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With no related allowance recorded:</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Commercial (secured by real estate)</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91,399</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82,593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82,887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76,215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27,811</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17,154</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81,896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77,628</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52,628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30,188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27,295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24,927</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23,609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commercial</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203,483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166,784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185,442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152,452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32,171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15,375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13,041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13,845</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10,804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44,018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38,955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49,205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with no related allowance recorded</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262,876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208,302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238,305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188,509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90,177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60" w:type="dxa"/>
            <w:vAlign w:val="bottom"/>
          </w:tcPr>
          <w:p>
            <w:pPr>
              <w:spacing w:after="0" w:line="155" w:lineRule="exact"/>
              <w:rPr>
                <w:sz w:val="20"/>
                <w:szCs w:val="20"/>
                <w:color w:val="auto"/>
              </w:rPr>
            </w:pPr>
            <w:r>
              <w:rPr>
                <w:rFonts w:ascii="Arial" w:cs="Arial" w:eastAsia="Arial" w:hAnsi="Arial"/>
                <w:sz w:val="14"/>
                <w:szCs w:val="14"/>
                <w:color w:val="auto"/>
              </w:rPr>
              <w:t>With an allowance recorded:</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Commercial (secured by real estate)</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36,536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31,806</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3,672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3,672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5,200</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1,117</w:t>
            </w:r>
          </w:p>
        </w:tc>
        <w:tc>
          <w:tcPr>
            <w:tcW w:w="12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20,056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2,636</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80"/>
              <w:spacing w:after="0"/>
              <w:rPr>
                <w:sz w:val="20"/>
                <w:szCs w:val="20"/>
                <w:color w:val="auto"/>
              </w:rPr>
            </w:pPr>
            <w:r>
              <w:rPr>
                <w:rFonts w:ascii="Arial" w:cs="Arial" w:eastAsia="Arial" w:hAnsi="Arial"/>
                <w:sz w:val="14"/>
                <w:szCs w:val="14"/>
                <w:color w:val="auto"/>
              </w:rPr>
              <w:t>Total commercial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7"/>
              </w:rPr>
              <w:t>60,264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58,332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10,696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39,642</w:t>
            </w:r>
          </w:p>
        </w:tc>
        <w:tc>
          <w:tcPr>
            <w:tcW w:w="1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39,452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8,844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9,255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7,642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tcPr>
          <w:p>
            <w:pPr>
              <w:ind w:left="440"/>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19,235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18,571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21,629</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21,497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880"/>
              <w:spacing w:after="0"/>
              <w:rPr>
                <w:sz w:val="20"/>
                <w:szCs w:val="20"/>
                <w:color w:val="auto"/>
              </w:rPr>
            </w:pPr>
            <w:r>
              <w:rPr>
                <w:rFonts w:ascii="Arial" w:cs="Arial" w:eastAsia="Arial" w:hAnsi="Arial"/>
                <w:sz w:val="14"/>
                <w:szCs w:val="14"/>
                <w:color w:val="auto"/>
              </w:rPr>
              <w:t>Total with an allowance recorded</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7"/>
              </w:rPr>
              <w:t>89,094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85,718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16,249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69,148</w:t>
            </w:r>
          </w:p>
        </w:tc>
        <w:tc>
          <w:tcPr>
            <w:tcW w:w="1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68,750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14,825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351,970</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294,020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16,249</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307,453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257,259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90,177</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loans more than 90 days past due and still accruing interest at March 31, 2012, December 31, 2011 or March 31, 2011. Nonaccrual loans at</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March 31, 2012, December 31, 2011 and March 31, 2011 were $130 million, $127 million and $83.8, respectively. Nonaccrual loans include both smaller balance homogeneous loans that are collectively evaluated for impairment and individually evaluated impaired loans with larger balances.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March 31, 2012, December 31, 2011 and March 31,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Nonaccrual Loans</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1"/>
                <w:szCs w:val="11"/>
                <w:color w:val="auto"/>
              </w:rPr>
            </w:pPr>
          </w:p>
        </w:tc>
        <w:tc>
          <w:tcPr>
            <w:tcW w:w="1460" w:type="dxa"/>
            <w:vAlign w:val="bottom"/>
            <w:gridSpan w:val="3"/>
          </w:tcPr>
          <w:p>
            <w:pPr>
              <w:jc w:val="right"/>
              <w:ind w:right="6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1"/>
                <w:szCs w:val="11"/>
                <w:color w:val="auto"/>
              </w:rPr>
            </w:pPr>
          </w:p>
        </w:tc>
      </w:tr>
      <w:tr>
        <w:trPr>
          <w:trHeight w:val="161"/>
        </w:trPr>
        <w:tc>
          <w:tcPr>
            <w:tcW w:w="45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$ 20,648</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36,314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34,613</w:t>
            </w:r>
          </w:p>
        </w:tc>
        <w:tc>
          <w:tcPr>
            <w:tcW w:w="600" w:type="dxa"/>
            <w:vAlign w:val="bottom"/>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16,655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0" w:type="dxa"/>
            <w:vAlign w:val="bottom"/>
            <w:shd w:val="clear" w:color="auto" w:fill="CCEEFF"/>
          </w:tcPr>
          <w:p>
            <w:pPr>
              <w:spacing w:after="0"/>
              <w:rPr>
                <w:sz w:val="18"/>
                <w:szCs w:val="18"/>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Total commercial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85,714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78,590</w:t>
            </w:r>
          </w:p>
        </w:tc>
        <w:tc>
          <w:tcPr>
            <w:tcW w:w="600" w:type="dxa"/>
            <w:vAlign w:val="bottom"/>
          </w:tcPr>
          <w:p>
            <w:pPr>
              <w:jc w:val="right"/>
              <w:spacing w:after="0"/>
              <w:rPr>
                <w:sz w:val="20"/>
                <w:szCs w:val="20"/>
                <w:color w:val="auto"/>
              </w:rPr>
            </w:pPr>
            <w:r>
              <w:rPr>
                <w:rFonts w:ascii="Arial" w:cs="Arial" w:eastAsia="Arial" w:hAnsi="Arial"/>
                <w:sz w:val="18"/>
                <w:szCs w:val="18"/>
                <w:color w:val="auto"/>
              </w:rPr>
              <w:t>26,547</w:t>
            </w:r>
          </w:p>
        </w:tc>
        <w:tc>
          <w:tcPr>
            <w:tcW w:w="200" w:type="dxa"/>
            <w:vAlign w:val="bottom"/>
          </w:tcPr>
          <w:p>
            <w:pPr>
              <w:spacing w:after="0"/>
              <w:rPr>
                <w:sz w:val="19"/>
                <w:szCs w:val="19"/>
                <w:color w:val="auto"/>
              </w:rPr>
            </w:pP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22,358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24,341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25,523</w:t>
            </w:r>
          </w:p>
        </w:tc>
        <w:tc>
          <w:tcPr>
            <w:tcW w:w="600" w:type="dxa"/>
            <w:vAlign w:val="bottom"/>
          </w:tcPr>
          <w:p>
            <w:pPr>
              <w:jc w:val="right"/>
              <w:spacing w:after="0"/>
              <w:rPr>
                <w:sz w:val="20"/>
                <w:szCs w:val="20"/>
                <w:color w:val="auto"/>
              </w:rPr>
            </w:pPr>
            <w:r>
              <w:rPr>
                <w:rFonts w:ascii="Arial" w:cs="Arial" w:eastAsia="Arial" w:hAnsi="Arial"/>
                <w:sz w:val="18"/>
                <w:szCs w:val="18"/>
                <w:color w:val="auto"/>
              </w:rPr>
              <w:t>32,038</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00" w:type="dxa"/>
            <w:vAlign w:val="bottom"/>
            <w:shd w:val="clear" w:color="auto" w:fill="CCEEFF"/>
          </w:tcPr>
          <w:p>
            <w:pPr>
              <w:spacing w:after="0"/>
              <w:rPr>
                <w:sz w:val="18"/>
                <w:szCs w:val="18"/>
                <w:color w:val="auto"/>
              </w:rPr>
            </w:pPr>
          </w:p>
        </w:tc>
      </w:tr>
      <w:tr>
        <w:trPr>
          <w:trHeight w:val="222"/>
        </w:trPr>
        <w:tc>
          <w:tcPr>
            <w:tcW w:w="4520" w:type="dxa"/>
            <w:vAlign w:val="bottom"/>
          </w:tcPr>
          <w:p>
            <w:pPr>
              <w:ind w:left="440"/>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129,704</w:t>
            </w:r>
          </w:p>
        </w:tc>
        <w:tc>
          <w:tcPr>
            <w:tcW w:w="3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127,479</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$ 83,769</w:t>
            </w:r>
          </w:p>
        </w:tc>
        <w:tc>
          <w:tcPr>
            <w:tcW w:w="20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unpaid principal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w:t>
            </w:r>
          </w:p>
        </w:tc>
      </w:tr>
    </w:tbl>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March 31, 2012, December 31, 2011 and March 31, 2011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Loans Past Due</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 Not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30 - 59 Days</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60 - 89 Days</w:t>
            </w:r>
          </w:p>
        </w:tc>
        <w:tc>
          <w:tcPr>
            <w:tcW w:w="30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&gt; 90 Days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Past Due</w:t>
            </w:r>
          </w:p>
        </w:tc>
        <w:tc>
          <w:tcPr>
            <w:tcW w:w="140" w:type="dxa"/>
            <w:vAlign w:val="bottom"/>
          </w:tcPr>
          <w:p>
            <w:pPr>
              <w:spacing w:after="0"/>
              <w:rPr>
                <w:sz w:val="12"/>
                <w:szCs w:val="12"/>
                <w:color w:val="auto"/>
              </w:rPr>
            </w:pPr>
          </w:p>
        </w:tc>
        <w:tc>
          <w:tcPr>
            <w:tcW w:w="9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As of March 31, 2012</w:t>
            </w:r>
          </w:p>
        </w:tc>
        <w:tc>
          <w:tcPr>
            <w:tcW w:w="24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17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6,777</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3,219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14,461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24,457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$1,818,750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434,417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commercial</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25,986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38,467</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2,411,358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9,103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28,866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1,102,382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11,201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415,128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17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31,926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10,573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46,636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4,038,431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As of December 31, 2011</w:t>
            </w: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80" w:type="dxa"/>
            <w:vAlign w:val="bottom"/>
            <w:gridSpan w:val="5"/>
            <w:vMerge w:val="continue"/>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7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10,614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$1,798,582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3,869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423,562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4"/>
          </w:tcPr>
          <w:p>
            <w:pPr>
              <w:ind w:left="860"/>
              <w:spacing w:after="0"/>
              <w:rPr>
                <w:sz w:val="20"/>
                <w:szCs w:val="20"/>
                <w:color w:val="auto"/>
              </w:rPr>
            </w:pPr>
            <w:r>
              <w:rPr>
                <w:rFonts w:ascii="Arial" w:cs="Arial" w:eastAsia="Arial" w:hAnsi="Arial"/>
                <w:sz w:val="18"/>
                <w:szCs w:val="18"/>
                <w:color w:val="auto"/>
              </w:rPr>
              <w:t>Total commercial</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12,149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28,813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2,385,005</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1,106,029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10,270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16,846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431,545</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4"/>
          </w:tcPr>
          <w:p>
            <w:pPr>
              <w:ind w:left="420"/>
              <w:spacing w:after="0"/>
              <w:rPr>
                <w:sz w:val="20"/>
                <w:szCs w:val="20"/>
                <w:color w:val="auto"/>
              </w:rPr>
            </w:pPr>
            <w:r>
              <w:rPr>
                <w:rFonts w:ascii="Arial" w:cs="Arial" w:eastAsia="Arial" w:hAnsi="Arial"/>
                <w:sz w:val="18"/>
                <w:szCs w:val="18"/>
                <w:color w:val="auto"/>
              </w:rPr>
              <w:t>Total loans</w:t>
            </w:r>
          </w:p>
        </w:tc>
        <w:tc>
          <w:tcPr>
            <w:tcW w:w="17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32,730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12,154</w:t>
            </w:r>
          </w:p>
        </w:tc>
        <w:tc>
          <w:tcPr>
            <w:tcW w:w="40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31,920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76,804</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4,032,810</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March 31, 2011</w:t>
            </w:r>
          </w:p>
        </w:tc>
        <w:tc>
          <w:tcPr>
            <w:tcW w:w="1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174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11,522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9,244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9,659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30,425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$1,661,729</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$1,692,154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428,258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commercial</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11,772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2,294,589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10,789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33,886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1,152,645</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1,186,531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13,349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13,405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513,350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17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49,958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28,496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36,539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114,993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4,079,379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40" w:type="dxa"/>
            <w:vAlign w:val="bottom"/>
            <w:gridSpan w:val="2"/>
          </w:tcPr>
          <w:p>
            <w:pPr>
              <w:ind w:left="1540"/>
              <w:spacing w:after="0"/>
              <w:rPr>
                <w:sz w:val="20"/>
                <w:szCs w:val="20"/>
                <w:color w:val="auto"/>
              </w:rPr>
            </w:pPr>
            <w:r>
              <w:rPr>
                <w:rFonts w:ascii="Arial" w:cs="Arial" w:eastAsia="Arial" w:hAnsi="Arial"/>
                <w:sz w:val="18"/>
                <w:szCs w:val="18"/>
                <w:color w:val="auto"/>
                <w:w w:val="89"/>
              </w:rPr>
              <w:t>16</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March 31, 2012 and December 31, 2011, United has allocated $12.2 million and $8.65 million, respectively, of specific reserves to customers whose loan terms have been modified in troubled debt restructurings. There were no specific reserves established for loans considered to be troubled debt restructurings at March 31, 2011. United committed to lend additional amounts totaling up to $891,000, $1.12 million and $519,000 as of March 31, 2012, December 31, 2011 and March 31, 2011, respectively, to customers with outstanding loans that are classified as TDRs.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modification of the terms of troubled debt restructurings included one or a combination of the following: a reduction of the stated interest rate of the loan; an extension of the maturity date or an extension of the amortization period at a stated rate lower than the current market rate for new debt with similar risk; or a permanent reduction of the principal amount.</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The following table presents additional information on troubled debt restructurings including the number of loan contracts restructured and the pre and post 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March 31, 2012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December 31, 2011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March 31, 2011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Pre-</w:t>
            </w:r>
          </w:p>
        </w:tc>
        <w:tc>
          <w:tcPr>
            <w:tcW w:w="80" w:type="dxa"/>
            <w:vAlign w:val="bottom"/>
          </w:tcPr>
          <w:p>
            <w:pPr>
              <w:spacing w:after="0"/>
              <w:rPr>
                <w:sz w:val="11"/>
                <w:szCs w:val="11"/>
                <w:color w:val="auto"/>
              </w:rPr>
            </w:pPr>
          </w:p>
        </w:tc>
        <w:tc>
          <w:tcPr>
            <w:tcW w:w="66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Pre-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79"/>
              </w:rPr>
              <w:t>Post-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Modification</w:t>
            </w: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8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Modification</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w:t>
            </w: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Recorded</w:t>
            </w: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Recorded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Recorded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Recorded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Recorded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Recorded</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2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Investment</w:t>
            </w: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Investment</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22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Investment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22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Investment</w:t>
            </w:r>
          </w:p>
        </w:tc>
        <w:tc>
          <w:tcPr>
            <w:tcW w:w="2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Investment</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Commercial (sec by RE)</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83,230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79,844</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70,380</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69,054</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25,094</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22,211</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Commercial &amp; industrial</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3,487</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806</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construction</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34,066</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18,053</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880"/>
              <w:spacing w:after="0"/>
              <w:rPr>
                <w:sz w:val="20"/>
                <w:szCs w:val="20"/>
                <w:color w:val="auto"/>
              </w:rPr>
            </w:pPr>
            <w:r>
              <w:rPr>
                <w:rFonts w:ascii="Arial" w:cs="Arial" w:eastAsia="Arial" w:hAnsi="Arial"/>
                <w:sz w:val="14"/>
                <w:szCs w:val="14"/>
                <w:color w:val="auto"/>
              </w:rPr>
              <w:t>Total commercial</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121,901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117,397</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89,239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87,913</w:t>
            </w:r>
          </w:p>
        </w:tc>
        <w:tc>
          <w:tcPr>
            <w:tcW w:w="2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34,871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31,988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14,832</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11,379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27,128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25,948</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24,921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24,145</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440"/>
              <w:spacing w:after="0"/>
              <w:rPr>
                <w:sz w:val="20"/>
                <w:szCs w:val="20"/>
                <w:color w:val="auto"/>
              </w:rPr>
            </w:pPr>
            <w:r>
              <w:rPr>
                <w:rFonts w:ascii="Arial" w:cs="Arial" w:eastAsia="Arial" w:hAnsi="Arial"/>
                <w:sz w:val="14"/>
                <w:szCs w:val="14"/>
                <w:color w:val="auto"/>
              </w:rPr>
              <w:t>Total loans</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165,087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158,507</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271</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126,401</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123,730</w:t>
            </w:r>
          </w:p>
        </w:tc>
        <w:tc>
          <w:tcPr>
            <w:tcW w:w="2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133</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53,588</w:t>
            </w: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49,746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The following table presents new troubled debt restructurings during the three months ended March 31, 2012 and those troubled debt restructurings that have subsequently defaulted, which we define as 90 days or more past due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Troubled Debt</w:t>
      </w:r>
    </w:p>
    <w:p>
      <w:pPr>
        <w:spacing w:after="0" w:line="223" w:lineRule="auto"/>
        <w:rPr>
          <w:sz w:val="20"/>
          <w:szCs w:val="20"/>
          <w:color w:val="auto"/>
        </w:rPr>
      </w:pPr>
      <w:r>
        <w:rPr>
          <w:rFonts w:ascii="Arial" w:cs="Arial" w:eastAsia="Arial" w:hAnsi="Arial"/>
          <w:sz w:val="14"/>
          <w:szCs w:val="14"/>
          <w:b w:val="1"/>
          <w:bCs w:val="1"/>
          <w:color w:val="auto"/>
        </w:rPr>
        <w:t>Restructurings for the Three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Months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007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Commercial (secured by real estate)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Commercial &amp; industrial</w:t>
      </w:r>
    </w:p>
    <w:p>
      <w:pPr>
        <w:spacing w:after="0"/>
        <w:rPr>
          <w:sz w:val="20"/>
          <w:szCs w:val="20"/>
          <w:color w:val="auto"/>
        </w:rPr>
      </w:pPr>
      <w:r>
        <w:rPr>
          <w:rFonts w:ascii="Arial" w:cs="Arial" w:eastAsia="Arial" w:hAnsi="Arial"/>
          <w:sz w:val="14"/>
          <w:szCs w:val="14"/>
          <w:color w:val="auto"/>
        </w:rPr>
        <w:t>Commercial construction</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Total commercial</w:t>
      </w:r>
    </w:p>
    <w:p>
      <w:pPr>
        <w:spacing w:after="0" w:line="221" w:lineRule="auto"/>
        <w:rPr>
          <w:sz w:val="20"/>
          <w:szCs w:val="20"/>
          <w:color w:val="auto"/>
        </w:rPr>
      </w:pPr>
      <w:r>
        <w:rPr>
          <w:rFonts w:ascii="Arial" w:cs="Arial" w:eastAsia="Arial" w:hAnsi="Arial"/>
          <w:sz w:val="14"/>
          <w:szCs w:val="14"/>
          <w:color w:val="auto"/>
        </w:rPr>
        <w:t>Residential mortgage</w:t>
      </w:r>
    </w:p>
    <w:p>
      <w:pPr>
        <w:spacing w:after="0" w:line="221" w:lineRule="auto"/>
        <w:rPr>
          <w:sz w:val="20"/>
          <w:szCs w:val="20"/>
          <w:color w:val="auto"/>
        </w:rPr>
      </w:pPr>
      <w:r>
        <w:rPr>
          <w:rFonts w:ascii="Arial" w:cs="Arial" w:eastAsia="Arial" w:hAnsi="Arial"/>
          <w:sz w:val="14"/>
          <w:szCs w:val="14"/>
          <w:color w:val="auto"/>
        </w:rPr>
        <w:t>Residential construction</w:t>
      </w:r>
    </w:p>
    <w:p>
      <w:pPr>
        <w:spacing w:after="0"/>
        <w:rPr>
          <w:sz w:val="20"/>
          <w:szCs w:val="20"/>
          <w:color w:val="auto"/>
        </w:rPr>
      </w:pPr>
      <w:r>
        <w:rPr>
          <w:rFonts w:ascii="Arial" w:cs="Arial" w:eastAsia="Arial" w:hAnsi="Arial"/>
          <w:sz w:val="14"/>
          <w:szCs w:val="14"/>
          <w:color w:val="auto"/>
        </w:rPr>
        <w:t>Consumer installment</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loans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88"/>
              </w:rPr>
              <w:t>Troubled Debt</w:t>
            </w:r>
          </w:p>
        </w:tc>
        <w:tc>
          <w:tcPr>
            <w:tcW w:w="320" w:type="dxa"/>
            <w:vAlign w:val="bottom"/>
          </w:tcPr>
          <w:p>
            <w:pPr>
              <w:spacing w:after="0"/>
              <w:rPr>
                <w:sz w:val="14"/>
                <w:szCs w:val="14"/>
                <w:color w:val="auto"/>
              </w:rPr>
            </w:pPr>
          </w:p>
        </w:tc>
      </w:tr>
      <w:tr>
        <w:trPr>
          <w:trHeight w:val="149"/>
        </w:trPr>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Restructurings Modified</w:t>
            </w:r>
          </w:p>
        </w:tc>
      </w:tr>
      <w:tr>
        <w:trPr>
          <w:trHeight w:val="149"/>
        </w:trPr>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Within the Previous</w:t>
            </w:r>
          </w:p>
        </w:tc>
        <w:tc>
          <w:tcPr>
            <w:tcW w:w="32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Twelve Months that Have</w:t>
            </w:r>
          </w:p>
        </w:tc>
      </w:tr>
      <w:tr>
        <w:trPr>
          <w:trHeight w:val="149"/>
        </w:trPr>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Subsequently Defaulted</w:t>
            </w:r>
          </w:p>
        </w:tc>
      </w:tr>
      <w:tr>
        <w:trPr>
          <w:trHeight w:val="161"/>
        </w:trPr>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Pre-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4"/>
                <w:szCs w:val="14"/>
                <w:color w:val="auto"/>
              </w:rPr>
            </w:pPr>
          </w:p>
        </w:tc>
        <w:tc>
          <w:tcPr>
            <w:tcW w:w="16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9"/>
              </w:rPr>
              <w:t>During the Three Months</w:t>
            </w:r>
          </w:p>
        </w:tc>
      </w:tr>
      <w:tr>
        <w:trPr>
          <w:trHeight w:val="149"/>
        </w:trPr>
        <w:tc>
          <w:tcPr>
            <w:tcW w:w="580" w:type="dxa"/>
            <w:vAlign w:val="bottom"/>
          </w:tcPr>
          <w:p>
            <w:pPr>
              <w:spacing w:after="0"/>
              <w:rPr>
                <w:sz w:val="12"/>
                <w:szCs w:val="12"/>
                <w:color w:val="auto"/>
              </w:rPr>
            </w:pPr>
          </w:p>
        </w:tc>
        <w:tc>
          <w:tcPr>
            <w:tcW w:w="1160" w:type="dxa"/>
            <w:vAlign w:val="bottom"/>
            <w:gridSpan w:val="3"/>
          </w:tcPr>
          <w:p>
            <w:pPr>
              <w:jc w:val="center"/>
              <w:ind w:left="352"/>
              <w:spacing w:after="0" w:line="129" w:lineRule="exact"/>
              <w:rPr>
                <w:sz w:val="20"/>
                <w:szCs w:val="20"/>
                <w:color w:val="auto"/>
              </w:rPr>
            </w:pPr>
            <w:r>
              <w:rPr>
                <w:rFonts w:ascii="Arial" w:cs="Arial" w:eastAsia="Arial" w:hAnsi="Arial"/>
                <w:sz w:val="14"/>
                <w:szCs w:val="14"/>
                <w:b w:val="1"/>
                <w:bCs w:val="1"/>
                <w:color w:val="auto"/>
                <w:w w:val="89"/>
              </w:rPr>
              <w:t>Modification</w:t>
            </w:r>
          </w:p>
        </w:tc>
        <w:tc>
          <w:tcPr>
            <w:tcW w:w="400" w:type="dxa"/>
            <w:vAlign w:val="bottom"/>
          </w:tcPr>
          <w:p>
            <w:pPr>
              <w:spacing w:after="0"/>
              <w:rPr>
                <w:sz w:val="12"/>
                <w:szCs w:val="12"/>
                <w:color w:val="auto"/>
              </w:rPr>
            </w:pPr>
          </w:p>
        </w:tc>
        <w:tc>
          <w:tcPr>
            <w:tcW w:w="114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Modification</w:t>
            </w: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center"/>
              <w:ind w:right="52"/>
              <w:spacing w:after="0" w:line="129" w:lineRule="exact"/>
              <w:rPr>
                <w:sz w:val="20"/>
                <w:szCs w:val="20"/>
                <w:color w:val="auto"/>
              </w:rPr>
            </w:pPr>
            <w:r>
              <w:rPr>
                <w:rFonts w:ascii="Arial" w:cs="Arial" w:eastAsia="Arial" w:hAnsi="Arial"/>
                <w:sz w:val="14"/>
                <w:szCs w:val="14"/>
                <w:b w:val="1"/>
                <w:bCs w:val="1"/>
                <w:color w:val="auto"/>
                <w:w w:val="90"/>
              </w:rPr>
              <w:t>Ended March 31, 2012</w:t>
            </w:r>
          </w:p>
        </w:tc>
      </w:tr>
      <w:tr>
        <w:trPr>
          <w:trHeight w:val="143"/>
        </w:trPr>
        <w:tc>
          <w:tcPr>
            <w:tcW w:w="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2"/>
                <w:szCs w:val="12"/>
                <w:color w:val="auto"/>
              </w:rPr>
            </w:pPr>
          </w:p>
        </w:tc>
        <w:tc>
          <w:tcPr>
            <w:tcW w:w="1140" w:type="dxa"/>
            <w:vAlign w:val="bottom"/>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Recorded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Recorded</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Number of</w:t>
            </w:r>
          </w:p>
        </w:tc>
        <w:tc>
          <w:tcPr>
            <w:tcW w:w="400" w:type="dxa"/>
            <w:vAlign w:val="bottom"/>
          </w:tcPr>
          <w:p>
            <w:pPr>
              <w:spacing w:after="0"/>
              <w:rPr>
                <w:sz w:val="12"/>
                <w:szCs w:val="12"/>
                <w:color w:val="auto"/>
              </w:rPr>
            </w:pPr>
          </w:p>
        </w:tc>
        <w:tc>
          <w:tcPr>
            <w:tcW w:w="72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Recorded</w:t>
            </w:r>
          </w:p>
        </w:tc>
      </w:t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4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40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Investment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Contracts</w:t>
            </w:r>
          </w:p>
        </w:tc>
        <w:tc>
          <w:tcPr>
            <w:tcW w:w="4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Investment</w:t>
            </w:r>
          </w:p>
        </w:tc>
      </w:tr>
      <w:tr>
        <w:trPr>
          <w:trHeight w:val="131"/>
        </w:trPr>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24</w:t>
            </w:r>
          </w:p>
        </w:tc>
        <w:tc>
          <w:tcPr>
            <w:tcW w:w="4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15,099</w:t>
            </w:r>
          </w:p>
        </w:tc>
        <w:tc>
          <w:tcPr>
            <w:tcW w:w="4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13,741</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400" w:type="dxa"/>
            <w:vAlign w:val="bottom"/>
            <w:tcBorders>
              <w:top w:val="single" w:sz="8" w:color="auto"/>
            </w:tcBorders>
          </w:tcPr>
          <w:p>
            <w:pPr>
              <w:jc w:val="right"/>
              <w:ind w:right="278"/>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rPr>
              <w:t>—</w:t>
            </w:r>
          </w:p>
        </w:tc>
      </w:tr>
      <w:tr>
        <w:trPr>
          <w:trHeight w:val="149"/>
        </w:trPr>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2,724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2,724</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59"/>
        </w:trPr>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20,781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20,781</w:t>
            </w:r>
          </w:p>
        </w:tc>
        <w:tc>
          <w:tcPr>
            <w:tcW w:w="12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w w:val="85"/>
              </w:rPr>
              <w:t>4,174</w:t>
            </w:r>
          </w:p>
        </w:tc>
      </w:tr>
      <w:tr>
        <w:trPr>
          <w:trHeight w:val="20"/>
        </w:trPr>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145"/>
        </w:trPr>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38,604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37,246</w:t>
            </w: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5" w:lineRule="exact"/>
              <w:rPr>
                <w:sz w:val="20"/>
                <w:szCs w:val="20"/>
                <w:color w:val="auto"/>
              </w:rPr>
            </w:pPr>
            <w:r>
              <w:rPr>
                <w:rFonts w:ascii="Arial" w:cs="Arial" w:eastAsia="Arial" w:hAnsi="Arial"/>
                <w:sz w:val="14"/>
                <w:szCs w:val="14"/>
                <w:color w:val="auto"/>
                <w:w w:val="85"/>
              </w:rPr>
              <w:t>4,217</w:t>
            </w:r>
          </w:p>
        </w:tc>
      </w:tr>
      <w:tr>
        <w:trPr>
          <w:trHeight w:val="149"/>
        </w:trPr>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5,279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5,273</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r>
      <w:tr>
        <w:trPr>
          <w:trHeight w:val="149"/>
        </w:trPr>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3,751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3,189</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1,476</w:t>
            </w:r>
          </w:p>
        </w:tc>
      </w:tr>
      <w:tr>
        <w:trPr>
          <w:trHeight w:val="159"/>
        </w:trPr>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60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3"/>
                <w:szCs w:val="13"/>
                <w:color w:val="auto"/>
              </w:rPr>
            </w:pPr>
          </w:p>
        </w:tc>
        <w:tc>
          <w:tcPr>
            <w:tcW w:w="5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r>
      <w:tr>
        <w:trPr>
          <w:trHeight w:val="20"/>
        </w:trPr>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156"/>
        </w:trPr>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86</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47,694</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45,763</w:t>
            </w:r>
          </w:p>
        </w:tc>
        <w:tc>
          <w:tcPr>
            <w:tcW w:w="1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9</w:t>
            </w:r>
          </w:p>
        </w:tc>
        <w:tc>
          <w:tcPr>
            <w:tcW w:w="800" w:type="dxa"/>
            <w:vAlign w:val="bottom"/>
            <w:gridSpan w:val="2"/>
          </w:tcPr>
          <w:p>
            <w:pPr>
              <w:jc w:val="right"/>
              <w:ind w:right="27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w w:val="85"/>
              </w:rPr>
              <w:t>6,066</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-822960</wp:posOffset>
            </wp:positionV>
            <wp:extent cx="72466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-625475</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-419735</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-231140</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4900" w:space="720"/>
            <w:col w:w="580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United categorizes loans into risk categories based on relevant information about the ability of borrowers to service their debt such as: current financial information, historical payment experience, credit documentation, public information, current economic trends, among other factors. United analyzes loans individually by classifying the loans as to credit risk. This analysis is performed on a continuous basis. United uses the following definitions for its risk ratings:</w:t>
      </w:r>
    </w:p>
    <w:p>
      <w:pPr>
        <w:spacing w:after="0" w:line="10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32" w:lineRule="exact"/>
        <w:rPr>
          <w:sz w:val="20"/>
          <w:szCs w:val="20"/>
          <w:color w:val="auto"/>
        </w:rPr>
      </w:pPr>
    </w:p>
    <w:p>
      <w:pPr>
        <w:jc w:val="both"/>
        <w:ind w:right="40"/>
        <w:spacing w:after="0" w:line="339" w:lineRule="auto"/>
        <w:rPr>
          <w:sz w:val="20"/>
          <w:szCs w:val="20"/>
          <w:color w:val="auto"/>
        </w:rPr>
      </w:pPr>
      <w:r>
        <w:rPr>
          <w:rFonts w:ascii="Arial" w:cs="Arial" w:eastAsia="Arial" w:hAnsi="Arial"/>
          <w:sz w:val="15"/>
          <w:szCs w:val="15"/>
          <w:b w:val="1"/>
          <w:bCs w:val="1"/>
          <w:color w:val="auto"/>
        </w:rPr>
        <w:t xml:space="preserve">Substandard. </w:t>
      </w:r>
      <w:r>
        <w:rPr>
          <w:rFonts w:ascii="Arial" w:cs="Arial" w:eastAsia="Arial" w:hAnsi="Arial"/>
          <w:sz w:val="15"/>
          <w:szCs w:val="15"/>
          <w:color w:val="auto"/>
        </w:rPr>
        <w:t>These loans are inadequately protected by the current net worth and paying capacity of the obligor or by the collateral pledged. Specific and well-defined weaknesses exist that may include poor liquidity and deterioration of financial ratios. The loan may be past due and related deposit accounts experiencing overdrafts. There is the distinct possibility that the Company will sustain some loss if deficiencies are not corrected. Immediate corrective action is necessary.</w:t>
      </w:r>
    </w:p>
    <w:p>
      <w:pPr>
        <w:spacing w:after="0" w:line="7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reliable secondary source of full repayment.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charged-off.</w:t>
      </w:r>
    </w:p>
    <w:p>
      <w:pPr>
        <w:spacing w:after="0" w:line="2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Loans not meeting the criteria above that are analyzed individually as part of the above described process are considered to be pass rated loans. Loans listed as not rated are generally deposit account overdrafts or new loans that have not yet been assigned a grade.</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As of March 31, 2012, December 31, 2011 and March 31, 2011,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8"/>
              </w:rPr>
              <w:t>Doubtful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Watch</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Substandard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Not Rated</w:t>
            </w:r>
          </w:p>
        </w:tc>
        <w:tc>
          <w:tcPr>
            <w:tcW w:w="80" w:type="dxa"/>
            <w:vAlign w:val="bottom"/>
          </w:tcPr>
          <w:p>
            <w:pPr>
              <w:spacing w:after="0"/>
              <w:rPr>
                <w:sz w:val="14"/>
                <w:szCs w:val="14"/>
                <w:color w:val="auto"/>
              </w:rPr>
            </w:pPr>
          </w:p>
        </w:tc>
        <w:tc>
          <w:tcPr>
            <w:tcW w:w="9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As of March 31, 2012</w:t>
            </w:r>
          </w:p>
        </w:tc>
        <w:tc>
          <w:tcPr>
            <w:tcW w:w="24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$1,586,934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96,352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159,921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$1,843,207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381,097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2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commercial</w:t>
            </w: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2,067,856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260,028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995,982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94,476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2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106,124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3,468,554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211,634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446,637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4,127,566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As of December 31, 2011</w:t>
            </w:r>
          </w:p>
        </w:tc>
        <w:tc>
          <w:tcPr>
            <w:tcW w:w="2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80" w:type="dxa"/>
            <w:vAlign w:val="bottom"/>
            <w:gridSpan w:val="5"/>
            <w:vMerge w:val="continue"/>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89,830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170,380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369,343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50,366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910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4"/>
            <w:vMerge w:val="restart"/>
          </w:tcPr>
          <w:p>
            <w:pPr>
              <w:ind w:left="860"/>
              <w:spacing w:after="0"/>
              <w:rPr>
                <w:sz w:val="20"/>
                <w:szCs w:val="20"/>
                <w:color w:val="auto"/>
              </w:rPr>
            </w:pPr>
            <w:r>
              <w:rPr>
                <w:rFonts w:ascii="Arial" w:cs="Arial" w:eastAsia="Arial" w:hAnsi="Arial"/>
                <w:sz w:val="18"/>
                <w:szCs w:val="18"/>
                <w:color w:val="auto"/>
              </w:rPr>
              <w:t>Total commercial</w:t>
            </w:r>
          </w:p>
        </w:tc>
        <w:tc>
          <w:tcPr>
            <w:tcW w:w="2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gridSpan w:val="4"/>
            <w:vMerge w:val="continue"/>
          </w:tcPr>
          <w:p>
            <w:pPr>
              <w:spacing w:after="0"/>
              <w:rPr>
                <w:sz w:val="19"/>
                <w:szCs w:val="19"/>
                <w:color w:val="auto"/>
              </w:rPr>
            </w:pPr>
          </w:p>
        </w:tc>
        <w:tc>
          <w:tcPr>
            <w:tcW w:w="2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2,045,364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255,911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910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993,779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312,527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97,478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 loans</w:t>
            </w:r>
          </w:p>
        </w:tc>
        <w:tc>
          <w:tcPr>
            <w:tcW w:w="2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4"/>
            <w:vMerge w:val="continue"/>
          </w:tcPr>
          <w:p>
            <w:pPr>
              <w:spacing w:after="0"/>
              <w:rPr>
                <w:sz w:val="19"/>
                <w:szCs w:val="19"/>
                <w:color w:val="auto"/>
              </w:rPr>
            </w:pPr>
          </w:p>
        </w:tc>
        <w:tc>
          <w:tcPr>
            <w:tcW w:w="2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3,459,003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193,753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455,948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910</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March 31, 2011</w:t>
            </w:r>
          </w:p>
        </w:tc>
        <w:tc>
          <w:tcPr>
            <w:tcW w:w="20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$1,469,140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82,715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140,299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$1,692,154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2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commercial</w:t>
            </w: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2,040,585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197,493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1,052,909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92,843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1,186,531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376,583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112,572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2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loans</w:t>
            </w:r>
          </w:p>
        </w:tc>
        <w:tc>
          <w:tcPr>
            <w:tcW w:w="2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3,587,041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199,612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406,737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4,194,372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80" w:type="dxa"/>
            <w:vAlign w:val="bottom"/>
            <w:vMerge w:val="restart"/>
          </w:tcPr>
          <w:p>
            <w:pPr>
              <w:jc w:val="right"/>
              <w:ind w:right="272"/>
              <w:spacing w:after="0"/>
              <w:rPr>
                <w:sz w:val="20"/>
                <w:szCs w:val="20"/>
                <w:color w:val="auto"/>
              </w:rPr>
            </w:pPr>
            <w:r>
              <w:rPr>
                <w:rFonts w:ascii="Arial" w:cs="Arial" w:eastAsia="Arial" w:hAnsi="Arial"/>
                <w:sz w:val="18"/>
                <w:szCs w:val="18"/>
                <w:color w:val="auto"/>
              </w:rPr>
              <w:t>18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Foreclosed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Major classifications of foreclosed properties at March 31, 2012, December 31, 2011 and March 31, 2011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March 31,</w:t>
            </w:r>
          </w:p>
        </w:tc>
        <w:tc>
          <w:tcPr>
            <w:tcW w:w="7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58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real estate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$ 11,463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200" w:type="dxa"/>
            <w:vAlign w:val="bottom"/>
          </w:tcPr>
          <w:p>
            <w:pPr>
              <w:spacing w:after="0"/>
              <w:rPr>
                <w:sz w:val="19"/>
                <w:szCs w:val="19"/>
                <w:color w:val="auto"/>
              </w:rPr>
            </w:pPr>
          </w:p>
        </w:tc>
      </w:tr>
      <w:tr>
        <w:trPr>
          <w:trHeight w:val="216"/>
        </w:trPr>
        <w:tc>
          <w:tcPr>
            <w:tcW w:w="5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14,729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27,068</w:t>
            </w:r>
          </w:p>
        </w:tc>
        <w:tc>
          <w:tcPr>
            <w:tcW w:w="2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Residential mortgage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6,757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7,840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12,927</w:t>
            </w:r>
          </w:p>
        </w:tc>
        <w:tc>
          <w:tcPr>
            <w:tcW w:w="2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29,799</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0" w:type="dxa"/>
            <w:vAlign w:val="bottom"/>
            <w:shd w:val="clear" w:color="auto" w:fill="CCEEFF"/>
          </w:tcPr>
          <w:p>
            <w:pPr>
              <w:spacing w:after="0"/>
              <w:rPr>
                <w:sz w:val="18"/>
                <w:szCs w:val="18"/>
                <w:color w:val="auto"/>
              </w:rPr>
            </w:pPr>
          </w:p>
        </w:tc>
      </w:tr>
      <w:tr>
        <w:trPr>
          <w:trHeight w:val="222"/>
        </w:trPr>
        <w:tc>
          <w:tcPr>
            <w:tcW w:w="5860" w:type="dxa"/>
            <w:vAlign w:val="bottom"/>
          </w:tcPr>
          <w:p>
            <w:pPr>
              <w:ind w:left="440"/>
              <w:spacing w:after="0"/>
              <w:rPr>
                <w:sz w:val="20"/>
                <w:szCs w:val="20"/>
                <w:color w:val="auto"/>
              </w:rPr>
            </w:pPr>
            <w:r>
              <w:rPr>
                <w:rFonts w:ascii="Arial" w:cs="Arial" w:eastAsia="Arial" w:hAnsi="Arial"/>
                <w:sz w:val="18"/>
                <w:szCs w:val="18"/>
                <w:color w:val="auto"/>
              </w:rPr>
              <w:t>Total foreclosed property</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49,633</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51,841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107,401</w:t>
            </w:r>
          </w:p>
        </w:tc>
        <w:tc>
          <w:tcPr>
            <w:tcW w:w="200" w:type="dxa"/>
            <w:vAlign w:val="bottom"/>
          </w:tcPr>
          <w:p>
            <w:pPr>
              <w:spacing w:after="0"/>
              <w:rPr>
                <w:sz w:val="19"/>
                <w:szCs w:val="19"/>
                <w:color w:val="auto"/>
              </w:rPr>
            </w:pPr>
          </w:p>
        </w:tc>
      </w:tr>
      <w:tr>
        <w:trPr>
          <w:trHeight w:val="21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53,023</w:t>
            </w:r>
          </w:p>
        </w:tc>
        <w:tc>
          <w:tcPr>
            <w:tcW w:w="200" w:type="dxa"/>
            <w:vAlign w:val="bottom"/>
            <w:shd w:val="clear" w:color="auto" w:fill="CCEEFF"/>
          </w:tcPr>
          <w:p>
            <w:pPr>
              <w:spacing w:after="0"/>
              <w:rPr>
                <w:sz w:val="18"/>
                <w:szCs w:val="18"/>
                <w:color w:val="auto"/>
              </w:rPr>
            </w:pPr>
          </w:p>
        </w:tc>
      </w:tr>
      <w:tr>
        <w:trPr>
          <w:trHeight w:val="222"/>
        </w:trPr>
        <w:tc>
          <w:tcPr>
            <w:tcW w:w="5860" w:type="dxa"/>
            <w:vAlign w:val="bottom"/>
          </w:tcPr>
          <w:p>
            <w:pPr>
              <w:ind w:left="440"/>
              <w:spacing w:after="0"/>
              <w:rPr>
                <w:sz w:val="20"/>
                <w:szCs w:val="20"/>
                <w:color w:val="auto"/>
              </w:rPr>
            </w:pPr>
            <w:r>
              <w:rPr>
                <w:rFonts w:ascii="Arial" w:cs="Arial" w:eastAsia="Arial" w:hAnsi="Arial"/>
                <w:sz w:val="18"/>
                <w:szCs w:val="18"/>
                <w:color w:val="auto"/>
              </w:rPr>
              <w:t>Foreclosed property, net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$ 31,887</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32,859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54,378</w:t>
            </w:r>
          </w:p>
        </w:tc>
        <w:tc>
          <w:tcPr>
            <w:tcW w:w="2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36.1%</w:t>
            </w:r>
          </w:p>
        </w:tc>
        <w:tc>
          <w:tcPr>
            <w:tcW w:w="1260" w:type="dxa"/>
            <w:vAlign w:val="bottom"/>
            <w:gridSpan w:val="6"/>
            <w:shd w:val="clear" w:color="auto" w:fill="CCEEFF"/>
          </w:tcPr>
          <w:p>
            <w:pPr>
              <w:ind w:left="680"/>
              <w:spacing w:after="0"/>
              <w:rPr>
                <w:sz w:val="20"/>
                <w:szCs w:val="20"/>
                <w:color w:val="auto"/>
              </w:rPr>
            </w:pPr>
            <w:r>
              <w:rPr>
                <w:rFonts w:ascii="Arial" w:cs="Arial" w:eastAsia="Arial" w:hAnsi="Arial"/>
                <w:sz w:val="18"/>
                <w:szCs w:val="18"/>
                <w:color w:val="auto"/>
              </w:rPr>
              <w:t>35.9%</w:t>
            </w:r>
          </w:p>
        </w:tc>
        <w:tc>
          <w:tcPr>
            <w:tcW w:w="13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376"/>
        </w:trPr>
        <w:tc>
          <w:tcPr>
            <w:tcW w:w="7900" w:type="dxa"/>
            <w:vAlign w:val="bottom"/>
            <w:gridSpan w:val="4"/>
          </w:tcPr>
          <w:p>
            <w:pPr>
              <w:spacing w:after="0"/>
              <w:rPr>
                <w:sz w:val="20"/>
                <w:szCs w:val="20"/>
                <w:color w:val="auto"/>
              </w:rPr>
            </w:pPr>
            <w:r>
              <w:rPr>
                <w:rFonts w:ascii="Arial" w:cs="Arial" w:eastAsia="Arial" w:hAnsi="Arial"/>
                <w:sz w:val="18"/>
                <w:szCs w:val="18"/>
                <w:color w:val="auto"/>
                <w:w w:val="92"/>
              </w:rPr>
              <w:t xml:space="preserve">Activity in the valuation allowance for foreclosed property is presented in the following table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11"/>
          </w:tcPr>
          <w:p>
            <w:pPr>
              <w:jc w:val="center"/>
              <w:ind w:right="5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8"/>
          </w:tcPr>
          <w:p>
            <w:pPr>
              <w:jc w:val="center"/>
              <w:ind w:right="114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$18,982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$ 16,565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19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48,585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Direct write downs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(3,347)</w:t>
            </w: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(12,127)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2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$ 53,023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Expenses related to foreclosed assets include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4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on sales</w:t>
            </w:r>
          </w:p>
        </w:tc>
        <w:tc>
          <w:tcPr>
            <w:tcW w:w="19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3"/>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$12,020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190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48,585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19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20" w:type="dxa"/>
            <w:vAlign w:val="bottom"/>
          </w:tcPr>
          <w:p>
            <w:pPr>
              <w:ind w:left="440"/>
              <w:spacing w:after="0"/>
              <w:rPr>
                <w:sz w:val="20"/>
                <w:szCs w:val="20"/>
                <w:color w:val="auto"/>
              </w:rPr>
            </w:pPr>
            <w:r>
              <w:rPr>
                <w:rFonts w:ascii="Arial" w:cs="Arial" w:eastAsia="Arial" w:hAnsi="Arial"/>
                <w:sz w:val="18"/>
                <w:szCs w:val="18"/>
                <w:color w:val="auto"/>
              </w:rPr>
              <w:t>Total foreclosed property expense</w:t>
            </w:r>
          </w:p>
        </w:tc>
        <w:tc>
          <w:tcPr>
            <w:tcW w:w="1900" w:type="dxa"/>
            <w:vAlign w:val="bottom"/>
          </w:tcPr>
          <w:p>
            <w:pPr>
              <w:spacing w:after="0"/>
              <w:rPr>
                <w:sz w:val="19"/>
                <w:szCs w:val="19"/>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3,825</w:t>
            </w:r>
          </w:p>
        </w:tc>
        <w:tc>
          <w:tcPr>
            <w:tcW w:w="22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64,899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 is required to report on the face of the statement of operations, earnings (loss) per common share with and without the dilutive effects of potential common stock issuances from instruments such as options, convertible securities and warrants. Basic earnings (loss) per common share is based on the weighted average number of common shares outstanding during the period while the effects of potential common shares outstanding during the period are included in diluted earnings (loss) per common share.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During the three months ended March 31, 2012 and 2011, United accrued dividends on preferred stock, including accretion of discounts, as shown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A—6% fixed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Series B—5% fixed until December 6, 2013, 9% thereafter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2,602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Series D—LIBOR plus 9.6875%, resets quarterly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Total preferred stock dividends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2,778</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preferred stock dividends are payable quarterly.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stock was issued at a discount. Dividend amounts shown include discount accretion for each period.</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preferred stock dividends were subtracted from net income (loss) in order to arrive at net income (loss) available to common shareholders. There is no dilution from dilutive securities for the three months ended March 31, 2011, due to the antidilutive effect of the net loss for that period.</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The following table sets forth the computation of basic and diluted earnings (loss) per common share for the three months ended March 31, 2012 and 2011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31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(240,114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57,764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Convertible securities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860"/>
              <w:spacing w:after="0"/>
              <w:rPr>
                <w:sz w:val="20"/>
                <w:szCs w:val="20"/>
                <w:color w:val="auto"/>
              </w:rPr>
            </w:pPr>
            <w:r>
              <w:rPr>
                <w:rFonts w:ascii="Arial" w:cs="Arial" w:eastAsia="Arial" w:hAnsi="Arial"/>
                <w:sz w:val="18"/>
                <w:szCs w:val="18"/>
                <w:color w:val="auto"/>
              </w:rPr>
              <w:t>Stock options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Warrants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57,764</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March 31, 2012, United had the following potentially dilutive stock options and warrants outstanding: a warrant to purchase 219,908.49 common shares at $61.39 per share issued to the U.S. Treasury in conjunction with the issuance of United’s fixed rate cumulative perpetual preferred stock, Series B; 129,670 common shares issuable upon exercise of warrants attached to trust preferred securities with an exercise price of $100 per share; 514,068 common shares issuable upon exercise of stock options granted to employees with a weighted average exercise price of $98.22; 404,281 common shares issuable upon completion of vesting of restricted stock awards; 1,411,765 common shares issuable upon exercise of warrants exercisable at a price equivalent to $21.25 per share granted to Fletcher International Ltd. (“Fletcher”) in connection with a 2010 asset purchase and sale agreement; 2,476,191 common shares issuable upon conversion of preferred stock if Fletcher exercises its option to purchase $65 million in convertible preferred stock, convertible at $26.25 per share; 1,162,791 common shares issuable upon exercise of warrants exercisable at a price equivalent to $30.10 per share to be granted to Fletcher upon exercise of its option to acquire preferred stock; and 1,551,126 common shares issuable upon exercise of warrants owned by Elm Ridge Offshore Master Fund, Ltd. and Elm Ridge Value Partners, L.P. (collectively, the “Elm Ridge Parties”), exercisable at $12.50 per share.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4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March 31, 2012, December 31, 2011 and March 31,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accounted for as hedges under ASC 815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140" w:type="dxa"/>
            <w:vAlign w:val="bottom"/>
          </w:tcPr>
          <w:p>
            <w:pPr>
              <w:spacing w:after="0"/>
              <w:rPr>
                <w:sz w:val="11"/>
                <w:szCs w:val="11"/>
                <w:color w:val="auto"/>
              </w:rPr>
            </w:pPr>
          </w:p>
        </w:tc>
        <w:tc>
          <w:tcPr>
            <w:tcW w:w="8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1"/>
                <w:szCs w:val="11"/>
                <w:color w:val="auto"/>
              </w:rPr>
            </w:pPr>
          </w:p>
        </w:tc>
        <w:tc>
          <w:tcPr>
            <w:tcW w:w="6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9"/>
        </w:trPr>
        <w:tc>
          <w:tcPr>
            <w:tcW w:w="5900" w:type="dxa"/>
            <w:vAlign w:val="bottom"/>
            <w:gridSpan w:val="3"/>
          </w:tcPr>
          <w:p>
            <w:pPr>
              <w:ind w:left="460"/>
              <w:spacing w:after="0" w:line="129" w:lineRule="exact"/>
              <w:rPr>
                <w:sz w:val="20"/>
                <w:szCs w:val="20"/>
                <w:color w:val="auto"/>
              </w:rPr>
            </w:pPr>
            <w:r>
              <w:rPr>
                <w:rFonts w:ascii="Arial" w:cs="Arial" w:eastAsia="Arial" w:hAnsi="Arial"/>
                <w:sz w:val="14"/>
                <w:szCs w:val="14"/>
                <w:b w:val="1"/>
                <w:bCs w:val="1"/>
                <w:color w:val="auto"/>
              </w:rPr>
              <w:t>Products</w:t>
            </w:r>
          </w:p>
        </w:tc>
        <w:tc>
          <w:tcPr>
            <w:tcW w:w="200" w:type="dxa"/>
            <w:vAlign w:val="bottom"/>
          </w:tcPr>
          <w:p>
            <w:pPr>
              <w:spacing w:after="0"/>
              <w:rPr>
                <w:sz w:val="12"/>
                <w:szCs w:val="12"/>
                <w:color w:val="auto"/>
              </w:rPr>
            </w:pPr>
          </w:p>
        </w:tc>
        <w:tc>
          <w:tcPr>
            <w:tcW w:w="15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Location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91"/>
              </w:rPr>
              <w:t>Other liabilities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2,526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422</w:t>
            </w:r>
          </w:p>
        </w:tc>
        <w:tc>
          <w:tcPr>
            <w:tcW w:w="5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Derivatives not accounted for as hedges under ASC 815</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9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00" w:type="dxa"/>
            <w:vAlign w:val="bottom"/>
            <w:gridSpan w:val="3"/>
            <w:vMerge w:val="continue"/>
          </w:tcPr>
          <w:p>
            <w:pPr>
              <w:spacing w:after="0"/>
              <w:rPr>
                <w:sz w:val="11"/>
                <w:szCs w:val="11"/>
                <w:color w:val="auto"/>
              </w:rPr>
            </w:pPr>
          </w:p>
        </w:tc>
        <w:tc>
          <w:tcPr>
            <w:tcW w:w="1760" w:type="dxa"/>
            <w:vAlign w:val="bottom"/>
            <w:gridSpan w:val="4"/>
          </w:tcPr>
          <w:p>
            <w:pPr>
              <w:jc w:val="center"/>
              <w:ind w:right="60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9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1"/>
                <w:szCs w:val="11"/>
                <w:color w:val="auto"/>
              </w:rPr>
            </w:pPr>
          </w:p>
        </w:tc>
        <w:tc>
          <w:tcPr>
            <w:tcW w:w="6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9"/>
        </w:trPr>
        <w:tc>
          <w:tcPr>
            <w:tcW w:w="5900" w:type="dxa"/>
            <w:vAlign w:val="bottom"/>
            <w:gridSpan w:val="3"/>
          </w:tcPr>
          <w:p>
            <w:pPr>
              <w:ind w:left="460"/>
              <w:spacing w:after="0" w:line="129" w:lineRule="exact"/>
              <w:rPr>
                <w:sz w:val="20"/>
                <w:szCs w:val="20"/>
                <w:color w:val="auto"/>
              </w:rPr>
            </w:pPr>
            <w:r>
              <w:rPr>
                <w:rFonts w:ascii="Arial" w:cs="Arial" w:eastAsia="Arial" w:hAnsi="Arial"/>
                <w:sz w:val="14"/>
                <w:szCs w:val="14"/>
                <w:b w:val="1"/>
                <w:bCs w:val="1"/>
                <w:color w:val="auto"/>
              </w:rPr>
              <w:t>Products</w:t>
            </w:r>
          </w:p>
        </w:tc>
        <w:tc>
          <w:tcPr>
            <w:tcW w:w="200" w:type="dxa"/>
            <w:vAlign w:val="bottom"/>
          </w:tcPr>
          <w:p>
            <w:pPr>
              <w:spacing w:after="0"/>
              <w:rPr>
                <w:sz w:val="12"/>
                <w:szCs w:val="12"/>
                <w:color w:val="auto"/>
              </w:rPr>
            </w:pPr>
          </w:p>
        </w:tc>
        <w:tc>
          <w:tcPr>
            <w:tcW w:w="156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89"/>
              </w:rPr>
              <w:t>Location</w:t>
            </w:r>
          </w:p>
        </w:tc>
        <w:tc>
          <w:tcPr>
            <w:tcW w:w="600" w:type="dxa"/>
            <w:vAlign w:val="bottom"/>
            <w:gridSpan w:val="3"/>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Other assets</w:t>
            </w:r>
          </w:p>
        </w:tc>
        <w:tc>
          <w:tcPr>
            <w:tcW w:w="6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ind w:left="460"/>
              <w:spacing w:after="0"/>
              <w:rPr>
                <w:sz w:val="20"/>
                <w:szCs w:val="20"/>
                <w:color w:val="auto"/>
              </w:rPr>
            </w:pPr>
            <w:r>
              <w:rPr>
                <w:rFonts w:ascii="Arial" w:cs="Arial" w:eastAsia="Arial" w:hAnsi="Arial"/>
                <w:sz w:val="18"/>
                <w:szCs w:val="18"/>
                <w:color w:val="auto"/>
              </w:rPr>
              <w:t>Liability derivatives</w:t>
            </w:r>
          </w:p>
        </w:tc>
        <w:tc>
          <w:tcPr>
            <w:tcW w:w="1760" w:type="dxa"/>
            <w:vAlign w:val="bottom"/>
            <w:gridSpan w:val="4"/>
            <w:vMerge w:val="restart"/>
          </w:tcPr>
          <w:p>
            <w:pPr>
              <w:jc w:val="right"/>
              <w:ind w:right="600"/>
              <w:spacing w:after="0"/>
              <w:rPr>
                <w:sz w:val="20"/>
                <w:szCs w:val="20"/>
                <w:color w:val="auto"/>
              </w:rPr>
            </w:pPr>
            <w:r>
              <w:rPr>
                <w:rFonts w:ascii="Arial" w:cs="Arial" w:eastAsia="Arial" w:hAnsi="Arial"/>
                <w:sz w:val="18"/>
                <w:szCs w:val="18"/>
                <w:color w:val="auto"/>
                <w:w w:val="96"/>
              </w:rPr>
              <w:t>Other liabilities</w:t>
            </w: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3"/>
            <w:vMerge w:val="continue"/>
          </w:tcPr>
          <w:p>
            <w:pPr>
              <w:spacing w:after="0"/>
              <w:rPr>
                <w:sz w:val="18"/>
                <w:szCs w:val="18"/>
                <w:color w:val="auto"/>
              </w:rPr>
            </w:pPr>
          </w:p>
        </w:tc>
        <w:tc>
          <w:tcPr>
            <w:tcW w:w="1760" w:type="dxa"/>
            <w:vAlign w:val="bottom"/>
            <w:gridSpan w:val="4"/>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Derivative contracts that are not accounted for as hedges under ASC 815 are between United and certain commercial loan customers with offsetting positions to dealers under a back-to-back swap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the designated rate index falls below the strike rate on the contract. United pays an up front premium for this interest rate protection. United had no active derivative contracts outstanding at March 31, 2012, December 31, 2011 or March 31, 2011 that were designated as cash flow hedges of interest rate risk.</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revenue as interest payments are received on United’s prime-based, variable-rate loans. At March 31, 2012,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original derivative contract. For terminated swap contracts, the gains are recognized over the original life of the contract on a straight line basis. For terminated floors, the gains are recognized over the original term based on the original floorlet schedule. During the three months ended March 31, 2012 and 2011, United accelerated the reclassification of $81,000 and $1.30 million, respectively, in gains from terminated positions as a result of the forecasted transactions becoming probable not to occur. During the next twelve months, United estimates that an additional $2.60 million of the deferred gains on terminated cash flow hedging positions will be reclassified as an increase to interest revenue.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At March 31, 2012, United had four interest rate swaps with an aggregate notional amount of $64.5 million that were designated as fair value hedges of interest rate risk. At March 31, 2011, United had no active derivative contracts outstanding that were designated as fair value hedges.</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financial statement line item as the offsetting loss or gain on the related derivatives. During the three months ended March 31, 2012, United recognized net gains/(losses) of $34,000 related to ineffectiveness of the fair value hedging relationships. United also recognized a net reduction of interest expense of $278,000 for the three months ended March 31, 2012, related to United’s fair value hedges, which includes net settlements on the derivatives. There were no active fair value hedges during the first quarter of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months ended March 31, 2012 and 2011.</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Derivatives in Fair Value Hedging Relationships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 of Gain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Recognized in Income</w:t>
      </w:r>
    </w:p>
    <w:p>
      <w:pPr>
        <w:spacing w:after="0"/>
        <w:rPr>
          <w:sz w:val="20"/>
          <w:szCs w:val="20"/>
          <w:color w:val="auto"/>
        </w:rPr>
      </w:pPr>
      <w:r>
        <w:rPr>
          <w:rFonts w:ascii="Arial" w:cs="Arial" w:eastAsia="Arial" w:hAnsi="Arial"/>
          <w:sz w:val="14"/>
          <w:szCs w:val="14"/>
          <w:b w:val="1"/>
          <w:bCs w:val="1"/>
          <w:color w:val="auto"/>
        </w:rPr>
        <w:t>on Derivative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fee revenue</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Derivatives in Cash Flow Hedging Relationships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480" w:type="dxa"/>
            <w:vAlign w:val="bottom"/>
            <w:gridSpan w:val="5"/>
          </w:tcPr>
          <w:p>
            <w:pPr>
              <w:jc w:val="right"/>
              <w:ind w:right="162"/>
              <w:spacing w:after="0"/>
              <w:rPr>
                <w:sz w:val="20"/>
                <w:szCs w:val="20"/>
                <w:color w:val="auto"/>
              </w:rPr>
            </w:pPr>
            <w:r>
              <w:rPr>
                <w:rFonts w:ascii="Arial" w:cs="Arial" w:eastAsia="Arial" w:hAnsi="Arial"/>
                <w:sz w:val="14"/>
                <w:szCs w:val="14"/>
                <w:b w:val="1"/>
                <w:bCs w:val="1"/>
                <w:color w:val="auto"/>
                <w:w w:val="88"/>
              </w:rPr>
              <w:t>Amount of Gain (Loss) Recognized in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4"/>
          </w:tcPr>
          <w:p>
            <w:pPr>
              <w:jc w:val="center"/>
              <w:ind w:right="82"/>
              <w:spacing w:after="0"/>
              <w:rPr>
                <w:sz w:val="20"/>
                <w:szCs w:val="20"/>
                <w:color w:val="auto"/>
              </w:rPr>
            </w:pPr>
            <w:r>
              <w:rPr>
                <w:rFonts w:ascii="Arial" w:cs="Arial" w:eastAsia="Arial" w:hAnsi="Arial"/>
                <w:sz w:val="14"/>
                <w:szCs w:val="14"/>
                <w:b w:val="1"/>
                <w:bCs w:val="1"/>
                <w:color w:val="auto"/>
                <w:w w:val="86"/>
              </w:rPr>
              <w:t>Amount of Gain (Loss) Recognized in</w:t>
            </w:r>
          </w:p>
        </w:tc>
      </w:tr>
      <w:tr>
        <w:trPr>
          <w:trHeight w:val="161"/>
        </w:trPr>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Income on Derivative</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347"/>
              <w:spacing w:after="0"/>
              <w:rPr>
                <w:sz w:val="20"/>
                <w:szCs w:val="20"/>
                <w:color w:val="auto"/>
              </w:rPr>
            </w:pPr>
            <w:r>
              <w:rPr>
                <w:rFonts w:ascii="Arial" w:cs="Arial" w:eastAsia="Arial" w:hAnsi="Arial"/>
                <w:sz w:val="14"/>
                <w:szCs w:val="14"/>
                <w:b w:val="1"/>
                <w:bCs w:val="1"/>
                <w:color w:val="auto"/>
                <w:w w:val="87"/>
              </w:rPr>
              <w:t>Income on Hedged Item</w:t>
            </w:r>
          </w:p>
        </w:tc>
        <w:tc>
          <w:tcPr>
            <w:tcW w:w="560" w:type="dxa"/>
            <w:vAlign w:val="bottom"/>
            <w:tcBorders>
              <w:bottom w:val="single" w:sz="8" w:color="auto"/>
            </w:tcBorders>
          </w:tcPr>
          <w:p>
            <w:pPr>
              <w:spacing w:after="0"/>
              <w:rPr>
                <w:sz w:val="14"/>
                <w:szCs w:val="14"/>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7"/>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w w:val="89"/>
              </w:rPr>
              <w:t>2011</w:t>
            </w:r>
          </w:p>
        </w:tc>
      </w:tr>
      <w:tr>
        <w:trPr>
          <w:trHeight w:val="425"/>
        </w:trPr>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(1,264)</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-307975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14" w:lineRule="exact"/>
        <w:rPr>
          <w:sz w:val="20"/>
          <w:szCs w:val="20"/>
          <w:color w:val="auto"/>
        </w:rPr>
      </w:pPr>
    </w:p>
    <w:p>
      <w:pPr>
        <w:sectPr>
          <w:pgSz w:w="11900" w:h="16838" w:orient="portrait"/>
          <w:cols w:equalWidth="0" w:num="2">
            <w:col w:w="4720" w:space="720"/>
            <w:col w:w="5980"/>
          </w:cols>
          <w:pgMar w:left="240" w:top="459" w:right="2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left="109"/>
              <w:spacing w:after="0"/>
              <w:rPr>
                <w:sz w:val="20"/>
                <w:szCs w:val="20"/>
                <w:color w:val="auto"/>
              </w:rPr>
            </w:pPr>
            <w:r>
              <w:rPr>
                <w:rFonts w:ascii="Arial" w:cs="Arial" w:eastAsia="Arial" w:hAnsi="Arial"/>
                <w:sz w:val="14"/>
                <w:szCs w:val="14"/>
                <w:b w:val="1"/>
                <w:bCs w:val="1"/>
                <w:color w:val="auto"/>
                <w:w w:val="87"/>
              </w:rPr>
              <w:t>Amount of Gain (Loss)</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Recognized in Other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Comprehensive Income on</w:t>
            </w:r>
          </w:p>
        </w:tc>
        <w:tc>
          <w:tcPr>
            <w:tcW w:w="440" w:type="dxa"/>
            <w:vAlign w:val="bottom"/>
          </w:tcPr>
          <w:p>
            <w:pPr>
              <w:spacing w:after="0"/>
              <w:rPr>
                <w:sz w:val="12"/>
                <w:szCs w:val="12"/>
                <w:color w:val="auto"/>
              </w:rPr>
            </w:pPr>
          </w:p>
        </w:tc>
        <w:tc>
          <w:tcPr>
            <w:tcW w:w="382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 (Loss) Reclassified from Accumulated Other</w:t>
            </w:r>
          </w:p>
        </w:tc>
      </w:t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9"/>
              </w:rPr>
              <w:t>Derivative (Effective Portion)</w:t>
            </w:r>
          </w:p>
        </w:tc>
        <w:tc>
          <w:tcPr>
            <w:tcW w:w="440" w:type="dxa"/>
            <w:vAlign w:val="bottom"/>
          </w:tcPr>
          <w:p>
            <w:pPr>
              <w:spacing w:after="0"/>
              <w:rPr>
                <w:sz w:val="14"/>
                <w:szCs w:val="14"/>
                <w:color w:val="auto"/>
              </w:rPr>
            </w:pPr>
          </w:p>
        </w:tc>
        <w:tc>
          <w:tcPr>
            <w:tcW w:w="38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7"/>
              </w:rPr>
              <w:t>Comprehensive Income into Income (Effective Portion)</w:t>
            </w:r>
          </w:p>
        </w:tc>
      </w:tr>
      <w:tr>
        <w:trPr>
          <w:trHeight w:val="142"/>
        </w:trPr>
        <w:tc>
          <w:tcPr>
            <w:tcW w:w="5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2012</w:t>
            </w:r>
          </w:p>
        </w:tc>
        <w:tc>
          <w:tcPr>
            <w:tcW w:w="126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1520" w:type="dxa"/>
            <w:vAlign w:val="bottom"/>
            <w:tcBorders>
              <w:top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Location</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Interest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 Based Compensation</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March 31, 2012, no additional awards could be granted under the plan. Through March 31, 2012, incentive stock options, nonqualified stock options, restricted stock awards and units and base salary stock grants had been granted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three months of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Weighted-</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Remaining</w:t>
            </w: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Intrinisic</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Options</w:t>
            </w:r>
          </w:p>
        </w:tc>
        <w:tc>
          <w:tcPr>
            <w:tcW w:w="488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132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5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8"/>
              </w:rPr>
              <w:t>Term (Years)</w:t>
            </w:r>
          </w:p>
        </w:tc>
        <w:tc>
          <w:tcPr>
            <w:tcW w:w="920" w:type="dxa"/>
            <w:vAlign w:val="bottom"/>
            <w:gridSpan w:val="2"/>
          </w:tcPr>
          <w:p>
            <w:pPr>
              <w:jc w:val="center"/>
              <w:ind w:left="242"/>
              <w:spacing w:after="0" w:line="148" w:lineRule="exact"/>
              <w:rPr>
                <w:sz w:val="20"/>
                <w:szCs w:val="20"/>
                <w:color w:val="auto"/>
              </w:rPr>
            </w:pPr>
            <w:r>
              <w:rPr>
                <w:rFonts w:ascii="Arial" w:cs="Arial" w:eastAsia="Arial" w:hAnsi="Arial"/>
                <w:sz w:val="14"/>
                <w:szCs w:val="14"/>
                <w:b w:val="1"/>
                <w:bCs w:val="1"/>
                <w:color w:val="auto"/>
                <w:w w:val="88"/>
              </w:rPr>
              <w:t>($000)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583,647</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94.48</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48.85</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(68,376)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Outstanding at March 31, 2012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514,068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98.22</w:t>
            </w:r>
          </w:p>
        </w:tc>
        <w:tc>
          <w:tcPr>
            <w:tcW w:w="6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2012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450,507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three month periods ended March 31, 2012 or 2011.</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Compensation expense relating to options of $180,000 and $441,000, respectively, was included in earnings for the three months ended March 31, 2012 and 2011.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There were no options exercised during the three months ended March 31, 2012 or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activity in restricted stock awards for the first three months of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48"/>
        </w:trPr>
        <w:tc>
          <w:tcPr>
            <w:tcW w:w="6380" w:type="dxa"/>
            <w:vAlign w:val="bottom"/>
            <w:gridSpan w:val="3"/>
            <w:vMerge w:val="continue"/>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Shares</w:t>
            </w:r>
          </w:p>
        </w:tc>
        <w:tc>
          <w:tcPr>
            <w:tcW w:w="1320" w:type="dxa"/>
            <w:vAlign w:val="bottom"/>
            <w:gridSpan w:val="4"/>
          </w:tcPr>
          <w:p>
            <w:pPr>
              <w:ind w:left="300"/>
              <w:spacing w:after="0" w:line="148"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414,644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4,734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Excercised</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404,281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Vested at March 31, 2012</w:t>
            </w: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three months ended March 31, 2012 and 2011, compensation expense of $405,000 and $107,000, respectively, was recognized related to restricted stock awards. The total intrinsic value of restricted stock at March 31, 2012 was approximately $3.94 million.</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31, 2012, there was $3.41 million of unrecognized compensation cost related to nonvested stock options and restricted stock awards granted under the plan. The cost is expected to be recognized over a weighted-average period of 2.1 years. The aggregate grant date fair value of options and restricted stock that vested during the three months ended March 31, 2012 was $329,000.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 United’s 401(k) retirement plan regularly purchases shares of United’s common stock directly from United. In addition, United has an Employee Stock Purchase Program that allows eligible employees to purchase shares of common stock at a 5% discount, with no commission charges. During the three months ended March 31, 2012 and 2011, United issued, 35,648 shares and 46,019 shares, respectively, and increased capital by $278,000 and $375,000, respectively through these programs.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At March 31, 2012 and 2011, United had 90,126 shares and 79,428 shares, respectively, of its common stock that was issuable under the deferred compensation plan.</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February 22, 2011, United entered into a Share Exchange Agreement with the Elm Ridge Parties. Under the Share Exchange Agreement, the Elm Ridge Parties agreed to transfer to the Company 1,551,126 shares of the Company’s common stock in exchange for 16,613 shares of the Company’s cumulative perpetual preferred stock, Series D, and warrants to purchase 1,551,126 common shares with an exercise price of $12.50 per share that expire on August 22, 2013. This exchange transaction did not result in a net increase or decrease to total shareholders’ equity for the year ended December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Reclassifications and Reverse Stock Split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2011 amounts have been reclassified to conform to the 2012 presentation. On June 17, 2011, United completed a 1-for-5 reverse stock split, whereby each 5 shares of United’s common stock was reclassified into one share of common stock, and each 5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March 31, 2012, December 31, 2011 and March 31, 2011, aggregated by the level in the fair value hierarchy within with those measurements fall </w:t>
      </w:r>
      <w:r>
        <w:rPr>
          <w:rFonts w:ascii="Arial" w:cs="Arial" w:eastAsia="Arial" w:hAnsi="Arial"/>
          <w:sz w:val="18"/>
          <w:szCs w:val="18"/>
          <w:i w:val="1"/>
          <w:iCs w:val="1"/>
          <w:color w:val="auto"/>
        </w:rPr>
        <w:t>(in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March 31, 2012</w:t>
            </w: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160" w:type="dxa"/>
            <w:vAlign w:val="bottom"/>
            <w:tcBorders>
              <w:top w:val="single" w:sz="8" w:color="CCEEFF"/>
            </w:tcBorders>
            <w:gridSpan w:val="2"/>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Securities available for sale: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U.S. Government agencies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State and political subdivisions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22,808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Mortgage-backed securities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1,725,068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1,725,068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Corporate bonds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104,236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assets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2,973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2,973</w:t>
            </w:r>
          </w:p>
        </w:tc>
        <w:tc>
          <w:tcPr>
            <w:tcW w:w="11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1,898,538</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350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1,901,861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00" w:type="dxa"/>
            <w:vAlign w:val="bottom"/>
            <w:gridSpan w:val="5"/>
          </w:tcPr>
          <w:p>
            <w:pPr>
              <w:jc w:val="right"/>
              <w:spacing w:after="0"/>
              <w:rPr>
                <w:sz w:val="20"/>
                <w:szCs w:val="20"/>
                <w:color w:val="auto"/>
              </w:rPr>
            </w:pPr>
            <w:r>
              <w:rPr>
                <w:rFonts w:ascii="Arial" w:cs="Arial" w:eastAsia="Arial" w:hAnsi="Arial"/>
                <w:sz w:val="18"/>
                <w:szCs w:val="18"/>
                <w:color w:val="auto"/>
              </w:rPr>
              <w:t>$2,973</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Brokered certificates of deposit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Derivative financial instruments</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2,599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2,973</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120" w:type="dxa"/>
            <w:vAlign w:val="bottom"/>
            <w:gridSpan w:val="4"/>
            <w:vMerge w:val="continue"/>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96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Securities available for sale: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U.S. Government agencies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State and political subdivisions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26,339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Mortgage-backed securities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Corporate bonds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107,328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assets</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2,859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1,789,697</w:t>
            </w:r>
          </w:p>
        </w:tc>
        <w:tc>
          <w:tcPr>
            <w:tcW w:w="5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4"/>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Brokered certificates of deposit</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31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13,529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2011</w:t>
            </w: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120" w:type="dxa"/>
            <w:vAlign w:val="bottom"/>
            <w:gridSpan w:val="4"/>
            <w:vMerge w:val="continue"/>
          </w:tcPr>
          <w:p>
            <w:pPr>
              <w:spacing w:after="0"/>
              <w:rPr>
                <w:sz w:val="24"/>
                <w:szCs w:val="24"/>
                <w:color w:val="auto"/>
              </w:rPr>
            </w:pPr>
          </w:p>
        </w:tc>
        <w:tc>
          <w:tcPr>
            <w:tcW w:w="2520" w:type="dxa"/>
            <w:vAlign w:val="bottom"/>
          </w:tcPr>
          <w:p>
            <w:pPr>
              <w:spacing w:after="0"/>
              <w:rPr>
                <w:sz w:val="24"/>
                <w:szCs w:val="2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Level 2</w:t>
            </w:r>
          </w:p>
        </w:tc>
        <w:tc>
          <w:tcPr>
            <w:tcW w:w="320" w:type="dxa"/>
            <w:vAlign w:val="bottom"/>
          </w:tcPr>
          <w:p>
            <w:pPr>
              <w:spacing w:after="0"/>
              <w:rPr>
                <w:sz w:val="24"/>
                <w:szCs w:val="2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160" w:type="dxa"/>
            <w:vAlign w:val="bottom"/>
            <w:tcBorders>
              <w:top w:val="single" w:sz="8" w:color="CCEEFF"/>
            </w:tcBorders>
            <w:gridSpan w:val="2"/>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Securities available for sale: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U.S. Government agencies</w:t>
            </w:r>
          </w:p>
        </w:tc>
        <w:tc>
          <w:tcPr>
            <w:tcW w:w="27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93,778</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State and political subdivisions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Mortgage-backed securities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1,410,411</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1,414,845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Corporate bonds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assets</w:t>
            </w:r>
          </w:p>
        </w:tc>
        <w:tc>
          <w:tcPr>
            <w:tcW w:w="252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3,107</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1,633,710</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1,641,601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4"/>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3,107</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8"/>
                <w:szCs w:val="18"/>
                <w:color w:val="auto"/>
              </w:rPr>
              <w:t>Total liabilities</w:t>
            </w:r>
          </w:p>
        </w:tc>
        <w:tc>
          <w:tcPr>
            <w:tcW w:w="25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4"/>
            <w:vMerge w:val="continue"/>
          </w:tcPr>
          <w:p>
            <w:pPr>
              <w:spacing w:after="0"/>
              <w:rPr>
                <w:sz w:val="19"/>
                <w:szCs w:val="19"/>
                <w:color w:val="auto"/>
              </w:rPr>
            </w:pPr>
          </w:p>
        </w:tc>
        <w:tc>
          <w:tcPr>
            <w:tcW w:w="310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3,107</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3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520" w:type="dxa"/>
            <w:vAlign w:val="bottom"/>
            <w:vMerge w:val="restart"/>
          </w:tcPr>
          <w:p>
            <w:pPr>
              <w:jc w:val="right"/>
              <w:ind w:right="1212"/>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Securities Available for Sale</w:t>
            </w: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4"/>
          </w:tcPr>
          <w:p>
            <w:pPr>
              <w:jc w:val="center"/>
              <w:ind w:right="36"/>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350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Amounts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Paydowns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ind w:left="160"/>
              <w:spacing w:after="0"/>
              <w:rPr>
                <w:sz w:val="20"/>
                <w:szCs w:val="20"/>
                <w:color w:val="auto"/>
              </w:rPr>
            </w:pPr>
            <w:r>
              <w:rPr>
                <w:rFonts w:ascii="Arial" w:cs="Arial" w:eastAsia="Arial" w:hAnsi="Arial"/>
                <w:sz w:val="18"/>
                <w:szCs w:val="18"/>
                <w:color w:val="auto"/>
                <w:w w:val="86"/>
              </w:rPr>
              <w:t>350</w:t>
            </w:r>
          </w:p>
        </w:tc>
        <w:tc>
          <w:tcPr>
            <w:tcW w:w="8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March 31, 2012, December 31, 2011 and March 31, 2011, aggregated by the level in the fair value hierarchy within which those measurements fall </w:t>
      </w:r>
      <w:r>
        <w:rPr>
          <w:rFonts w:ascii="Arial" w:cs="Arial" w:eastAsia="Arial" w:hAnsi="Arial"/>
          <w:sz w:val="18"/>
          <w:szCs w:val="18"/>
          <w:i w:val="1"/>
          <w:iCs w:val="1"/>
          <w:color w:val="auto"/>
        </w:rPr>
        <w:t>(in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March 31, 2012</w:t>
            </w:r>
          </w:p>
        </w:tc>
        <w:tc>
          <w:tcPr>
            <w:tcW w:w="4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588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Loans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176,632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27,675</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204,307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rPr>
              <w:t>Loans</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0"/>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133,828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4"/>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0"/>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162,930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March 31, 2011</w:t>
            </w:r>
          </w:p>
        </w:tc>
        <w:tc>
          <w:tcPr>
            <w:tcW w:w="588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Loans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rPr>
              <w:t>Loans held for sale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80,629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4"/>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0"/>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165,972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9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43"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9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carrying amount and fair values for other financial instruments included in United’s balance sheet at March 31, 2012, December 31, 2011 and March 31, 2011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1"/>
              </w:rPr>
              <w:t>Fair Value Level</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84"/>
              </w:rPr>
              <w:t>Level 2</w:t>
            </w:r>
          </w:p>
        </w:tc>
        <w:tc>
          <w:tcPr>
            <w:tcW w:w="460" w:type="dxa"/>
            <w:vAlign w:val="bottom"/>
          </w:tcPr>
          <w:p>
            <w:pPr>
              <w:spacing w:after="0"/>
              <w:rPr>
                <w:sz w:val="12"/>
                <w:szCs w:val="12"/>
                <w:color w:val="auto"/>
              </w:rPr>
            </w:pPr>
          </w:p>
        </w:tc>
        <w:tc>
          <w:tcPr>
            <w:tcW w:w="780" w:type="dxa"/>
            <w:vAlign w:val="bottom"/>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2"/>
                <w:szCs w:val="12"/>
                <w:color w:val="auto"/>
              </w:rPr>
            </w:pPr>
          </w:p>
        </w:tc>
        <w:tc>
          <w:tcPr>
            <w:tcW w:w="8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Securities held to maturity</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  303,636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32"/>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318,490</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318,490</w:t>
            </w:r>
          </w:p>
        </w:tc>
        <w:tc>
          <w:tcPr>
            <w:tcW w:w="10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net</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4,013,965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3,825,482</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3,825,482</w:t>
            </w:r>
          </w:p>
        </w:tc>
        <w:tc>
          <w:tcPr>
            <w:tcW w:w="100" w:type="dxa"/>
            <w:vAlign w:val="bottom"/>
            <w:shd w:val="clear" w:color="auto" w:fill="CCEEFF"/>
          </w:tcPr>
          <w:p>
            <w:pPr>
              <w:spacing w:after="0"/>
              <w:rPr>
                <w:sz w:val="18"/>
                <w:szCs w:val="18"/>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5,986,925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5,986,925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Federal Home Loan Bank advances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215,125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217,033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217,033</w:t>
            </w:r>
          </w:p>
        </w:tc>
        <w:tc>
          <w:tcPr>
            <w:tcW w:w="10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113,891</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113,891</w:t>
            </w:r>
          </w:p>
        </w:tc>
        <w:tc>
          <w:tcPr>
            <w:tcW w:w="100" w:type="dxa"/>
            <w:vAlign w:val="bottom"/>
            <w:shd w:val="clear" w:color="auto" w:fill="CCEEFF"/>
          </w:tcPr>
          <w:p>
            <w:pPr>
              <w:spacing w:after="0"/>
              <w:rPr>
                <w:sz w:val="18"/>
                <w:szCs w:val="18"/>
                <w:color w:val="auto"/>
              </w:rPr>
            </w:pPr>
          </w:p>
        </w:tc>
      </w:tr>
      <w:tr>
        <w:trPr>
          <w:trHeight w:val="351"/>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8"/>
          </w:tcPr>
          <w:p>
            <w:pPr>
              <w:jc w:val="right"/>
              <w:ind w:right="472"/>
              <w:spacing w:after="0"/>
              <w:rPr>
                <w:sz w:val="20"/>
                <w:szCs w:val="20"/>
                <w:color w:val="auto"/>
              </w:rPr>
            </w:pPr>
            <w:r>
              <w:rPr>
                <w:rFonts w:ascii="Arial" w:cs="Arial" w:eastAsia="Arial" w:hAnsi="Arial"/>
                <w:sz w:val="14"/>
                <w:szCs w:val="14"/>
                <w:b w:val="1"/>
                <w:bCs w:val="1"/>
                <w:color w:val="auto"/>
              </w:rPr>
              <w:t>December 31, 2011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8"/>
          </w:tcPr>
          <w:p>
            <w:pPr>
              <w:ind w:left="80"/>
              <w:spacing w:after="0"/>
              <w:rPr>
                <w:sz w:val="20"/>
                <w:szCs w:val="20"/>
                <w:color w:val="auto"/>
              </w:rPr>
            </w:pPr>
            <w:r>
              <w:rPr>
                <w:rFonts w:ascii="Arial" w:cs="Arial" w:eastAsia="Arial" w:hAnsi="Arial"/>
                <w:sz w:val="14"/>
                <w:szCs w:val="14"/>
                <w:b w:val="1"/>
                <w:bCs w:val="1"/>
                <w:color w:val="auto"/>
              </w:rPr>
              <w:t>March 31, 2011</w:t>
            </w:r>
          </w:p>
        </w:tc>
      </w:tr>
      <w:tr>
        <w:trPr>
          <w:trHeight w:val="129"/>
        </w:trPr>
        <w:tc>
          <w:tcPr>
            <w:tcW w:w="4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Carrying</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360" w:type="dxa"/>
            <w:vAlign w:val="bottom"/>
            <w:gridSpan w:val="5"/>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6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Securities held to maturity</w:t>
            </w:r>
          </w:p>
        </w:tc>
        <w:tc>
          <w:tcPr>
            <w:tcW w:w="2480" w:type="dxa"/>
            <w:vAlign w:val="bottom"/>
            <w:gridSpan w:val="5"/>
          </w:tcPr>
          <w:p>
            <w:pPr>
              <w:jc w:val="right"/>
              <w:ind w:right="140"/>
              <w:spacing w:after="0"/>
              <w:rPr>
                <w:sz w:val="20"/>
                <w:szCs w:val="20"/>
                <w:color w:val="auto"/>
              </w:rPr>
            </w:pPr>
            <w:r>
              <w:rPr>
                <w:rFonts w:ascii="Arial" w:cs="Arial" w:eastAsia="Arial" w:hAnsi="Arial"/>
                <w:sz w:val="18"/>
                <w:szCs w:val="18"/>
                <w:color w:val="auto"/>
              </w:rPr>
              <w:t>$  330,203</w:t>
            </w:r>
          </w:p>
        </w:tc>
        <w:tc>
          <w:tcPr>
            <w:tcW w:w="5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343,531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245,430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248,361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net</w:t>
            </w:r>
          </w:p>
        </w:tc>
        <w:tc>
          <w:tcPr>
            <w:tcW w:w="2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3,995,146</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3,800,343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4,061,251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3,933,549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3"/>
        </w:trPr>
        <w:tc>
          <w:tcPr>
            <w:tcW w:w="4520" w:type="dxa"/>
            <w:vAlign w:val="bottom"/>
            <w:gridSpan w:val="2"/>
          </w:tcPr>
          <w:p>
            <w:pPr>
              <w:ind w:left="460"/>
              <w:spacing w:after="0"/>
              <w:rPr>
                <w:sz w:val="20"/>
                <w:szCs w:val="20"/>
                <w:color w:val="auto"/>
              </w:rPr>
            </w:pPr>
            <w:r>
              <w:rPr>
                <w:rFonts w:ascii="Arial" w:cs="Arial" w:eastAsia="Arial" w:hAnsi="Arial"/>
                <w:sz w:val="18"/>
                <w:szCs w:val="18"/>
                <w:color w:val="auto"/>
              </w:rPr>
              <w:t>Liabilities: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2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6,097,983</w:t>
            </w: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6,093,772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6,597,748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6,588,398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Federal Home Loan Bank advances</w:t>
            </w:r>
          </w:p>
        </w:tc>
        <w:tc>
          <w:tcPr>
            <w:tcW w:w="2480" w:type="dxa"/>
            <w:vAlign w:val="bottom"/>
            <w:gridSpan w:val="5"/>
          </w:tcPr>
          <w:p>
            <w:pPr>
              <w:jc w:val="right"/>
              <w:ind w:right="140"/>
              <w:spacing w:after="0"/>
              <w:rPr>
                <w:sz w:val="20"/>
                <w:szCs w:val="20"/>
                <w:color w:val="auto"/>
              </w:rPr>
            </w:pPr>
            <w:r>
              <w:rPr>
                <w:rFonts w:ascii="Arial" w:cs="Arial" w:eastAsia="Arial" w:hAnsi="Arial"/>
                <w:sz w:val="18"/>
                <w:szCs w:val="18"/>
                <w:color w:val="auto"/>
              </w:rPr>
              <w:t>40,625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43,236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58,965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2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120,225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115,327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124,603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3"/>
        </w:trPr>
        <w:tc>
          <w:tcPr>
            <w:tcW w:w="4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2011, as well as the following factors:</w:t>
      </w:r>
    </w:p>
    <w:p>
      <w:pPr>
        <w:spacing w:after="0" w:line="6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were to continue to deteriorate;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Treasury may change the terms of our fixed rate cumulative perpetual preferred stock, Series B (the “Series B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of the Dodd-Frank Wall Street Reform Act of 2010 and related regulations and other changes in financial services laws and regulations;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special assessment that may be imposed by the Federal Deposit Insurance Corporation (the “FDIC”) on all FDIC-insured institutions in the future, similar to the assessment in 2009 that decreased our earnings; and</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spacing w:after="0" w:line="13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United is a bank holding company registered with the Board of Governors of the Federal Reserve ( the “Federal Reserve Board”) under the Bank Holding Company Act of 1956 that was incorporated under the laws of the state of Georgia in 1987 and commenced operations in 1988. At March 31, 2012, United had total consolidated assets of $7.17 billion, total loans of $4.13 billion, excluding the loans acquired from Southern Community Bank (“SCB”) that are covered by loss sharing agreements and therefore have a different risk profile. United also had total deposits of $6.00 billion and shareholders’ equity of $580 million.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United’s activities are primarily conducted through its wholly-owned Georgia banking subsidiary, United Community Bank (the “Bank”), which operates under a community bank model that is organized as 27 “community banks” with local bank presidents and boards in north Georgia, the Atlanta, Georgia metropolitan statistical area (the “Atlanta MSA”), the Gainesville, Georgia metropolitan statistical area (the “Gainesville MSA”), coastal Georgia, western North Carolina, and east Tennessee.</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32.</w:t>
      </w:r>
    </w:p>
    <w:p>
      <w:pPr>
        <w:spacing w:after="0" w:line="14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United reported net income of $11.5 million for the first quarter of 2012, compared to a net loss of $237 million for the first quarter of 2011. Diluted earnings per common share was $.15 for the first quarter of 2012, compared to a diluted loss per common share of $13.00 for the first quarter of 2011. The first quarter of 2011 operating loss reflects United’s Board of Directors’ decision to adopt a problem asset disposition plan to quickly dispose of problem assets (the “Problem Asset Disposition Plan”) following United’s successful private placement in the first quarter of 2011 that raised $380 million in new capital (the “Private Placement”).</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United’s provision for loan losses was $15.0 million for the three months ended March 31, 2012, compared to $190 million for the same period in 2011. During the first quarter of 2011, performing substandard loans with a pre-charge down carrying amount of $166 million and nonperforming loans with a pre-charge down carrying amount of $101 million were collectively written down to the expected sales proceeds of $80.6 million in conjunction with the a bulk loan sale that was part of the Problem Asset Disposition Plan (the “Bulk Loan Sale”). Net charge-offs for the first quarter of 2012 were $15.9 million compared to $232 million for the first quarter of 2011, which were elevated due to the Problem Asset Disposition Plan. As of March 31, 2012, United’s allowance for loan losses was $114 million, or 2.75% of loans, compared to $133 million, or 3.17% of loans, at March 31, 2011. Nonperforming assets of $162 million, which excludes assets of SCB that are covered by loss sharing agreements with the FDIC, were 2.25% of total assets at March 31, 2012, compared to 2.30% as of December 31, 2011 and 1.79% as of March 31, 2011. United did not see a downward movement in the balance of nonperforming assets from the previous quarter, due to the winter months, which are typically slow for foreclosed property sales. However, during the first quarter of 2012, the inflow of new nonperforming loans slowed to $32.4 million compared with $45.7 million in the fourth quarter of 2011 and $54.7 million in the first quarter of 2011.</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Taxable equivalent net interest revenue was $58.9 million for the first quarter of 2012, compared to $56.4 million for the same period of 2011. The slight increase in net interest revenue was primarily the result of the $2.0 million reversal of accrued interest in the prior year on performing loans included in the Bulk Loan Sale and the 23 basis point improvement in net interest margin that was substantially offset by average loans declining $431 million from the preceding year. Net interest margin increased from 3.30% for the three months ended March 31, 2011 to 3.53% for the same period in 2012. Interest reversals on nonperforming loans that were moved to held for sale in the first quarter of 2011 reduced the first quarter 2011 net interest margin by 11 basis points. Over the past year, United has maintained above normal levels of liquidity. The level of excess liquidity lowered the margin by 53 basis points in the first quarter of 2012, compared to 49 basis points in the first quarter of 2011.</w:t>
      </w:r>
    </w:p>
    <w:p>
      <w:pPr>
        <w:spacing w:after="0" w:line="14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Fee revenue increased $3.54 million, or 30%, from the first quarter of 2011. The increase was due to an increase in service charges and fees, mortgage fees as well as other fee revenue, which included $1.1 million in interest for a 2008 federal tax refund.</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first quarter of 2012, operating expenses of $47.0 million were down $68.3 million from the first quarter of 2011. The decrease was primarily due to an elevated level of foreclosed property costs in 2011 in anticipation of the Problem Asset Disposition Plan. Foreclosed property costs were down $61.1 million from the first quarter of 2011. Professional fees were $1.36 million lower in the first quarter of 2012 compared to the same period last year, primarily due to fees related to the Private Placement and Bulk Loan Sale. In addition, FDIC assessments and other regulatory charges were down $2.90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the table on page 32.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First</w:t>
            </w:r>
          </w:p>
        </w:tc>
        <w:tc>
          <w:tcPr>
            <w:tcW w:w="0" w:type="dxa"/>
            <w:vAlign w:val="bottom"/>
          </w:tcPr>
          <w:p>
            <w:pPr>
              <w:spacing w:after="0"/>
              <w:rPr>
                <w:sz w:val="1"/>
                <w:szCs w:val="1"/>
                <w:color w:val="auto"/>
              </w:rPr>
            </w:pPr>
          </w:p>
        </w:tc>
      </w:t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29"/>
        </w:trPr>
        <w:tc>
          <w:tcPr>
            <w:tcW w:w="5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2"/>
              </w:rPr>
              <w:t>First</w:t>
            </w:r>
          </w:p>
        </w:tc>
        <w:tc>
          <w:tcPr>
            <w:tcW w:w="80" w:type="dxa"/>
            <w:vAlign w:val="bottom"/>
          </w:tcPr>
          <w:p>
            <w:pPr>
              <w:spacing w:after="0"/>
              <w:rPr>
                <w:sz w:val="11"/>
                <w:szCs w:val="11"/>
                <w:color w:val="auto"/>
              </w:rPr>
            </w:pPr>
          </w:p>
        </w:tc>
        <w:tc>
          <w:tcPr>
            <w:tcW w:w="8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9"/>
              </w:rPr>
              <w:t>Fourth</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1"/>
                <w:szCs w:val="11"/>
                <w:color w:val="auto"/>
              </w:rPr>
            </w:pPr>
          </w:p>
        </w:tc>
        <w:tc>
          <w:tcPr>
            <w:tcW w:w="10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First</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2012-2011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2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data; taxable equivalent)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0"/>
              </w:rPr>
              <w:t>Quarter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2"/>
                <w:szCs w:val="12"/>
                <w:color w:val="auto"/>
              </w:rPr>
            </w:pPr>
          </w:p>
        </w:tc>
        <w:tc>
          <w:tcPr>
            <w:tcW w:w="106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94"/>
              </w:rPr>
              <w:t>Quarter</w:t>
            </w: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INCOME SUMMARY</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70,221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71,905</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74,543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76,931</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75,965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19,573</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Net interest revenue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58,864</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59,281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56,392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8"/>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190,000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4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59,243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(121,770)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48,728</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115,271</w:t>
            </w:r>
          </w:p>
        </w:tc>
        <w:tc>
          <w:tcPr>
            <w:tcW w:w="4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12,288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(11,741)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(237,041)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(11,339)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(237,336)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Preferred dividends and discount accretion</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w w:val="91"/>
              </w:rPr>
              <w:t>Net income (loss) available to common shareholders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(14,358)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(240,114)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 MEASURES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Diluted income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Book value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11"/>
                <w:szCs w:val="11"/>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Key performance ratios: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 xml:space="preserve">Return on equity </w:t>
            </w:r>
            <w:r>
              <w:rPr>
                <w:rFonts w:ascii="Arial" w:cs="Arial" w:eastAsia="Arial" w:hAnsi="Arial"/>
                <w:sz w:val="11"/>
                <w:szCs w:val="11"/>
                <w:color w:val="auto"/>
              </w:rPr>
              <w:t>(1)(3)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(526.54)%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xml:space="preserve">Return on assets </w:t>
            </w:r>
            <w:r>
              <w:rPr>
                <w:rFonts w:ascii="Arial" w:cs="Arial" w:eastAsia="Arial" w:hAnsi="Arial"/>
                <w:sz w:val="11"/>
                <w:szCs w:val="11"/>
                <w:color w:val="auto"/>
              </w:rPr>
              <w:t>(3)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11"/>
                <w:szCs w:val="11"/>
                <w:color w:val="auto"/>
              </w:rPr>
              <w:t>(3)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3.30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Efficiency ratio</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169.08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Equity to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6.15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11"/>
                <w:szCs w:val="11"/>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880"/>
              <w:spacing w:after="0"/>
              <w:rPr>
                <w:sz w:val="20"/>
                <w:szCs w:val="20"/>
                <w:color w:val="auto"/>
              </w:rPr>
            </w:pPr>
            <w:r>
              <w:rPr>
                <w:rFonts w:ascii="Arial" w:cs="Arial" w:eastAsia="Arial" w:hAnsi="Arial"/>
                <w:sz w:val="18"/>
                <w:szCs w:val="18"/>
                <w:color w:val="auto"/>
              </w:rPr>
              <w:t xml:space="preserve">Tangible common equity to assets </w:t>
            </w:r>
            <w:r>
              <w:rPr>
                <w:rFonts w:ascii="Arial" w:cs="Arial" w:eastAsia="Arial" w:hAnsi="Arial"/>
                <w:sz w:val="11"/>
                <w:szCs w:val="11"/>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xml:space="preserve">Tangible common equity to risk-weighted assets </w:t>
            </w:r>
            <w:r>
              <w:rPr>
                <w:rFonts w:ascii="Arial" w:cs="Arial" w:eastAsia="Arial" w:hAnsi="Arial"/>
                <w:sz w:val="11"/>
                <w:szCs w:val="11"/>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ASSET QUALITY *</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Non-performing loans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129,704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127,479</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144,484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83,769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Foreclosed properties</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31,887</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47,584</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54,378</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non-performing assets (NPAs)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161,591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160,338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188,747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118,649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138,147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Allowance for loan losses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113,601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114,468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146,092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133,121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charge-offs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15,867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231,574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Allowance for loan losses to loans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11"/>
                <w:szCs w:val="11"/>
                <w:color w:val="auto"/>
              </w:rPr>
              <w:t>(3)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NPAs to loans and foreclosed properties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3.25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NPAs to total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1,625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Earning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6,902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7,045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7,379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6,560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454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Common shares—basic </w:t>
            </w:r>
            <w:r>
              <w:rPr>
                <w:rFonts w:ascii="Arial" w:cs="Arial" w:eastAsia="Arial" w:hAnsi="Arial"/>
                <w:sz w:val="18"/>
                <w:szCs w:val="18"/>
                <w:i w:val="1"/>
                <w:iCs w:val="1"/>
                <w:color w:val="auto"/>
              </w:rPr>
              <w:t>(thousands)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57,764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18,466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 xml:space="preserve">Common shares—diluted </w:t>
            </w:r>
            <w:r>
              <w:rPr>
                <w:rFonts w:ascii="Arial" w:cs="Arial" w:eastAsia="Arial" w:hAnsi="Arial"/>
                <w:sz w:val="18"/>
                <w:szCs w:val="18"/>
                <w:i w:val="1"/>
                <w:iCs w:val="1"/>
                <w:color w:val="auto"/>
              </w:rPr>
              <w:t>(thousands)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57,764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57,599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18,466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Loans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4,110</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4,110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4,163</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4,194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7,174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7,709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6,598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4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586</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Common shares outstanding </w:t>
            </w:r>
            <w:r>
              <w:rPr>
                <w:rFonts w:ascii="Arial" w:cs="Arial" w:eastAsia="Arial" w:hAnsi="Arial"/>
                <w:sz w:val="18"/>
                <w:szCs w:val="18"/>
                <w:i w:val="1"/>
                <w:iCs w:val="1"/>
                <w:color w:val="auto"/>
              </w:rPr>
              <w:t>(thousands)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57,603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660" w:hanging="452"/>
        <w:spacing w:after="0" w:line="269" w:lineRule="auto"/>
        <w:tabs>
          <w:tab w:leader="none" w:pos="4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Net loss available to common shareholders, which is net of preferred stock dividends, divided by average realized common equity, which excludes accumulated other comprehensive income (loss). </w:t>
      </w:r>
      <w:r>
        <w:rPr>
          <w:rFonts w:ascii="Arial" w:cs="Arial" w:eastAsia="Arial" w:hAnsi="Arial"/>
          <w:sz w:val="10"/>
          <w:szCs w:val="10"/>
          <w:color w:val="auto"/>
        </w:rPr>
        <w:t>(2)</w:t>
      </w:r>
      <w:r>
        <w:rPr>
          <w:rFonts w:ascii="Arial" w:cs="Arial" w:eastAsia="Arial" w:hAnsi="Arial"/>
          <w:sz w:val="15"/>
          <w:szCs w:val="15"/>
          <w:color w:val="auto"/>
        </w:rPr>
        <w:t xml:space="preserve"> Excludes effect of acquisition related intangibles and associated amortization. </w:t>
      </w:r>
      <w:r>
        <w:rPr>
          <w:rFonts w:ascii="Arial" w:cs="Arial" w:eastAsia="Arial" w:hAnsi="Arial"/>
          <w:sz w:val="10"/>
          <w:szCs w:val="10"/>
          <w:color w:val="auto"/>
        </w:rPr>
        <w:t>(3)</w:t>
      </w:r>
      <w:r>
        <w:rPr>
          <w:rFonts w:ascii="Arial" w:cs="Arial" w:eastAsia="Arial" w:hAnsi="Arial"/>
          <w:sz w:val="15"/>
          <w:szCs w:val="15"/>
          <w:color w:val="auto"/>
        </w:rPr>
        <w:t xml:space="preserve"> Annualized.</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w:t>
      </w:r>
    </w:p>
    <w:p>
      <w:pPr>
        <w:sectPr>
          <w:pgSz w:w="11900" w:h="16838" w:orient="portrait"/>
          <w:cols w:equalWidth="0" w:num="1">
            <w:col w:w="11420"/>
          </w:cols>
          <w:pgMar w:left="240" w:top="459" w:right="239" w:bottom="1103"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103"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Continued—Non-GAAP Performance Measures Reconciliation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1"/>
                <w:szCs w:val="11"/>
                <w:color w:val="auto"/>
              </w:rPr>
            </w:pPr>
          </w:p>
        </w:tc>
        <w:tc>
          <w:tcPr>
            <w:tcW w:w="98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90"/>
              </w:rPr>
              <w:t>Fourth</w:t>
            </w:r>
          </w:p>
        </w:tc>
        <w:tc>
          <w:tcPr>
            <w:tcW w:w="80" w:type="dxa"/>
            <w:vAlign w:val="bottom"/>
          </w:tcPr>
          <w:p>
            <w:pPr>
              <w:spacing w:after="0"/>
              <w:rPr>
                <w:sz w:val="11"/>
                <w:szCs w:val="11"/>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1"/>
                <w:szCs w:val="11"/>
                <w:color w:val="auto"/>
              </w:rPr>
            </w:pPr>
          </w:p>
        </w:tc>
        <w:tc>
          <w:tcPr>
            <w:tcW w:w="88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4"/>
              </w:rPr>
              <w:t>Second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data; taxable equivalent)</w:t>
            </w:r>
          </w:p>
        </w:tc>
        <w:tc>
          <w:tcPr>
            <w:tcW w:w="1060" w:type="dxa"/>
            <w:vAlign w:val="bottom"/>
          </w:tcPr>
          <w:p>
            <w:pPr>
              <w:spacing w:after="0"/>
              <w:rPr>
                <w:sz w:val="12"/>
                <w:szCs w:val="12"/>
                <w:color w:val="auto"/>
              </w:rPr>
            </w:pPr>
          </w:p>
        </w:tc>
        <w:tc>
          <w:tcPr>
            <w:tcW w:w="106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rPr>
              <w:t>Quarter</w:t>
            </w:r>
          </w:p>
        </w:tc>
        <w:tc>
          <w:tcPr>
            <w:tcW w:w="1060" w:type="dxa"/>
            <w:vAlign w:val="bottom"/>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0"/>
              </w:rPr>
              <w:t>Quarter</w:t>
            </w:r>
          </w:p>
        </w:tc>
        <w:tc>
          <w:tcPr>
            <w:tcW w:w="340" w:type="dxa"/>
            <w:vAlign w:val="bottom"/>
          </w:tcPr>
          <w:p>
            <w:pPr>
              <w:spacing w:after="0"/>
              <w:rPr>
                <w:sz w:val="12"/>
                <w:szCs w:val="12"/>
                <w:color w:val="auto"/>
              </w:rPr>
            </w:pPr>
          </w:p>
        </w:tc>
        <w:tc>
          <w:tcPr>
            <w:tcW w:w="88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Interest revenue reconciliation</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Interest revenue—taxable equivalent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70,221</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71,905</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74,543</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76,931</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75,965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Interest revenue (GAAP)</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69,775</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71,482</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74,123</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76,502</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75,530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Net interest revenue—taxable equivalent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58,864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59,050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59,281</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58,946</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56,392</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interest revenue (GAAP)</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58,418</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58,627</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58,861</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58,517</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55,957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59,243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57,717</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34,779</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61,851</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(121,770)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revenue (GAAP)</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58,797</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57,294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34,359</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61,422</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(122,205)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12,288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6,637</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(11,741)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13,123</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(237,041)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(loss) before taxes (GAAP)</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11,842</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6,214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(12,161)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12,694</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(237,476)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(3,264)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1,095</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tax (benefit) expense (GAAP)</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(3,687)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Tangible book value per common share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6.47</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Book value per common share (GAAP)</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6.62</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Tangible equity to assets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Equity to assets (GAAP)</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Tangible common equity to risk-weighted assets reconciliation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Tangible common equity to risk-weighted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other comprehensive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Effect of trust preferred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Tier I capital ratio (Regulatory)</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13.69 %</w:t>
            </w: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13.69 %</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13.62 %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vMerge w:val="restart"/>
          </w:tcPr>
          <w:p>
            <w:pPr>
              <w:jc w:val="right"/>
              <w:ind w:right="31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United reported net income of $11.5 million for the first quarter of 2012. This compared to a net loss of $237 million for the same period in 2011. For the first quarter of 2012, diluted earnings per common share was $.15. This compared to diluted loss per common share of $13.00 for the first quarter of 2011. The first quarter of 2011 operating loss reflects the Board of Directors’ decision to adopt the Problem Asset Disposition Plan to quickly dispose of problem assets following United’s successful Private Placement at the end of the first quarter of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March 31, 2012 was $58.9 million, up $2.47 million, or 4%, from the first quarter of 2011. The increase in net interest revenue for the first quarter of 2012 compared to the first quarter of 2011 was mostly due to interest reversals on performing substandard loans reclassified as held for sale in anticipation of the second quarter 2011 Bulk Loan Sale and the 23 basis point improvement in net interest margin that was substantially offset by average loans declining $431 million from the preceding year.</w:t>
      </w:r>
    </w:p>
    <w:p>
      <w:pPr>
        <w:spacing w:after="0" w:line="12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Average loans decreased $430 million, or 9%, from the first quarter of last year. The decrease in the average loan portfolio was a result of the Bulk Loan Sale completed in April 2011, where $80.6 million of loans were reclassified as held for sale in the first quarter of 2011. During the first quarter of 2012, United funded $131 million in new loans, compared with $52.6 million during the three months ended March 31, 2011.</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Average interest earning assets for the first quarter of 2012 decreased $202 million, or 3%, from the same period in 2011. The decrease of $430 million in average loans and $299 million in federal funds sold and other interest-earning assets was partially offset by increases of $528 million in the average investment securities portfolio. The increase in the securities portfolio was due to purchases of floating rate mortgage-backed securities in an effort to temporarily invest excess liquidity, including the proceeds from the new capital raised at the end of the first quarter of 2011. Average interest-bearing liabilities decreased $677 million, or 11%, from the first quarter of 2011 due to the rolling off of higher-cost brokered deposits and certificates of deposit as funding needs decreased. The average yield on interest earning assets for the three months ended March 31, 2012 was 4.21%, down 24 basis points from 4.45% for the same period of 2011. Interest reversals on performing loans classified as held for sale as part of the Bulk Loan Sale in 2011 reduced the 2011 yield on interest-earning assets by 11 basis points and therefore accounted for 11 basis points of the increase. The yield on the securities portfolio decreased 94 basis points due to the increasing balance of floating rate mortgage-backed securities to temporarily invest excess liquidity and accelerated prepayment of mortgage-backed securities which resulted in accelerated premium amortization and a reinvestment yield that was lower than the securities being replaced.</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average cost of interest bearing liabilities for the first quarter of 2012 was .85% compared to 1.32% for the same period in 2011, reflecting United’s concerted efforts to reduce deposit pricing. Also contributing to the overall lower rate on interest bearing liabilities was a shift in the mix of deposits away from more expensive time deposits toward lower-rate transaction deposits.</w:t>
      </w:r>
    </w:p>
    <w:p>
      <w:pPr>
        <w:spacing w:after="0" w:line="14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banking industry uses two key ratios to measure relative profitability of net interest revenue—the net interest spread and the net interest margin. The net interest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 earning assets, which takes into consideration the positive effect of funding a portion of interest earning assets with customers’ non-interest bearing deposits and with shareholders’ equity.</w:t>
      </w:r>
    </w:p>
    <w:p>
      <w:pPr>
        <w:spacing w:after="0" w:line="120"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For the three months ended March 31, 2012 and 2011, United’s net interest spread was 3.36% and 3.13%, respectively, while the net interest margin was 3.53% and 3.30%, respectively. Interest reversals on performing loans classified as held for sale as part of the Bulk Loan Sale reduced net interest margin by 11 basis points in 2011. Excess liquidity lowered the net interest margin by 53 basis points in the first quarter of 2012 and 49 basis points in the first quarter of 2011.</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2012 and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taxable equivalent)</w:t>
            </w:r>
          </w:p>
        </w:tc>
        <w:tc>
          <w:tcPr>
            <w:tcW w:w="1040" w:type="dxa"/>
            <w:vAlign w:val="bottom"/>
          </w:tcPr>
          <w:p>
            <w:pPr>
              <w:spacing w:after="0"/>
              <w:rPr>
                <w:sz w:val="12"/>
                <w:szCs w:val="12"/>
                <w:color w:val="auto"/>
              </w:rPr>
            </w:pPr>
          </w:p>
        </w:tc>
        <w:tc>
          <w:tcPr>
            <w:tcW w:w="94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ind w:left="80"/>
              <w:spacing w:after="0" w:line="143" w:lineRule="exact"/>
              <w:rPr>
                <w:sz w:val="20"/>
                <w:szCs w:val="20"/>
                <w:color w:val="auto"/>
              </w:rPr>
            </w:pPr>
            <w:r>
              <w:rPr>
                <w:rFonts w:ascii="Arial" w:cs="Arial" w:eastAsia="Arial" w:hAnsi="Arial"/>
                <w:sz w:val="14"/>
                <w:szCs w:val="14"/>
                <w:b w:val="1"/>
                <w:bCs w:val="1"/>
                <w:color w:val="auto"/>
                <w:w w:val="98"/>
              </w:rPr>
              <w:t>Avg.</w:t>
            </w:r>
          </w:p>
        </w:tc>
        <w:tc>
          <w:tcPr>
            <w:tcW w:w="400" w:type="dxa"/>
            <w:vAlign w:val="bottom"/>
          </w:tcPr>
          <w:p>
            <w:pPr>
              <w:spacing w:after="0"/>
              <w:rPr>
                <w:sz w:val="12"/>
                <w:szCs w:val="12"/>
                <w:color w:val="auto"/>
              </w:rPr>
            </w:pPr>
          </w:p>
        </w:tc>
        <w:tc>
          <w:tcPr>
            <w:tcW w:w="9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Avg.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8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8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Rate</w:t>
            </w: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8"/>
              </w:rPr>
              <w:t>Interest</w:t>
            </w:r>
          </w:p>
        </w:tc>
        <w:tc>
          <w:tcPr>
            <w:tcW w:w="300" w:type="dxa"/>
            <w:vAlign w:val="bottom"/>
          </w:tcPr>
          <w:p>
            <w:pPr>
              <w:spacing w:after="0"/>
              <w:rPr>
                <w:sz w:val="14"/>
                <w:szCs w:val="14"/>
                <w:color w:val="auto"/>
              </w:rPr>
            </w:pPr>
          </w:p>
        </w:tc>
        <w:tc>
          <w:tcPr>
            <w:tcW w:w="6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1"/>
                <w:szCs w:val="11"/>
                <w:color w:val="auto"/>
              </w:rPr>
              <w:t>(1)(2)</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$4,168,440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$55,842</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5.39 %</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$4,598,860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$61,070</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5.39 %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1"/>
                <w:szCs w:val="11"/>
                <w:color w:val="auto"/>
              </w:rPr>
              <w:t>(3)</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2,127,794</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12,754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1,599,481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13,345</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1"/>
                <w:szCs w:val="11"/>
                <w:color w:val="auto"/>
              </w:rPr>
              <w:t>(1)(3)</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25,438</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Federal funds sold and other interest-earning assets</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interest-earning assets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6,699,660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70,221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6,901,621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75,965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2"/>
        </w:trPr>
        <w:tc>
          <w:tcPr>
            <w:tcW w:w="5060" w:type="dxa"/>
            <w:vAlign w:val="bottom"/>
            <w:gridSpan w:val="3"/>
          </w:tcPr>
          <w:p>
            <w:pPr>
              <w:spacing w:after="0"/>
              <w:rPr>
                <w:sz w:val="20"/>
                <w:szCs w:val="20"/>
                <w:color w:val="auto"/>
              </w:rPr>
            </w:pPr>
            <w:r>
              <w:rPr>
                <w:rFonts w:ascii="Arial" w:cs="Arial" w:eastAsia="Arial" w:hAnsi="Arial"/>
                <w:sz w:val="18"/>
                <w:szCs w:val="18"/>
                <w:color w:val="auto"/>
              </w:rPr>
              <w:t>Non-interest-earning assets:</w:t>
            </w:r>
          </w:p>
        </w:tc>
        <w:tc>
          <w:tcPr>
            <w:tcW w:w="10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Allowance for loan losses</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(117,803)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Cash and due from banks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54,664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134,341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Premises and equipment</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174,849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179,353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1"/>
                <w:szCs w:val="11"/>
                <w:color w:val="auto"/>
              </w:rPr>
              <w:t>(3)</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7,045,046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7,379,029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NOW</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$1,458,112</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$1,373,142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640"/>
              <w:spacing w:after="0"/>
              <w:rPr>
                <w:sz w:val="20"/>
                <w:szCs w:val="20"/>
                <w:color w:val="auto"/>
              </w:rPr>
            </w:pPr>
            <w:r>
              <w:rPr>
                <w:rFonts w:ascii="Arial" w:cs="Arial" w:eastAsia="Arial" w:hAnsi="Arial"/>
                <w:sz w:val="18"/>
                <w:szCs w:val="18"/>
                <w:color w:val="auto"/>
              </w:rPr>
              <w:t>Money market</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1,069,658</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641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928,542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Savings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205,402</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187,423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640"/>
              <w:spacing w:after="0"/>
              <w:rPr>
                <w:sz w:val="20"/>
                <w:szCs w:val="20"/>
                <w:color w:val="auto"/>
              </w:rPr>
            </w:pPr>
            <w:r>
              <w:rPr>
                <w:rFonts w:ascii="Arial" w:cs="Arial" w:eastAsia="Arial" w:hAnsi="Arial"/>
                <w:sz w:val="18"/>
                <w:szCs w:val="18"/>
                <w:color w:val="auto"/>
              </w:rPr>
              <w:t>Time less than $100,000</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1,271,351</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3,026</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1,540,342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5,451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Time greater than $100,000</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821,164</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2,415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990,881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640"/>
              <w:spacing w:after="0"/>
              <w:rPr>
                <w:sz w:val="20"/>
                <w:szCs w:val="20"/>
                <w:color w:val="auto"/>
              </w:rPr>
            </w:pPr>
            <w:r>
              <w:rPr>
                <w:rFonts w:ascii="Arial" w:cs="Arial" w:eastAsia="Arial" w:hAnsi="Arial"/>
                <w:sz w:val="18"/>
                <w:szCs w:val="18"/>
                <w:color w:val="auto"/>
              </w:rPr>
              <w:t>Brokered</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1.79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4,987,022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5,718,618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640"/>
              <w:spacing w:after="0"/>
              <w:rPr>
                <w:sz w:val="20"/>
                <w:szCs w:val="20"/>
                <w:color w:val="auto"/>
              </w:rPr>
            </w:pPr>
            <w:r>
              <w:rPr>
                <w:rFonts w:ascii="Arial" w:cs="Arial" w:eastAsia="Arial" w:hAnsi="Arial"/>
                <w:sz w:val="18"/>
                <w:szCs w:val="18"/>
                <w:color w:val="auto"/>
              </w:rPr>
              <w:t>Federal funds purchased and other borrowings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102,258</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1,045</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4.11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101,097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Federal Home Loan Bank advances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138,372</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640"/>
              <w:spacing w:after="0"/>
              <w:rPr>
                <w:sz w:val="20"/>
                <w:szCs w:val="20"/>
                <w:color w:val="auto"/>
              </w:rPr>
            </w:pPr>
            <w:r>
              <w:rPr>
                <w:rFonts w:ascii="Arial" w:cs="Arial" w:eastAsia="Arial" w:hAnsi="Arial"/>
                <w:sz w:val="18"/>
                <w:szCs w:val="18"/>
                <w:color w:val="auto"/>
              </w:rPr>
              <w:t>Long-term debt</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7.93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borrowed funds</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5,347,889</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11,357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6,024,997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19,573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Non-interest-bearing deposits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1,040,587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841,351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6,468,088</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6,924,982</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7,045,046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7,379,029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58,864</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56,392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color w:val="auto"/>
              </w:rPr>
              <w:t>Net interest-rate spread</w:t>
            </w: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auto"/>
              </w:rPr>
              <w:t>3.36 %</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3"/>
            <w:vMerge w:val="restart"/>
          </w:tcPr>
          <w:p>
            <w:pPr>
              <w:ind w:left="340"/>
              <w:spacing w:after="0"/>
              <w:rPr>
                <w:sz w:val="20"/>
                <w:szCs w:val="20"/>
                <w:color w:val="auto"/>
              </w:rPr>
            </w:pPr>
            <w:r>
              <w:rPr>
                <w:rFonts w:ascii="Arial" w:cs="Arial" w:eastAsia="Arial" w:hAnsi="Arial"/>
                <w:sz w:val="18"/>
                <w:szCs w:val="18"/>
                <w:color w:val="auto"/>
                <w:w w:val="96"/>
              </w:rPr>
              <w:t>3.13 %</w:t>
            </w:r>
          </w:p>
        </w:tc>
        <w:tc>
          <w:tcPr>
            <w:tcW w:w="0" w:type="dxa"/>
            <w:vAlign w:val="bottom"/>
          </w:tcPr>
          <w:p>
            <w:pPr>
              <w:spacing w:after="0" w:line="20" w:lineRule="exact"/>
              <w:rPr>
                <w:sz w:val="1"/>
                <w:szCs w:val="1"/>
                <w:color w:val="auto"/>
              </w:rPr>
            </w:pPr>
          </w:p>
        </w:tc>
      </w:tr>
      <w:tr>
        <w:trPr>
          <w:trHeight w:val="209"/>
        </w:trPr>
        <w:tc>
          <w:tcPr>
            <w:tcW w:w="50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1"/>
                <w:szCs w:val="11"/>
                <w:color w:val="auto"/>
              </w:rPr>
              <w:t>(4)</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3.53 %</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3.30 %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80" w:hanging="452"/>
        <w:spacing w:after="0" w:line="228"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2"/>
          <w:szCs w:val="22"/>
          <w:color w:val="auto"/>
          <w:vertAlign w:val="superscript"/>
        </w:rPr>
      </w:pPr>
    </w:p>
    <w:p>
      <w:pPr>
        <w:ind w:left="460" w:hanging="452"/>
        <w:spacing w:after="0" w:line="225" w:lineRule="auto"/>
        <w:tabs>
          <w:tab w:leader="none" w:pos="46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8" w:lineRule="exact"/>
        <w:rPr>
          <w:rFonts w:ascii="Arial" w:cs="Arial" w:eastAsia="Arial" w:hAnsi="Arial"/>
          <w:sz w:val="20"/>
          <w:szCs w:val="20"/>
          <w:color w:val="auto"/>
          <w:vertAlign w:val="superscript"/>
        </w:rPr>
      </w:pPr>
    </w:p>
    <w:p>
      <w:pPr>
        <w:ind w:left="460" w:right="200" w:hanging="452"/>
        <w:spacing w:after="0" w:line="221"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Securities available for sale are shown at amortized cost. Pretax unrealized gains of $23.6 million in 2012 and $27.2 million in 2011 are included in other assets for purposes of this presentation.</w:t>
      </w:r>
    </w:p>
    <w:p>
      <w:pPr>
        <w:ind w:left="460" w:hanging="452"/>
        <w:spacing w:after="0" w:line="20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changes in each category.</w:t>
      </w:r>
    </w:p>
    <w:p>
      <w:pPr>
        <w:spacing w:after="0" w:line="215" w:lineRule="exact"/>
        <w:rPr>
          <w:sz w:val="20"/>
          <w:szCs w:val="20"/>
          <w:color w:val="auto"/>
        </w:rPr>
      </w:pPr>
    </w:p>
    <w:p>
      <w:pPr>
        <w:ind w:right="5300"/>
        <w:spacing w:after="0" w:line="275" w:lineRule="auto"/>
        <w:rPr>
          <w:sz w:val="20"/>
          <w:szCs w:val="20"/>
          <w:color w:val="auto"/>
        </w:rPr>
      </w:pPr>
      <w:r>
        <w:rPr>
          <w:rFonts w:ascii="Arial" w:cs="Arial" w:eastAsia="Arial" w:hAnsi="Arial"/>
          <w:sz w:val="18"/>
          <w:szCs w:val="18"/>
          <w:b w:val="1"/>
          <w:bCs w:val="1"/>
          <w:color w:val="auto"/>
        </w:rPr>
        <w:t xml:space="preserve">Table 3—Change in Interest Revenue and Expense on a Taxable Equivalent Basis </w:t>
      </w:r>
      <w:r>
        <w:rPr>
          <w:rFonts w:ascii="Arial" w:cs="Arial" w:eastAsia="Arial" w:hAnsi="Arial"/>
          <w:sz w:val="18"/>
          <w:szCs w:val="18"/>
          <w:i w:val="1"/>
          <w:iCs w:val="1"/>
          <w:color w:val="auto"/>
        </w:rPr>
        <w:t>(in thousands)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9"/>
              </w:rPr>
              <w:t>Three Months Ended March 31, 2012</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Compared to 2011</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Increase (decrease)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6"/>
              </w:rPr>
              <w:t>Due to Changes in</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74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Volume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Interest-earning assets:</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(5,762)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(5,228)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(4,329)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Tax-exempt securities</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(2,677)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(3,067)</w:t>
            </w:r>
          </w:p>
        </w:tc>
        <w:tc>
          <w:tcPr>
            <w:tcW w:w="1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(5,744)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NOW accounts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(1,656)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(1,387)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(1,582)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(2,425)</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(1,102)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(1,736)</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(2,109)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(1,412)</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20"/>
              <w:spacing w:after="0"/>
              <w:rPr>
                <w:sz w:val="20"/>
                <w:szCs w:val="20"/>
                <w:color w:val="auto"/>
              </w:rPr>
            </w:pPr>
            <w:r>
              <w:rPr>
                <w:rFonts w:ascii="Arial" w:cs="Arial" w:eastAsia="Arial" w:hAnsi="Arial"/>
                <w:sz w:val="18"/>
                <w:szCs w:val="18"/>
                <w:color w:val="auto"/>
              </w:rPr>
              <w:t>Total interest-bearing deposits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(3,234)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(4,453)</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(7,687)</w:t>
            </w:r>
          </w:p>
        </w:tc>
        <w:tc>
          <w:tcPr>
            <w:tcW w:w="0" w:type="dxa"/>
            <w:vAlign w:val="bottom"/>
          </w:tcPr>
          <w:p>
            <w:pPr>
              <w:spacing w:after="0"/>
              <w:rPr>
                <w:sz w:val="1"/>
                <w:szCs w:val="1"/>
                <w:color w:val="auto"/>
              </w:rPr>
            </w:pPr>
          </w:p>
        </w:tc>
      </w:tr>
      <w:tr>
        <w:trPr>
          <w:trHeight w:val="28"/>
        </w:trPr>
        <w:tc>
          <w:tcPr>
            <w:tcW w:w="6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20"/>
              <w:spacing w:after="0"/>
              <w:rPr>
                <w:sz w:val="20"/>
                <w:szCs w:val="20"/>
                <w:color w:val="auto"/>
              </w:rPr>
            </w:pPr>
            <w:r>
              <w:rPr>
                <w:rFonts w:ascii="Arial" w:cs="Arial" w:eastAsia="Arial" w:hAnsi="Arial"/>
                <w:sz w:val="18"/>
                <w:szCs w:val="18"/>
                <w:color w:val="auto"/>
              </w:rPr>
              <w:t>Total borrowed funds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8"/>
        </w:trPr>
        <w:tc>
          <w:tcPr>
            <w:tcW w:w="6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(3,332)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(4,884)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(8,216)</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Increase in net interest revenue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the end of each reporting period. The provision for loan losses was $15.0 million for the first quarter of 2012, compared with $190 million for the same period in 2011. The decrease in the provision for loan losses compared to a year ago was primarily due to the increased level of charge-offs in the first quarter of 2011 recorded in conjunction with the Problem Asset Disposition Plan and transfer of loans to the held for sale category in anticipation of the Bulk Loan Sale, as well as decreasing risk in the loan portfolio evidenced by a general trend of declining loss rates across the portfolio. The amount of provision recorded in each period was the amount required such that the total allowance for loan losses reflected the appropriate balance, in the estimation of management, and was sufficient to cover inherent losses in the loan portfolio. For the three months ended March 31, 2012 net loan charge-offs to average outstanding loans were 1.55%, compared to 20.71% for the same period in 2011. When charge-offs specifically related to loans transferred to the held for sale classification are excluded, the charge-off rate for the first quarter of 2011 was 4.08%.</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the residential construction and housing markets have struggled, it has been difficult for many builders and developers to obtain cash flow needed to service debt from selling lots and houses. This deterioration of the residential construction and housing market was the primary factor that resulted in higher credit losses and an increase in nonperforming assets over the last four years. Although a majority of the loan charge-offs have been within the residential construction and development portion of the portfolio, credit quality deterioration has migrated to other loan categories as pressure resulting from economic conditions has persisted and unemployment levels have remained high throughout United’s markets. Additional discussion on credit quality and the allowance for loan losses is included in the “Asset Quality and Risk Elements” section of this report on page 39.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Fee revenue for the three months ended March 31, 2012 was $15.4 million, an increase of $3.54 million, or 30%, from the same period of 2011. The following table presents the components of fee revenue for the first quarters of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4—Fee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Overdraft fees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Debit card fees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3,102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572</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440"/>
              <w:spacing w:after="0"/>
              <w:rPr>
                <w:sz w:val="20"/>
                <w:szCs w:val="20"/>
                <w:color w:val="auto"/>
              </w:rPr>
            </w:pPr>
            <w:r>
              <w:rPr>
                <w:rFonts w:ascii="Arial" w:cs="Arial" w:eastAsia="Arial" w:hAnsi="Arial"/>
                <w:sz w:val="18"/>
                <w:szCs w:val="18"/>
                <w:color w:val="auto"/>
              </w:rPr>
              <w:t>Service charges and fees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1"/>
        </w:trPr>
        <w:tc>
          <w:tcPr>
            <w:tcW w:w="454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7,783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1,063</w:t>
            </w:r>
          </w:p>
        </w:tc>
        <w:tc>
          <w:tcPr>
            <w:tcW w:w="4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Brokerage fees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Losses from prepayment of debt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(1,188)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4,494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2,905</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fee revenue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15,379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Service charges and fees of $7.78 million were up $1.06 million, or 16%, from the first quarter of 2011. The increase was primarily due new service fees on deposit accounts that became effective in the first quarter of 2012. A $265,000 decrease in overdraft fees was partially offset by these new fees and by $572,000 in higher debit card interchange revenue.</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Mortgage loans and related fees for the first quarter of 2012 were up $605,000, or 40%, from the same period in 2011. In the first quarter of 2012, United closed 517 loans totaling $81.7 million compared with 481 loans totaling $74.5 million in the first quarter of 2011. The comparison to the prior period is largely influenced by the interest rate environment and refinancing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United recognized net securities gains of $557,000 and $55,000, respectively, for the three months ended March 31, 2012 and 2011. United also recognized</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$482,000 in charges from the prepayment of Federal Home Loan Bank advances in the first quarter of 2012. The prepayment charges were the result of the same balance sheet management activities that resulted in the securities gains. The securities gains and prepayment charges are mostly offsetting and had little net impact on the first quarter of 2012 financial results.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three months ended March 31, 2012, United recognized $115,000 in revenue from hedge ineffectiveness compared with $1.30 million in revenue from hedge ineffectiveness in 2011. Most of the hedge ineffectiveness in 2011 and 2012 related to terminated cash flow hedges where the gains realized on the terminated positions are being deferred over the original term of the derivative instrument. The ineffectiveness, which is caused by a decrease in qualifying prime-based loans, results in the accelerated recognition of the deferred gains.</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 fee revenue of $4.49 million for the first quarter of 2012 was up $2.91 million from the three months ended March 31, 2011. During the first quarter of 2012, United recognized $1.10 million in interest on a 2008 federal tax refund. United also recognized a $728,000 gain from the sale of low income housing tax credits and a $300,000 positive mark to market adjustment on mutual fund investments in the first quarter of 2012.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months ended March 31,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20" w:type="dxa"/>
            <w:vAlign w:val="bottom"/>
            <w:gridSpan w:val="5"/>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Salaries and employee benefits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$25,225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24,924</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580" w:type="dxa"/>
            <w:vAlign w:val="bottom"/>
          </w:tcPr>
          <w:p>
            <w:pPr>
              <w:jc w:val="right"/>
              <w:spacing w:after="0"/>
              <w:rPr>
                <w:sz w:val="20"/>
                <w:szCs w:val="20"/>
                <w:color w:val="auto"/>
              </w:rPr>
            </w:pPr>
            <w:r>
              <w:rPr>
                <w:rFonts w:ascii="Arial" w:cs="Arial" w:eastAsia="Arial" w:hAnsi="Arial"/>
                <w:sz w:val="18"/>
                <w:szCs w:val="18"/>
                <w:color w:val="auto"/>
              </w:rPr>
              <w:t>3,155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(189)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(1,355)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FDIC assessments and other regulatory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40"/>
              <w:spacing w:after="0"/>
              <w:rPr>
                <w:sz w:val="20"/>
                <w:szCs w:val="20"/>
                <w:color w:val="auto"/>
              </w:rPr>
            </w:pPr>
            <w:r>
              <w:rPr>
                <w:rFonts w:ascii="Arial" w:cs="Arial" w:eastAsia="Arial" w:hAnsi="Arial"/>
                <w:sz w:val="18"/>
                <w:szCs w:val="18"/>
                <w:color w:val="auto"/>
              </w:rPr>
              <w:t>Total excluding foreclosed property expenses and loss on NPA sale</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50,372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(7,242)</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losses on sales of foreclosed properties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12,020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(11,927)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Foreclosed property write downs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48,585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(46,474)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 maintenance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46,955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115,271</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(68,316)</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expenses for the first quarter of 2012 totaled $46.9 million, down $68.3 million, or 59%, from the first quarter of 2011, mostly reflecting a higher level of foreclosed property losses incurred in connection with United’s Problem Asset Disposition Plan in the prior year. Excluding foreclosed property costs, total operating expenses were $43.1 million, down $7.24 million, or 14%, from a year ago.</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Salaries and employee benefits for the first quarter of 2012 were $25.2 million, up $301,000, or 1%, from the same period of 2011. The increase was primarily due to a lower level of deferred direct loan origination costs and higher incentive compensation. Headcount totaled 1,707 at March 31, 2012, compared to 1,815 at March 31, 2011 and 1,754 at December 31, 2011, reflecting staff reductions in the second half of 2011 and 2012 relating to United’s efficiency program.</w:t>
      </w:r>
    </w:p>
    <w:p>
      <w:pPr>
        <w:spacing w:after="0" w:line="1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Occupancy expense of $3.77 million for the first quarter of 2012 was down $303,000, or 7%, compared to the first quarter of 2011. The decrease was due to lower costs for utilities, insurance premiums and depreciation.</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Postage, printing and supplies expense for the first quarter of 2012 totaled $979,000, down $139,000, or 12%, from the same period of 2011. The decrease was primarily due to lower outside courier expenses primarily as a result of further use of branch capture and imaging technology.</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Professional fees were $1.98 million for the three months ended March 31, 2012, a decrease of $1.36 million, or 41%, from 2011. The decrease was primarily due to professional services costs associated with the Bulk Loan Sale incurred in the first quarter of 2011.</w:t>
      </w:r>
    </w:p>
    <w:p>
      <w:pPr>
        <w:spacing w:after="0" w:line="132"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FDIC assessments and other regulatory charges expense for the first quarter of 2012 was $2.51 million, a decrease of $2.90 million from 2011, reflecting a decrease in United’s assessment rate and the change from a deposit-based assessment to an asset-based assessment which became effective for all insured depository institutions on April 1, 2011.</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Losses on sale of foreclosed property totaled $93,000 for the three months ended March 31, 2012, compared to $12.0 million for the same period in 2011, which were elevated due to the Problem Asset Disposition Plan. Foreclosed property write-downs for the first quarter of 2012 were $2.11 million, a decrease of $46.5 million compared to the prior year, also due to the Problem Asset Disposition Plan. The foreclosure and carrying costs category includes legal fees, property taxes, marketing costs, utility services, maintenance and repair charges. These expenses totaled $1.62 million for the first quarter of 2012, compared to $4.29 million for the same period in 2011.</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Other expenses totaled $3.94 million for the three months ended March 31, 2012, a decrease of $2.49 million, or 39%, from the same period of 2011, primarily due to higher property taxes and other loan collateral costs incurred to prepare loans for the Bulk Loan Sale in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Income tax expense was $314,000 in the first quarter of 2011, compared to income tax benefit of $140,000 for the first quarter of 2011, representing an effective tax rate of approximately 2.7% and .1% for each period, respectively. Because of the full valuation allowance on United’s net deferred tax asset, United’s tax expense on its pre-tax earnings represents adjustments to its reserve for uncertain tax positions and amounts payable under the Federal Alternative Minimum Tax.</w:t>
      </w:r>
    </w:p>
    <w:p>
      <w:pPr>
        <w:spacing w:after="0" w:line="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At March 31, 2012, United reported no net deferred tax asset due to a full valuation allowance of $274 million. The Financial Accounting Standards Board’s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The deferred tax assets are analyzed quarterly for changes affecting realizabilty. Because management has determined that the objective negative evidence outweighs the positive evidence, management has established a full valuation allowance against its net deferred tax asset.</w:t>
      </w:r>
    </w:p>
    <w:p>
      <w:pPr>
        <w:spacing w:after="0" w:line="11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Management will continue to evaluate and weigh the positive and negative evidence going forward and, if the weight of evidence shifts such that the positive evidence outweighs the negative evidence, the valuation allowance will be adjusted or completely reversed as appropriate.</w:t>
      </w:r>
    </w:p>
    <w:p>
      <w:pPr>
        <w:spacing w:after="0" w:line="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February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of the Internal Revenue Code.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tax benefits preservation plan in February 2011, United entered into a share exchange agreement with the Elm Ridge Offshore Master Fund. Ltd. And Elm Ridge Value Partners, L.P. (collectively, the “Elm Ridge Parties”) to transfer to the Company 1,551,126 shares of United’s common stock in exchange for 16,613 shares of United’s cumulative perpetual preferred stock, Series D (the “Series D preferred stock”) and warrants to purchase 1,551,126 shares of common stock at $12.50 per share. The warrants can be exercised after October 1, 2012 and expire on August 22, 2013. Prior to entering into the share exchange agreement, collectively, the Elm Ridge Parties were United’s largest shareholder. By exchanging the Elm Ridge Parties’ common stock for the Series D preferred stock and warrants, United eliminated its only “5-percent shareholder” and, as a result, obtained further protection against an ownership change under Section 382.</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15 to the consolidated financial statements filed with United’s Annual Report on Form 10-K for the year ended December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assets at March 31, 2012, December 31, 2011 and March 31, 2011 were $7.17 billion, $6.98 billion, and $7.71 billion, respectively. Average total assets for the first quarter of 2012 were $7.05 billion, down from $7.38 billion in the first quarter of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6—Loans Outstanding (excludes loans covered by loss share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December 31,</w:t>
            </w:r>
          </w:p>
        </w:tc>
        <w:tc>
          <w:tcPr>
            <w:tcW w:w="2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By Loan Type</w:t>
            </w: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$1,843,207</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$1,821,414</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$1,692,154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439,496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428,249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431,473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167,122</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164,155</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2,449,825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2,413,818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Residential mortgage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1,131,248</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1,134,902</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1,186,531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435,375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448,391</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549,618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Consumer installment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111,118</w:t>
            </w:r>
          </w:p>
        </w:tc>
        <w:tc>
          <w:tcPr>
            <w:tcW w:w="360" w:type="dxa"/>
            <w:vAlign w:val="bottom"/>
          </w:tcPr>
          <w:p>
            <w:pPr>
              <w:spacing w:after="0"/>
              <w:rPr>
                <w:sz w:val="18"/>
                <w:szCs w:val="18"/>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112,503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121,419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loans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4,127,566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4,194,372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(secured by real estate)</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Commercial &amp; industrial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construction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880"/>
              <w:spacing w:after="0"/>
              <w:rPr>
                <w:sz w:val="20"/>
                <w:szCs w:val="20"/>
                <w:color w:val="auto"/>
              </w:rPr>
            </w:pPr>
            <w:r>
              <w:rPr>
                <w:rFonts w:ascii="Arial" w:cs="Arial" w:eastAsia="Arial" w:hAnsi="Arial"/>
                <w:sz w:val="18"/>
                <w:szCs w:val="18"/>
                <w:color w:val="auto"/>
              </w:rPr>
              <w:t>Total commercial</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Residential construction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installment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North Georgia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$1,407,701</w:t>
            </w:r>
          </w:p>
        </w:tc>
        <w:tc>
          <w:tcPr>
            <w:tcW w:w="360" w:type="dxa"/>
            <w:vAlign w:val="bottom"/>
          </w:tcPr>
          <w:p>
            <w:pPr>
              <w:spacing w:after="0"/>
              <w:rPr>
                <w:sz w:val="18"/>
                <w:szCs w:val="18"/>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$1,425,811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$1,531,279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1,238,622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1,219,652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1,179,362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North Carolina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587,790</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597,446</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639,897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365,943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346,189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Gainesville MSA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262,055</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264,567</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281,591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265,455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255,949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440"/>
              <w:spacing w:after="0"/>
              <w:rPr>
                <w:sz w:val="20"/>
                <w:szCs w:val="20"/>
                <w:color w:val="auto"/>
              </w:rPr>
            </w:pPr>
            <w:r>
              <w:rPr>
                <w:rFonts w:ascii="Arial" w:cs="Arial" w:eastAsia="Arial" w:hAnsi="Arial"/>
                <w:sz w:val="18"/>
                <w:szCs w:val="18"/>
                <w:color w:val="auto"/>
              </w:rPr>
              <w:t>Total loans</w:t>
            </w: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4,127,566</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3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4,194,372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Substantially all of United’s loans are to customers (including customers who have a seasonal residence in United’s market areas) located in the immediate market areas of its community banks in Georgia, North Carolina, and Tennessee, and more than 85% of the loans are secured by real estate. At March 31, 2012, total loans, excluding loans acquired from SCB that are covered by loss sharing agreements with the FDIC and loans classified as held for sale, were $4.13 billion, an increase of $18.0 million from December 31, 2011 and a decrease of $66.8 million, or 2%, from March 31, 2011. The rate of loan growth began to decline in the first quarter of 2007, and the balances have continued to decline through the subsequent years. In the fourth quarter of 2011, the loan portfolio began to stabilize indicating a possible inflection point upon which loan growth is expected to return. The deterioration over the past five years resulted in part from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continued to pursue lending opportunities which resulted in $131 million in new loans funded during the first quarter of 2012 and net positive loan growth of $18 million in the first quarter of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United’s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 for the year ended December 31,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7—Performing Substandard Loans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98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96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By Category</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Commercial (sec. by RE)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$133,840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143,058</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134,356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$ 117,525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$ 119,651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31,347</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commercial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174,313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177,321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185,754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Residential mortgage</w:t>
            </w:r>
          </w:p>
        </w:tc>
        <w:tc>
          <w:tcPr>
            <w:tcW w:w="660" w:type="dxa"/>
            <w:vAlign w:val="bottom"/>
          </w:tcPr>
          <w:p>
            <w:pPr>
              <w:jc w:val="right"/>
              <w:spacing w:after="0"/>
              <w:rPr>
                <w:sz w:val="20"/>
                <w:szCs w:val="20"/>
                <w:color w:val="auto"/>
              </w:rPr>
            </w:pPr>
            <w:r>
              <w:rPr>
                <w:rFonts w:ascii="Arial" w:cs="Arial" w:eastAsia="Arial" w:hAnsi="Arial"/>
                <w:sz w:val="18"/>
                <w:szCs w:val="18"/>
                <w:color w:val="auto"/>
              </w:rPr>
              <w:t>75,736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76,442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70,396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Consumer installment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316,933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328,469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341,343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$ 313,113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$131,253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134,945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156,063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Atlanta MSA</w:t>
            </w:r>
          </w:p>
        </w:tc>
        <w:tc>
          <w:tcPr>
            <w:tcW w:w="660" w:type="dxa"/>
            <w:vAlign w:val="bottom"/>
          </w:tcPr>
          <w:p>
            <w:pPr>
              <w:jc w:val="right"/>
              <w:spacing w:after="0"/>
              <w:rPr>
                <w:sz w:val="20"/>
                <w:szCs w:val="20"/>
                <w:color w:val="auto"/>
              </w:rPr>
            </w:pPr>
            <w:r>
              <w:rPr>
                <w:rFonts w:ascii="Arial" w:cs="Arial" w:eastAsia="Arial" w:hAnsi="Arial"/>
                <w:sz w:val="18"/>
                <w:szCs w:val="18"/>
                <w:color w:val="auto"/>
              </w:rPr>
              <w:t>94,191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99,453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97,906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Coastal Georgia</w:t>
            </w:r>
          </w:p>
        </w:tc>
        <w:tc>
          <w:tcPr>
            <w:tcW w:w="660" w:type="dxa"/>
            <w:vAlign w:val="bottom"/>
          </w:tcPr>
          <w:p>
            <w:pPr>
              <w:jc w:val="right"/>
              <w:spacing w:after="0"/>
              <w:rPr>
                <w:sz w:val="20"/>
                <w:szCs w:val="20"/>
                <w:color w:val="auto"/>
              </w:rPr>
            </w:pPr>
            <w:r>
              <w:rPr>
                <w:rFonts w:ascii="Arial" w:cs="Arial" w:eastAsia="Arial" w:hAnsi="Arial"/>
                <w:sz w:val="18"/>
                <w:szCs w:val="18"/>
                <w:color w:val="auto"/>
              </w:rPr>
              <w:t>19,342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24,985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22,945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East Tennessee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loans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316,933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328,469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341,343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$ 313,113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 March 31, 2012, performing substandard loans totaled $317 million and decreased $6.04 million from a year ago. Most of the decrease occurred in United’s Atlanta MSA and north Georgia markets and was primarily in the residential construction category.</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Reviews of substandard performing and non-performing loans, troubled debt restructures, past due loans and larger credits, are conducted on a weekly, monthly or quarterly basis with management and are designed to identify risk migration and potential charges to the allowance for loan losses. These reviews are performed by the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In addition to United’s internal loan review, United also uses external loan review to ensure the independence of the loan review process.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allowance for loan losses for the three months ended March 31,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8—Allowance for Loan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w w:val="98"/>
              </w:rPr>
              <w:t>Asset Disposition Plan</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503"/>
              <w:spacing w:after="0" w:line="142"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520" w:type="dxa"/>
            <w:vAlign w:val="bottom"/>
            <w:tcBorders>
              <w:top w:val="single" w:sz="8" w:color="auto"/>
              <w:bottom w:val="single" w:sz="8" w:color="auto"/>
            </w:tcBorders>
            <w:gridSpan w:val="5"/>
          </w:tcPr>
          <w:p>
            <w:pPr>
              <w:jc w:val="right"/>
              <w:ind w:right="195"/>
              <w:spacing w:after="0" w:line="125" w:lineRule="exact"/>
              <w:rPr>
                <w:sz w:val="20"/>
                <w:szCs w:val="20"/>
                <w:color w:val="auto"/>
              </w:rPr>
            </w:pPr>
            <w:r>
              <w:rPr>
                <w:rFonts w:ascii="Arial" w:cs="Arial" w:eastAsia="Arial" w:hAnsi="Arial"/>
                <w:sz w:val="10"/>
                <w:szCs w:val="10"/>
                <w:b w:val="1"/>
                <w:bCs w:val="1"/>
                <w:color w:val="auto"/>
              </w:rPr>
              <w:t xml:space="preserve">Bulk Loan Sale </w:t>
            </w:r>
            <w:r>
              <w:rPr>
                <w:rFonts w:ascii="Arial" w:cs="Arial" w:eastAsia="Arial" w:hAnsi="Arial"/>
                <w:sz w:val="14"/>
                <w:szCs w:val="14"/>
                <w:b w:val="1"/>
                <w:bCs w:val="1"/>
                <w:color w:val="auto"/>
                <w:vertAlign w:val="superscript"/>
              </w:rPr>
              <w:t>(1)</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rPr>
              <w:t>Other Bulk</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32"/>
              <w:spacing w:after="0" w:line="125" w:lineRule="exact"/>
              <w:rPr>
                <w:sz w:val="20"/>
                <w:szCs w:val="20"/>
                <w:color w:val="auto"/>
              </w:rPr>
            </w:pPr>
            <w:r>
              <w:rPr>
                <w:rFonts w:ascii="Arial" w:cs="Arial" w:eastAsia="Arial" w:hAnsi="Arial"/>
                <w:sz w:val="14"/>
                <w:szCs w:val="14"/>
                <w:b w:val="1"/>
                <w:bCs w:val="1"/>
                <w:color w:val="auto"/>
                <w:w w:val="97"/>
              </w:rPr>
              <w:t>Foreclosure</w:t>
            </w:r>
          </w:p>
        </w:tc>
        <w:tc>
          <w:tcPr>
            <w:tcW w:w="280" w:type="dxa"/>
            <w:vAlign w:val="bottom"/>
          </w:tcPr>
          <w:p>
            <w:pPr>
              <w:spacing w:after="0"/>
              <w:rPr>
                <w:sz w:val="11"/>
                <w:szCs w:val="11"/>
                <w:color w:val="auto"/>
              </w:rPr>
            </w:pPr>
          </w:p>
        </w:tc>
        <w:tc>
          <w:tcPr>
            <w:tcW w:w="740" w:type="dxa"/>
            <w:vAlign w:val="bottom"/>
            <w:tcBorders>
              <w:top w:val="single" w:sz="8" w:color="auto"/>
            </w:tcBorders>
            <w:gridSpan w:val="2"/>
          </w:tcPr>
          <w:p>
            <w:pPr>
              <w:ind w:left="20"/>
              <w:spacing w:after="0" w:line="125" w:lineRule="exact"/>
              <w:rPr>
                <w:sz w:val="20"/>
                <w:szCs w:val="20"/>
                <w:color w:val="auto"/>
              </w:rPr>
            </w:pPr>
            <w:r>
              <w:rPr>
                <w:rFonts w:ascii="Arial" w:cs="Arial" w:eastAsia="Arial" w:hAnsi="Arial"/>
                <w:sz w:val="14"/>
                <w:szCs w:val="14"/>
                <w:b w:val="1"/>
                <w:bCs w:val="1"/>
                <w:color w:val="auto"/>
                <w:w w:val="86"/>
              </w:rPr>
              <w:t>Charge-Offs</w:t>
            </w:r>
          </w:p>
        </w:tc>
        <w:tc>
          <w:tcPr>
            <w:tcW w:w="3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Accruing</w:t>
            </w:r>
          </w:p>
        </w:tc>
        <w:tc>
          <w:tcPr>
            <w:tcW w:w="1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Nonaccrual</w:t>
            </w:r>
          </w:p>
        </w:tc>
        <w:tc>
          <w:tcPr>
            <w:tcW w:w="3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 xml:space="preserve">Loan Sales </w:t>
            </w:r>
            <w:r>
              <w:rPr>
                <w:rFonts w:ascii="Arial" w:cs="Arial" w:eastAsia="Arial" w:hAnsi="Arial"/>
                <w:sz w:val="17"/>
                <w:szCs w:val="17"/>
                <w:b w:val="1"/>
                <w:bCs w:val="1"/>
                <w:color w:val="auto"/>
                <w:vertAlign w:val="superscript"/>
              </w:rPr>
              <w:t>(2)</w:t>
            </w:r>
          </w:p>
        </w:tc>
        <w:tc>
          <w:tcPr>
            <w:tcW w:w="2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 xml:space="preserve">Charge-Offs </w:t>
            </w:r>
            <w:r>
              <w:rPr>
                <w:rFonts w:ascii="Arial" w:cs="Arial" w:eastAsia="Arial" w:hAnsi="Arial"/>
                <w:sz w:val="17"/>
                <w:szCs w:val="17"/>
                <w:b w:val="1"/>
                <w:bCs w:val="1"/>
                <w:color w:val="auto"/>
                <w:vertAlign w:val="superscript"/>
              </w:rPr>
              <w:t>(3)</w:t>
            </w:r>
          </w:p>
        </w:tc>
        <w:tc>
          <w:tcPr>
            <w:tcW w:w="280" w:type="dxa"/>
            <w:vAlign w:val="bottom"/>
          </w:tcPr>
          <w:p>
            <w:pPr>
              <w:spacing w:after="0"/>
              <w:rPr>
                <w:sz w:val="12"/>
                <w:szCs w:val="12"/>
                <w:color w:val="auto"/>
              </w:rPr>
            </w:pPr>
          </w:p>
        </w:tc>
        <w:tc>
          <w:tcPr>
            <w:tcW w:w="1120" w:type="dxa"/>
            <w:vAlign w:val="bottom"/>
            <w:gridSpan w:val="4"/>
          </w:tcPr>
          <w:p>
            <w:pPr>
              <w:jc w:val="right"/>
              <w:ind w:right="363"/>
              <w:spacing w:after="0" w:line="149" w:lineRule="exact"/>
              <w:rPr>
                <w:sz w:val="20"/>
                <w:szCs w:val="20"/>
                <w:color w:val="auto"/>
              </w:rPr>
            </w:pPr>
            <w:r>
              <w:rPr>
                <w:rFonts w:ascii="Arial" w:cs="Arial" w:eastAsia="Arial" w:hAnsi="Arial"/>
                <w:sz w:val="14"/>
                <w:szCs w:val="14"/>
                <w:b w:val="1"/>
                <w:bCs w:val="1"/>
                <w:color w:val="auto"/>
                <w:w w:val="88"/>
              </w:rPr>
              <w:t>Recoveries</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29,451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11,091</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3,318</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1,905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32,530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15,328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419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13,917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14,263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43,018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23,459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3,325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11,693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860"/>
              <w:spacing w:after="0"/>
              <w:rPr>
                <w:sz w:val="20"/>
                <w:szCs w:val="20"/>
                <w:color w:val="auto"/>
              </w:rPr>
            </w:pPr>
            <w:r>
              <w:rPr>
                <w:rFonts w:ascii="Arial" w:cs="Arial" w:eastAsia="Arial" w:hAnsi="Arial"/>
                <w:sz w:val="18"/>
                <w:szCs w:val="18"/>
                <w:color w:val="auto"/>
              </w:rPr>
              <w:t>Total loans charged-off</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17,197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119,367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66,612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15,579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21,753</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860"/>
              <w:spacing w:after="0"/>
              <w:rPr>
                <w:sz w:val="20"/>
                <w:szCs w:val="20"/>
                <w:color w:val="auto"/>
              </w:rPr>
            </w:pPr>
            <w:r>
              <w:rPr>
                <w:rFonts w:ascii="Arial" w:cs="Arial" w:eastAsia="Arial" w:hAnsi="Arial"/>
                <w:sz w:val="18"/>
                <w:szCs w:val="18"/>
                <w:color w:val="auto"/>
              </w:rPr>
              <w:t>Total recoveries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charge-offs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119,367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66,612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15,579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860"/>
              <w:spacing w:after="0"/>
              <w:rPr>
                <w:sz w:val="20"/>
                <w:szCs w:val="20"/>
                <w:color w:val="auto"/>
              </w:rPr>
            </w:pPr>
            <w:r>
              <w:rPr>
                <w:rFonts w:ascii="Arial" w:cs="Arial" w:eastAsia="Arial" w:hAnsi="Arial"/>
                <w:sz w:val="18"/>
                <w:szCs w:val="18"/>
                <w:color w:val="auto"/>
              </w:rPr>
              <w:t>Balance end of period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113,601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At period-end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4,127,566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4,194,372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4,117,635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4,534,294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Net charge-offs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2"/>
              </w:rPr>
              <w:t>Allowance as a percentage of non-performing loans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11" w:lineRule="exact"/>
        <w:rPr>
          <w:sz w:val="20"/>
          <w:szCs w:val="20"/>
          <w:color w:val="auto"/>
        </w:rPr>
      </w:pPr>
    </w:p>
    <w:p>
      <w:pPr>
        <w:ind w:left="460" w:right="30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Charge-offs totaling $186 million were recognized on the bulk loan sale in the first quarter of 2011. The loans were transferred to the loans held for sale category in anticipation of the second quarter bulk loan sale that was completed on April 18, 2011.</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Losses on smaller bulk sale transactions completed during the first quarter of 2011.</w:t>
      </w:r>
    </w:p>
    <w:p>
      <w:pPr>
        <w:spacing w:after="0" w:line="7" w:lineRule="exact"/>
        <w:rPr>
          <w:rFonts w:ascii="Arial" w:cs="Arial" w:eastAsia="Arial" w:hAnsi="Arial"/>
          <w:sz w:val="22"/>
          <w:szCs w:val="22"/>
          <w:color w:val="auto"/>
          <w:vertAlign w:val="superscript"/>
        </w:rPr>
      </w:pPr>
    </w:p>
    <w:p>
      <w:pPr>
        <w:ind w:left="460" w:right="400" w:hanging="452"/>
        <w:spacing w:after="0" w:line="286" w:lineRule="auto"/>
        <w:tabs>
          <w:tab w:leader="none" w:pos="4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Loan charge-offs recognized in the first quarter of 2011 related to loans transferred to foreclosed properties. Such charge-offs were elevated in the first quarter as a result of the asset disposition plan, which called for aggressive write downs to expedite sales in the second and third quarters of 2011.</w:t>
      </w:r>
    </w:p>
    <w:p>
      <w:pPr>
        <w:spacing w:after="0" w:line="1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the previous periods reflects stabilizing trends in substandard loans, leading to an expectation that charge-off levels will continue to decline.</w:t>
      </w:r>
    </w:p>
    <w:p>
      <w:pPr>
        <w:spacing w:after="0" w:line="1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March 31, 2012, the allowance for loan losses was $114 million, or 2.75% of loans, compared with $114 million, or 2.79% of total loans at December 31, 2011, and $133 million, or 3.17% of total loans at March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Management believes that the allowance for loan losses at March 31, 2012 reflects the losses inherent in the loan portfolio. This assessment involves uncertainty and judgment; therefore, the adequacy of the allowance for loan losses cannot be determined with precision and may be subject to change in future periods. The amount of any change could be significant if management’s assessment of loan quality or collateral values change substantially with respect to one or more loan relationships or portfolio categories.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9—Nonperforming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5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Nonperforming loans*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$129,704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127,479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nonperforming assets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161,591</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160,338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138,147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Nonperforming loans as a percentage of total loans</w:t>
            </w: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no loans 90 days or more past due that were still accruing at period end.</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March 31, 2012, nonperforming loans were $130 million, compared to $127 million at December 31, 2011 and $83.8 million at March 31, 2011. Contributing to the increase in the ratio of nonperforming loans to total loans from March 31, 2011 to March 31, 2012 was the classification of United’s largest lending relationship. Nonperforming assets, which include nonperforming loans and foreclosed real estate, totaled $162 million at March 31, 2012, compared with $160 million at December 31, 2011, and $138 million at March 31, 2011. United sold $8.63 million and $44.5 million, respectively, of foreclosed properties during the first quarters of 2012 and 2011. The slowdown in foreclosed property sales is typical for the winter months, aside from the accelerated disposition in the first quarter of 2011. Also, in the first quarter of 2011, write-downs totaling $48.6 million were recorded in conjunction with the Problem Asset Disposition Plan to expedite sales.</w:t>
      </w:r>
    </w:p>
    <w:p>
      <w:pPr>
        <w:spacing w:after="0" w:line="1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placed on nonaccrual status, interest previously accrued but not collected is reversed against current interest revenue. Interest payments received on nonaccrual loans are applied as a reduction of principal.</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summarizes nonperforming assets by category and market. As with Tables 6, 7 and 9, assets covered by the loss-sharing agreement with the FDIC, related to the acquisition of SCB, are excluded from this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10—Nonperforming Assets by Quarter </w:t>
      </w:r>
      <w:r>
        <w:rPr>
          <w:rFonts w:ascii="Arial" w:cs="Arial" w:eastAsia="Arial" w:hAnsi="Arial"/>
          <w:sz w:val="11"/>
          <w:szCs w:val="11"/>
          <w:color w:val="auto"/>
        </w:rPr>
        <w:t>(1)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March 31, 2012</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December 31, 2011</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6"/>
              </w:rPr>
              <w:t>March 31, 2011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60" w:type="dxa"/>
            <w:vAlign w:val="bottom"/>
          </w:tcPr>
          <w:p>
            <w:pPr>
              <w:spacing w:after="0"/>
              <w:rPr>
                <w:sz w:val="11"/>
                <w:szCs w:val="11"/>
                <w:color w:val="auto"/>
              </w:rPr>
            </w:pPr>
          </w:p>
        </w:tc>
        <w:tc>
          <w:tcPr>
            <w:tcW w:w="4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Nonaccrual</w:t>
            </w:r>
          </w:p>
        </w:tc>
        <w:tc>
          <w:tcPr>
            <w:tcW w:w="1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60" w:type="dxa"/>
            <w:vAlign w:val="bottom"/>
          </w:tcPr>
          <w:p>
            <w:pPr>
              <w:spacing w:after="0"/>
              <w:rPr>
                <w:sz w:val="11"/>
                <w:szCs w:val="11"/>
                <w:color w:val="auto"/>
              </w:rPr>
            </w:pPr>
          </w:p>
        </w:tc>
        <w:tc>
          <w:tcPr>
            <w:tcW w:w="46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Nonaccrual</w:t>
            </w:r>
          </w:p>
        </w:tc>
        <w:tc>
          <w:tcPr>
            <w:tcW w:w="1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160" w:type="dxa"/>
            <w:vAlign w:val="bottom"/>
          </w:tcPr>
          <w:p>
            <w:pPr>
              <w:spacing w:after="0"/>
              <w:rPr>
                <w:sz w:val="11"/>
                <w:szCs w:val="11"/>
                <w:color w:val="auto"/>
              </w:rPr>
            </w:pPr>
          </w:p>
        </w:tc>
        <w:tc>
          <w:tcPr>
            <w:tcW w:w="46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92"/>
              </w:rPr>
              <w:t>Loans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NPAs</w:t>
            </w:r>
          </w:p>
        </w:tc>
        <w:tc>
          <w:tcPr>
            <w:tcW w:w="0" w:type="dxa"/>
            <w:vAlign w:val="bottom"/>
          </w:tcPr>
          <w:p>
            <w:pPr>
              <w:spacing w:after="0"/>
              <w:rPr>
                <w:sz w:val="1"/>
                <w:szCs w:val="1"/>
                <w:color w:val="auto"/>
              </w:rPr>
            </w:pPr>
          </w:p>
        </w:tc>
      </w:tr>
      <w:tr>
        <w:trPr>
          <w:trHeight w:val="129"/>
        </w:trPr>
        <w:tc>
          <w:tcPr>
            <w:tcW w:w="3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BY CATEGORY</w:t>
            </w: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Commercial (sec. by RE)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26,081</w:t>
            </w:r>
          </w:p>
        </w:tc>
        <w:tc>
          <w:tcPr>
            <w:tcW w:w="3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10,808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36,889</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27,322</w:t>
            </w:r>
          </w:p>
        </w:tc>
        <w:tc>
          <w:tcPr>
            <w:tcW w:w="200" w:type="dxa"/>
            <w:vAlign w:val="bottom"/>
          </w:tcPr>
          <w:p>
            <w:pPr>
              <w:spacing w:after="0"/>
              <w:rPr>
                <w:sz w:val="12"/>
                <w:szCs w:val="12"/>
                <w:color w:val="auto"/>
              </w:rPr>
            </w:pP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9,745</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37,067</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20,648</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7,886</w:t>
            </w:r>
          </w:p>
        </w:tc>
        <w:tc>
          <w:tcPr>
            <w:tcW w:w="2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28,534</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36,314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36,314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34,613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23,319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3,266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26,585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16,655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3,336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3,701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11,568</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15,269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85,714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14,074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99,788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26,547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19,454</w:t>
            </w: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18,741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5,882</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24,623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22,358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6,927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29,285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23,711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9,117</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32,828</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11,931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36,272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38,374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32,038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25,807</w:t>
            </w: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57,845</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1,473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129,704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161,591</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127,479</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160,338</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83,769</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54,378</w:t>
            </w: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138,147</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Balance as a % of Unpaid Principal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12"/>
              <w:spacing w:after="0" w:line="143" w:lineRule="exact"/>
              <w:rPr>
                <w:sz w:val="20"/>
                <w:szCs w:val="20"/>
                <w:color w:val="auto"/>
              </w:rPr>
            </w:pPr>
            <w:r>
              <w:rPr>
                <w:rFonts w:ascii="Arial" w:cs="Arial" w:eastAsia="Arial" w:hAnsi="Arial"/>
                <w:sz w:val="14"/>
                <w:szCs w:val="14"/>
                <w:color w:val="auto"/>
              </w:rPr>
              <w:t>70.6%</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35.9%</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59.3%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
              <w:spacing w:after="0" w:line="143" w:lineRule="exact"/>
              <w:rPr>
                <w:sz w:val="20"/>
                <w:szCs w:val="20"/>
                <w:color w:val="auto"/>
              </w:rPr>
            </w:pPr>
            <w:r>
              <w:rPr>
                <w:rFonts w:ascii="Arial" w:cs="Arial" w:eastAsia="Arial" w:hAnsi="Arial"/>
                <w:sz w:val="14"/>
                <w:szCs w:val="14"/>
                <w:color w:val="auto"/>
              </w:rPr>
              <w:t>57.3%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2"/>
                <w:szCs w:val="12"/>
                <w:color w:val="auto"/>
              </w:rPr>
            </w:pPr>
          </w:p>
        </w:tc>
        <w:tc>
          <w:tcPr>
            <w:tcW w:w="6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81,117</w:t>
            </w:r>
          </w:p>
        </w:tc>
        <w:tc>
          <w:tcPr>
            <w:tcW w:w="3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14,559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95,676</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88,600</w:t>
            </w:r>
          </w:p>
        </w:tc>
        <w:tc>
          <w:tcPr>
            <w:tcW w:w="200" w:type="dxa"/>
            <w:vAlign w:val="bottom"/>
          </w:tcPr>
          <w:p>
            <w:pPr>
              <w:spacing w:after="0"/>
              <w:rPr>
                <w:sz w:val="12"/>
                <w:szCs w:val="12"/>
                <w:color w:val="auto"/>
              </w:rPr>
            </w:pP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15,136</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6"/>
              </w:rPr>
              <w:t>103,736</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30,214</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23,094</w:t>
            </w:r>
          </w:p>
        </w:tc>
        <w:tc>
          <w:tcPr>
            <w:tcW w:w="2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53,308</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7,647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29,968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21,501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16,913</w:t>
            </w: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38,414</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North Carolina</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15,765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4,650</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7"/>
              </w:rPr>
              <w:t>20,415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5,365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20,465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18,849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7,802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26,651</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1,268</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5,847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3,781</w:t>
            </w: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9,628</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2,210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3,387</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4,332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Tennessee</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2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Total NPAs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129,704</w:t>
            </w:r>
          </w:p>
        </w:tc>
        <w:tc>
          <w:tcPr>
            <w:tcW w:w="3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31,887</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2"/>
              </w:rPr>
              <w:t>161,591</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127,479</w:t>
            </w:r>
          </w:p>
        </w:tc>
        <w:tc>
          <w:tcPr>
            <w:tcW w:w="200" w:type="dxa"/>
            <w:vAlign w:val="bottom"/>
          </w:tcPr>
          <w:p>
            <w:pPr>
              <w:spacing w:after="0"/>
              <w:rPr>
                <w:sz w:val="13"/>
                <w:szCs w:val="13"/>
                <w:color w:val="auto"/>
              </w:rPr>
            </w:pP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32,859</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6"/>
              </w:rPr>
              <w:t>160,338</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line="155" w:lineRule="exact"/>
              <w:rPr>
                <w:sz w:val="20"/>
                <w:szCs w:val="20"/>
                <w:color w:val="auto"/>
              </w:rPr>
            </w:pPr>
            <w:r>
              <w:rPr>
                <w:rFonts w:ascii="Arial" w:cs="Arial" w:eastAsia="Arial" w:hAnsi="Arial"/>
                <w:sz w:val="14"/>
                <w:szCs w:val="14"/>
                <w:color w:val="auto"/>
              </w:rPr>
              <w:t>83,769</w:t>
            </w: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54,378</w:t>
            </w:r>
          </w:p>
        </w:tc>
        <w:tc>
          <w:tcPr>
            <w:tcW w:w="20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138,147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21"/>
          <w:szCs w:val="21"/>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1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April 2011, United sold nonperforming loans in the Bulk Loan Sale with a pre-write down carrying amount of $101 million and performing substandard loans with a pre-write down carrying amount of $166 million. In anticipation of that sale, United recorded charge-offs of $186 million and transferred these loans to the held for sale category at March 31, 2011. Nonperforming assets in the residential construction category were $36.3 million at March 31, 2012, compared with $57.8 million at March 31, 2011, a decrease of $21.6 million, or 37%. Residential mortgage non-performing assets of $24.6 million decreased $8.2 million from March 31, 2011. These declines were offset by an increase in Commercial nonperforming assets of $53.8 million, or 117%, from March 31, 2011. The overall increase in nonperforming assets was concentrated in the North Georgia market and is mostly due to placing United’s largest lending relationship on nonaccrual in the third quarter of 2011.</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At March 31, 2012, December 31, 2011 and March 31, 2011 United had $159 million, $124 million and $49.7 million, respectively, in loans with terms that have been modified in troubled debt restructurings (“TDRs”). Included therein were $32.7 million, $17.9 million and $6.4 million, respectively, of TDRs that were not performing in accordance with their modified terms and were included in nonperforming loans. The remaining TDRs with an aggregate balance of $126 million, $106 million and $43.3 million, respectively, were performing according to their modified terms and are therefore not considered to be nonperforming assets.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At March 31, 2012, December 31, 2011 and March 31, 2011, there were $294 million $257 million and $48.6 million, respectively, of loans classified as impaired under the definition outlined in the ASC. Included in impaired loans at March 31, 2012, December 31, 2011 and March 31, 2011 were $208 million, $189 million and $48.6 million, respectively, in impaired loans that did not require specific reserves or had previously been charged down to net realizable value. The balance of impaired loans at March 31, 2012 and December 31, 2011 of $85.7 million and $68.8 million, respectively, had specific reserves that totaled $16.2 million and $14.8 million, respectively. At March 31, 2011, there were no impaired loans with specific reserves. The average recorded investment in impaired loans for the quarters ended March 31, 2012 and March 31, 2011 was $281 million and $95.2 million, respectively. During the three months ended March 31, 2012, United recognized $2.27 million in interest revenue on impaired loans. During the three months ended March 31, 2011, there was no interest revenue recognized on loans while they were impaired. United’s policy is to discontinue the recognition of interest revenue for loans classified as impaired under the ASC 310-10-35, </w:t>
      </w:r>
      <w:r>
        <w:rPr>
          <w:rFonts w:ascii="Arial" w:cs="Arial" w:eastAsia="Arial" w:hAnsi="Arial"/>
          <w:sz w:val="16"/>
          <w:szCs w:val="16"/>
          <w:i w:val="1"/>
          <w:iCs w:val="1"/>
          <w:color w:val="auto"/>
        </w:rPr>
        <w:t xml:space="preserve">Receivables, </w:t>
      </w:r>
      <w:r>
        <w:rPr>
          <w:rFonts w:ascii="Arial" w:cs="Arial" w:eastAsia="Arial" w:hAnsi="Arial"/>
          <w:sz w:val="16"/>
          <w:szCs w:val="16"/>
          <w:color w:val="auto"/>
        </w:rPr>
        <w:t>when the loan meets the criteria for nonaccrual status. Impaired loans increased from 2011 to 2012 due to the classification and change of accrual</w:t>
      </w:r>
      <w:r>
        <w:rPr>
          <w:rFonts w:ascii="Arial" w:cs="Arial" w:eastAsia="Arial" w:hAnsi="Arial"/>
          <w:sz w:val="16"/>
          <w:szCs w:val="16"/>
          <w:i w:val="1"/>
          <w:iCs w:val="1"/>
          <w:color w:val="auto"/>
        </w:rPr>
        <w:t xml:space="preserve"> </w:t>
      </w:r>
      <w:r>
        <w:rPr>
          <w:rFonts w:ascii="Arial" w:cs="Arial" w:eastAsia="Arial" w:hAnsi="Arial"/>
          <w:sz w:val="16"/>
          <w:szCs w:val="16"/>
          <w:color w:val="auto"/>
        </w:rPr>
        <w:t>status of United’s largest lending relationship and the increase in TDRs which are considered impaired.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 below summarizes activity in nonperforming assets by quarter. Assets covered by loss-sharing agreements with the FDIC, related to the acquisition of SCB, are not included in this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11—Activity in Nonperforming Assets by Quarter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6"/>
          </w:tcPr>
          <w:p>
            <w:pPr>
              <w:jc w:val="right"/>
              <w:spacing w:after="0"/>
              <w:rPr>
                <w:sz w:val="20"/>
                <w:szCs w:val="20"/>
                <w:color w:val="auto"/>
              </w:rPr>
            </w:pPr>
            <w:r>
              <w:rPr>
                <w:rFonts w:ascii="Arial" w:cs="Arial" w:eastAsia="Arial" w:hAnsi="Arial"/>
                <w:sz w:val="14"/>
                <w:szCs w:val="14"/>
                <w:b w:val="1"/>
                <w:bCs w:val="1"/>
                <w:color w:val="auto"/>
              </w:rPr>
              <w:t xml:space="preserve">First Quarter 2012 </w:t>
            </w:r>
            <w:r>
              <w:rPr>
                <w:rFonts w:ascii="Arial" w:cs="Arial" w:eastAsia="Arial" w:hAnsi="Arial"/>
                <w:sz w:val="22"/>
                <w:szCs w:val="22"/>
                <w:b w:val="1"/>
                <w:bCs w:val="1"/>
                <w:color w:val="auto"/>
                <w:vertAlign w:val="superscript"/>
              </w:rPr>
              <w:t>(1)</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 xml:space="preserve">Fourth Quarter 2011 </w:t>
            </w:r>
            <w:r>
              <w:rPr>
                <w:rFonts w:ascii="Arial" w:cs="Arial" w:eastAsia="Arial" w:hAnsi="Arial"/>
                <w:sz w:val="22"/>
                <w:szCs w:val="22"/>
                <w:b w:val="1"/>
                <w:bCs w:val="1"/>
                <w:color w:val="auto"/>
                <w:vertAlign w:val="superscript"/>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 xml:space="preserve">First Quarter 2011 </w:t>
            </w:r>
            <w:r>
              <w:rPr>
                <w:rFonts w:ascii="Arial" w:cs="Arial" w:eastAsia="Arial" w:hAnsi="Arial"/>
                <w:sz w:val="22"/>
                <w:szCs w:val="22"/>
                <w:b w:val="1"/>
                <w:bCs w:val="1"/>
                <w:color w:val="auto"/>
                <w:vertAlign w:val="superscript"/>
              </w:rPr>
              <w:t>(1)(2)</w:t>
            </w:r>
          </w:p>
        </w:tc>
      </w:tr>
      <w:tr>
        <w:trPr>
          <w:trHeight w:val="129"/>
        </w:trPr>
        <w:tc>
          <w:tcPr>
            <w:tcW w:w="378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5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9"/>
              </w:rPr>
              <w:t>Foreclosed</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Nonaccrual</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5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Loans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NPAs</w:t>
            </w:r>
          </w:p>
        </w:tc>
      </w:tr>
      <w:tr>
        <w:trPr>
          <w:trHeight w:val="142"/>
        </w:trPr>
        <w:tc>
          <w:tcPr>
            <w:tcW w:w="3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127,479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32,859</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$ 160,338</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144,484</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44,263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$ 188,747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179,094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142,208</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$ 321,302</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1"/>
                <w:szCs w:val="11"/>
                <w:color w:val="auto"/>
              </w:rPr>
              <w:t xml:space="preserve">Loans placed on non-accrual </w:t>
            </w:r>
            <w:r>
              <w:rPr>
                <w:rFonts w:ascii="Arial" w:cs="Arial" w:eastAsia="Arial" w:hAnsi="Arial"/>
                <w:sz w:val="17"/>
                <w:szCs w:val="17"/>
                <w:color w:val="auto"/>
                <w:vertAlign w:val="superscript"/>
              </w:rPr>
              <w:t>(2)</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32,437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32,437</w:t>
            </w:r>
          </w:p>
        </w:tc>
        <w:tc>
          <w:tcPr>
            <w:tcW w:w="12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45,675</w:t>
            </w: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54,730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54,730</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received</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(5,945)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(1,884)</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(3,550)</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Loan charge-offs</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(14,733)</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(44,757)</w:t>
            </w: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(44,757)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(43,969)</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Foreclosures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9,534</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(16,039)</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16,039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17,052</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Capitalized costs</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329</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329</w:t>
            </w: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270</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 property sales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(8,631)</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(8,631)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(20,651)</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(44,547)</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(55,947)</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Loans transferred to held for sale</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(74,084)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(74,084)</w:t>
            </w: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 downs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(2,111)</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(3,893)</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(48,585)</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(48,585)</w:t>
            </w: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Net gains (losses) on sales</w:t>
            </w:r>
          </w:p>
        </w:tc>
        <w:tc>
          <w:tcPr>
            <w:tcW w:w="12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(3,040)</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(12,020)</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(12,020)</w:t>
            </w:r>
          </w:p>
        </w:tc>
      </w:tr>
      <w:tr>
        <w:trPr>
          <w:trHeight w:val="27"/>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3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Ending Balance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31,887</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3"/>
              </w:rPr>
              <w:t>$ 161,591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127,479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$ 160,338</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83,769</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54,378</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$ 138,147</w:t>
            </w: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1"/>
          <w:szCs w:val="21"/>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7" w:lineRule="exact"/>
        <w:rPr>
          <w:rFonts w:ascii="Arial" w:cs="Arial" w:eastAsia="Arial" w:hAnsi="Arial"/>
          <w:sz w:val="21"/>
          <w:szCs w:val="21"/>
          <w:color w:val="auto"/>
          <w:vertAlign w:val="superscript"/>
        </w:rPr>
      </w:pPr>
    </w:p>
    <w:p>
      <w:pPr>
        <w:ind w:left="460" w:hanging="452"/>
        <w:spacing w:after="0" w:line="270" w:lineRule="auto"/>
        <w:tabs>
          <w:tab w:leader="none" w:pos="46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The NPA activity shown for the first quarter of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mark them down to the expected proceeds from the sale.</w:t>
      </w:r>
    </w:p>
    <w:p>
      <w:pPr>
        <w:spacing w:after="0" w:line="13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5"/>
          <w:szCs w:val="15"/>
          <w:i w:val="1"/>
          <w:iCs w:val="1"/>
          <w:color w:val="auto"/>
        </w:rPr>
        <w:t>Real Estate Sales.</w:t>
      </w:r>
      <w:r>
        <w:rPr>
          <w:rFonts w:ascii="Arial" w:cs="Arial" w:eastAsia="Arial" w:hAnsi="Arial"/>
          <w:sz w:val="15"/>
          <w:szCs w:val="15"/>
          <w:color w:val="auto"/>
        </w:rPr>
        <w:t xml:space="preserve"> For the first quarters of 2012 and 2011, United transferred $9.53 million and $17.1 million, respectively, of loans into foreclosed property. During the same periods, proceeds from sales of foreclosed properties were $8.63 million and $44.5 million, respectively, which includes $1.94 million and $8.54 million, respectively, of sales that were financed by United. During the first quarter of 2011, United recorded $48.6 million in write-downs on foreclosed properties in order to expedite sales in the following quarters.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March 31, 2012 increased $319 million from a year ago. The increase in the securities portfolio was a result of a buildup of liquidity resulting partially from strong core deposit growth with little loan demand to invest the proceeds and the proceeds from the capital transaction that closed in the first quarter of 2011 and the Bulk Loan Sale that closed in the second quarter of 2011. In addition, United had sought to maintain above normal amounts of liquidity due to the uncertain economy. United invested this excess liquidity in floating rate mortgage-backed securities which totaled $512 million and $545 million at March 31, 2012 and December 31, 2011, respectively. United chose floating rate securities because they have less market risk in the event rates begin to rise.</w:t>
      </w:r>
    </w:p>
    <w:p>
      <w:pPr>
        <w:spacing w:after="0" w:line="12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At March 31, 2012, December 31, 2011 and March 31, 2011, United had securities held to maturity with a carrying value of $304 million, $330 million and $245 million, respectively, and securities available for sale totaling $1.90 billion, $1.79 billion and $1.64 billion, respectively. At March 31, 2012, December 31, 2011 and March 31, 2011, the securities portfolio represented approximately 31%, 30% and 24% of total assets,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bonds and municipal securities. Mortgage-backed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and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United initiated several programs beginning in early 2009 to improve core earnings by growing customer transaction deposit accounts and lowering overall pricing on deposit balances to improve its net interest margin and to increase net interest revenue. The programs were successful in increasing core transaction deposit accounts and reducing more costly time deposit balances, as United’s funding needs decreased due to lower loan demand. United has continued to pursue customer transaction deposits by stressing its high customer satisfaction scores.</w:t>
      </w:r>
    </w:p>
    <w:p>
      <w:pPr>
        <w:spacing w:after="0" w:line="1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March 31, 2012, total deposits were $6.00 billion compared with $6.60 billion at March 31, 2011, a decrease of $597 million, or 9%. Total non-interest bearing demand deposit accounts of $1.10 billion increased $237 million, or 27%, due to the success of core deposit programs. Also impacted by the programs were NOW, money market and savings accounts of $2.73 billion which increased $245 million, or 10%, from March 31, 2011.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Total time deposits, excluding brokered deposits, as of March 31, 2012 were $2.00 billion, down $562 million from March 31, 2011. Time deposits less than</w:t>
      </w:r>
    </w:p>
    <w:p>
      <w:pPr>
        <w:spacing w:after="0" w:line="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$100,000 totaled $1.21 billion, a decrease of $369 million, or 23%, from a year ago. Time deposits of $100,000 and greater totaled $797 million as of March 31, 2012, a decrease of $193 million, or 20%, from March 31, 2011. United continued to offer low rates on certificates of deposit, allowing balances to decline as United’s funding needs declined due to weak loan demand. Additional liquidity also allowed United to reduce brokered deposits, which totaled $168 million at March 31, 2012, compared with $685 million at March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$215 million and $55.1 million at March 31, 2012 and 2011, respectively. United anticipates continued use of this short and long-term source of funds. FHLB advances outstanding at March 31, 2012 had fixed interest rates ranging up to 4.49%. During the first quarter of 2012, United prepaid $15.5 million, of fixed-rate advances and incurred prepayment charges of $482,000. United will prepay advances from time to time as funding needs change. Additional information regarding FHLB advances, including scheduled maturities, is provided in Note 11 to the consolidated financial statements included in United’s Annual Report on Form 10-K for the year ended December 31, 2011.</w:t>
      </w:r>
    </w:p>
    <w:p>
      <w:pPr>
        <w:spacing w:after="0" w:line="14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March 31, 2012 and 2011, United had $102 million in repurchase agreements reported as Federal funds purchased, repurchase agreements, and other short-term borrowings in the consolidated balance sheet. United takes advantage of these additional sources of liquidity when rates are favorable compared to other forms of short-term borrowings, such as FHLB advances and brokered deposits.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9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its Asset Liability Committee (“ALCO”). ALCO meets monthly and has responsibility for approving asset/liability management policies, formulating and implementing strategies to improve balance sheet positioning and/or earnings and reviewing United’s interest rate sensitivity.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gradually rising and falling rate scenarios, which are compared to this base scenario. Another commonly analyzed scenario is a most likely scenario that projects the most likely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March 31, 2012 and 2011 made use of the down 200 basis point scenario problematic. At March 31, 2012 United’s simulation model indicated that a 200 basis point increase in rates would cause an approximate 1.1% increase in net interest revenue over the next twelve months and a 25 basis point decrease in rates would cause an approximate .5% decrease in net interest revenue over the next twelve months. At March 31, 2011, United’s simulation model indicated that a 200 basis point increase in rates over the next twelve months would cause an approximate 3.4 % increase in net interest revenue and a 25 basis point decrease in rates over the next twelve months would cause an approximate .1% increase in net interest revenue.</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Varying interest rate environments can create unexpected changes in prepayment levels of assets and liabilities that are not reflected in an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14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and receives a fixed rate and interest rate floor contracts where United pays a premium up front to a counterparty to the right to be compensated if a specified rate index falls below a pre-determined floor rate.</w:t>
      </w:r>
    </w:p>
    <w:p>
      <w:pPr>
        <w:spacing w:after="0" w:line="9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United’s derivative financial instruments that are entered into for interest rate risk management purposes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United’s outstanding derivative positions at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Derivative Financial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Rate</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8"/>
              </w:rPr>
              <w:t>Type/Maturity</w:t>
            </w:r>
          </w:p>
        </w:tc>
        <w:tc>
          <w:tcPr>
            <w:tcW w:w="342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Received /</w:t>
            </w: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4"/>
              </w:rPr>
              <w:t>Rate Paid</w:t>
            </w:r>
          </w:p>
        </w:tc>
        <w:tc>
          <w:tcPr>
            <w:tcW w:w="2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920" w:type="dxa"/>
            <w:vAlign w:val="bottom"/>
            <w:tcBorders>
              <w:bottom w:val="single" w:sz="8" w:color="auto"/>
            </w:tcBorders>
            <w:vMerge w:val="continue"/>
          </w:tcPr>
          <w:p>
            <w:pPr>
              <w:spacing w:after="0"/>
              <w:rPr>
                <w:sz w:val="13"/>
                <w:szCs w:val="13"/>
                <w:color w:val="auto"/>
              </w:rPr>
            </w:pPr>
          </w:p>
        </w:tc>
        <w:tc>
          <w:tcPr>
            <w:tcW w:w="342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6"/>
              </w:rPr>
              <w:t>Floor Rate</w:t>
            </w:r>
          </w:p>
        </w:tc>
        <w:tc>
          <w:tcPr>
            <w:tcW w:w="1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Fair Value Hedges:</w:t>
            </w:r>
          </w:p>
        </w:tc>
        <w:tc>
          <w:tcPr>
            <w:tcW w:w="16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440"/>
              <w:spacing w:after="0"/>
              <w:rPr>
                <w:sz w:val="20"/>
                <w:szCs w:val="20"/>
                <w:color w:val="auto"/>
              </w:rPr>
            </w:pPr>
            <w:r>
              <w:rPr>
                <w:rFonts w:ascii="Arial" w:cs="Arial" w:eastAsia="Arial" w:hAnsi="Arial"/>
                <w:sz w:val="18"/>
                <w:szCs w:val="18"/>
                <w:b w:val="1"/>
                <w:bCs w:val="1"/>
                <w:color w:val="auto"/>
              </w:rPr>
              <w:t>LIBOR Swaps (Brokered CDs)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November 10, 2031 </w:t>
            </w:r>
            <w:r>
              <w:rPr>
                <w:rFonts w:ascii="Arial" w:cs="Arial" w:eastAsia="Arial" w:hAnsi="Arial"/>
                <w:sz w:val="11"/>
                <w:szCs w:val="11"/>
                <w:color w:val="auto"/>
              </w:rPr>
              <w:t>(1)</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 xml:space="preserve">August 17, 2027 </w:t>
            </w:r>
            <w:r>
              <w:rPr>
                <w:rFonts w:ascii="Arial" w:cs="Arial" w:eastAsia="Arial" w:hAnsi="Arial"/>
                <w:sz w:val="11"/>
                <w:szCs w:val="11"/>
                <w:color w:val="auto"/>
              </w:rPr>
              <w:t>(2)</w:t>
            </w:r>
          </w:p>
        </w:tc>
        <w:tc>
          <w:tcPr>
            <w:tcW w:w="2780" w:type="dxa"/>
            <w:vAlign w:val="bottom"/>
            <w:gridSpan w:val="3"/>
          </w:tcPr>
          <w:p>
            <w:pPr>
              <w:jc w:val="right"/>
              <w:ind w:right="600"/>
              <w:spacing w:after="0"/>
              <w:rPr>
                <w:sz w:val="20"/>
                <w:szCs w:val="20"/>
                <w:color w:val="auto"/>
              </w:rPr>
            </w:pPr>
            <w:r>
              <w:rPr>
                <w:rFonts w:ascii="Arial" w:cs="Arial" w:eastAsia="Arial" w:hAnsi="Arial"/>
                <w:sz w:val="18"/>
                <w:szCs w:val="18"/>
                <w:color w:val="auto"/>
              </w:rPr>
              <w:t>17,000</w:t>
            </w:r>
          </w:p>
        </w:tc>
        <w:tc>
          <w:tcPr>
            <w:tcW w:w="620" w:type="dxa"/>
            <w:vAlign w:val="bottom"/>
          </w:tcPr>
          <w:p>
            <w:pPr>
              <w:ind w:left="300"/>
              <w:spacing w:after="0"/>
              <w:rPr>
                <w:sz w:val="20"/>
                <w:szCs w:val="20"/>
                <w:color w:val="auto"/>
              </w:rPr>
            </w:pPr>
            <w:r>
              <w:rPr>
                <w:rFonts w:ascii="Arial" w:cs="Arial" w:eastAsia="Arial" w:hAnsi="Arial"/>
                <w:sz w:val="18"/>
                <w:szCs w:val="18"/>
                <w:color w:val="auto"/>
                <w:w w:val="85"/>
              </w:rPr>
              <w:t>2.25</w:t>
            </w:r>
          </w:p>
        </w:tc>
        <w:tc>
          <w:tcPr>
            <w:tcW w:w="6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August 27, 2027 </w:t>
            </w:r>
            <w:r>
              <w:rPr>
                <w:rFonts w:ascii="Arial" w:cs="Arial" w:eastAsia="Arial" w:hAnsi="Arial"/>
                <w:sz w:val="11"/>
                <w:szCs w:val="11"/>
                <w:color w:val="auto"/>
              </w:rPr>
              <w:t>(3)</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17,000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5"/>
              </w:rPr>
              <w:t>2.00</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 xml:space="preserve">September 23 ,2027 </w:t>
            </w:r>
            <w:r>
              <w:rPr>
                <w:rFonts w:ascii="Arial" w:cs="Arial" w:eastAsia="Arial" w:hAnsi="Arial"/>
                <w:sz w:val="11"/>
                <w:szCs w:val="11"/>
                <w:color w:val="auto"/>
              </w:rPr>
              <w:t>(4)</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15,500</w:t>
            </w:r>
          </w:p>
        </w:tc>
        <w:tc>
          <w:tcPr>
            <w:tcW w:w="60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2.25</w:t>
            </w:r>
          </w:p>
        </w:tc>
        <w:tc>
          <w:tcPr>
            <w:tcW w:w="6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Fair Value Hedges</w:t>
            </w:r>
          </w:p>
        </w:tc>
        <w:tc>
          <w:tcPr>
            <w:tcW w:w="27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64,500</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95" w:lineRule="auto"/>
        <w:tabs>
          <w:tab w:leader="none" w:pos="46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Receive rate is fixed at 5.00% to November 10, 2012, then 4 * ((10-year Constant Maturity Swap rate—2-year Constant Maturity Swap rate)—50 basis points), capped at 5.00% and floored at 0.00%. Pay rate is 90 day LIBOR minus 60 basis points which results in a negative pay rate when 90 day LIBOR falls below 60 basis points. Swap is callable by counterparty on November 10, 2012 and quarterly thereafter on the 10th with 15 calendar days notice.</w:t>
      </w:r>
    </w:p>
    <w:p>
      <w:pPr>
        <w:spacing w:after="0" w:line="6"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Pay rate is 90 day LIBOR minus 45 basis points. Receive rate is fixed according to the following schedule:</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2/17/12 to 2/17/20: 2.25%</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2/17/20 to 2/17/22: 2.30%</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2/17/22 to 2/17/23: 3.00%</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2/17/23 to 2/17/24: 4.00%</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2/17/24 to 2/17/25: 7.00%</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2/17/25 to 8/17/27: 10.00%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Swap is callable by counterparty quarterly commencing on May 17, 2012 with 20 business days notice prior to the redemption date.</w:t>
      </w:r>
    </w:p>
    <w:p>
      <w:pPr>
        <w:spacing w:after="0" w:line="90" w:lineRule="exact"/>
        <w:rPr>
          <w:sz w:val="20"/>
          <w:szCs w:val="20"/>
          <w:color w:val="auto"/>
        </w:rPr>
      </w:pPr>
    </w:p>
    <w:p>
      <w:pPr>
        <w:ind w:left="920" w:right="3260" w:hanging="912"/>
        <w:spacing w:after="0" w:line="309" w:lineRule="auto"/>
        <w:tabs>
          <w:tab w:leader="none" w:pos="453"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Pay rate is 90 day LIBOR minus 45 basis points. Receive rate is fixed according to the following schedule: From 2/27/12 to 2/27/18: 2.00%</w:t>
      </w:r>
    </w:p>
    <w:p>
      <w:pPr>
        <w:spacing w:after="0" w:line="2"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2/27/18 to 2/27/22: 2.50%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2/27/22 to 2/27/23: 3.00%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2/27/23 to 2/27/24: 4.00%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2/27/24 to 2/27/25: 7.00%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2/27/25 to 8/27/27: 10.00%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Swap is callable by counterparty semi-annually commencing on August 27, 2012 with 25 business days notice prior to the redemption date.</w:t>
      </w:r>
    </w:p>
    <w:p>
      <w:pPr>
        <w:spacing w:after="0" w:line="90" w:lineRule="exact"/>
        <w:rPr>
          <w:sz w:val="20"/>
          <w:szCs w:val="20"/>
          <w:color w:val="auto"/>
        </w:rPr>
      </w:pPr>
    </w:p>
    <w:p>
      <w:pPr>
        <w:ind w:left="920" w:right="3260" w:hanging="912"/>
        <w:spacing w:after="0" w:line="309" w:lineRule="auto"/>
        <w:tabs>
          <w:tab w:leader="none" w:pos="453"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Pay rate is 90 day LIBOR minus 45 basis points. Receive rate is fixed according to the following schedule: From 3/23/12 to 3/23/17: 2.25%</w:t>
      </w:r>
    </w:p>
    <w:p>
      <w:pPr>
        <w:spacing w:after="0" w:line="2"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3/23/17 to 3/23/20: 2.38%</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3/23/20 to 3/23/23: 2.50%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3/23/23 to 3/23/24: 3.00%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3/23/24 to 3/23/25: 4.00%</w:t>
      </w:r>
    </w:p>
    <w:p>
      <w:pPr>
        <w:spacing w:after="0" w:line="90" w:lineRule="exact"/>
        <w:rPr>
          <w:rFonts w:ascii="Arial" w:cs="Arial" w:eastAsia="Arial" w:hAnsi="Arial"/>
          <w:sz w:val="22"/>
          <w:szCs w:val="22"/>
          <w:color w:val="auto"/>
          <w:vertAlign w:val="superscript"/>
        </w:rPr>
      </w:pPr>
    </w:p>
    <w:p>
      <w:pPr>
        <w:ind w:left="920"/>
        <w:spacing w:after="0"/>
        <w:rPr>
          <w:rFonts w:ascii="Arial" w:cs="Arial" w:eastAsia="Arial" w:hAnsi="Arial"/>
          <w:sz w:val="22"/>
          <w:szCs w:val="22"/>
          <w:color w:val="auto"/>
          <w:vertAlign w:val="superscript"/>
        </w:rPr>
      </w:pPr>
      <w:r>
        <w:rPr>
          <w:rFonts w:ascii="Arial" w:cs="Arial" w:eastAsia="Arial" w:hAnsi="Arial"/>
          <w:sz w:val="18"/>
          <w:szCs w:val="18"/>
          <w:color w:val="auto"/>
        </w:rPr>
        <w:t>From 3/23/25 to 3/23/26: 6.00%</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3/23/26 to 9/23/27: 10.00%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Swap is callable by counterparty at any time commencing on September 24, 2012 with 15 calendar days notice prior to the redemption date.</w:t>
      </w:r>
    </w:p>
    <w:p>
      <w:pPr>
        <w:spacing w:after="0" w:line="6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Fair value does not include accrued interest.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March 31, 2012, United had $3.02 million in gains from terminated derivative positions included in other comprehensive income that will be amortized into earnings over their remaining original contract terms. Approximately $2.60 million is expected to be reclassified into interest revenue over the next twelve months.</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ongoing operational cash needs and to take advantage of revenue producing opportunities as they arise. While the desired level of liquidity will vary depending on a number of factors, it is the primary goal of United to maintain a sufficient level of liquidity in all expected economic environments. United’s liquidity policy requires contingent liquidity reserves to cover expected funding needs for a period of twelve months. Liquidity is defined as the ability of a bank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1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Because substantially all of United’s liquidity is obtained from subsidiary service fees and dividends from the Bank, which are limited by applicable law and an informal memorandum of understanding the Bank has entered into with the FDIC and the Georgia Department of Banking and Finance (the “Bank MOU”), United currently has limited internal capital resources to meet these obligations. United has not received a dividend from the Bank since 2008 and does not anticipate receiving dividends from the Bank until 2013. United deferred the payment of interest on trust preferred securities and dividends on preferred stock during the first quarter of 2011. As a result of such deferrals, United could not pay dividends on any common or preferred stock or trust preferred securities until all accrued and unpaid amounts under the deferred securities had been paid. Effective April 15, 2011, United received approval to make payments for currently payable and previously deferred dividends and interest on its preferred stock and trust preferred securities. Since then, United has continued to receive quarterly approvals of all payments, including the fourth quarter of 2011 and first quarter of 2012. Additionally, pursuant to an informal memorandum of understanding United entered into with the Federal Reserve Bank of Atlanta (the “Federal Reserve Bank”) and the Georgia Department of Banking and Finance (the “Holding Company MOU”) United must, among other things, ensure that the Bank functions in a safe and sound manner. United believes it is in compliance with all requirements of the Holding Company MOU and the Bank MOU.</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interest revenue. Daily monitoring of the sources and uses of funds is necessary to maintain a position that meets both requirements.</w:t>
      </w:r>
    </w:p>
    <w:p>
      <w:pPr>
        <w:spacing w:after="0" w:line="140"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The asset portion of the balance sheet provides liquidity primarily through loan sales and repayments and the maturities and sales of securities, as well as the ability to use these as collateral for borrowings on a secured basis. The Bank also maintains excess funds in short-term, interest-bearing assets that provide additional liquidity. Mortgage loans held for sale totaled $24.8 million at March 31, 2012, and typically turn over every 45 days as closed loans are sold to investors in the secondary market. In addition, at March 31, 2012, United held $878 million in excess liquidity, including $103 million in cash equivalent balances, primarily balances in excess of reserve requirements at the Federal Reserve Bank and $540 million in floating rate securities.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liability section of the balance sheet provides liquidity primarily through interest-bearing and noninterest-bearing deposit accounts. Federal funds purchased, FHLB advances, brokered deposits, Federal Reserve Board short-term borrowings and securities sold under agreements to repurchase are additional sources of liquidity and represent United’s incremental borrowing capacity. These sources of liquidity are generally short-term in nature are used as necessary to fund asset growth and meet other short-term liquidity needs.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March 31, 2012, United had sufficient qualifying collateral to increase FHLB advances by $715 million and Federal Reserve Board discount window capacity of $468 million. United also has the ability to raise substantial funds through brokered deposits. In addition to these wholesale sources, United has the ability to attract retail deposits at any time by competing more aggressively on pricing.</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$33.2 million for the three months ended March 31, 2012. The net income of $11.5 million for the three month period included non-cash expenses for provision for loan losses of $15.0 million; depreciation, amortization and accretion of $6.80 million; and losses and write downs on foreclosed property of $2.20 million. Other assets increased $2.61 million. Net cash used in investing activities of $57.5 million consisted primarily of $253 million of purchases of securities, an increase in net loans of $41.4 million and purchases of premises and equipment of $1.61 million, that were offset by proceeds from sales of securities of $61.6 million, maturities and calls of investment securities of $168 million and net proceeds from sales of other real estate of $6.70 million. Funds collected from the FDIC under loss sharing agreements were $2.57 million, providing another source of cash flows from investing activities. The $73.5 million of net cash used in financing activities consisted primarily of net proceeds of $174 million from FHLB advances offset by a net decrease in deposits of $97.4 million. In the opinion of management, United’s liquidity position at March 31, 2012 was sufficient to meet its expected cash flow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Shareholders’ equity at March 31, 2012 was $580 million, an increase of $4.05 million from December 31, 2011.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(loss), shareholders’ equity increased $9.81 million, or 2%, from December 31, 2011.</w:t>
      </w:r>
    </w:p>
    <w:p>
      <w:pPr>
        <w:spacing w:after="0" w:line="1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the first quarter of 2011, United closed the Private Placement. Pursuant to the Private Placement, the investors purchased and United issued $33.0 million of the Company’s existing common stock, consisting of 3,467,699 shares, for $9.50 per share and issued $347 million in preferred stock consisting of $196 million of United’s mandatorily convertible cumulative non-voting perpetual preferred stock, Series F (the “Series F preferred stock”), and $151 million of United’s mandatorily convertible cumulative non-voting perpetual preferred stock Series G (the “Series G preferred stock”). Under the terms of the Private Placement Agreement and following receipt of required shareholder approvals, which were received on June 16, 2011 at United’s annual shareholders’ meeting, the Series F preferred stock converted into 20,618,156 shares of voting common stock and the Series G preferred stock converted into 15,914,209 shares of non-voting common stock. Following such conversion, the investors owned an aggregate of 24,085,855 shares of common stock and 15,914,209 shares of non-voting common stock. The Private Placement resulted in an increase to shareholders’ equity of $362 million, net of transaction costs.</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February 22, 2011, United entered into a Share Exchange Agreement with the Elm Ridge Parties. Under the Share Exchange Agreement, the Elm Ridge Parties agreed to transfer to the Company 1,551,126 shares of the Company’s common stock in exchange for 16,613 Series D Preferred Shares and warrants to purchase 1,551,126 common shares.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 accrued $3.03 million in dividends, including accretion of discounts, on its Series A non-cumulative preferred stock (the “Series A preferred stock”), Series B preferred stock and Series D preferred stock in the first quarter of 2012. In the first quarter of 2011, United accrued $2.79 million in dividends, including discount accretion, on its Series A preferred stock, Series B preferred stock and Series D preferred stock.</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United granted a warrant to Fletcher to purchase common stock equivalent junior preferred stock that would be convertible into 1,411,765 common shares exercisable at a price equivalent to $21.25 per share. In May 2012, United received a purported partial warrant exercise notice from Fletcher with respect to its warrants that included an incorrect calculation of the number of settlement shares Fletcher would receive upon exercise. On June 17, 2011, United completed a 1-for-5 reverse stock split, or recombination. United believes that any current exercise of Fletcher’s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responded to Fletcher with United’s calculations related to the warrant.</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2011, United entered into the Holding Company MOU with the Federal Reserve Bank and the Georgia Department of Banking and Finance, which superseded the board resolution previously requested by the Federal Reserve Bank. The Holding Company MOU provides, similar to the superseded resolution, that United may not incur additional indebtedness, pay cash dividends, make payments on our trust preferred securities or subordinated indebtedness or repurchase outstanding stock without prior approval of the Federal Reserve Bank. United was not given permission to pay interest on trust preferred securities and dividends on preferred stock during the first quarter of 2011. Effective April 15, 2011, United received approval to make payments for currently payable and previously deferred dividends and interest on its preferred stock and trust preferred securities. Since then, United has continued to receive quarterly approvals of all payments. Additionally, the Holding Company MOU requires, among other things, that United ensures that the Bank functions in a safe and sound manner. United believes it is in compliance with all requirements of the Holding Company MOU.</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Bank is currently subject to the Bank MOU that it entered into with the FDIC and the Georgia Department of Banking and Finance. The Bank MOU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13—Stock Price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Avg Daily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Avg Daily</w:t>
            </w:r>
          </w:p>
        </w:tc>
        <w:tc>
          <w:tcPr>
            <w:tcW w:w="100" w:type="dxa"/>
            <w:vAlign w:val="bottom"/>
          </w:tcPr>
          <w:p>
            <w:pPr>
              <w:spacing w:after="0"/>
              <w:rPr>
                <w:sz w:val="11"/>
                <w:szCs w:val="11"/>
                <w:color w:val="auto"/>
              </w:rPr>
            </w:pPr>
          </w:p>
        </w:tc>
      </w:tr>
      <w:tr>
        <w:trPr>
          <w:trHeight w:val="161"/>
        </w:trPr>
        <w:tc>
          <w:tcPr>
            <w:tcW w:w="59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2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Close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Volume</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Close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Volume</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$10.30</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$9.75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142,987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$5.95</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$ 11.65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139,741</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214,303</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202,024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stock price information shown above has been adjusted to reflect United's 1 for 5 reverse stock split as though it had occurred at the beginning of the earliest reported period.</w:t>
      </w:r>
    </w:p>
    <w:p>
      <w:pPr>
        <w:spacing w:after="0" w:line="13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Federal Reserve Board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1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a company’s total risk weighted assets. Risk-weighted assets for purposes of United’s capital ratios are calculated under these guidelines.</w:t>
      </w:r>
    </w:p>
    <w:p>
      <w:pPr>
        <w:spacing w:after="0" w:line="11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Board requires a bank holding company to maintain a leverage ratio of greater than 4%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United’s capital ratios, as calculated under regulatory guidelines, at March 31, 2012, December 31, 2011 and March 31,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14—Capital Ratios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980" w:type="dxa"/>
            <w:vAlign w:val="bottom"/>
            <w:gridSpan w:val="4"/>
          </w:tcPr>
          <w:p>
            <w:pPr>
              <w:ind w:left="480"/>
              <w:spacing w:after="0"/>
              <w:rPr>
                <w:sz w:val="20"/>
                <w:szCs w:val="20"/>
                <w:color w:val="auto"/>
              </w:rPr>
            </w:pPr>
            <w:r>
              <w:rPr>
                <w:rFonts w:ascii="Arial" w:cs="Arial" w:eastAsia="Arial" w:hAnsi="Arial"/>
                <w:sz w:val="14"/>
                <w:szCs w:val="14"/>
                <w:b w:val="1"/>
                <w:bCs w:val="1"/>
                <w:color w:val="auto"/>
              </w:rPr>
              <w:t>Regulatory</w:t>
            </w:r>
          </w:p>
        </w:tc>
        <w:tc>
          <w:tcPr>
            <w:tcW w:w="29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8"/>
              </w:rPr>
              <w:t>United Community Banks, Inc.</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46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4"/>
                <w:szCs w:val="14"/>
                <w:b w:val="1"/>
                <w:bCs w:val="1"/>
                <w:color w:val="auto"/>
              </w:rPr>
              <w:t>Guidelines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(Consolidated)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United Community Bank</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3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Well</w:t>
            </w:r>
          </w:p>
        </w:tc>
        <w:tc>
          <w:tcPr>
            <w:tcW w:w="36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6"/>
              </w:rPr>
              <w:t>March 31,</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140" w:type="dxa"/>
            <w:vAlign w:val="bottom"/>
          </w:tcPr>
          <w:p>
            <w:pPr>
              <w:spacing w:after="0"/>
              <w:rPr>
                <w:sz w:val="11"/>
                <w:szCs w:val="11"/>
                <w:color w:val="auto"/>
              </w:rPr>
            </w:pPr>
          </w:p>
        </w:tc>
      </w:tr>
      <w:tr>
        <w:trPr>
          <w:trHeight w:val="161"/>
        </w:trPr>
        <w:tc>
          <w:tcPr>
            <w:tcW w:w="34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Minimum</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Capitalized</w:t>
            </w: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2011</w:t>
            </w:r>
          </w:p>
        </w:tc>
        <w:tc>
          <w:tcPr>
            <w:tcW w:w="3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r>
      <w:tr>
        <w:trPr>
          <w:trHeight w:val="129"/>
        </w:trPr>
        <w:tc>
          <w:tcPr>
            <w:tcW w:w="3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Risk-based ratios:</w:t>
            </w:r>
          </w:p>
        </w:tc>
        <w:tc>
          <w:tcPr>
            <w:tcW w:w="5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9"/>
        </w:trPr>
        <w:tc>
          <w:tcPr>
            <w:tcW w:w="3460" w:type="dxa"/>
            <w:vAlign w:val="bottom"/>
          </w:tcPr>
          <w:p>
            <w:pPr>
              <w:ind w:left="440"/>
              <w:spacing w:after="0" w:line="149" w:lineRule="exact"/>
              <w:rPr>
                <w:sz w:val="20"/>
                <w:szCs w:val="20"/>
                <w:color w:val="auto"/>
              </w:rPr>
            </w:pPr>
            <w:r>
              <w:rPr>
                <w:rFonts w:ascii="Arial" w:cs="Arial" w:eastAsia="Arial" w:hAnsi="Arial"/>
                <w:sz w:val="14"/>
                <w:szCs w:val="14"/>
                <w:color w:val="auto"/>
              </w:rPr>
              <w:t>Tier I capital</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13.69%</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7.43%</w:t>
            </w:r>
          </w:p>
        </w:tc>
        <w:tc>
          <w:tcPr>
            <w:tcW w:w="96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13.70%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13.60%</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12.71%</w:t>
            </w:r>
          </w:p>
        </w:tc>
      </w:tr>
      <w:tr>
        <w:trPr>
          <w:trHeight w:val="149"/>
        </w:trPr>
        <w:tc>
          <w:tcPr>
            <w:tcW w:w="3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capital</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8.0</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14.85</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14.49</w:t>
            </w:r>
          </w:p>
        </w:tc>
      </w:tr>
      <w:tr>
        <w:trPr>
          <w:trHeight w:val="172"/>
        </w:trPr>
        <w:tc>
          <w:tcPr>
            <w:tcW w:w="3460" w:type="dxa"/>
            <w:vAlign w:val="bottom"/>
          </w:tcPr>
          <w:p>
            <w:pPr>
              <w:spacing w:after="0"/>
              <w:rPr>
                <w:sz w:val="20"/>
                <w:szCs w:val="20"/>
                <w:color w:val="auto"/>
              </w:rPr>
            </w:pPr>
            <w:r>
              <w:rPr>
                <w:rFonts w:ascii="Arial" w:cs="Arial" w:eastAsia="Arial" w:hAnsi="Arial"/>
                <w:sz w:val="14"/>
                <w:szCs w:val="14"/>
                <w:color w:val="auto"/>
              </w:rPr>
              <w:t>Leverage ratio</w:t>
            </w:r>
          </w:p>
        </w:tc>
        <w:tc>
          <w:tcPr>
            <w:tcW w:w="960" w:type="dxa"/>
            <w:vAlign w:val="bottom"/>
            <w:gridSpan w:val="2"/>
          </w:tcPr>
          <w:p>
            <w:pPr>
              <w:ind w:left="420"/>
              <w:spacing w:after="0"/>
              <w:rPr>
                <w:sz w:val="20"/>
                <w:szCs w:val="20"/>
                <w:color w:val="auto"/>
              </w:rPr>
            </w:pPr>
            <w:r>
              <w:rPr>
                <w:rFonts w:ascii="Arial" w:cs="Arial" w:eastAsia="Arial" w:hAnsi="Arial"/>
                <w:sz w:val="14"/>
                <w:szCs w:val="14"/>
                <w:color w:val="auto"/>
              </w:rPr>
              <w:t>3.0</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5.0</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8.94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8.83</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4.75</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8.96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8.78</w:t>
            </w:r>
          </w:p>
        </w:tc>
        <w:tc>
          <w:tcPr>
            <w:tcW w:w="3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8.12</w:t>
            </w:r>
          </w:p>
        </w:tc>
      </w:tr>
      <w:tr>
        <w:trPr>
          <w:trHeight w:val="84"/>
        </w:trPr>
        <w:tc>
          <w:tcPr>
            <w:tcW w:w="3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49"/>
        </w:trPr>
        <w:tc>
          <w:tcPr>
            <w:tcW w:w="3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Tier I capital</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7"/>
              </w:rPr>
              <w:t>$  629,411</w:t>
            </w: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618,695</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349,734</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629,082</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614,532</w:t>
            </w: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7"/>
              </w:rPr>
              <w:t>$  597,963</w:t>
            </w:r>
          </w:p>
        </w:tc>
      </w:tr>
      <w:tr>
        <w:trPr>
          <w:trHeight w:val="172"/>
        </w:trPr>
        <w:tc>
          <w:tcPr>
            <w:tcW w:w="3460" w:type="dxa"/>
            <w:vAlign w:val="bottom"/>
          </w:tcPr>
          <w:p>
            <w:pPr>
              <w:ind w:left="440"/>
              <w:spacing w:after="0"/>
              <w:rPr>
                <w:sz w:val="20"/>
                <w:szCs w:val="20"/>
                <w:color w:val="auto"/>
              </w:rPr>
            </w:pPr>
            <w:r>
              <w:rPr>
                <w:rFonts w:ascii="Arial" w:cs="Arial" w:eastAsia="Arial" w:hAnsi="Arial"/>
                <w:sz w:val="14"/>
                <w:szCs w:val="14"/>
                <w:color w:val="auto"/>
              </w:rPr>
              <w:t>Total capital</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708,595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696,881</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699,468</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687,190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671,718</w:t>
            </w:r>
          </w:p>
        </w:tc>
        <w:tc>
          <w:tcPr>
            <w:tcW w:w="3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681,671</w:t>
            </w:r>
          </w:p>
        </w:tc>
      </w:tr>
    </w:tbl>
    <w:p>
      <w:pPr>
        <w:spacing w:after="0" w:line="13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United’s Tier 1 capital excludes other comprehensive income, and consists of shareholders’ equity and qualifying capital securities, less goodwill and deposit-based intangibles. Tier II capital components include supplemental capital items such as qualifying allowance for loan losses and qualifying subordinated debt. Tier I capital plus Tier II capital components are referred to as Total Risk-Based Capital.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2012 from that presented in United’s Annual Report on Form 10-K for the year ended December 31, 2011. The interest rate sensitivity position at March 31, 2012 is included in management’s discussion and analysis on page 45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United’s management, including the Chief Executive Officer and Chief Financial Officer, supervised and participated in an evaluation of the Company’s disclosure controls and procedures as of March 31, 2012.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Securities and Exchange Commission’s rules and forms.</w:t>
      </w:r>
    </w:p>
    <w:p>
      <w:pPr>
        <w:spacing w:after="0" w:line="11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United’s Annual Report on Form 10-K for the year ended December 31,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 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 – 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 – None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Certification by Jimmy C. Tallent, President and Chief Executive Officer of United Community Banks, Inc., as adopted pursuant to Section 302</w:t>
            </w:r>
          </w:p>
        </w:tc>
      </w:tr>
      <w:tr>
        <w:trPr>
          <w:trHeight w:val="222"/>
        </w:trPr>
        <w:tc>
          <w:tcPr>
            <w:tcW w:w="92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40"/>
              <w:spacing w:after="0"/>
              <w:rPr>
                <w:sz w:val="20"/>
                <w:szCs w:val="20"/>
                <w:color w:val="auto"/>
              </w:rPr>
            </w:pPr>
            <w:r>
              <w:rPr>
                <w:rFonts w:ascii="Arial" w:cs="Arial" w:eastAsia="Arial" w:hAnsi="Arial"/>
                <w:sz w:val="18"/>
                <w:szCs w:val="18"/>
                <w:color w:val="auto"/>
                <w:w w:val="89"/>
              </w:rPr>
              <w:t>Certification by Rex S. Schuette, Executive Vice President and Chief Financial Officer of United Community Banks, Inc., as adopted pursuant to</w:t>
            </w:r>
          </w:p>
        </w:tc>
      </w:tr>
      <w:tr>
        <w:trPr>
          <w:trHeight w:val="222"/>
        </w:trPr>
        <w:tc>
          <w:tcPr>
            <w:tcW w:w="92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42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Report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420" w:type="dxa"/>
            <w:vAlign w:val="bottom"/>
          </w:tcPr>
          <w:p>
            <w:pPr>
              <w:ind w:left="470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(Registrant)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Alan H. Kumler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Controller and Chief Accounting</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7, 2012</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380" w:firstLine="4"/>
        <w:spacing w:after="0" w:line="332" w:lineRule="auto"/>
        <w:tabs>
          <w:tab w:leader="none" w:pos="6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31"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7, 2012</w:t>
      </w:r>
    </w:p>
    <w:p>
      <w:pPr>
        <w:sectPr>
          <w:pgSz w:w="11900" w:h="16838" w:orient="portrait"/>
          <w:cols w:equalWidth="0" w:num="1">
            <w:col w:w="11420"/>
          </w:cols>
          <w:pgMar w:left="240" w:top="125"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17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80" w:firstLine="8"/>
        <w:spacing w:after="0" w:line="259"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380" w:firstLine="4"/>
        <w:spacing w:after="0" w:line="332" w:lineRule="auto"/>
        <w:tabs>
          <w:tab w:leader="none" w:pos="6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31"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7, 2012</w:t>
      </w:r>
    </w:p>
    <w:p>
      <w:pPr>
        <w:sectPr>
          <w:pgSz w:w="11900" w:h="16838" w:orient="portrait"/>
          <w:cols w:equalWidth="0" w:num="1">
            <w:col w:w="11420"/>
          </w:cols>
          <w:pgMar w:left="240" w:top="125" w:right="239" w:bottom="1440" w:gutter="0" w:footer="0" w:header="0"/>
        </w:sectPr>
      </w:pPr>
    </w:p>
    <w:bookmarkStart w:id="55" w:name="page56"/>
    <w:bookmarkEnd w:id="55"/>
    <w:p>
      <w:pPr>
        <w:ind w:left="53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2012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7, 2012</w:t>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2019-12-09T10:05:03Z</dcterms:created>
  <dcterms:modified xsi:type="dcterms:W3CDTF">2019-12-09T10:05:03Z</dcterms:modified>
</cp:coreProperties>
</file>