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2416175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0-21656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UNITED COMMUNITY BANKS,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1"/>
              </w:rPr>
              <w:t>Georgia</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58-1807304</w:t>
            </w:r>
          </w:p>
        </w:tc>
      </w:tr>
      <w:tr>
        <w:trPr>
          <w:trHeight w:val="205"/>
        </w:trPr>
        <w:tc>
          <w:tcPr>
            <w:tcW w:w="54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2"/>
              </w:rPr>
              <w:t>(State of Incorporation)</w:t>
            </w:r>
          </w:p>
        </w:tc>
        <w:tc>
          <w:tcPr>
            <w:tcW w:w="580" w:type="dxa"/>
            <w:vAlign w:val="bottom"/>
          </w:tcPr>
          <w:p>
            <w:pPr>
              <w:spacing w:after="0"/>
              <w:rPr>
                <w:sz w:val="17"/>
                <w:szCs w:val="17"/>
                <w:color w:val="auto"/>
              </w:rPr>
            </w:pPr>
          </w:p>
        </w:tc>
        <w:tc>
          <w:tcPr>
            <w:tcW w:w="54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3"/>
              </w:rPr>
              <w:t>(I.R.S. Employer Identification</w:t>
            </w:r>
          </w:p>
        </w:tc>
      </w:tr>
      <w:tr>
        <w:trPr>
          <w:trHeight w:val="234"/>
        </w:trPr>
        <w:tc>
          <w:tcPr>
            <w:tcW w:w="5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1"/>
              </w:rPr>
              <w:t>No.)</w:t>
            </w:r>
          </w:p>
        </w:tc>
      </w:tr>
      <w:tr>
        <w:trPr>
          <w:trHeight w:val="41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2"/>
              </w:rPr>
              <w:t>63 Highway 515</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0"/>
              </w:rPr>
              <w:t>Blairsville, Georgia</w:t>
            </w:r>
          </w:p>
        </w:tc>
        <w:tc>
          <w:tcPr>
            <w:tcW w:w="6000" w:type="dxa"/>
            <w:vAlign w:val="bottom"/>
            <w:gridSpan w:val="2"/>
          </w:tcPr>
          <w:p>
            <w:pPr>
              <w:jc w:val="right"/>
              <w:ind w:right="2390"/>
              <w:spacing w:after="0"/>
              <w:rPr>
                <w:sz w:val="20"/>
                <w:szCs w:val="20"/>
                <w:color w:val="auto"/>
              </w:rPr>
            </w:pPr>
            <w:r>
              <w:rPr>
                <w:rFonts w:ascii="Arial" w:cs="Arial" w:eastAsia="Arial" w:hAnsi="Arial"/>
                <w:sz w:val="18"/>
                <w:szCs w:val="18"/>
                <w:b w:val="1"/>
                <w:bCs w:val="1"/>
                <w:color w:val="auto"/>
              </w:rPr>
              <w:t>30512</w:t>
            </w:r>
          </w:p>
        </w:tc>
      </w:tr>
      <w:tr>
        <w:trPr>
          <w:trHeight w:val="205"/>
        </w:trPr>
        <w:tc>
          <w:tcPr>
            <w:tcW w:w="54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0"/>
              </w:rPr>
              <w:t>Address of Principal</w:t>
            </w:r>
          </w:p>
        </w:tc>
        <w:tc>
          <w:tcPr>
            <w:tcW w:w="580" w:type="dxa"/>
            <w:vAlign w:val="bottom"/>
          </w:tcPr>
          <w:p>
            <w:pPr>
              <w:spacing w:after="0"/>
              <w:rPr>
                <w:sz w:val="17"/>
                <w:szCs w:val="17"/>
                <w:color w:val="auto"/>
              </w:rPr>
            </w:pPr>
          </w:p>
        </w:tc>
        <w:tc>
          <w:tcPr>
            <w:tcW w:w="54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4"/>
              </w:rPr>
              <w:t>(Zip Code)</w:t>
            </w: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9"/>
              </w:rPr>
              <w:t>Executive Offices</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(706 ) 781-2265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Number)</w:t>
      </w:r>
    </w:p>
    <w:p>
      <w:pPr>
        <w:spacing w:after="0" w:line="99"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5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Arial" w:cs="Arial" w:eastAsia="Arial" w:hAnsi="Arial"/>
          <w:sz w:val="18"/>
          <w:szCs w:val="18"/>
          <w:color w:val="auto"/>
        </w:rPr>
        <w:t>o</w:t>
      </w:r>
    </w:p>
    <w:p>
      <w:pPr>
        <w:spacing w:after="0" w:line="146" w:lineRule="exact"/>
        <w:rPr>
          <w:sz w:val="20"/>
          <w:szCs w:val="20"/>
          <w:color w:val="auto"/>
        </w:rPr>
      </w:pPr>
    </w:p>
    <w:p>
      <w:pPr>
        <w:ind w:right="960"/>
        <w:spacing w:after="0" w:line="258"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or a non-accelerated filer. See definition of “accelerated filer and large accelerated filer” in Rule 12b-2 of the Exchange Act. (check one):</w:t>
      </w:r>
    </w:p>
    <w:p>
      <w:pPr>
        <w:ind w:left="2640"/>
        <w:spacing w:after="0" w:line="207" w:lineRule="exact"/>
        <w:tabs>
          <w:tab w:leader="none" w:pos="5060" w:val="left"/>
          <w:tab w:leader="none" w:pos="7020" w:val="left"/>
        </w:tabs>
        <w:rPr>
          <w:sz w:val="20"/>
          <w:szCs w:val="20"/>
          <w:color w:val="auto"/>
        </w:rPr>
      </w:pPr>
      <w:r>
        <w:rPr>
          <w:rFonts w:ascii="Arial" w:cs="Arial" w:eastAsia="Arial" w:hAnsi="Arial"/>
          <w:sz w:val="18"/>
          <w:szCs w:val="18"/>
          <w:b w:val="1"/>
          <w:bCs w:val="1"/>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b w:val="1"/>
          <w:bCs w:val="1"/>
          <w:color w:val="auto"/>
        </w:rPr>
        <w:t xml:space="preserve">Non-accelerated filer </w:t>
      </w:r>
      <w:r>
        <w:rPr>
          <w:rFonts w:ascii="Arial" w:cs="Arial" w:eastAsia="Arial" w:hAnsi="Arial"/>
          <w:sz w:val="16"/>
          <w:szCs w:val="16"/>
          <w:color w:val="auto"/>
        </w:rPr>
        <w:t>o</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Indicate by check mark whether the registrant is a shell company (as defined in Rule 12b-2 of the Act).</w:t>
      </w:r>
    </w:p>
    <w:p>
      <w:pPr>
        <w:spacing w:after="0" w:line="30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o NO </w:t>
      </w:r>
      <w:r>
        <w:rPr>
          <w:rFonts w:ascii="MS PGothic" w:cs="MS PGothic" w:eastAsia="MS PGothic" w:hAnsi="MS PGothic"/>
          <w:sz w:val="18"/>
          <w:szCs w:val="18"/>
          <w:color w:val="auto"/>
        </w:rPr>
        <w: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$1 per share: 43,037,840 shares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as of March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200" w:type="dxa"/>
            <w:vAlign w:val="bottom"/>
            <w:gridSpan w:val="22"/>
          </w:tcPr>
          <w:p>
            <w:pPr>
              <w:spacing w:after="0"/>
              <w:rPr>
                <w:sz w:val="20"/>
                <w:szCs w:val="20"/>
                <w:color w:val="auto"/>
              </w:rPr>
            </w:pPr>
            <w:r>
              <w:rPr>
                <w:rFonts w:ascii="Arial" w:cs="Arial" w:eastAsia="Arial" w:hAnsi="Arial"/>
                <w:sz w:val="18"/>
                <w:szCs w:val="18"/>
                <w:b w:val="1"/>
                <w:bCs w:val="1"/>
                <w:color w:val="auto"/>
              </w:rPr>
              <w:t>INDEX</w:t>
            </w:r>
          </w:p>
        </w:tc>
        <w:tc>
          <w:tcPr>
            <w:tcW w:w="1120" w:type="dxa"/>
            <w:vAlign w:val="bottom"/>
          </w:tcPr>
          <w:p>
            <w:pPr>
              <w:spacing w:after="0"/>
              <w:rPr>
                <w:sz w:val="20"/>
                <w:szCs w:val="20"/>
                <w:color w:val="auto"/>
              </w:rPr>
            </w:pPr>
          </w:p>
        </w:tc>
      </w:tr>
      <w:tr>
        <w:trPr>
          <w:trHeight w:val="392"/>
        </w:trPr>
        <w:tc>
          <w:tcPr>
            <w:tcW w:w="10200" w:type="dxa"/>
            <w:vAlign w:val="bottom"/>
            <w:gridSpan w:val="2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1120" w:type="dxa"/>
            <w:vAlign w:val="bottom"/>
          </w:tcPr>
          <w:p>
            <w:pPr>
              <w:spacing w:after="0"/>
              <w:rPr>
                <w:sz w:val="24"/>
                <w:szCs w:val="24"/>
                <w:color w:val="auto"/>
              </w:rPr>
            </w:pPr>
          </w:p>
        </w:tc>
      </w:tr>
      <w:tr>
        <w:trPr>
          <w:trHeight w:val="412"/>
        </w:trPr>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4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89"/>
              </w:rPr>
            </w:pPr>
            <w:hyperlink w:anchor="page4">
              <w:r>
                <w:rPr>
                  <w:rFonts w:ascii="Arial" w:cs="Arial" w:eastAsia="Arial" w:hAnsi="Arial"/>
                  <w:sz w:val="18"/>
                  <w:szCs w:val="18"/>
                  <w:b w:val="1"/>
                  <w:bCs w:val="1"/>
                  <w:color w:val="0000EE"/>
                  <w:w w:val="89"/>
                </w:rPr>
                <w:t>Item 1. Financial Statements.</w:t>
              </w:r>
            </w:hyperlink>
          </w:p>
        </w:tc>
        <w:tc>
          <w:tcPr>
            <w:tcW w:w="100" w:type="dxa"/>
            <w:vAlign w:val="bottom"/>
            <w:tcBorders>
              <w:top w:val="single" w:sz="8" w:color="0000EE"/>
            </w:tcBorders>
          </w:tcPr>
          <w:p>
            <w:pPr>
              <w:spacing w:after="0"/>
              <w:rPr>
                <w:sz w:val="24"/>
                <w:szCs w:val="24"/>
                <w:color w:val="auto"/>
              </w:rPr>
            </w:pPr>
          </w:p>
        </w:tc>
        <w:tc>
          <w:tcPr>
            <w:tcW w:w="7640" w:type="dxa"/>
            <w:vAlign w:val="bottom"/>
            <w:gridSpan w:val="12"/>
          </w:tcPr>
          <w:p>
            <w:pPr>
              <w:spacing w:after="0"/>
              <w:rPr>
                <w:sz w:val="24"/>
                <w:szCs w:val="24"/>
                <w:color w:val="auto"/>
              </w:rPr>
            </w:pPr>
          </w:p>
        </w:tc>
        <w:tc>
          <w:tcPr>
            <w:tcW w:w="1120" w:type="dxa"/>
            <w:vAlign w:val="bottom"/>
          </w:tcPr>
          <w:p>
            <w:pPr>
              <w:spacing w:after="0"/>
              <w:rPr>
                <w:sz w:val="24"/>
                <w:szCs w:val="24"/>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Consolidated Statement of Income (unaudited) for the Three Months Ended March 31, 2007 and 2006</w:t>
              </w:r>
            </w:hyperlink>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8"/>
                <w:szCs w:val="18"/>
                <w:b w:val="1"/>
                <w:bCs w:val="1"/>
                <w:color w:val="0000EE"/>
                <w:w w:val="95"/>
              </w:rPr>
            </w:pPr>
            <w:hyperlink w:anchor="page5">
              <w:r>
                <w:rPr>
                  <w:rFonts w:ascii="Arial" w:cs="Arial" w:eastAsia="Arial" w:hAnsi="Arial"/>
                  <w:sz w:val="18"/>
                  <w:szCs w:val="18"/>
                  <w:b w:val="1"/>
                  <w:bCs w:val="1"/>
                  <w:color w:val="0000EE"/>
                  <w:w w:val="95"/>
                </w:rPr>
                <w:t>Consolidated Balance Sheet at March 31, 2007 (unaudited), December 31, 2006 (audited) and March 31, 2006 (unaudited)</w:t>
              </w:r>
            </w:hyperlink>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780" w:type="dxa"/>
            <w:vAlign w:val="bottom"/>
            <w:tcBorders>
              <w:bottom w:val="single" w:sz="8" w:color="0000EE"/>
            </w:tcBorders>
            <w:gridSpan w:val="19"/>
          </w:tcPr>
          <w:p>
            <w:pPr>
              <w:spacing w:after="0"/>
              <w:rPr>
                <w:rFonts w:ascii="Arial" w:cs="Arial" w:eastAsia="Arial" w:hAnsi="Arial"/>
                <w:sz w:val="18"/>
                <w:szCs w:val="18"/>
                <w:b w:val="1"/>
                <w:bCs w:val="1"/>
                <w:color w:val="0000EE"/>
                <w:w w:val="90"/>
              </w:rPr>
            </w:pPr>
            <w:hyperlink w:anchor="page6">
              <w:r>
                <w:rPr>
                  <w:rFonts w:ascii="Arial" w:cs="Arial" w:eastAsia="Arial" w:hAnsi="Arial"/>
                  <w:sz w:val="18"/>
                  <w:szCs w:val="18"/>
                  <w:b w:val="1"/>
                  <w:bCs w:val="1"/>
                  <w:color w:val="0000EE"/>
                  <w:w w:val="90"/>
                </w:rPr>
                <w:t>Consolidated Statement of Changes in Shareholders’ Equity (unaudited) for the Three Months Ended March 31, 2007 and 2006</w:t>
              </w:r>
            </w:hyperlink>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20" w:type="dxa"/>
            <w:vAlign w:val="bottom"/>
            <w:tcBorders>
              <w:bottom w:val="single" w:sz="8" w:color="0000EE"/>
            </w:tcBorders>
            <w:gridSpan w:val="17"/>
          </w:tcPr>
          <w:p>
            <w:pPr>
              <w:spacing w:after="0"/>
              <w:rPr>
                <w:rFonts w:ascii="Arial" w:cs="Arial" w:eastAsia="Arial" w:hAnsi="Arial"/>
                <w:sz w:val="18"/>
                <w:szCs w:val="18"/>
                <w:b w:val="1"/>
                <w:bCs w:val="1"/>
                <w:color w:val="0000EE"/>
                <w:w w:val="90"/>
              </w:rPr>
            </w:pPr>
            <w:hyperlink w:anchor="page8">
              <w:r>
                <w:rPr>
                  <w:rFonts w:ascii="Arial" w:cs="Arial" w:eastAsia="Arial" w:hAnsi="Arial"/>
                  <w:sz w:val="18"/>
                  <w:szCs w:val="18"/>
                  <w:b w:val="1"/>
                  <w:bCs w:val="1"/>
                  <w:color w:val="0000EE"/>
                  <w:w w:val="90"/>
                </w:rPr>
                <w:t>Consolidated Statement of Cash Flows (unaudited) for the Three Months Ended March 31, 2007 and 2006</w:t>
              </w:r>
            </w:hyperlink>
          </w:p>
        </w:tc>
        <w:tc>
          <w:tcPr>
            <w:tcW w:w="1660" w:type="dxa"/>
            <w:vAlign w:val="bottom"/>
            <w:gridSpan w:val="2"/>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tcBorders>
              <w:bottom w:val="single" w:sz="8" w:color="0000EE"/>
            </w:tcBorders>
            <w:gridSpan w:val="10"/>
          </w:tcPr>
          <w:p>
            <w:pPr>
              <w:spacing w:after="0"/>
              <w:rPr>
                <w:rFonts w:ascii="Arial" w:cs="Arial" w:eastAsia="Arial" w:hAnsi="Arial"/>
                <w:sz w:val="18"/>
                <w:szCs w:val="18"/>
                <w:b w:val="1"/>
                <w:bCs w:val="1"/>
                <w:color w:val="0000EE"/>
                <w:w w:val="88"/>
              </w:rPr>
            </w:pPr>
            <w:hyperlink w:anchor="page9">
              <w:r>
                <w:rPr>
                  <w:rFonts w:ascii="Arial" w:cs="Arial" w:eastAsia="Arial" w:hAnsi="Arial"/>
                  <w:sz w:val="18"/>
                  <w:szCs w:val="18"/>
                  <w:b w:val="1"/>
                  <w:bCs w:val="1"/>
                  <w:color w:val="0000EE"/>
                  <w:w w:val="88"/>
                </w:rPr>
                <w:t>Notes to Consolidated Financial Statements</w:t>
              </w:r>
            </w:hyperlink>
          </w:p>
        </w:tc>
        <w:tc>
          <w:tcPr>
            <w:tcW w:w="6440" w:type="dxa"/>
            <w:vAlign w:val="bottom"/>
            <w:gridSpan w:val="9"/>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60" w:type="dxa"/>
            <w:vAlign w:val="bottom"/>
            <w:tcBorders>
              <w:bottom w:val="single" w:sz="8" w:color="0000EE"/>
            </w:tcBorders>
            <w:gridSpan w:val="16"/>
          </w:tcPr>
          <w:p>
            <w:pPr>
              <w:spacing w:after="0"/>
              <w:rPr>
                <w:rFonts w:ascii="Arial" w:cs="Arial" w:eastAsia="Arial" w:hAnsi="Arial"/>
                <w:sz w:val="18"/>
                <w:szCs w:val="18"/>
                <w:b w:val="1"/>
                <w:bCs w:val="1"/>
                <w:color w:val="0000EE"/>
                <w:w w:val="89"/>
              </w:rPr>
            </w:pPr>
            <w:hyperlink w:anchor="page13">
              <w:r>
                <w:rPr>
                  <w:rFonts w:ascii="Arial" w:cs="Arial" w:eastAsia="Arial" w:hAnsi="Arial"/>
                  <w:sz w:val="18"/>
                  <w:szCs w:val="18"/>
                  <w:b w:val="1"/>
                  <w:bCs w:val="1"/>
                  <w:color w:val="0000EE"/>
                  <w:w w:val="89"/>
                </w:rPr>
                <w:t>Item 2. Management’s Discussion and Analysis of Financial Condition and Results of Operations.</w:t>
              </w:r>
            </w:hyperlink>
          </w:p>
        </w:tc>
        <w:tc>
          <w:tcPr>
            <w:tcW w:w="2520" w:type="dxa"/>
            <w:vAlign w:val="bottom"/>
            <w:gridSpan w:val="4"/>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3. Quantitative and Qualitative Disclosures About Market Risk.</w:t>
              </w:r>
            </w:hyperlink>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tcBorders>
              <w:top w:val="single" w:sz="8" w:color="0000EE"/>
              <w:bottom w:val="single" w:sz="8" w:color="0000EE"/>
            </w:tcBorders>
            <w:gridSpan w:val="9"/>
          </w:tcPr>
          <w:p>
            <w:pPr>
              <w:spacing w:after="0"/>
              <w:rPr>
                <w:rFonts w:ascii="Arial" w:cs="Arial" w:eastAsia="Arial" w:hAnsi="Arial"/>
                <w:sz w:val="18"/>
                <w:szCs w:val="18"/>
                <w:b w:val="1"/>
                <w:bCs w:val="1"/>
                <w:color w:val="0000EE"/>
                <w:w w:val="89"/>
              </w:rPr>
            </w:pPr>
            <w:hyperlink w:anchor="page28">
              <w:r>
                <w:rPr>
                  <w:rFonts w:ascii="Arial" w:cs="Arial" w:eastAsia="Arial" w:hAnsi="Arial"/>
                  <w:sz w:val="18"/>
                  <w:szCs w:val="18"/>
                  <w:b w:val="1"/>
                  <w:bCs w:val="1"/>
                  <w:color w:val="0000EE"/>
                  <w:w w:val="89"/>
                </w:rPr>
                <w:t>Item 4. Controls and Procedures.</w:t>
              </w:r>
            </w:hyperlink>
          </w:p>
        </w:tc>
        <w:tc>
          <w:tcPr>
            <w:tcW w:w="2740" w:type="dxa"/>
            <w:vAlign w:val="bottom"/>
            <w:tcBorders>
              <w:top w:val="single" w:sz="8" w:color="0000EE"/>
            </w:tcBorders>
            <w:gridSpan w:val="6"/>
          </w:tcPr>
          <w:p>
            <w:pPr>
              <w:spacing w:after="0"/>
              <w:rPr>
                <w:sz w:val="24"/>
                <w:szCs w:val="24"/>
                <w:color w:val="auto"/>
              </w:rPr>
            </w:pPr>
          </w:p>
        </w:tc>
        <w:tc>
          <w:tcPr>
            <w:tcW w:w="4700" w:type="dxa"/>
            <w:vAlign w:val="bottom"/>
            <w:gridSpan w:val="5"/>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412"/>
        </w:trPr>
        <w:tc>
          <w:tcPr>
            <w:tcW w:w="2380" w:type="dxa"/>
            <w:vAlign w:val="bottom"/>
            <w:tcBorders>
              <w:bottom w:val="single" w:sz="8" w:color="0000EE"/>
            </w:tcBorders>
            <w:gridSpan w:val="8"/>
          </w:tcPr>
          <w:p>
            <w:pPr>
              <w:spacing w:after="0"/>
              <w:rPr>
                <w:rFonts w:ascii="Arial" w:cs="Arial" w:eastAsia="Arial" w:hAnsi="Arial"/>
                <w:sz w:val="18"/>
                <w:szCs w:val="18"/>
                <w:b w:val="1"/>
                <w:bCs w:val="1"/>
                <w:color w:val="0000EE"/>
                <w:w w:val="96"/>
              </w:rPr>
            </w:pPr>
            <w:hyperlink w:anchor="page29">
              <w:r>
                <w:rPr>
                  <w:rFonts w:ascii="Arial" w:cs="Arial" w:eastAsia="Arial" w:hAnsi="Arial"/>
                  <w:sz w:val="18"/>
                  <w:szCs w:val="18"/>
                  <w:b w:val="1"/>
                  <w:bCs w:val="1"/>
                  <w:color w:val="0000EE"/>
                  <w:w w:val="96"/>
                </w:rPr>
                <w:t>PART II — Other Information</w:t>
              </w:r>
            </w:hyperlink>
          </w:p>
        </w:tc>
        <w:tc>
          <w:tcPr>
            <w:tcW w:w="7820" w:type="dxa"/>
            <w:vAlign w:val="bottom"/>
            <w:gridSpan w:val="14"/>
          </w:tcPr>
          <w:p>
            <w:pPr>
              <w:spacing w:after="0"/>
              <w:rPr>
                <w:sz w:val="24"/>
                <w:szCs w:val="24"/>
                <w:color w:val="auto"/>
              </w:rPr>
            </w:pPr>
          </w:p>
        </w:tc>
        <w:tc>
          <w:tcPr>
            <w:tcW w:w="1120" w:type="dxa"/>
            <w:vAlign w:val="bottom"/>
          </w:tcPr>
          <w:p>
            <w:pPr>
              <w:spacing w:after="0"/>
              <w:rPr>
                <w:sz w:val="24"/>
                <w:szCs w:val="24"/>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1. Legal Proceedings.</w:t>
              </w:r>
            </w:hyperlink>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Borders>
              <w:top w:val="single" w:sz="8" w:color="0000EE"/>
            </w:tcBorders>
            <w:gridSpan w:val="4"/>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1A. Risk Factors.</w:t>
              </w:r>
            </w:hyperlink>
          </w:p>
        </w:tc>
        <w:tc>
          <w:tcPr>
            <w:tcW w:w="7960" w:type="dxa"/>
            <w:vAlign w:val="bottom"/>
            <w:gridSpan w:val="16"/>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26</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80" w:type="dxa"/>
            <w:vAlign w:val="bottom"/>
            <w:gridSpan w:val="20"/>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2. Unregistered Sales of Equity Securities and Use of Proceeds.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26</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180" w:type="dxa"/>
            <w:vAlign w:val="bottom"/>
            <w:tcBorders>
              <w:top w:val="single" w:sz="8" w:color="0000EE"/>
            </w:tcBorders>
            <w:gridSpan w:val="14"/>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3. Defaults Upon Senior Securities.</w:t>
              </w:r>
            </w:hyperlink>
          </w:p>
        </w:tc>
        <w:tc>
          <w:tcPr>
            <w:tcW w:w="4800" w:type="dxa"/>
            <w:vAlign w:val="bottom"/>
            <w:gridSpan w:val="6"/>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26</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80" w:type="dxa"/>
            <w:vAlign w:val="bottom"/>
            <w:gridSpan w:val="20"/>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4. Submission of Matters to a Vote of Security Holders.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26</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0" w:type="dxa"/>
            <w:vAlign w:val="bottom"/>
            <w:tcBorders>
              <w:top w:val="single" w:sz="8" w:color="0000EE"/>
            </w:tcBorders>
            <w:gridSpan w:val="13"/>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5. Other Information.</w:t>
              </w:r>
            </w:hyperlink>
          </w:p>
        </w:tc>
        <w:tc>
          <w:tcPr>
            <w:tcW w:w="5380" w:type="dxa"/>
            <w:vAlign w:val="bottom"/>
            <w:gridSpan w:val="7"/>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26</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tcBorders>
              <w:top w:val="single" w:sz="8" w:color="0000EE"/>
            </w:tcBorders>
            <w:gridSpan w:val="5"/>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6. Exhibits.</w:t>
              </w:r>
            </w:hyperlink>
          </w:p>
        </w:tc>
        <w:tc>
          <w:tcPr>
            <w:tcW w:w="7920" w:type="dxa"/>
            <w:vAlign w:val="bottom"/>
            <w:gridSpan w:val="15"/>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26</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440" w:type="dxa"/>
            <w:vAlign w:val="bottom"/>
            <w:gridSpan w:val="10"/>
          </w:tcPr>
          <w:p>
            <w:pPr>
              <w:spacing w:after="0" w:line="20" w:lineRule="exact"/>
              <w:rPr>
                <w:sz w:val="1"/>
                <w:szCs w:val="1"/>
                <w:color w:val="auto"/>
              </w:rPr>
            </w:pPr>
          </w:p>
        </w:tc>
        <w:tc>
          <w:tcPr>
            <w:tcW w:w="6280" w:type="dxa"/>
            <w:vAlign w:val="bottom"/>
            <w:gridSpan w:val="8"/>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86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4"/>
              </w:rPr>
              <w:t>EX-31.1 CERTIFICATION BY JIMMY C. TALLENT</w:t>
            </w:r>
          </w:p>
        </w:tc>
        <w:tc>
          <w:tcPr>
            <w:tcW w:w="6280" w:type="dxa"/>
            <w:vAlign w:val="bottom"/>
            <w:gridSpan w:val="8"/>
          </w:tcPr>
          <w:p>
            <w:pPr>
              <w:spacing w:after="0"/>
              <w:rPr>
                <w:sz w:val="17"/>
                <w:szCs w:val="17"/>
                <w:color w:val="auto"/>
              </w:rPr>
            </w:pPr>
          </w:p>
        </w:tc>
        <w:tc>
          <w:tcPr>
            <w:tcW w:w="1120" w:type="dxa"/>
            <w:vAlign w:val="bottom"/>
          </w:tcPr>
          <w:p>
            <w:pPr>
              <w:spacing w:after="0"/>
              <w:rPr>
                <w:sz w:val="17"/>
                <w:szCs w:val="17"/>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 CERTIFICATION BY REX S. SCHUETTE</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 SECTION 906 CERTIFICATIONS BY THE CEO AND CFO</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 M M UNITY BANKS,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Income </w:t>
      </w:r>
      <w:r>
        <w:rPr>
          <w:rFonts w:ascii="Arial" w:cs="Arial" w:eastAsia="Arial" w:hAnsi="Arial"/>
          <w:sz w:val="18"/>
          <w:szCs w:val="18"/>
          <w:i w:val="1"/>
          <w:i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2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Interest revenue:</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Loans, including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114,073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86,606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00"/>
              <w:spacing w:after="0"/>
              <w:rPr>
                <w:sz w:val="20"/>
                <w:szCs w:val="20"/>
                <w:color w:val="auto"/>
              </w:rPr>
            </w:pPr>
            <w:r>
              <w:rPr>
                <w:rFonts w:ascii="Arial" w:cs="Arial" w:eastAsia="Arial" w:hAnsi="Arial"/>
                <w:sz w:val="18"/>
                <w:szCs w:val="18"/>
                <w:color w:val="auto"/>
              </w:rPr>
              <w:t>Taxable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13,968</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Tax exempt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Federal funds sold and deposits in banks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interest revenue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128,546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98,596</w:t>
            </w:r>
          </w:p>
        </w:tc>
        <w:tc>
          <w:tcPr>
            <w:tcW w:w="0" w:type="dxa"/>
            <w:vAlign w:val="bottom"/>
          </w:tcPr>
          <w:p>
            <w:pPr>
              <w:spacing w:after="0"/>
              <w:rPr>
                <w:sz w:val="1"/>
                <w:szCs w:val="1"/>
                <w:color w:val="auto"/>
              </w:rPr>
            </w:pPr>
          </w:p>
        </w:tc>
      </w:tr>
      <w:tr>
        <w:trPr>
          <w:trHeight w:val="439"/>
        </w:trPr>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00"/>
              <w:spacing w:after="0"/>
              <w:rPr>
                <w:sz w:val="20"/>
                <w:szCs w:val="20"/>
                <w:color w:val="auto"/>
              </w:rPr>
            </w:pPr>
            <w:r>
              <w:rPr>
                <w:rFonts w:ascii="Arial" w:cs="Arial" w:eastAsia="Arial" w:hAnsi="Arial"/>
                <w:sz w:val="18"/>
                <w:szCs w:val="18"/>
                <w:color w:val="auto"/>
              </w:rPr>
              <w:t>NOW</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10,627</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Money market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00"/>
              <w:spacing w:after="0"/>
              <w:rPr>
                <w:sz w:val="20"/>
                <w:szCs w:val="20"/>
                <w:color w:val="auto"/>
              </w:rPr>
            </w:pPr>
            <w:r>
              <w:rPr>
                <w:rFonts w:ascii="Arial" w:cs="Arial" w:eastAsia="Arial" w:hAnsi="Arial"/>
                <w:sz w:val="18"/>
                <w:szCs w:val="18"/>
                <w:color w:val="auto"/>
              </w:rPr>
              <w:t>Savings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309</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Time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41,625</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25,386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600"/>
              <w:spacing w:after="0"/>
              <w:rPr>
                <w:sz w:val="20"/>
                <w:szCs w:val="20"/>
                <w:color w:val="auto"/>
              </w:rPr>
            </w:pPr>
            <w:r>
              <w:rPr>
                <w:rFonts w:ascii="Arial" w:cs="Arial" w:eastAsia="Arial" w:hAnsi="Arial"/>
                <w:sz w:val="18"/>
                <w:szCs w:val="18"/>
                <w:color w:val="auto"/>
              </w:rPr>
              <w:t>Total deposit interest expense</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55,101</w:t>
            </w: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32,801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 funds purchased, repurchase agreements, &amp; other short-term borrowings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Federal Home Loan Bank advances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4,801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40" w:type="dxa"/>
            <w:vAlign w:val="bottom"/>
          </w:tcPr>
          <w:p>
            <w:pPr>
              <w:ind w:left="400"/>
              <w:spacing w:after="0"/>
              <w:rPr>
                <w:sz w:val="20"/>
                <w:szCs w:val="20"/>
                <w:color w:val="auto"/>
              </w:rPr>
            </w:pPr>
            <w:r>
              <w:rPr>
                <w:rFonts w:ascii="Arial" w:cs="Arial" w:eastAsia="Arial" w:hAnsi="Arial"/>
                <w:sz w:val="18"/>
                <w:szCs w:val="18"/>
                <w:color w:val="auto"/>
              </w:rPr>
              <w:t>Total interest expense</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63,923</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43,065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interest revenue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64,623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55,531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Provision for loan losses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interest revenue after provision for loan losses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52,031</w:t>
            </w:r>
          </w:p>
        </w:tc>
        <w:tc>
          <w:tcPr>
            <w:tcW w:w="0" w:type="dxa"/>
            <w:vAlign w:val="bottom"/>
          </w:tcPr>
          <w:p>
            <w:pPr>
              <w:spacing w:after="0"/>
              <w:rPr>
                <w:sz w:val="1"/>
                <w:szCs w:val="1"/>
                <w:color w:val="auto"/>
              </w:rPr>
            </w:pPr>
          </w:p>
        </w:tc>
      </w:tr>
      <w:tr>
        <w:trPr>
          <w:trHeight w:val="439"/>
        </w:trPr>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Fee revenue:</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charges and fees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Mortgage loan and other related fees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2,223</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Consulting fees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Brokerage fees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944</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gains (losses),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fee revenue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11,758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40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75,305</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63,789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Salaries and employee benefits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28,317</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23,884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Communications and equipment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3,191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Advertising and public relations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Postage, printing and supplies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1,660</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564</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4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44,841</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38,463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25,326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11,119</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vMerge w:val="restart"/>
          </w:tcPr>
          <w:p>
            <w:pPr>
              <w:ind w:left="400"/>
              <w:spacing w:after="0"/>
              <w:rPr>
                <w:sz w:val="20"/>
                <w:szCs w:val="20"/>
                <w:color w:val="auto"/>
              </w:rPr>
            </w:pPr>
            <w:r>
              <w:rPr>
                <w:rFonts w:ascii="Arial" w:cs="Arial" w:eastAsia="Arial" w:hAnsi="Arial"/>
                <w:sz w:val="18"/>
                <w:szCs w:val="18"/>
                <w:color w:val="auto"/>
              </w:rPr>
              <w:t>Net income available to common shareholders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19,340</w:t>
            </w: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Dividends per common share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.09</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43,000</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40,088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41,190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419" w:right="239" w:bottom="503"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503"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5"/>
              </w:rPr>
              <w:t>March 31,</w:t>
            </w:r>
          </w:p>
        </w:tc>
        <w:tc>
          <w:tcPr>
            <w:tcW w:w="30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March 31,</w:t>
            </w:r>
          </w:p>
        </w:tc>
      </w:tr>
      <w:tr>
        <w:trPr>
          <w:trHeight w:val="171"/>
        </w:trPr>
        <w:tc>
          <w:tcPr>
            <w:tcW w:w="74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 except share and per share data)</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2006</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4"/>
                <w:szCs w:val="14"/>
                <w:color w:val="auto"/>
              </w:rPr>
            </w:pPr>
          </w:p>
        </w:tc>
      </w:tr>
      <w:tr>
        <w:trPr>
          <w:trHeight w:val="142"/>
        </w:trPr>
        <w:tc>
          <w:tcPr>
            <w:tcW w:w="7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jc w:val="center"/>
              <w:ind w:right="360"/>
              <w:spacing w:after="0" w:line="142" w:lineRule="exact"/>
              <w:rPr>
                <w:sz w:val="20"/>
                <w:szCs w:val="20"/>
                <w:color w:val="auto"/>
              </w:rPr>
            </w:pPr>
            <w:r>
              <w:rPr>
                <w:rFonts w:ascii="Arial" w:cs="Arial" w:eastAsia="Arial" w:hAnsi="Arial"/>
                <w:sz w:val="14"/>
                <w:szCs w:val="14"/>
                <w:i w:val="1"/>
                <w:iCs w:val="1"/>
                <w:color w:val="auto"/>
                <w:w w:val="95"/>
              </w:rPr>
              <w:t>(unaudited)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820"/>
              <w:spacing w:after="0" w:line="142" w:lineRule="exact"/>
              <w:rPr>
                <w:sz w:val="20"/>
                <w:szCs w:val="20"/>
                <w:color w:val="auto"/>
              </w:rPr>
            </w:pPr>
            <w:r>
              <w:rPr>
                <w:rFonts w:ascii="Arial" w:cs="Arial" w:eastAsia="Arial" w:hAnsi="Arial"/>
                <w:sz w:val="14"/>
                <w:szCs w:val="14"/>
                <w:i w:val="1"/>
                <w:iCs w:val="1"/>
                <w:color w:val="auto"/>
              </w:rPr>
              <w:t>(audited)</w:t>
            </w: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i w:val="1"/>
                <w:iCs w:val="1"/>
                <w:color w:val="auto"/>
                <w:w w:val="93"/>
              </w:rPr>
              <w:t>(unaudited)</w:t>
            </w:r>
          </w:p>
        </w:tc>
        <w:tc>
          <w:tcPr>
            <w:tcW w:w="100" w:type="dxa"/>
            <w:vAlign w:val="bottom"/>
          </w:tcPr>
          <w:p>
            <w:pPr>
              <w:spacing w:after="0"/>
              <w:rPr>
                <w:sz w:val="12"/>
                <w:szCs w:val="12"/>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ind w:left="220"/>
              <w:spacing w:after="0"/>
              <w:rPr>
                <w:sz w:val="20"/>
                <w:szCs w:val="20"/>
                <w:color w:val="auto"/>
              </w:rPr>
            </w:pPr>
            <w:r>
              <w:rPr>
                <w:rFonts w:ascii="Arial" w:cs="Arial" w:eastAsia="Arial" w:hAnsi="Arial"/>
                <w:sz w:val="18"/>
                <w:szCs w:val="18"/>
                <w:color w:val="auto"/>
              </w:rPr>
              <w:t>Cash and due from banks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159,543</w:t>
            </w:r>
          </w:p>
        </w:tc>
        <w:tc>
          <w:tcPr>
            <w:tcW w:w="32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158,348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150,378</w:t>
            </w:r>
          </w:p>
        </w:tc>
      </w:tr>
      <w:tr>
        <w:trPr>
          <w:trHeight w:val="216"/>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Interest-bearing deposits in banks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22,644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12,936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12,259</w:t>
            </w:r>
          </w:p>
        </w:tc>
      </w:tr>
      <w:tr>
        <w:trPr>
          <w:trHeight w:val="224"/>
        </w:trPr>
        <w:tc>
          <w:tcPr>
            <w:tcW w:w="748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182,187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171,284</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162,637</w:t>
            </w:r>
          </w:p>
        </w:tc>
        <w:tc>
          <w:tcPr>
            <w:tcW w:w="100" w:type="dxa"/>
            <w:vAlign w:val="bottom"/>
          </w:tcPr>
          <w:p>
            <w:pPr>
              <w:spacing w:after="0"/>
              <w:rPr>
                <w:sz w:val="19"/>
                <w:szCs w:val="19"/>
                <w:color w:val="auto"/>
              </w:rPr>
            </w:pPr>
          </w:p>
        </w:tc>
      </w:tr>
      <w:tr>
        <w:trPr>
          <w:trHeight w:val="215"/>
        </w:trPr>
        <w:tc>
          <w:tcPr>
            <w:tcW w:w="7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 available for 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1,150,424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1,107,153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983,846</w:t>
            </w:r>
          </w:p>
        </w:tc>
      </w:tr>
      <w:tr>
        <w:trPr>
          <w:trHeight w:val="216"/>
        </w:trPr>
        <w:tc>
          <w:tcPr>
            <w:tcW w:w="7480" w:type="dxa"/>
            <w:vAlign w:val="bottom"/>
          </w:tcPr>
          <w:p>
            <w:pPr>
              <w:ind w:left="220"/>
              <w:spacing w:after="0"/>
              <w:rPr>
                <w:sz w:val="20"/>
                <w:szCs w:val="20"/>
                <w:color w:val="auto"/>
              </w:rPr>
            </w:pPr>
            <w:r>
              <w:rPr>
                <w:rFonts w:ascii="Arial" w:cs="Arial" w:eastAsia="Arial" w:hAnsi="Arial"/>
                <w:sz w:val="18"/>
                <w:szCs w:val="18"/>
                <w:color w:val="auto"/>
              </w:rPr>
              <w:t>Mortgage loans held for sale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31,633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35,325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18,455</w:t>
            </w:r>
          </w:p>
        </w:tc>
      </w:tr>
      <w:tr>
        <w:trPr>
          <w:trHeight w:val="216"/>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net of unearned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5,402,198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5,376,538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4,584,155</w:t>
            </w:r>
          </w:p>
        </w:tc>
      </w:tr>
      <w:tr>
        <w:trPr>
          <w:trHeight w:val="216"/>
        </w:trPr>
        <w:tc>
          <w:tcPr>
            <w:tcW w:w="7480" w:type="dxa"/>
            <w:vAlign w:val="bottom"/>
          </w:tcPr>
          <w:p>
            <w:pPr>
              <w:ind w:left="420"/>
              <w:spacing w:after="0"/>
              <w:rPr>
                <w:sz w:val="20"/>
                <w:szCs w:val="20"/>
                <w:color w:val="auto"/>
              </w:rPr>
            </w:pPr>
            <w:r>
              <w:rPr>
                <w:rFonts w:ascii="Arial" w:cs="Arial" w:eastAsia="Arial" w:hAnsi="Arial"/>
                <w:sz w:val="18"/>
                <w:szCs w:val="18"/>
                <w:color w:val="auto"/>
              </w:rPr>
              <w:t>Less allowance for loan 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68,804</w:t>
            </w:r>
          </w:p>
        </w:tc>
        <w:tc>
          <w:tcPr>
            <w:tcW w:w="3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66,566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55,850</w:t>
            </w:r>
          </w:p>
        </w:tc>
      </w:tr>
      <w:tr>
        <w:trPr>
          <w:trHeight w:val="27"/>
        </w:trPr>
        <w:tc>
          <w:tcPr>
            <w:tcW w:w="7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Loans,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5,333,394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5,309,972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4,528,305</w:t>
            </w:r>
          </w:p>
        </w:tc>
      </w:tr>
      <w:tr>
        <w:trPr>
          <w:trHeight w:val="432"/>
        </w:trPr>
        <w:tc>
          <w:tcPr>
            <w:tcW w:w="7480" w:type="dxa"/>
            <w:vAlign w:val="bottom"/>
          </w:tcPr>
          <w:p>
            <w:pPr>
              <w:ind w:left="220"/>
              <w:spacing w:after="0"/>
              <w:rPr>
                <w:sz w:val="20"/>
                <w:szCs w:val="20"/>
                <w:color w:val="auto"/>
              </w:rPr>
            </w:pPr>
            <w:r>
              <w:rPr>
                <w:rFonts w:ascii="Arial" w:cs="Arial" w:eastAsia="Arial" w:hAnsi="Arial"/>
                <w:sz w:val="18"/>
                <w:szCs w:val="18"/>
                <w:color w:val="auto"/>
              </w:rPr>
              <w:t>Premises and equipment, net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150,332</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139,716</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120,021</w:t>
            </w:r>
          </w:p>
        </w:tc>
      </w:tr>
      <w:tr>
        <w:trPr>
          <w:trHeight w:val="216"/>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60,677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58,291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41,895</w:t>
            </w:r>
          </w:p>
        </w:tc>
      </w:tr>
      <w:tr>
        <w:trPr>
          <w:trHeight w:val="216"/>
        </w:trPr>
        <w:tc>
          <w:tcPr>
            <w:tcW w:w="7480" w:type="dxa"/>
            <w:vAlign w:val="bottom"/>
          </w:tcPr>
          <w:p>
            <w:pPr>
              <w:ind w:left="220"/>
              <w:spacing w:after="0"/>
              <w:rPr>
                <w:sz w:val="20"/>
                <w:szCs w:val="20"/>
                <w:color w:val="auto"/>
              </w:rPr>
            </w:pPr>
            <w:r>
              <w:rPr>
                <w:rFonts w:ascii="Arial" w:cs="Arial" w:eastAsia="Arial" w:hAnsi="Arial"/>
                <w:sz w:val="18"/>
                <w:szCs w:val="18"/>
                <w:color w:val="auto"/>
              </w:rPr>
              <w:t>Goodwill and other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166,073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167,058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118,149</w:t>
            </w:r>
          </w:p>
        </w:tc>
      </w:tr>
      <w:tr>
        <w:trPr>
          <w:trHeight w:val="216"/>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111,882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112,450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97,288</w:t>
            </w:r>
          </w:p>
        </w:tc>
      </w:tr>
      <w:tr>
        <w:trPr>
          <w:trHeight w:val="223"/>
        </w:trPr>
        <w:tc>
          <w:tcPr>
            <w:tcW w:w="7480" w:type="dxa"/>
            <w:vAlign w:val="bottom"/>
          </w:tcPr>
          <w:p>
            <w:pPr>
              <w:ind w:left="62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7,186,602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7,101,249</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6,070,596</w:t>
            </w:r>
          </w:p>
        </w:tc>
        <w:tc>
          <w:tcPr>
            <w:tcW w:w="10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Deposits: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ind w:left="420"/>
              <w:spacing w:after="0"/>
              <w:rPr>
                <w:sz w:val="20"/>
                <w:szCs w:val="20"/>
                <w:color w:val="auto"/>
              </w:rPr>
            </w:pPr>
            <w:r>
              <w:rPr>
                <w:rFonts w:ascii="Arial" w:cs="Arial" w:eastAsia="Arial" w:hAnsi="Arial"/>
                <w:sz w:val="18"/>
                <w:szCs w:val="18"/>
                <w:color w:val="auto"/>
              </w:rPr>
              <w:t>Demand</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675,969</w:t>
            </w:r>
          </w:p>
        </w:tc>
        <w:tc>
          <w:tcPr>
            <w:tcW w:w="32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659,892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653,624</w:t>
            </w:r>
          </w:p>
        </w:tc>
      </w:tr>
      <w:tr>
        <w:trPr>
          <w:trHeight w:val="216"/>
        </w:trPr>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NOW</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1,406,287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1,307,654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1,106,106</w:t>
            </w:r>
          </w:p>
        </w:tc>
      </w:tr>
      <w:tr>
        <w:trPr>
          <w:trHeight w:val="216"/>
        </w:trPr>
        <w:tc>
          <w:tcPr>
            <w:tcW w:w="7480" w:type="dxa"/>
            <w:vAlign w:val="bottom"/>
          </w:tcPr>
          <w:p>
            <w:pPr>
              <w:ind w:left="420"/>
              <w:spacing w:after="0"/>
              <w:rPr>
                <w:sz w:val="20"/>
                <w:szCs w:val="20"/>
                <w:color w:val="auto"/>
              </w:rPr>
            </w:pPr>
            <w:r>
              <w:rPr>
                <w:rFonts w:ascii="Arial" w:cs="Arial" w:eastAsia="Arial" w:hAnsi="Arial"/>
                <w:sz w:val="18"/>
                <w:szCs w:val="18"/>
                <w:color w:val="auto"/>
              </w:rPr>
              <w:t>Money market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277,184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255,862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171,328</w:t>
            </w:r>
          </w:p>
        </w:tc>
      </w:tr>
      <w:tr>
        <w:trPr>
          <w:trHeight w:val="216"/>
        </w:trPr>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Savings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176,891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175,631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176,205</w:t>
            </w:r>
          </w:p>
        </w:tc>
      </w:tr>
      <w:tr>
        <w:trPr>
          <w:trHeight w:val="216"/>
        </w:trPr>
        <w:tc>
          <w:tcPr>
            <w:tcW w:w="7480" w:type="dxa"/>
            <w:vAlign w:val="bottom"/>
          </w:tcPr>
          <w:p>
            <w:pPr>
              <w:ind w:left="420"/>
              <w:spacing w:after="0"/>
              <w:rPr>
                <w:sz w:val="20"/>
                <w:szCs w:val="20"/>
                <w:color w:val="auto"/>
              </w:rPr>
            </w:pPr>
            <w:r>
              <w:rPr>
                <w:rFonts w:ascii="Arial" w:cs="Arial" w:eastAsia="Arial" w:hAnsi="Arial"/>
                <w:sz w:val="18"/>
                <w:szCs w:val="18"/>
                <w:color w:val="auto"/>
              </w:rPr>
              <w:t>Time: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Less than $100,000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1,619,865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1,650,906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1,308,698</w:t>
            </w:r>
          </w:p>
        </w:tc>
      </w:tr>
      <w:tr>
        <w:trPr>
          <w:trHeight w:val="216"/>
        </w:trPr>
        <w:tc>
          <w:tcPr>
            <w:tcW w:w="7480" w:type="dxa"/>
            <w:vAlign w:val="bottom"/>
          </w:tcPr>
          <w:p>
            <w:pPr>
              <w:ind w:left="620"/>
              <w:spacing w:after="0"/>
              <w:rPr>
                <w:sz w:val="20"/>
                <w:szCs w:val="20"/>
                <w:color w:val="auto"/>
              </w:rPr>
            </w:pPr>
            <w:r>
              <w:rPr>
                <w:rFonts w:ascii="Arial" w:cs="Arial" w:eastAsia="Arial" w:hAnsi="Arial"/>
                <w:sz w:val="18"/>
                <w:szCs w:val="18"/>
                <w:color w:val="auto"/>
              </w:rPr>
              <w:t>Greater than $100,000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1,366,360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1,397,245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1,029,464</w:t>
            </w:r>
          </w:p>
        </w:tc>
      </w:tr>
      <w:tr>
        <w:trPr>
          <w:trHeight w:val="216"/>
        </w:trPr>
        <w:tc>
          <w:tcPr>
            <w:tcW w:w="74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Brokered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319,131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325,696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303,013</w:t>
            </w:r>
          </w:p>
        </w:tc>
      </w:tr>
      <w:tr>
        <w:trPr>
          <w:trHeight w:val="224"/>
        </w:trPr>
        <w:tc>
          <w:tcPr>
            <w:tcW w:w="7480" w:type="dxa"/>
            <w:vAlign w:val="bottom"/>
          </w:tcPr>
          <w:p>
            <w:pPr>
              <w:ind w:left="820"/>
              <w:spacing w:after="0"/>
              <w:rPr>
                <w:sz w:val="20"/>
                <w:szCs w:val="20"/>
                <w:color w:val="auto"/>
              </w:rPr>
            </w:pPr>
            <w:r>
              <w:rPr>
                <w:rFonts w:ascii="Arial" w:cs="Arial" w:eastAsia="Arial" w:hAnsi="Arial"/>
                <w:sz w:val="18"/>
                <w:szCs w:val="18"/>
                <w:color w:val="auto"/>
              </w:rPr>
              <w:t>Total deposits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5,841,687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5,772,886</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4,748,438</w:t>
            </w:r>
          </w:p>
        </w:tc>
        <w:tc>
          <w:tcPr>
            <w:tcW w:w="100" w:type="dxa"/>
            <w:vAlign w:val="bottom"/>
          </w:tcPr>
          <w:p>
            <w:pPr>
              <w:spacing w:after="0"/>
              <w:rPr>
                <w:sz w:val="19"/>
                <w:szCs w:val="19"/>
                <w:color w:val="auto"/>
              </w:rPr>
            </w:pPr>
          </w:p>
        </w:tc>
      </w:tr>
      <w:tr>
        <w:trPr>
          <w:trHeight w:val="215"/>
        </w:trPr>
        <w:tc>
          <w:tcPr>
            <w:tcW w:w="7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 funds purchased, repurchase agreements, and other short-term borrowings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77,367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65,884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167,369</w:t>
            </w:r>
          </w:p>
        </w:tc>
      </w:tr>
      <w:tr>
        <w:trPr>
          <w:trHeight w:val="216"/>
        </w:trPr>
        <w:tc>
          <w:tcPr>
            <w:tcW w:w="7480" w:type="dxa"/>
            <w:vAlign w:val="bottom"/>
          </w:tcPr>
          <w:p>
            <w:pPr>
              <w:ind w:left="220"/>
              <w:spacing w:after="0"/>
              <w:rPr>
                <w:sz w:val="20"/>
                <w:szCs w:val="20"/>
                <w:color w:val="auto"/>
              </w:rPr>
            </w:pPr>
            <w:r>
              <w:rPr>
                <w:rFonts w:ascii="Arial" w:cs="Arial" w:eastAsia="Arial" w:hAnsi="Arial"/>
                <w:sz w:val="18"/>
                <w:szCs w:val="18"/>
                <w:color w:val="auto"/>
              </w:rPr>
              <w:t>Federal Home Loan Bank advances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464,072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489,084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510,602</w:t>
            </w:r>
          </w:p>
        </w:tc>
      </w:tr>
      <w:tr>
        <w:trPr>
          <w:trHeight w:val="216"/>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113,151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113,151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111,869</w:t>
            </w:r>
          </w:p>
        </w:tc>
      </w:tr>
      <w:tr>
        <w:trPr>
          <w:trHeight w:val="216"/>
        </w:trPr>
        <w:tc>
          <w:tcPr>
            <w:tcW w:w="7480" w:type="dxa"/>
            <w:vAlign w:val="bottom"/>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51,869</w:t>
            </w:r>
          </w:p>
        </w:tc>
        <w:tc>
          <w:tcPr>
            <w:tcW w:w="3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43,477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46,904</w:t>
            </w:r>
          </w:p>
        </w:tc>
      </w:tr>
      <w:tr>
        <w:trPr>
          <w:trHeight w:val="27"/>
        </w:trPr>
        <w:tc>
          <w:tcPr>
            <w:tcW w:w="7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6,548,146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6,484,482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5,585,182</w:t>
            </w:r>
          </w:p>
        </w:tc>
      </w:tr>
      <w:tr>
        <w:trPr>
          <w:trHeight w:val="439"/>
        </w:trPr>
        <w:tc>
          <w:tcPr>
            <w:tcW w:w="7480" w:type="dxa"/>
            <w:vAlign w:val="bottom"/>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74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Preferred stock, $1 par value; $10 stated value; 10,000,000 shares authorized;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32,200, 32,200 and 32,200 shares issued and outstanding</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w:t>
            </w: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r>
      <w:tr>
        <w:trPr>
          <w:trHeight w:val="202"/>
        </w:trPr>
        <w:tc>
          <w:tcPr>
            <w:tcW w:w="7480" w:type="dxa"/>
            <w:vAlign w:val="bottom"/>
          </w:tcPr>
          <w:p>
            <w:pPr>
              <w:ind w:left="220"/>
              <w:spacing w:after="0" w:line="201" w:lineRule="exact"/>
              <w:rPr>
                <w:sz w:val="20"/>
                <w:szCs w:val="20"/>
                <w:color w:val="auto"/>
              </w:rPr>
            </w:pPr>
            <w:r>
              <w:rPr>
                <w:rFonts w:ascii="Arial" w:cs="Arial" w:eastAsia="Arial" w:hAnsi="Arial"/>
                <w:sz w:val="18"/>
                <w:szCs w:val="18"/>
                <w:color w:val="auto"/>
              </w:rPr>
              <w:t>Common stock, $1 par value; 100,000,000 shares authorized;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480" w:type="dxa"/>
            <w:vAlign w:val="bottom"/>
          </w:tcPr>
          <w:p>
            <w:pPr>
              <w:ind w:left="420"/>
              <w:spacing w:after="0"/>
              <w:rPr>
                <w:sz w:val="20"/>
                <w:szCs w:val="20"/>
                <w:color w:val="auto"/>
              </w:rPr>
            </w:pPr>
            <w:r>
              <w:rPr>
                <w:rFonts w:ascii="Arial" w:cs="Arial" w:eastAsia="Arial" w:hAnsi="Arial"/>
                <w:sz w:val="18"/>
                <w:szCs w:val="18"/>
                <w:color w:val="auto"/>
              </w:rPr>
              <w:t>43,037,840, 42,890,863 and 40,119,288 shares issued and outstanding</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43,038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42,891</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40,119</w:t>
            </w:r>
          </w:p>
        </w:tc>
      </w:tr>
      <w:tr>
        <w:trPr>
          <w:trHeight w:val="216"/>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issuable; 35,154, 29,821 and 16,549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r>
      <w:tr>
        <w:trPr>
          <w:trHeight w:val="216"/>
        </w:trPr>
        <w:tc>
          <w:tcPr>
            <w:tcW w:w="7480" w:type="dxa"/>
            <w:vAlign w:val="bottom"/>
          </w:tcPr>
          <w:p>
            <w:pPr>
              <w:ind w:left="220"/>
              <w:spacing w:after="0"/>
              <w:rPr>
                <w:sz w:val="20"/>
                <w:szCs w:val="20"/>
                <w:color w:val="auto"/>
              </w:rPr>
            </w:pPr>
            <w:r>
              <w:rPr>
                <w:rFonts w:ascii="Arial" w:cs="Arial" w:eastAsia="Arial" w:hAnsi="Arial"/>
                <w:sz w:val="18"/>
                <w:szCs w:val="18"/>
                <w:color w:val="auto"/>
              </w:rPr>
              <w:t>Capital surplus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273,575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270,383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195,382</w:t>
            </w:r>
          </w:p>
        </w:tc>
      </w:tr>
      <w:tr>
        <w:trPr>
          <w:trHeight w:val="216"/>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321,721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306,261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263,384</w:t>
            </w:r>
          </w:p>
        </w:tc>
      </w:tr>
      <w:tr>
        <w:trPr>
          <w:trHeight w:val="216"/>
        </w:trPr>
        <w:tc>
          <w:tcPr>
            <w:tcW w:w="748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(1,243)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(3,952)</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(14,244)</w:t>
            </w:r>
          </w:p>
        </w:tc>
      </w:tr>
      <w:tr>
        <w:trPr>
          <w:trHeight w:val="27"/>
        </w:trPr>
        <w:tc>
          <w:tcPr>
            <w:tcW w:w="7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638,456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616,767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485,414</w:t>
            </w:r>
          </w:p>
        </w:tc>
      </w:tr>
      <w:tr>
        <w:trPr>
          <w:trHeight w:val="223"/>
        </w:trPr>
        <w:tc>
          <w:tcPr>
            <w:tcW w:w="7480" w:type="dxa"/>
            <w:vAlign w:val="bottom"/>
          </w:tcPr>
          <w:p>
            <w:pPr>
              <w:ind w:left="420"/>
              <w:spacing w:after="0"/>
              <w:rPr>
                <w:sz w:val="20"/>
                <w:szCs w:val="20"/>
                <w:color w:val="auto"/>
              </w:rPr>
            </w:pPr>
            <w:r>
              <w:rPr>
                <w:rFonts w:ascii="Arial" w:cs="Arial" w:eastAsia="Arial" w:hAnsi="Arial"/>
                <w:sz w:val="18"/>
                <w:szCs w:val="18"/>
                <w:b w:val="1"/>
                <w:bCs w:val="1"/>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7,186,602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7,101,249</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6,070,596</w:t>
            </w:r>
          </w:p>
        </w:tc>
        <w:tc>
          <w:tcPr>
            <w:tcW w:w="10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Changes in Shareholders’ Equity </w:t>
      </w:r>
      <w:r>
        <w:rPr>
          <w:rFonts w:ascii="Arial" w:cs="Arial" w:eastAsia="Arial" w:hAnsi="Arial"/>
          <w:sz w:val="18"/>
          <w:szCs w:val="18"/>
          <w:i w:val="1"/>
          <w:i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16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6"/>
              </w:rPr>
              <w:t>Preferred</w:t>
            </w:r>
          </w:p>
        </w:tc>
        <w:tc>
          <w:tcPr>
            <w:tcW w:w="9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Capital</w:t>
            </w:r>
          </w:p>
        </w:tc>
        <w:tc>
          <w:tcPr>
            <w:tcW w:w="12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220" w:type="dxa"/>
            <w:vAlign w:val="bottom"/>
          </w:tcPr>
          <w:p>
            <w:pPr>
              <w:spacing w:after="0"/>
              <w:rPr>
                <w:sz w:val="12"/>
                <w:szCs w:val="12"/>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12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share and per share data)</w:t>
            </w:r>
          </w:p>
        </w:tc>
        <w:tc>
          <w:tcPr>
            <w:tcW w:w="140" w:type="dxa"/>
            <w:vAlign w:val="bottom"/>
          </w:tcPr>
          <w:p>
            <w:pPr>
              <w:spacing w:after="0"/>
              <w:rPr>
                <w:sz w:val="15"/>
                <w:szCs w:val="15"/>
                <w:color w:val="auto"/>
              </w:rPr>
            </w:pPr>
          </w:p>
        </w:tc>
        <w:tc>
          <w:tcPr>
            <w:tcW w:w="10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5"/>
                <w:szCs w:val="15"/>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Stock</w:t>
            </w:r>
          </w:p>
        </w:tc>
        <w:tc>
          <w:tcPr>
            <w:tcW w:w="260" w:type="dxa"/>
            <w:vAlign w:val="bottom"/>
          </w:tcPr>
          <w:p>
            <w:pPr>
              <w:spacing w:after="0"/>
              <w:rPr>
                <w:sz w:val="15"/>
                <w:szCs w:val="15"/>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Issuable</w:t>
            </w:r>
          </w:p>
        </w:tc>
        <w:tc>
          <w:tcPr>
            <w:tcW w:w="260" w:type="dxa"/>
            <w:vAlign w:val="bottom"/>
          </w:tcPr>
          <w:p>
            <w:pPr>
              <w:spacing w:after="0"/>
              <w:rPr>
                <w:sz w:val="15"/>
                <w:szCs w:val="15"/>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Surplus</w:t>
            </w: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Earnings</w:t>
            </w:r>
          </w:p>
        </w:tc>
        <w:tc>
          <w:tcPr>
            <w:tcW w:w="12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Income (Loss)</w:t>
            </w:r>
          </w:p>
        </w:tc>
        <w:tc>
          <w:tcPr>
            <w:tcW w:w="2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2005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322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40,020</w:t>
            </w: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w:t>
            </w:r>
          </w:p>
        </w:tc>
        <w:tc>
          <w:tcPr>
            <w:tcW w:w="1480" w:type="dxa"/>
            <w:vAlign w:val="bottom"/>
            <w:tcBorders>
              <w:top w:val="single" w:sz="8" w:color="auto"/>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$ 193,355</w:t>
            </w:r>
          </w:p>
        </w:tc>
        <w:tc>
          <w:tcPr>
            <w:tcW w:w="1240" w:type="dxa"/>
            <w:vAlign w:val="bottom"/>
            <w:tcBorders>
              <w:top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$ 250,563</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(11,845)</w:t>
            </w:r>
          </w:p>
        </w:tc>
        <w:tc>
          <w:tcPr>
            <w:tcW w:w="104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$ 472,686</w:t>
            </w:r>
          </w:p>
        </w:tc>
        <w:tc>
          <w:tcPr>
            <w:tcW w:w="0" w:type="dxa"/>
            <w:vAlign w:val="bottom"/>
          </w:tcPr>
          <w:p>
            <w:pPr>
              <w:spacing w:after="0"/>
              <w:rPr>
                <w:sz w:val="1"/>
                <w:szCs w:val="1"/>
                <w:color w:val="auto"/>
              </w:rPr>
            </w:pPr>
          </w:p>
        </w:tc>
      </w:tr>
      <w:tr>
        <w:trPr>
          <w:trHeight w:val="432"/>
        </w:trPr>
        <w:tc>
          <w:tcPr>
            <w:tcW w:w="31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16,039</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Unrealized holding losses on</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available for sale securities,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of deferred tax benefit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and reclassification</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adjustment</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(2,257)</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400"/>
              <w:spacing w:after="0" w:line="201" w:lineRule="exact"/>
              <w:rPr>
                <w:sz w:val="20"/>
                <w:szCs w:val="20"/>
                <w:color w:val="auto"/>
              </w:rPr>
            </w:pPr>
            <w:r>
              <w:rPr>
                <w:rFonts w:ascii="Arial" w:cs="Arial" w:eastAsia="Arial" w:hAnsi="Arial"/>
                <w:sz w:val="18"/>
                <w:szCs w:val="18"/>
                <w:color w:val="auto"/>
              </w:rPr>
              <w:t>Unrealized losses on derivative</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600"/>
              <w:spacing w:after="0"/>
              <w:rPr>
                <w:sz w:val="20"/>
                <w:szCs w:val="20"/>
                <w:color w:val="auto"/>
              </w:rPr>
            </w:pPr>
            <w:r>
              <w:rPr>
                <w:rFonts w:ascii="Arial" w:cs="Arial" w:eastAsia="Arial" w:hAnsi="Arial"/>
                <w:sz w:val="18"/>
                <w:szCs w:val="18"/>
                <w:color w:val="auto"/>
              </w:rPr>
              <w:t>financial instruments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600"/>
              <w:spacing w:after="0"/>
              <w:rPr>
                <w:sz w:val="20"/>
                <w:szCs w:val="20"/>
                <w:color w:val="auto"/>
              </w:rPr>
            </w:pPr>
            <w:r>
              <w:rPr>
                <w:rFonts w:ascii="Arial" w:cs="Arial" w:eastAsia="Arial" w:hAnsi="Arial"/>
                <w:sz w:val="18"/>
                <w:szCs w:val="18"/>
                <w:color w:val="auto"/>
              </w:rPr>
              <w:t>qualifying as cash flow</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600"/>
              <w:spacing w:after="0"/>
              <w:rPr>
                <w:sz w:val="20"/>
                <w:szCs w:val="20"/>
                <w:color w:val="auto"/>
              </w:rPr>
            </w:pPr>
            <w:r>
              <w:rPr>
                <w:rFonts w:ascii="Arial" w:cs="Arial" w:eastAsia="Arial" w:hAnsi="Arial"/>
                <w:sz w:val="18"/>
                <w:szCs w:val="18"/>
                <w:color w:val="auto"/>
              </w:rPr>
              <w:t>hedges, net of deferred tax</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600"/>
              <w:spacing w:after="0"/>
              <w:rPr>
                <w:sz w:val="20"/>
                <w:szCs w:val="20"/>
                <w:color w:val="auto"/>
              </w:rPr>
            </w:pPr>
            <w:r>
              <w:rPr>
                <w:rFonts w:ascii="Arial" w:cs="Arial" w:eastAsia="Arial" w:hAnsi="Arial"/>
                <w:sz w:val="18"/>
                <w:szCs w:val="18"/>
                <w:color w:val="auto"/>
              </w:rPr>
              <w:t>benefit</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(142)</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16,039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(2,399)</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13,640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line="201" w:lineRule="exact"/>
              <w:rPr>
                <w:sz w:val="20"/>
                <w:szCs w:val="20"/>
                <w:color w:val="auto"/>
              </w:rPr>
            </w:pPr>
            <w:r>
              <w:rPr>
                <w:rFonts w:ascii="Arial" w:cs="Arial" w:eastAsia="Arial" w:hAnsi="Arial"/>
                <w:sz w:val="18"/>
                <w:szCs w:val="18"/>
                <w:color w:val="auto"/>
              </w:rPr>
              <w:t>Cash dividends declared on common</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stock ($.08 per share)</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(3,213)</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stock options (32,780</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228</w:t>
            </w: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line="201" w:lineRule="exact"/>
              <w:rPr>
                <w:sz w:val="20"/>
                <w:szCs w:val="20"/>
                <w:color w:val="auto"/>
              </w:rPr>
            </w:pPr>
            <w:r>
              <w:rPr>
                <w:rFonts w:ascii="Arial" w:cs="Arial" w:eastAsia="Arial" w:hAnsi="Arial"/>
                <w:sz w:val="18"/>
                <w:szCs w:val="18"/>
                <w:color w:val="auto"/>
              </w:rPr>
              <w:t>Common stock issued to Dividend</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Reinvestment Plan and employee</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benefit plans (45,298 shares)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1,187</w:t>
            </w: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stock option and</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stock awards</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633</w:t>
            </w: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line="201" w:lineRule="exact"/>
              <w:rPr>
                <w:sz w:val="20"/>
                <w:szCs w:val="20"/>
                <w:color w:val="auto"/>
              </w:rPr>
            </w:pPr>
            <w:r>
              <w:rPr>
                <w:rFonts w:ascii="Arial" w:cs="Arial" w:eastAsia="Arial" w:hAnsi="Arial"/>
                <w:sz w:val="18"/>
                <w:szCs w:val="18"/>
                <w:color w:val="auto"/>
              </w:rPr>
              <w:t>Vesting of restricted stock (21,357</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(21)</w:t>
            </w: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Deferred compensation plan, net,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including dividend equivalents</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w:t>
            </w: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line="201" w:lineRule="exact"/>
              <w:rPr>
                <w:sz w:val="20"/>
                <w:szCs w:val="20"/>
                <w:color w:val="auto"/>
              </w:rPr>
            </w:pPr>
            <w:r>
              <w:rPr>
                <w:rFonts w:ascii="Arial" w:cs="Arial" w:eastAsia="Arial" w:hAnsi="Arial"/>
                <w:sz w:val="18"/>
                <w:szCs w:val="18"/>
                <w:color w:val="auto"/>
              </w:rPr>
              <w:t>Dividends declared on preferred</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stock ($.15 per share)</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March 31, 2006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40,119</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451</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$ 195,382</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$ 263,384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(14,244)</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$ 485,414</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December 31, 2006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260"/>
              <w:spacing w:after="0"/>
              <w:rPr>
                <w:sz w:val="20"/>
                <w:szCs w:val="20"/>
                <w:color w:val="auto"/>
              </w:rPr>
            </w:pPr>
            <w:r>
              <w:rPr>
                <w:rFonts w:ascii="Arial" w:cs="Arial" w:eastAsia="Arial" w:hAnsi="Arial"/>
                <w:sz w:val="18"/>
                <w:szCs w:val="18"/>
                <w:color w:val="auto"/>
                <w:w w:val="79"/>
              </w:rPr>
              <w:t>322</w:t>
            </w:r>
          </w:p>
        </w:tc>
        <w:tc>
          <w:tcPr>
            <w:tcW w:w="5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42,891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862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$ 270,383</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$ 306,261</w:t>
            </w:r>
          </w:p>
        </w:tc>
        <w:tc>
          <w:tcPr>
            <w:tcW w:w="5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(3,952)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$ 616,767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19,345</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19,345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400"/>
              <w:spacing w:after="0" w:line="201" w:lineRule="exact"/>
              <w:rPr>
                <w:sz w:val="20"/>
                <w:szCs w:val="20"/>
                <w:color w:val="auto"/>
              </w:rPr>
            </w:pPr>
            <w:r>
              <w:rPr>
                <w:rFonts w:ascii="Arial" w:cs="Arial" w:eastAsia="Arial" w:hAnsi="Arial"/>
                <w:sz w:val="18"/>
                <w:szCs w:val="18"/>
                <w:color w:val="auto"/>
              </w:rPr>
              <w:t>Unrealized holding gains on</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600"/>
              <w:spacing w:after="0"/>
              <w:rPr>
                <w:sz w:val="20"/>
                <w:szCs w:val="20"/>
                <w:color w:val="auto"/>
              </w:rPr>
            </w:pPr>
            <w:r>
              <w:rPr>
                <w:rFonts w:ascii="Arial" w:cs="Arial" w:eastAsia="Arial" w:hAnsi="Arial"/>
                <w:sz w:val="18"/>
                <w:szCs w:val="18"/>
                <w:color w:val="auto"/>
              </w:rPr>
              <w:t>available for sale securities,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600"/>
              <w:spacing w:after="0"/>
              <w:rPr>
                <w:sz w:val="20"/>
                <w:szCs w:val="20"/>
                <w:color w:val="auto"/>
              </w:rPr>
            </w:pPr>
            <w:r>
              <w:rPr>
                <w:rFonts w:ascii="Arial" w:cs="Arial" w:eastAsia="Arial" w:hAnsi="Arial"/>
                <w:sz w:val="18"/>
                <w:szCs w:val="18"/>
                <w:color w:val="auto"/>
              </w:rPr>
              <w:t>net of deferred tax expense</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600"/>
              <w:spacing w:after="0"/>
              <w:rPr>
                <w:sz w:val="20"/>
                <w:szCs w:val="20"/>
                <w:color w:val="auto"/>
              </w:rPr>
            </w:pPr>
            <w:r>
              <w:rPr>
                <w:rFonts w:ascii="Arial" w:cs="Arial" w:eastAsia="Arial" w:hAnsi="Arial"/>
                <w:sz w:val="18"/>
                <w:szCs w:val="18"/>
                <w:color w:val="auto"/>
              </w:rPr>
              <w:t>and reclassification</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600"/>
              <w:spacing w:after="0"/>
              <w:rPr>
                <w:sz w:val="20"/>
                <w:szCs w:val="20"/>
                <w:color w:val="auto"/>
              </w:rPr>
            </w:pPr>
            <w:r>
              <w:rPr>
                <w:rFonts w:ascii="Arial" w:cs="Arial" w:eastAsia="Arial" w:hAnsi="Arial"/>
                <w:sz w:val="18"/>
                <w:szCs w:val="18"/>
                <w:color w:val="auto"/>
              </w:rPr>
              <w:t>adjustment</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2,000</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Unrealized gains on derivative</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financial instruments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qualifying as cash flow</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hedges, net of deferred tax</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expense</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709</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vMerge w:val="restart"/>
          </w:tcPr>
          <w:p>
            <w:pPr>
              <w:ind w:left="600"/>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19,345</w:t>
            </w: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dividends declared on common</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($.09 per share)</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(3,880)</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line="201" w:lineRule="exact"/>
              <w:rPr>
                <w:sz w:val="20"/>
                <w:szCs w:val="20"/>
                <w:color w:val="auto"/>
              </w:rPr>
            </w:pPr>
            <w:r>
              <w:rPr>
                <w:rFonts w:ascii="Arial" w:cs="Arial" w:eastAsia="Arial" w:hAnsi="Arial"/>
                <w:sz w:val="18"/>
                <w:szCs w:val="18"/>
                <w:color w:val="auto"/>
              </w:rPr>
              <w:t>Exercise of stock options (72,703</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629</w:t>
            </w: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issued to Dividend</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Reinvestment Plan and employee</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 plans (52,914 shares)</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1,693</w:t>
            </w: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line="201" w:lineRule="exact"/>
              <w:rPr>
                <w:sz w:val="20"/>
                <w:szCs w:val="20"/>
                <w:color w:val="auto"/>
              </w:rPr>
            </w:pPr>
            <w:r>
              <w:rPr>
                <w:rFonts w:ascii="Arial" w:cs="Arial" w:eastAsia="Arial" w:hAnsi="Arial"/>
                <w:sz w:val="18"/>
                <w:szCs w:val="18"/>
                <w:color w:val="auto"/>
              </w:rPr>
              <w:t>Amortization of stock options and</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restricted stock</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729</w:t>
            </w: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 restricted stock (21,360</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(21)</w:t>
            </w: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line="201" w:lineRule="exact"/>
              <w:rPr>
                <w:sz w:val="20"/>
                <w:szCs w:val="20"/>
                <w:color w:val="auto"/>
              </w:rPr>
            </w:pPr>
            <w:r>
              <w:rPr>
                <w:rFonts w:ascii="Arial" w:cs="Arial" w:eastAsia="Arial" w:hAnsi="Arial"/>
                <w:sz w:val="18"/>
                <w:szCs w:val="18"/>
                <w:color w:val="auto"/>
              </w:rPr>
              <w:t>Deferred compensation plan, net,</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including dividend equivalents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Tax benefit from options exercised</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162</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Dividends declared on preferred</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0" w:gutter="0" w:footer="0" w:header="0"/>
        </w:sectPr>
      </w:pPr>
    </w:p>
    <w:bookmarkStart w:id="6" w:name="page7"/>
    <w:bookmarkEnd w:id="6"/>
    <w:p>
      <w:pPr>
        <w:ind w:left="220"/>
        <w:spacing w:after="0"/>
        <w:rPr>
          <w:sz w:val="20"/>
          <w:szCs w:val="20"/>
          <w:color w:val="auto"/>
        </w:rPr>
      </w:pPr>
      <w:r>
        <w:rPr>
          <w:rFonts w:ascii="Arial" w:cs="Arial" w:eastAsia="Arial" w:hAnsi="Arial"/>
          <w:sz w:val="18"/>
          <w:szCs w:val="18"/>
          <w:color w:val="auto"/>
        </w:rPr>
        <w:t>stock ($.15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14605</wp:posOffset>
            </wp:positionV>
            <wp:extent cx="4203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14605</wp:posOffset>
            </wp:positionV>
            <wp:extent cx="4286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14605</wp:posOffset>
            </wp:positionV>
            <wp:extent cx="4286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14605</wp:posOffset>
            </wp:positionV>
            <wp:extent cx="445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5022215</wp:posOffset>
            </wp:positionH>
            <wp:positionV relativeFrom="paragraph">
              <wp:posOffset>14605</wp:posOffset>
            </wp:positionV>
            <wp:extent cx="21609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228" w:lineRule="exact"/>
        <w:rPr>
          <w:sz w:val="20"/>
          <w:szCs w:val="20"/>
          <w:color w:val="auto"/>
        </w:rPr>
      </w:pPr>
    </w:p>
    <w:p>
      <w:pPr>
        <w:spacing w:after="0"/>
        <w:tabs>
          <w:tab w:leader="none" w:pos="3100" w:val="left"/>
          <w:tab w:leader="none" w:pos="3500" w:val="left"/>
          <w:tab w:leader="none" w:pos="4260" w:val="left"/>
          <w:tab w:leader="none" w:pos="5460" w:val="left"/>
          <w:tab w:leader="none" w:pos="5720" w:val="left"/>
          <w:tab w:leader="none" w:pos="6660" w:val="left"/>
          <w:tab w:leader="none" w:pos="7880" w:val="left"/>
          <w:tab w:leader="none" w:pos="9120" w:val="left"/>
          <w:tab w:leader="none" w:pos="9600" w:val="left"/>
          <w:tab w:leader="none" w:pos="10580" w:val="left"/>
        </w:tabs>
        <w:rPr>
          <w:sz w:val="20"/>
          <w:szCs w:val="20"/>
          <w:color w:val="auto"/>
        </w:rPr>
      </w:pPr>
      <w:r>
        <w:rPr>
          <w:rFonts w:ascii="Arial" w:cs="Arial" w:eastAsia="Arial" w:hAnsi="Arial"/>
          <w:sz w:val="18"/>
          <w:szCs w:val="18"/>
          <w:b w:val="1"/>
          <w:bCs w:val="1"/>
          <w:color w:val="auto"/>
        </w:rPr>
        <w:t>Balance, March 31, 2007</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322</w:t>
      </w:r>
      <w:r>
        <w:rPr>
          <w:sz w:val="20"/>
          <w:szCs w:val="20"/>
          <w:color w:val="auto"/>
        </w:rPr>
        <w:tab/>
      </w:r>
      <w:r>
        <w:rPr>
          <w:rFonts w:ascii="Arial" w:cs="Arial" w:eastAsia="Arial" w:hAnsi="Arial"/>
          <w:sz w:val="18"/>
          <w:szCs w:val="18"/>
          <w:u w:val="single" w:color="auto"/>
          <w:color w:val="auto"/>
        </w:rPr>
        <w:t>$ 43,038</w:t>
      </w:r>
      <w:r>
        <w:rPr>
          <w:sz w:val="20"/>
          <w:szCs w:val="20"/>
          <w:color w:val="auto"/>
        </w:rPr>
        <w:tab/>
      </w:r>
      <w:r>
        <w:rPr>
          <w:rFonts w:ascii="Arial" w:cs="Arial" w:eastAsia="Arial" w:hAnsi="Arial"/>
          <w:sz w:val="18"/>
          <w:szCs w:val="18"/>
          <w:u w:val="single" w:color="auto"/>
          <w:color w:val="auto"/>
        </w:rPr>
        <w:t>$</w:t>
        <w:tab/>
        <w:t>1,043</w:t>
      </w:r>
      <w:r>
        <w:rPr>
          <w:sz w:val="20"/>
          <w:szCs w:val="20"/>
          <w:color w:val="auto"/>
        </w:rPr>
        <w:tab/>
      </w:r>
      <w:r>
        <w:rPr>
          <w:rFonts w:ascii="Arial" w:cs="Arial" w:eastAsia="Arial" w:hAnsi="Arial"/>
          <w:sz w:val="18"/>
          <w:szCs w:val="18"/>
          <w:u w:val="single" w:color="auto"/>
          <w:color w:val="auto"/>
        </w:rPr>
        <w:t>$ 273,575</w:t>
      </w:r>
      <w:r>
        <w:rPr>
          <w:sz w:val="20"/>
          <w:szCs w:val="20"/>
          <w:color w:val="auto"/>
        </w:rPr>
        <w:tab/>
      </w:r>
      <w:r>
        <w:rPr>
          <w:rFonts w:ascii="Arial" w:cs="Arial" w:eastAsia="Arial" w:hAnsi="Arial"/>
          <w:sz w:val="18"/>
          <w:szCs w:val="18"/>
          <w:u w:val="single" w:color="auto"/>
          <w:color w:val="auto"/>
        </w:rPr>
        <w:t>$ 321,721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(1,243)</w:t>
      </w:r>
      <w:r>
        <w:rPr>
          <w:sz w:val="20"/>
          <w:szCs w:val="20"/>
          <w:color w:val="auto"/>
        </w:rPr>
        <w:tab/>
      </w:r>
      <w:r>
        <w:rPr>
          <w:rFonts w:ascii="Arial" w:cs="Arial" w:eastAsia="Arial" w:hAnsi="Arial"/>
          <w:sz w:val="16"/>
          <w:szCs w:val="16"/>
          <w:u w:val="single" w:color="auto"/>
          <w:color w:val="auto"/>
        </w:rPr>
        <w:t>$ 638,456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Cash Flows </w:t>
      </w:r>
      <w:r>
        <w:rPr>
          <w:rFonts w:ascii="Arial" w:cs="Arial" w:eastAsia="Arial" w:hAnsi="Arial"/>
          <w:sz w:val="18"/>
          <w:szCs w:val="18"/>
          <w:i w:val="1"/>
          <w:i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12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88"/>
              <w:spacing w:after="0"/>
              <w:rPr>
                <w:sz w:val="20"/>
                <w:szCs w:val="20"/>
                <w:color w:val="auto"/>
              </w:rPr>
            </w:pPr>
            <w:r>
              <w:rPr>
                <w:rFonts w:ascii="Arial" w:cs="Arial" w:eastAsia="Arial" w:hAnsi="Arial"/>
                <w:sz w:val="18"/>
                <w:szCs w:val="18"/>
                <w:color w:val="auto"/>
              </w:rPr>
              <w:t>19,345</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00"/>
              <w:spacing w:after="0"/>
              <w:rPr>
                <w:sz w:val="20"/>
                <w:szCs w:val="20"/>
                <w:color w:val="auto"/>
              </w:rPr>
            </w:pPr>
            <w:r>
              <w:rPr>
                <w:rFonts w:ascii="Arial" w:cs="Arial" w:eastAsia="Arial" w:hAnsi="Arial"/>
                <w:sz w:val="18"/>
                <w:szCs w:val="18"/>
                <w:color w:val="auto"/>
              </w:rPr>
              <w:t>Depreciation, amortization and accretion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88"/>
              <w:spacing w:after="0"/>
              <w:rPr>
                <w:sz w:val="20"/>
                <w:szCs w:val="20"/>
                <w:color w:val="auto"/>
              </w:rPr>
            </w:pPr>
            <w:r>
              <w:rPr>
                <w:rFonts w:ascii="Arial" w:cs="Arial" w:eastAsia="Arial" w:hAnsi="Arial"/>
                <w:sz w:val="18"/>
                <w:szCs w:val="18"/>
                <w:color w:val="auto"/>
              </w:rPr>
              <w:t>3,372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Provision for loan losses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3,700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00"/>
              <w:spacing w:after="0"/>
              <w:rPr>
                <w:sz w:val="20"/>
                <w:szCs w:val="20"/>
                <w:color w:val="auto"/>
              </w:rPr>
            </w:pPr>
            <w:r>
              <w:rPr>
                <w:rFonts w:ascii="Arial" w:cs="Arial" w:eastAsia="Arial" w:hAnsi="Arial"/>
                <w:sz w:val="18"/>
                <w:szCs w:val="18"/>
                <w:color w:val="auto"/>
              </w:rPr>
              <w:t>Stock based compensation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88"/>
              <w:spacing w:after="0"/>
              <w:rPr>
                <w:sz w:val="20"/>
                <w:szCs w:val="20"/>
                <w:color w:val="auto"/>
              </w:rPr>
            </w:pPr>
            <w:r>
              <w:rPr>
                <w:rFonts w:ascii="Arial" w:cs="Arial" w:eastAsia="Arial" w:hAnsi="Arial"/>
                <w:sz w:val="18"/>
                <w:szCs w:val="18"/>
                <w:color w:val="auto"/>
              </w:rPr>
              <w:t>729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(Gain) loss on sale of securities available for sale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00"/>
              <w:spacing w:after="0"/>
              <w:rPr>
                <w:sz w:val="20"/>
                <w:szCs w:val="20"/>
                <w:color w:val="auto"/>
              </w:rPr>
            </w:pPr>
            <w:r>
              <w:rPr>
                <w:rFonts w:ascii="Arial" w:cs="Arial" w:eastAsia="Arial" w:hAnsi="Arial"/>
                <w:sz w:val="18"/>
                <w:szCs w:val="18"/>
                <w:color w:val="auto"/>
              </w:rPr>
              <w:t>Gain on sale of other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28"/>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Changes in assets and liabilities: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00"/>
              <w:spacing w:after="0"/>
              <w:rPr>
                <w:sz w:val="20"/>
                <w:szCs w:val="20"/>
                <w:color w:val="auto"/>
              </w:rPr>
            </w:pPr>
            <w:r>
              <w:rPr>
                <w:rFonts w:ascii="Arial" w:cs="Arial" w:eastAsia="Arial" w:hAnsi="Arial"/>
                <w:sz w:val="18"/>
                <w:szCs w:val="18"/>
                <w:color w:val="auto"/>
              </w:rPr>
              <w:t>Other assets and accrued interest receivable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28"/>
              <w:spacing w:after="0"/>
              <w:rPr>
                <w:sz w:val="20"/>
                <w:szCs w:val="20"/>
                <w:color w:val="auto"/>
              </w:rPr>
            </w:pPr>
            <w:r>
              <w:rPr>
                <w:rFonts w:ascii="Arial" w:cs="Arial" w:eastAsia="Arial" w:hAnsi="Arial"/>
                <w:sz w:val="18"/>
                <w:szCs w:val="18"/>
                <w:color w:val="auto"/>
              </w:rPr>
              <w:t>(1,143)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Accrued expenses and other liabilities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8,340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00"/>
              <w:spacing w:after="0"/>
              <w:rPr>
                <w:sz w:val="20"/>
                <w:szCs w:val="20"/>
                <w:color w:val="auto"/>
              </w:rPr>
            </w:pPr>
            <w:r>
              <w:rPr>
                <w:rFonts w:ascii="Arial" w:cs="Arial" w:eastAsia="Arial" w:hAnsi="Arial"/>
                <w:sz w:val="18"/>
                <w:szCs w:val="18"/>
                <w:color w:val="auto"/>
              </w:rPr>
              <w:t>Mortgage loans held for sale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88"/>
              <w:spacing w:after="0"/>
              <w:rPr>
                <w:sz w:val="20"/>
                <w:szCs w:val="20"/>
                <w:color w:val="auto"/>
              </w:rPr>
            </w:pPr>
            <w:r>
              <w:rPr>
                <w:rFonts w:ascii="Arial" w:cs="Arial" w:eastAsia="Arial" w:hAnsi="Arial"/>
                <w:sz w:val="18"/>
                <w:szCs w:val="18"/>
                <w:color w:val="auto"/>
              </w:rPr>
              <w:t>3,692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37,621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26,200</w:t>
            </w:r>
          </w:p>
        </w:tc>
        <w:tc>
          <w:tcPr>
            <w:tcW w:w="0" w:type="dxa"/>
            <w:vAlign w:val="bottom"/>
          </w:tcPr>
          <w:p>
            <w:pPr>
              <w:spacing w:after="0"/>
              <w:rPr>
                <w:sz w:val="1"/>
                <w:szCs w:val="1"/>
                <w:color w:val="auto"/>
              </w:rPr>
            </w:pPr>
          </w:p>
        </w:tc>
      </w:tr>
      <w:tr>
        <w:trPr>
          <w:trHeight w:val="439"/>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0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securities available for sale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915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Proceeds from maturities and calls of securities available for sale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88"/>
              <w:spacing w:after="0"/>
              <w:rPr>
                <w:sz w:val="20"/>
                <w:szCs w:val="20"/>
                <w:color w:val="auto"/>
              </w:rPr>
            </w:pPr>
            <w:r>
              <w:rPr>
                <w:rFonts w:ascii="Arial" w:cs="Arial" w:eastAsia="Arial" w:hAnsi="Arial"/>
                <w:sz w:val="18"/>
                <w:szCs w:val="18"/>
                <w:color w:val="auto"/>
              </w:rPr>
              <w:t>78,934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securities available for sale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w w:val="90"/>
              </w:rPr>
              <w:t>(120,125)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Net increase in loans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28"/>
              <w:spacing w:after="0"/>
              <w:rPr>
                <w:sz w:val="20"/>
                <w:szCs w:val="20"/>
                <w:color w:val="auto"/>
              </w:rPr>
            </w:pPr>
            <w:r>
              <w:rPr>
                <w:rFonts w:ascii="Arial" w:cs="Arial" w:eastAsia="Arial" w:hAnsi="Arial"/>
                <w:sz w:val="18"/>
                <w:szCs w:val="18"/>
                <w:color w:val="auto"/>
              </w:rPr>
              <w:t>(29,622)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(189,161)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premises and equipment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635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Purchases of premises and equipment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28"/>
              <w:spacing w:after="0"/>
              <w:rPr>
                <w:sz w:val="20"/>
                <w:szCs w:val="20"/>
                <w:color w:val="auto"/>
              </w:rPr>
            </w:pPr>
            <w:r>
              <w:rPr>
                <w:rFonts w:ascii="Arial" w:cs="Arial" w:eastAsia="Arial" w:hAnsi="Arial"/>
                <w:sz w:val="18"/>
                <w:szCs w:val="18"/>
                <w:color w:val="auto"/>
              </w:rPr>
              <w:t>(13,549)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other real estate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1,804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23"/>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Net cash used by investing activities</w:t>
            </w:r>
          </w:p>
        </w:tc>
        <w:tc>
          <w:tcPr>
            <w:tcW w:w="10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(81,008)</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(195,136)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Net change in deposits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88"/>
              <w:spacing w:after="0"/>
              <w:rPr>
                <w:sz w:val="20"/>
                <w:szCs w:val="20"/>
                <w:color w:val="auto"/>
              </w:rPr>
            </w:pPr>
            <w:r>
              <w:rPr>
                <w:rFonts w:ascii="Arial" w:cs="Arial" w:eastAsia="Arial" w:hAnsi="Arial"/>
                <w:sz w:val="18"/>
                <w:szCs w:val="18"/>
                <w:color w:val="auto"/>
              </w:rPr>
              <w:t>68,801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270,838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federal funds purchased, repurchase agreements, and other short-term borrowings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11,483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Proceeds from FHLB advances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88"/>
              <w:spacing w:after="0"/>
              <w:rPr>
                <w:sz w:val="20"/>
                <w:szCs w:val="20"/>
                <w:color w:val="auto"/>
              </w:rPr>
            </w:pPr>
            <w:r>
              <w:rPr>
                <w:rFonts w:ascii="Arial" w:cs="Arial" w:eastAsia="Arial" w:hAnsi="Arial"/>
                <w:sz w:val="18"/>
                <w:szCs w:val="18"/>
                <w:color w:val="auto"/>
                <w:w w:val="98"/>
              </w:rPr>
              <w:t>425,000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FHLB advances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w w:val="90"/>
              </w:rPr>
              <w:t>(450,000)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88"/>
              <w:spacing w:after="0"/>
              <w:rPr>
                <w:sz w:val="20"/>
                <w:szCs w:val="20"/>
                <w:color w:val="auto"/>
              </w:rPr>
            </w:pPr>
            <w:r>
              <w:rPr>
                <w:rFonts w:ascii="Arial" w:cs="Arial" w:eastAsia="Arial" w:hAnsi="Arial"/>
                <w:sz w:val="18"/>
                <w:szCs w:val="18"/>
                <w:color w:val="auto"/>
              </w:rPr>
              <w:t>702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 for dividend reinvestment and employee benefit plans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1,746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Cash dividends on common stock</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28"/>
              <w:spacing w:after="0"/>
              <w:rPr>
                <w:sz w:val="20"/>
                <w:szCs w:val="20"/>
                <w:color w:val="auto"/>
              </w:rPr>
            </w:pPr>
            <w:r>
              <w:rPr>
                <w:rFonts w:ascii="Arial" w:cs="Arial" w:eastAsia="Arial" w:hAnsi="Arial"/>
                <w:sz w:val="18"/>
                <w:szCs w:val="18"/>
                <w:color w:val="auto"/>
              </w:rPr>
              <w:t>(3,437)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on preferred stock</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0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54,290</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189,003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10,903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Cash and cash equivalents at beginning of period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588"/>
              <w:spacing w:after="0"/>
              <w:rPr>
                <w:sz w:val="20"/>
                <w:szCs w:val="20"/>
                <w:color w:val="auto"/>
              </w:rPr>
            </w:pPr>
            <w:r>
              <w:rPr>
                <w:rFonts w:ascii="Arial" w:cs="Arial" w:eastAsia="Arial" w:hAnsi="Arial"/>
                <w:sz w:val="18"/>
                <w:szCs w:val="18"/>
                <w:color w:val="auto"/>
                <w:w w:val="98"/>
              </w:rPr>
              <w:t>171,284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142,570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98"/>
              </w:rPr>
              <w:t>182,187</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162,637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121"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accounting and financial reporting policies of United Community Banks, Inc. (“United”) and its subsidiaries conform to accounting principles generally accepted in the United States of America and general banking industry practices. The accompanying interim consolidated financial statements have not been audited. All material intercompany balances and transactions have been eliminated. A more detailed description of United’s accounting policies is included in the 2006 annual report filed on Form 10-K.</w:t>
      </w:r>
    </w:p>
    <w:p>
      <w:pPr>
        <w:spacing w:after="0" w:line="79"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Stock-Based Compensation</w:t>
      </w:r>
    </w:p>
    <w:p>
      <w:pPr>
        <w:spacing w:after="0" w:line="121"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United has an equity compensation plan that allows for grants of incentive stock options, nonqualified stock options, restricted stock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 and restricted stock awards provide for accelerated vesting if there is a change in control (as defined in the plan). As of March 31, 2007, approximately 829,000 additional awards could be granted under the plan before amended at the annual meeting of shareholders. The Amended and Restated 2000 Key Employee Stock Option Plan that was approved by shareholders at the annual meeting on April 25, 2007 increased this amount to 2,511,000. Through March 31, 2007, only incentive stock options, nonqualified stock options and restricted stock awards had been granted under the plan.</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shows stock option activity for the first quarter of 2007.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Weighted-</w:t>
            </w:r>
          </w:p>
        </w:tc>
        <w:tc>
          <w:tcPr>
            <w:tcW w:w="3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8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Remaining</w:t>
            </w:r>
          </w:p>
        </w:tc>
        <w:tc>
          <w:tcPr>
            <w:tcW w:w="3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vMerge w:val="restart"/>
          </w:tcPr>
          <w:p>
            <w:pPr>
              <w:ind w:left="2480"/>
              <w:spacing w:after="0"/>
              <w:rPr>
                <w:sz w:val="20"/>
                <w:szCs w:val="20"/>
                <w:color w:val="auto"/>
              </w:rPr>
            </w:pPr>
            <w:r>
              <w:rPr>
                <w:rFonts w:ascii="Arial" w:cs="Arial" w:eastAsia="Arial" w:hAnsi="Arial"/>
                <w:sz w:val="14"/>
                <w:szCs w:val="14"/>
                <w:b w:val="1"/>
                <w:bCs w:val="1"/>
                <w:color w:val="auto"/>
              </w:rPr>
              <w:t>Options</w:t>
            </w:r>
          </w:p>
        </w:tc>
        <w:tc>
          <w:tcPr>
            <w:tcW w:w="5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 Exercise</w:t>
            </w: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Intrinisic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139"/>
              <w:spacing w:after="0"/>
              <w:rPr>
                <w:sz w:val="20"/>
                <w:szCs w:val="20"/>
                <w:color w:val="auto"/>
              </w:rPr>
            </w:pPr>
            <w:r>
              <w:rPr>
                <w:rFonts w:ascii="Arial" w:cs="Arial" w:eastAsia="Arial" w:hAnsi="Arial"/>
                <w:sz w:val="14"/>
                <w:szCs w:val="14"/>
                <w:b w:val="1"/>
                <w:bCs w:val="1"/>
                <w:color w:val="auto"/>
              </w:rPr>
              <w:t>Shares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Price</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320" w:type="dxa"/>
            <w:vAlign w:val="bottom"/>
          </w:tcPr>
          <w:p>
            <w:pPr>
              <w:spacing w:after="0"/>
              <w:rPr>
                <w:sz w:val="14"/>
                <w:szCs w:val="14"/>
                <w:color w:val="auto"/>
              </w:rPr>
            </w:pPr>
          </w:p>
        </w:tc>
        <w:tc>
          <w:tcPr>
            <w:tcW w:w="1180" w:type="dxa"/>
            <w:vAlign w:val="bottom"/>
            <w:gridSpan w:val="4"/>
          </w:tcPr>
          <w:p>
            <w:pPr>
              <w:ind w:left="32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2,549,823</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19.05</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1980" w:type="dxa"/>
            <w:vAlign w:val="bottom"/>
            <w:gridSpan w:val="3"/>
          </w:tcPr>
          <w:p>
            <w:pPr>
              <w:jc w:val="right"/>
              <w:ind w:right="620"/>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32.49</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9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(72,703)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9.66</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Forfeited</w:t>
            </w:r>
          </w:p>
        </w:tc>
        <w:tc>
          <w:tcPr>
            <w:tcW w:w="1980" w:type="dxa"/>
            <w:vAlign w:val="bottom"/>
            <w:gridSpan w:val="3"/>
          </w:tcPr>
          <w:p>
            <w:pPr>
              <w:jc w:val="right"/>
              <w:ind w:right="560"/>
              <w:spacing w:after="0"/>
              <w:rPr>
                <w:sz w:val="20"/>
                <w:szCs w:val="20"/>
                <w:color w:val="auto"/>
              </w:rPr>
            </w:pPr>
            <w:r>
              <w:rPr>
                <w:rFonts w:ascii="Arial" w:cs="Arial" w:eastAsia="Arial" w:hAnsi="Arial"/>
                <w:sz w:val="18"/>
                <w:szCs w:val="18"/>
                <w:color w:val="auto"/>
              </w:rPr>
              <w:t>(10,750)</w:t>
            </w:r>
          </w:p>
        </w:tc>
        <w:tc>
          <w:tcPr>
            <w:tcW w:w="16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25.02</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9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(1,250)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28.02</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rPr>
              <w:t>Outstanding at March 31, 2007</w:t>
            </w:r>
          </w:p>
        </w:tc>
        <w:tc>
          <w:tcPr>
            <w:tcW w:w="5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2,466,120</w:t>
            </w:r>
          </w:p>
        </w:tc>
        <w:tc>
          <w:tcPr>
            <w:tcW w:w="6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19.30</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6.3</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March 31, 2007</w:t>
            </w:r>
          </w:p>
        </w:tc>
        <w:tc>
          <w:tcPr>
            <w:tcW w:w="19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1,421,411</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14.99</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4.9</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The weighted average fair value of stock options granted in the first quarter of 2007 and 2006 was $8.80 and $7.52, respectively. The fair value of each option granted was estimated on the date of grant using the Black-Scholes model. The key assumptions used to determine the fair value of stock options are presented in the table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680" w:type="dxa"/>
            <w:vAlign w:val="bottom"/>
            <w:gridSpan w:val="3"/>
          </w:tcPr>
          <w:p>
            <w:pPr>
              <w:jc w:val="right"/>
              <w:ind w:right="596"/>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37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ind w:right="936"/>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37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98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2006</w:t>
            </w: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0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20%</w:t>
            </w:r>
          </w:p>
        </w:tc>
        <w:tc>
          <w:tcPr>
            <w:tcW w:w="170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22%</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000" w:type="dxa"/>
            <w:vAlign w:val="bottom"/>
            <w:gridSpan w:val="2"/>
          </w:tcPr>
          <w:p>
            <w:pPr>
              <w:jc w:val="right"/>
              <w:ind w:right="108"/>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1.1% to 1.2%</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60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6.25</w:t>
            </w:r>
          </w:p>
        </w:tc>
        <w:tc>
          <w:tcPr>
            <w:tcW w:w="1700" w:type="dxa"/>
            <w:vAlign w:val="bottom"/>
            <w:gridSpan w:val="2"/>
            <w:shd w:val="clear" w:color="auto" w:fill="CCEEFF"/>
          </w:tcPr>
          <w:p>
            <w:pPr>
              <w:jc w:val="right"/>
              <w:ind w:right="336"/>
              <w:spacing w:after="0"/>
              <w:rPr>
                <w:sz w:val="20"/>
                <w:szCs w:val="20"/>
                <w:color w:val="auto"/>
              </w:rPr>
            </w:pPr>
            <w:r>
              <w:rPr>
                <w:rFonts w:ascii="Arial" w:cs="Arial" w:eastAsia="Arial" w:hAnsi="Arial"/>
                <w:sz w:val="18"/>
                <w:szCs w:val="18"/>
                <w:color w:val="auto"/>
              </w:rPr>
              <w:t>6.25</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Risk-free rate</w:t>
            </w:r>
          </w:p>
        </w:tc>
        <w:tc>
          <w:tcPr>
            <w:tcW w:w="6000" w:type="dxa"/>
            <w:vAlign w:val="bottom"/>
            <w:gridSpan w:val="2"/>
          </w:tcPr>
          <w:p>
            <w:pPr>
              <w:jc w:val="right"/>
              <w:ind w:right="108"/>
              <w:spacing w:after="0"/>
              <w:rPr>
                <w:sz w:val="20"/>
                <w:szCs w:val="20"/>
                <w:color w:val="auto"/>
              </w:rPr>
            </w:pPr>
            <w:r>
              <w:rPr>
                <w:rFonts w:ascii="Arial" w:cs="Arial" w:eastAsia="Arial" w:hAnsi="Arial"/>
                <w:sz w:val="18"/>
                <w:szCs w:val="18"/>
                <w:color w:val="auto"/>
              </w:rPr>
              <w:t>4.7%</w:t>
            </w:r>
          </w:p>
        </w:tc>
        <w:tc>
          <w:tcPr>
            <w:tcW w:w="5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4.3% to 4.6%</w:t>
            </w:r>
          </w:p>
        </w:tc>
      </w:tr>
      <w:tr>
        <w:trPr>
          <w:trHeight w:val="391"/>
        </w:trPr>
        <w:tc>
          <w:tcPr>
            <w:tcW w:w="3720" w:type="dxa"/>
            <w:vAlign w:val="bottom"/>
          </w:tcPr>
          <w:p>
            <w:pPr>
              <w:spacing w:after="0"/>
              <w:rPr>
                <w:sz w:val="24"/>
                <w:szCs w:val="24"/>
                <w:color w:val="auto"/>
              </w:rPr>
            </w:pPr>
          </w:p>
        </w:tc>
        <w:tc>
          <w:tcPr>
            <w:tcW w:w="5020" w:type="dxa"/>
            <w:vAlign w:val="bottom"/>
          </w:tcPr>
          <w:p>
            <w:pPr>
              <w:jc w:val="right"/>
              <w:ind w:right="2890"/>
              <w:spacing w:after="0"/>
              <w:rPr>
                <w:sz w:val="20"/>
                <w:szCs w:val="20"/>
                <w:color w:val="auto"/>
              </w:rPr>
            </w:pPr>
            <w:r>
              <w:rPr>
                <w:rFonts w:ascii="Arial" w:cs="Arial" w:eastAsia="Arial" w:hAnsi="Arial"/>
                <w:sz w:val="18"/>
                <w:szCs w:val="18"/>
                <w:color w:val="auto"/>
              </w:rPr>
              <w:t>6</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6"/>
        </w:trPr>
        <w:tc>
          <w:tcPr>
            <w:tcW w:w="3720" w:type="dxa"/>
            <w:vAlign w:val="bottom"/>
            <w:tcBorders>
              <w:bottom w:val="single" w:sz="8" w:color="808080"/>
            </w:tcBorders>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United’s stock trading history began in March of 2002 when United listed on the Nasdaq National Market. For 2007 and 2006, expected volatility was determined using United’s historical monthly volatility over the period beginning in March of 2002 through the end of the last completed year. Compensation expense for stock options was $486,000 and $427,000 for the three months ended March 31, 2007 and 2006, respectively, which was net of deferred tax benefits of $114,000 and $38,000, respectively. The amount of compensation expense for both periods was determined based on the fair value of the options at the time of grant, multiplied by the number of options granted that were expected to vest, which was then amortized, net of any applicable tax benefit, over the vesting period. The forfeiture rate for options is estimated to be approximately 3% per year. The total intrinsic value of options exercised during the quarter ended March 31, 2007 and March 31, 2006 was $1,693,000 and $640,000, respectively.</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table below presents the activity in restricted stock awards for the first quarter of 2007.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vMerge w:val="restart"/>
          </w:tcPr>
          <w:p>
            <w:pPr>
              <w:ind w:left="3700"/>
              <w:spacing w:after="0"/>
              <w:rPr>
                <w:sz w:val="20"/>
                <w:szCs w:val="20"/>
                <w:color w:val="auto"/>
              </w:rPr>
            </w:pPr>
            <w:r>
              <w:rPr>
                <w:rFonts w:ascii="Arial" w:cs="Arial" w:eastAsia="Arial" w:hAnsi="Arial"/>
                <w:sz w:val="14"/>
                <w:szCs w:val="14"/>
                <w:b w:val="1"/>
                <w:bCs w:val="1"/>
                <w:color w:val="auto"/>
              </w:rPr>
              <w:t>Restricted Stock</w:t>
            </w:r>
          </w:p>
        </w:tc>
        <w:tc>
          <w:tcPr>
            <w:tcW w:w="5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8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2"/>
              </w:rPr>
              <w:t>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2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Date 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19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78,440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Vested</w:t>
            </w:r>
          </w:p>
        </w:tc>
        <w:tc>
          <w:tcPr>
            <w:tcW w:w="56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(21,360)</w:t>
            </w:r>
          </w:p>
        </w:tc>
        <w:tc>
          <w:tcPr>
            <w:tcW w:w="1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2007</w:t>
            </w:r>
          </w:p>
        </w:tc>
        <w:tc>
          <w:tcPr>
            <w:tcW w:w="5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57,080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Compensation expense for restricted stock is based on the fair value of restricted stock awards at the time of grant, which is equal to the value of United’s common stock on the date of grant. The value of restricted stock grants that are expected to vest is amortized into expense over the vesting period. For the three months ended March 31, 2007 and 2006, compensation expense of $129,000 and $168,000, respectively, was recognized related to restricted stock awards. The total intrinsic value of the restricted stock was $1.9 million at March 31, 2007.</w:t>
      </w:r>
    </w:p>
    <w:p>
      <w:pPr>
        <w:spacing w:after="0" w:line="63" w:lineRule="exact"/>
        <w:rPr>
          <w:sz w:val="20"/>
          <w:szCs w:val="20"/>
          <w:color w:val="auto"/>
        </w:rPr>
      </w:pPr>
    </w:p>
    <w:p>
      <w:pPr>
        <w:ind w:right="240" w:firstLine="215"/>
        <w:spacing w:after="0" w:line="264" w:lineRule="auto"/>
        <w:rPr>
          <w:sz w:val="20"/>
          <w:szCs w:val="20"/>
          <w:color w:val="auto"/>
        </w:rPr>
      </w:pPr>
      <w:r>
        <w:rPr>
          <w:rFonts w:ascii="Arial" w:cs="Arial" w:eastAsia="Arial" w:hAnsi="Arial"/>
          <w:sz w:val="18"/>
          <w:szCs w:val="18"/>
          <w:color w:val="auto"/>
        </w:rPr>
        <w:t>As of March 31, 2007, there was $5.6 million of unrecognized compensation cost related to nonvested stock options and restricted stock awards granted under the plan. That cost is expected to be recognized over a weighted-average period of 1.4 years. The aggregate grant date fair value of options and restricted stock awards that vested during the quarter ended March 31, 2007, was $522,000.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Common Stock Issued / Common Stock Issuable</w:t>
      </w:r>
    </w:p>
    <w:p>
      <w:pPr>
        <w:spacing w:after="0" w:line="121"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United provides a Dividend Reinvestment and Share Purchase Plan (DRIP) to its shareholders. Under the plan, shareholders of record can voluntarily reinvest all or a portion of their cash dividends into shares of United’s common stock, as well as purchase additional stock through the plan for cash. United’s 401(k) retirement plan regularly purchases shares of United’s common stock directly from United. In addition, United has an Employee Stock Purchase Program (ESPP) that allows eligible employees to purchase shares of common stock at a 5% discount, with no commission charges. For the three months ended March 31, 2007 and March 31, 2006, United issued 52,914 shares and 45,298 shares, respectively, and increased capital by $1.7 million and $1.2 million, respectively, through these programs.</w:t>
      </w:r>
    </w:p>
    <w:p>
      <w:pPr>
        <w:spacing w:after="0" w:line="85" w:lineRule="exact"/>
        <w:rPr>
          <w:sz w:val="20"/>
          <w:szCs w:val="20"/>
          <w:color w:val="auto"/>
        </w:rPr>
      </w:pPr>
    </w:p>
    <w:p>
      <w:pPr>
        <w:ind w:right="300" w:firstLine="225"/>
        <w:spacing w:after="0" w:line="312" w:lineRule="auto"/>
        <w:rPr>
          <w:sz w:val="20"/>
          <w:szCs w:val="20"/>
          <w:color w:val="auto"/>
        </w:rPr>
      </w:pPr>
      <w:r>
        <w:rPr>
          <w:rFonts w:ascii="Arial" w:cs="Arial" w:eastAsia="Arial" w:hAnsi="Arial"/>
          <w:sz w:val="16"/>
          <w:szCs w:val="16"/>
          <w:color w:val="auto"/>
        </w:rPr>
        <w:t>In the fourth quarter of 2005, United began offering its common stock as an investment option in its deferred compensation plan. The common stock component of the deferred compensation plan is accounted for as an equity instrument and is reflected in the consolidated financial statements as common stock issuable. At March 31, 2007 and March 31, 2006, 35,154 shares and 16,549 shares, respectively, are issuable under the deferred compensation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the computation of basic and diluted earnings per share for the three months ended March 31</w:t>
      </w:r>
      <w:r>
        <w:rPr>
          <w:rFonts w:ascii="Arial" w:cs="Arial" w:eastAsia="Arial" w:hAnsi="Arial"/>
          <w:sz w:val="18"/>
          <w:szCs w:val="18"/>
          <w:i w:val="1"/>
          <w:i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data)</w:t>
      </w:r>
    </w:p>
    <w:p>
      <w:pPr>
        <w:spacing w:after="0" w:line="21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80" w:type="dxa"/>
            <w:vAlign w:val="bottom"/>
          </w:tcPr>
          <w:p>
            <w:pPr>
              <w:ind w:left="220"/>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w w:val="94"/>
              </w:rPr>
              <w:t>43,000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40,088</w:t>
            </w:r>
          </w:p>
        </w:tc>
        <w:tc>
          <w:tcPr>
            <w:tcW w:w="0" w:type="dxa"/>
            <w:vAlign w:val="bottom"/>
          </w:tcPr>
          <w:p>
            <w:pPr>
              <w:spacing w:after="0"/>
              <w:rPr>
                <w:sz w:val="1"/>
                <w:szCs w:val="1"/>
                <w:color w:val="auto"/>
              </w:rPr>
            </w:pPr>
          </w:p>
        </w:tc>
      </w:tr>
      <w:tr>
        <w:trPr>
          <w:trHeight w:val="202"/>
        </w:trPr>
        <w:tc>
          <w:tcPr>
            <w:tcW w:w="9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available to common shareholders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4"/>
              </w:rPr>
              <w:t>19,340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16,034</w:t>
            </w:r>
          </w:p>
        </w:tc>
        <w:tc>
          <w:tcPr>
            <w:tcW w:w="0" w:type="dxa"/>
            <w:vAlign w:val="bottom"/>
          </w:tcPr>
          <w:p>
            <w:pPr>
              <w:spacing w:after="0"/>
              <w:rPr>
                <w:sz w:val="1"/>
                <w:szCs w:val="1"/>
                <w:color w:val="auto"/>
              </w:rPr>
            </w:pPr>
          </w:p>
        </w:tc>
      </w:tr>
      <w:tr>
        <w:trPr>
          <w:trHeight w:val="20"/>
        </w:trPr>
        <w:tc>
          <w:tcPr>
            <w:tcW w:w="9280" w:type="dxa"/>
            <w:vAlign w:val="bottom"/>
            <w:vMerge w:val="restart"/>
          </w:tcPr>
          <w:p>
            <w:pPr>
              <w:ind w:left="220"/>
              <w:spacing w:after="0"/>
              <w:rPr>
                <w:sz w:val="20"/>
                <w:szCs w:val="20"/>
                <w:color w:val="auto"/>
              </w:rPr>
            </w:pPr>
            <w:r>
              <w:rPr>
                <w:rFonts w:ascii="Arial" w:cs="Arial" w:eastAsia="Arial" w:hAnsi="Arial"/>
                <w:sz w:val="18"/>
                <w:szCs w:val="18"/>
                <w:color w:val="auto"/>
              </w:rPr>
              <w:t>Basic earnings per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w w:val="94"/>
              </w:rPr>
              <w:t>43,000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40,088</w:t>
            </w:r>
          </w:p>
        </w:tc>
        <w:tc>
          <w:tcPr>
            <w:tcW w:w="0" w:type="dxa"/>
            <w:vAlign w:val="bottom"/>
          </w:tcPr>
          <w:p>
            <w:pPr>
              <w:spacing w:after="0"/>
              <w:rPr>
                <w:sz w:val="1"/>
                <w:szCs w:val="1"/>
                <w:color w:val="auto"/>
              </w:rPr>
            </w:pPr>
          </w:p>
        </w:tc>
      </w:tr>
      <w:tr>
        <w:trPr>
          <w:trHeight w:val="202"/>
        </w:trPr>
        <w:tc>
          <w:tcPr>
            <w:tcW w:w="92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8"/>
              </w:rPr>
              <w:t>Net effect of the assumed exercise of stock options based on the treasury stock method using average market price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 the period</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878</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Common stock issuable under deferred compensation plan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conversion of subordinated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3"/>
        </w:trPr>
        <w:tc>
          <w:tcPr>
            <w:tcW w:w="9280" w:type="dxa"/>
            <w:vAlign w:val="bottom"/>
          </w:tcPr>
          <w:p>
            <w:pPr>
              <w:ind w:left="420"/>
              <w:spacing w:after="0"/>
              <w:rPr>
                <w:sz w:val="20"/>
                <w:szCs w:val="20"/>
                <w:color w:val="auto"/>
              </w:rPr>
            </w:pPr>
            <w:r>
              <w:rPr>
                <w:rFonts w:ascii="Arial" w:cs="Arial" w:eastAsia="Arial" w:hAnsi="Arial"/>
                <w:sz w:val="18"/>
                <w:szCs w:val="18"/>
                <w:color w:val="auto"/>
              </w:rPr>
              <w:t>Total weighted average shares and common stock equivalents outstanding</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43,912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41,190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available to common shareholders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4"/>
              </w:rPr>
              <w:t>19,340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16,034</w:t>
            </w: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Income effect of conversion of subordinated debt, net of tax</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9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adjusted for effect of conversion of subordinated debt, net of tax</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4"/>
              </w:rPr>
              <w:t>19,340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16,072</w:t>
            </w:r>
          </w:p>
        </w:tc>
        <w:tc>
          <w:tcPr>
            <w:tcW w:w="0" w:type="dxa"/>
            <w:vAlign w:val="bottom"/>
          </w:tcPr>
          <w:p>
            <w:pPr>
              <w:spacing w:after="0"/>
              <w:rPr>
                <w:sz w:val="1"/>
                <w:szCs w:val="1"/>
                <w:color w:val="auto"/>
              </w:rPr>
            </w:pPr>
          </w:p>
        </w:tc>
      </w:tr>
      <w:tr>
        <w:trPr>
          <w:trHeight w:val="20"/>
        </w:trPr>
        <w:tc>
          <w:tcPr>
            <w:tcW w:w="9280" w:type="dxa"/>
            <w:vAlign w:val="bottom"/>
            <w:vMerge w:val="restart"/>
          </w:tcPr>
          <w:p>
            <w:pPr>
              <w:ind w:left="220"/>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Mergers and Acquisitions</w:t>
      </w:r>
    </w:p>
    <w:p>
      <w:pPr>
        <w:spacing w:after="0" w:line="121" w:lineRule="exact"/>
        <w:rPr>
          <w:sz w:val="20"/>
          <w:szCs w:val="20"/>
          <w:color w:val="auto"/>
        </w:rPr>
      </w:pPr>
    </w:p>
    <w:p>
      <w:pPr>
        <w:ind w:right="140" w:firstLine="215"/>
        <w:spacing w:after="0" w:line="297" w:lineRule="auto"/>
        <w:rPr>
          <w:sz w:val="20"/>
          <w:szCs w:val="20"/>
          <w:color w:val="auto"/>
        </w:rPr>
      </w:pPr>
      <w:r>
        <w:rPr>
          <w:rFonts w:ascii="Arial" w:cs="Arial" w:eastAsia="Arial" w:hAnsi="Arial"/>
          <w:sz w:val="16"/>
          <w:szCs w:val="16"/>
          <w:color w:val="auto"/>
        </w:rPr>
        <w:t>At March 31, 2007, accrued merger costs of $385,000 remained unpaid relating to acquisitions closed in 2006 and 2004. The severance and related costs include change in control payments for which payment had been deferred. Professional fees include remaining legal fees related to the business combination completed during the fourth quarter of 2006. Contract termination costs include amounts claimed by service providers as a result of early termination of service contracts related to the acquisitions completed during 2004. During the first quarter, the one contract termination charge that was in dispute was resolved, and goodwill was reduced accordingly. A reconciliation of the activities in 2007 related to accrued merger costs is below (in thousands):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Activity with accrued merger cost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2007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gridSpan w:val="3"/>
            <w:vMerge w:val="restart"/>
          </w:tcPr>
          <w:p>
            <w:pPr>
              <w:jc w:val="right"/>
              <w:ind w:right="700"/>
              <w:spacing w:after="0"/>
              <w:rPr>
                <w:sz w:val="20"/>
                <w:szCs w:val="20"/>
                <w:color w:val="auto"/>
              </w:rPr>
            </w:pPr>
            <w:r>
              <w:rPr>
                <w:rFonts w:ascii="Arial" w:cs="Arial" w:eastAsia="Arial" w:hAnsi="Arial"/>
                <w:sz w:val="14"/>
                <w:szCs w:val="14"/>
                <w:b w:val="1"/>
                <w:bCs w:val="1"/>
                <w:color w:val="auto"/>
                <w:w w:val="90"/>
              </w:rPr>
              <w:t>Beginning</w:t>
            </w:r>
          </w:p>
        </w:tc>
        <w:tc>
          <w:tcPr>
            <w:tcW w:w="100" w:type="dxa"/>
            <w:vAlign w:val="bottom"/>
          </w:tcPr>
          <w:p>
            <w:pPr>
              <w:spacing w:after="0"/>
              <w:rPr>
                <w:sz w:val="14"/>
                <w:szCs w:val="14"/>
                <w:color w:val="auto"/>
              </w:rPr>
            </w:pPr>
          </w:p>
        </w:tc>
        <w:tc>
          <w:tcPr>
            <w:tcW w:w="136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88"/>
              </w:rPr>
              <w:t>Purchase</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Amounts</w:t>
            </w:r>
          </w:p>
        </w:tc>
        <w:tc>
          <w:tcPr>
            <w:tcW w:w="10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8"/>
              </w:rPr>
              <w:t>Amounts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91"/>
              </w:rPr>
              <w:t>Charged to</w:t>
            </w:r>
          </w:p>
        </w:tc>
        <w:tc>
          <w:tcPr>
            <w:tcW w:w="10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Balance</w:t>
            </w:r>
          </w:p>
        </w:tc>
        <w:tc>
          <w:tcPr>
            <w:tcW w:w="6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4"/>
                <w:szCs w:val="1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Paid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Severance and related costs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Professional fees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Contract termination costs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(785)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Totals</w:t>
            </w:r>
          </w:p>
        </w:tc>
        <w:tc>
          <w:tcPr>
            <w:tcW w:w="1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6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5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On February 6, 2007, United announced a definitive agreement to acquire Gwinnett Commercial Group, Inc. (“Gwinnett Commercial”) and its wholly-owned subsidiary First Bank of the South. At December 31, 2006, Gwinnett Commercial had total assets and deposits of $675 million and $583 million, respectively. First Bank of the South has five banking offices in metro Atlanta.</w:t>
      </w:r>
    </w:p>
    <w:p>
      <w:pPr>
        <w:spacing w:after="0" w:line="73" w:lineRule="exact"/>
        <w:rPr>
          <w:sz w:val="20"/>
          <w:szCs w:val="20"/>
          <w:color w:val="auto"/>
        </w:rPr>
      </w:pPr>
    </w:p>
    <w:p>
      <w:pPr>
        <w:jc w:val="both"/>
        <w:ind w:right="140" w:firstLine="225"/>
        <w:spacing w:after="0" w:line="312" w:lineRule="auto"/>
        <w:rPr>
          <w:sz w:val="20"/>
          <w:szCs w:val="20"/>
          <w:color w:val="auto"/>
        </w:rPr>
      </w:pPr>
      <w:r>
        <w:rPr>
          <w:rFonts w:ascii="Arial" w:cs="Arial" w:eastAsia="Arial" w:hAnsi="Arial"/>
          <w:sz w:val="16"/>
          <w:szCs w:val="16"/>
          <w:color w:val="auto"/>
        </w:rPr>
        <w:t>Under the terms of the agreement, Gwinnett Commercial’s shareholders will receive $32.5 million in cash consideration and 5.7 million shares of United common stock. Based on United Community Banks’ 30 day average closing price of $32.35 on February 2, 2007, the transaction has an aggregate value of approximately $216.6 million. The transaction, which is subject to shareholder approval, is expected to close during the second or third quarter of 2007.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Reclassification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amounts for the comparative periods of 2006 have been reclassified to conform to the 2007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Recent Accounting Pronouncements</w:t>
      </w:r>
    </w:p>
    <w:p>
      <w:pPr>
        <w:spacing w:after="0" w:line="121"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 xml:space="preserve">In February 2007, the Financial Accounting Standards Board (“FASB”) issued Statement of Financial Accounting Standards No. 159 (SFAS No. 159),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for Financial Assets and Financial Liabilities—including an amendment of FASB Statement No. 115</w:t>
      </w:r>
      <w:r>
        <w:rPr>
          <w:rFonts w:ascii="Arial" w:cs="Arial" w:eastAsia="Arial" w:hAnsi="Arial"/>
          <w:sz w:val="16"/>
          <w:szCs w:val="16"/>
          <w:color w:val="auto"/>
        </w:rPr>
        <w:t>. This statement permits entities to choose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measure many financial 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This statement is expected to expand the use of fair value measurement, which is consistent with the FASB’s long-term measurement objective for accounting for financial instruments. This statement is effective as of the beginning of an entity’s first fiscal year that begins after November 15, 2007. Early adoption is permitted as of the beginning of a fiscal year that begins on or before November 15, 2007, provided the entity also elects to apply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United expects to adopt this standard beginning January 1, 2008. The financial statement impact is being evaluated, however, it is not expected to be material to United’s financial position, results of operations or disclosures.</w:t>
      </w:r>
    </w:p>
    <w:p>
      <w:pPr>
        <w:spacing w:after="0" w:line="59" w:lineRule="exact"/>
        <w:rPr>
          <w:sz w:val="20"/>
          <w:szCs w:val="20"/>
          <w:color w:val="auto"/>
        </w:rPr>
      </w:pPr>
    </w:p>
    <w:p>
      <w:pPr>
        <w:ind w:right="160" w:firstLine="225"/>
        <w:spacing w:after="0" w:line="279" w:lineRule="auto"/>
        <w:rPr>
          <w:sz w:val="20"/>
          <w:szCs w:val="20"/>
          <w:color w:val="auto"/>
        </w:rPr>
      </w:pPr>
      <w:r>
        <w:rPr>
          <w:rFonts w:ascii="Arial" w:cs="Arial" w:eastAsia="Arial" w:hAnsi="Arial"/>
          <w:sz w:val="17"/>
          <w:szCs w:val="17"/>
          <w:color w:val="auto"/>
        </w:rPr>
        <w:t xml:space="preserve">United adopted Financial Interpretation No. (“FIN”) 48, </w:t>
      </w:r>
      <w:r>
        <w:rPr>
          <w:rFonts w:ascii="Arial" w:cs="Arial" w:eastAsia="Arial" w:hAnsi="Arial"/>
          <w:sz w:val="17"/>
          <w:szCs w:val="17"/>
          <w:i w:val="1"/>
          <w:iCs w:val="1"/>
          <w:color w:val="auto"/>
        </w:rPr>
        <w:t>Accounting for Uncertainty in Income Taxes — an interpretation of FASB Statement No. 109,</w:t>
      </w:r>
      <w:r>
        <w:rPr>
          <w:rFonts w:ascii="Arial" w:cs="Arial" w:eastAsia="Arial" w:hAnsi="Arial"/>
          <w:sz w:val="17"/>
          <w:szCs w:val="17"/>
          <w:color w:val="auto"/>
        </w:rPr>
        <w:t xml:space="preserve"> on January 1, 2007. The adoption of FIN 48 had no affect on United’s financial statements. The amount of unrecognized tax benefits as of January 1, 2007 totaled $2.0 million. All of this amount would increase income from continuing operations, and thus impact United’s effective tax rate, if ultimately recognized into income. Unrecognized state income tax benefits are reported net of their related deferred federal income tax benefit.</w:t>
      </w:r>
    </w:p>
    <w:p>
      <w:pPr>
        <w:spacing w:after="0" w:line="63"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It is United’s policy to recognize interest and penalties accrued relative to unrecognized tax benefits in their respective federal or state income taxes accounts. As of January 1, 2007, $403,000 in interest and penalties had been accrued.</w:t>
      </w:r>
    </w:p>
    <w:p>
      <w:pPr>
        <w:spacing w:after="0" w:line="62" w:lineRule="exact"/>
        <w:rPr>
          <w:sz w:val="20"/>
          <w:szCs w:val="20"/>
          <w:color w:val="auto"/>
        </w:rPr>
      </w:pPr>
    </w:p>
    <w:p>
      <w:pPr>
        <w:ind w:right="320" w:firstLine="225"/>
        <w:spacing w:after="0" w:line="308" w:lineRule="auto"/>
        <w:rPr>
          <w:sz w:val="20"/>
          <w:szCs w:val="20"/>
          <w:color w:val="auto"/>
        </w:rPr>
      </w:pPr>
      <w:r>
        <w:rPr>
          <w:rFonts w:ascii="Arial" w:cs="Arial" w:eastAsia="Arial" w:hAnsi="Arial"/>
          <w:sz w:val="17"/>
          <w:szCs w:val="17"/>
          <w:color w:val="auto"/>
        </w:rPr>
        <w:t>United and its subsidiaries file a consolidated U.S. federal income tax return, as well as filing various returns in the states where its banking offices are located. The Company’s filed income tax returns are no longer subject to examination by taxing authorities for years before 2003.</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0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right="80" w:firstLine="222"/>
        <w:spacing w:after="0" w:line="293" w:lineRule="auto"/>
        <w:rPr>
          <w:sz w:val="20"/>
          <w:szCs w:val="20"/>
          <w:color w:val="auto"/>
        </w:rPr>
      </w:pPr>
      <w:r>
        <w:rPr>
          <w:rFonts w:ascii="Arial" w:cs="Arial" w:eastAsia="Arial" w:hAnsi="Arial"/>
          <w:sz w:val="16"/>
          <w:szCs w:val="16"/>
          <w:color w:val="auto"/>
        </w:rPr>
        <w:t>This Form 10-Q contains forward-looking statements regarding United Community Banks, Inc. (“United”), including, without limitation, statements relating to United’s expectations with respect to revenue, credit losses, levels of nonperforming assets, expenses, earnings and other measures of financial performance. Words such as “may”, “could”, “would”, “should”, “believes”, “expects”, “anticipates”, “estimates”, “intends”, “plans”, “targets” or similar expressions are intended to identify forward-looking statements. These forward-looking statements are not guarantees of future performance and involve certain risks and uncertainties that are subject to change based on various factors (many of which are beyond United’s control). The following factors, among others, could cause United’s financial performance to differ materially from the expectations expressed in such forward-looking statements:</w:t>
      </w:r>
    </w:p>
    <w:p>
      <w:pPr>
        <w:spacing w:after="0" w:line="57"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recent operating results may not be indicative of future operating results;</w:t>
      </w:r>
    </w:p>
    <w:p>
      <w:pPr>
        <w:spacing w:after="0" w:line="130"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corporate culture has contributed to our success and, if we cannot maintain this culture as we grow, we could lose the productivity fostered by our culture, which could harm our business;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business is subject to the success of the local economies in which we operate;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we may face risks with respect to future expansion and acquisitions or mergers;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changes in prevailing interest rates may negatively affect our net income and the value of our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concentration of construction and land development loans is subject to unique risks that could adversely affect our earnings;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if our allowance for loan losses is not sufficient to cover actual loan losses, our earnings would decrease;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competition from financial institutions and other financial service providers may adversely affect our profitability;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business increases, productivity gains and other investments are lower than expected or do not occur as quickly as anticipated;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competitive pressures among financial services companies increase significantly;</w:t>
      </w:r>
    </w:p>
    <w:p>
      <w:pPr>
        <w:spacing w:after="0" w:line="130" w:lineRule="exact"/>
        <w:rPr>
          <w:rFonts w:ascii="Arial" w:cs="Arial" w:eastAsia="Arial" w:hAnsi="Arial"/>
          <w:sz w:val="18"/>
          <w:szCs w:val="18"/>
          <w:b w:val="1"/>
          <w:bCs w:val="1"/>
          <w:color w:val="auto"/>
        </w:rPr>
      </w:pPr>
    </w:p>
    <w:p>
      <w:pPr>
        <w:ind w:left="660" w:right="32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strength of the United States economy in general and/or the strength of the local economies of the states in which United conducts operations changes;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trade, monetary and fiscal policies and laws, including interest rate policies of the Board of Governors of the Federal Reserve System, change;</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inflation or market conditions fluctuate;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conditions in the stock market, the public debt market and other capital markets deteriorate;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financial services laws and regulations change;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technology changes and United fails to adapt to those changes;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consumer spending and saving habits change;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unanticipated regulatory or judicial proceedings occur;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United is unsuccessful at managing the risks involved in the foregoing.</w:t>
      </w:r>
    </w:p>
    <w:p>
      <w:pPr>
        <w:spacing w:after="0" w:line="117" w:lineRule="exact"/>
        <w:rPr>
          <w:sz w:val="20"/>
          <w:szCs w:val="20"/>
          <w:color w:val="auto"/>
        </w:rPr>
      </w:pPr>
    </w:p>
    <w:p>
      <w:pPr>
        <w:ind w:right="320" w:firstLine="215"/>
        <w:spacing w:after="0" w:line="259" w:lineRule="auto"/>
        <w:rPr>
          <w:sz w:val="20"/>
          <w:szCs w:val="20"/>
          <w:color w:val="auto"/>
        </w:rPr>
      </w:pPr>
      <w:r>
        <w:rPr>
          <w:rFonts w:ascii="Arial" w:cs="Arial" w:eastAsia="Arial" w:hAnsi="Arial"/>
          <w:sz w:val="18"/>
          <w:szCs w:val="18"/>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United cautions that the foregoing list of factors is not exclusive and not to place undue reliance on forward-looking statements. United does not intend to update any forward-looking statement, whether written or oral, relating to the matters discussed in this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following discussion is intended to provide insight into the financial condition and results of operations of United and its subsidiaries and should be read in conjunction with the consolidated financial statements and accompanying notes.</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United is a bank holding company registered with the Federal Reserve under the Bank Holding Company Act of 1956 that was incorporated under the laws of the state of Georgia in 1987 and commenced operations in 1988. At March 31, 2007, United had total consolidated assets of $7.2 billion, total loans of $5.4 billion, total deposits of $5.8 billion and stockholders’ equity of $638.5 million.</w:t>
      </w:r>
    </w:p>
    <w:p>
      <w:pPr>
        <w:spacing w:after="0" w:line="73" w:lineRule="exact"/>
        <w:rPr>
          <w:sz w:val="20"/>
          <w:szCs w:val="20"/>
          <w:color w:val="auto"/>
        </w:rPr>
      </w:pPr>
    </w:p>
    <w:p>
      <w:pPr>
        <w:ind w:right="60" w:firstLine="225"/>
        <w:spacing w:after="0" w:line="308" w:lineRule="auto"/>
        <w:rPr>
          <w:sz w:val="20"/>
          <w:szCs w:val="20"/>
          <w:color w:val="auto"/>
        </w:rPr>
      </w:pPr>
      <w:r>
        <w:rPr>
          <w:rFonts w:ascii="Arial" w:cs="Arial" w:eastAsia="Arial" w:hAnsi="Arial"/>
          <w:sz w:val="17"/>
          <w:szCs w:val="17"/>
          <w:color w:val="auto"/>
        </w:rPr>
        <w:t>United’s activities are primarily conducted by its wholly-owned Georgia and North Carolina banking subsidiaries (which are collectively referred to as the “Banks” in this discussion) and Brintech, Inc., a consulting firm providing professional services to the financial services industry.</w:t>
      </w:r>
    </w:p>
    <w:p>
      <w:pPr>
        <w:spacing w:after="0" w:line="38"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Net income was $19.3 million during the first quarter of 2007, an increase of 21% from the $16.0 million earned during the first quarter of 2006. Diluted earnings per common share was $.44 for the first quarter of 2007, compared to $.39 for the first quarter of 2006, an increase of 13%. Return on tangible equity for the first quarter of 2007 was 17.18%, compared to 17.66% for the first quarter of 2006. Return of assets for the first quarter of 2007 was 1.11% as compared to 1.09% for the first quarter of 2006.</w:t>
      </w:r>
    </w:p>
    <w:p>
      <w:pPr>
        <w:sectPr>
          <w:pgSz w:w="11900" w:h="16838" w:orient="portrait"/>
          <w:cols w:equalWidth="0" w:num="1">
            <w:col w:w="11420"/>
          </w:cols>
          <w:pgMar w:left="240" w:top="419"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5"/>
        <w:spacing w:after="0" w:line="312" w:lineRule="auto"/>
        <w:rPr>
          <w:sz w:val="20"/>
          <w:szCs w:val="20"/>
          <w:color w:val="auto"/>
        </w:rPr>
      </w:pPr>
      <w:r>
        <w:rPr>
          <w:rFonts w:ascii="Arial" w:cs="Arial" w:eastAsia="Arial" w:hAnsi="Arial"/>
          <w:sz w:val="16"/>
          <w:szCs w:val="16"/>
          <w:color w:val="auto"/>
        </w:rPr>
        <w:t>Earnings were driven by strong loan growth over the last nine months of 2006. During the first quarter of 2007, United saw a slow down in loan growth, particularly construction loans for acquisition and development projects. Developers have seen some buildup of lot inventory, and therefore, demand has slowed in this area. Deposit growth was strong during the quarter, as United continued to fund loan growth and pay down wholesale borrowings.</w:t>
      </w:r>
    </w:p>
    <w:p>
      <w:pPr>
        <w:spacing w:after="0" w:line="39"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Credit quality remains strong for the quarter with net charge offs as a percentage of average loans and nonperforming assets as a percentage of total assets remaining at the low end of United’s historical ranges.</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Fee revenue rose a strong 22% reflecting increases in every category compared to the first quarter of 2006. Operating expenses were up 17% from the first quarter of 2006, and two de novo offices were opened during the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The accounting and reporting policies of United Community Banks and its subsidiaries are in accordance with accounting principles generally accepted in the United States and conform to general practices within the banking industry. The more critical accounting and reporting policies include United’s accounting for the allowance for loan losses. In particular, United’s accounting policies relating to the allowance for loan losses involve the use of estimates and require significant judgment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 Financial Highlights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center"/>
              <w:ind w:right="31"/>
              <w:spacing w:after="0"/>
              <w:rPr>
                <w:sz w:val="20"/>
                <w:szCs w:val="20"/>
                <w:color w:val="auto"/>
              </w:rPr>
            </w:pPr>
            <w:r>
              <w:rPr>
                <w:rFonts w:ascii="Arial" w:cs="Arial" w:eastAsia="Arial" w:hAnsi="Arial"/>
                <w:sz w:val="14"/>
                <w:szCs w:val="14"/>
                <w:b w:val="1"/>
                <w:bCs w:val="1"/>
                <w:color w:val="auto"/>
                <w:w w:val="96"/>
              </w:rPr>
              <w:t>2007</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First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19"/>
        </w:trPr>
        <w:tc>
          <w:tcPr>
            <w:tcW w:w="3540" w:type="dxa"/>
            <w:vAlign w:val="bottom"/>
            <w:gridSpan w:val="2"/>
          </w:tcPr>
          <w:p>
            <w:pPr>
              <w:spacing w:after="0" w:line="119" w:lineRule="exact"/>
              <w:rPr>
                <w:sz w:val="20"/>
                <w:szCs w:val="20"/>
                <w:color w:val="auto"/>
              </w:rPr>
            </w:pPr>
            <w:r>
              <w:rPr>
                <w:rFonts w:ascii="Arial" w:cs="Arial" w:eastAsia="Arial" w:hAnsi="Arial"/>
                <w:sz w:val="13"/>
                <w:szCs w:val="13"/>
                <w:i w:val="1"/>
                <w:iCs w:val="1"/>
                <w:color w:val="auto"/>
              </w:rPr>
              <w:t>(in thousands, except per share</w:t>
            </w:r>
          </w:p>
        </w:tc>
        <w:tc>
          <w:tcPr>
            <w:tcW w:w="100" w:type="dxa"/>
            <w:vAlign w:val="bottom"/>
          </w:tcPr>
          <w:p>
            <w:pPr>
              <w:spacing w:after="0"/>
              <w:rPr>
                <w:sz w:val="10"/>
                <w:szCs w:val="10"/>
                <w:color w:val="auto"/>
              </w:rPr>
            </w:pPr>
          </w:p>
        </w:tc>
        <w:tc>
          <w:tcPr>
            <w:tcW w:w="740" w:type="dxa"/>
            <w:vAlign w:val="bottom"/>
          </w:tcPr>
          <w:p>
            <w:pPr>
              <w:jc w:val="center"/>
              <w:ind w:right="31"/>
              <w:spacing w:after="0" w:line="119" w:lineRule="exact"/>
              <w:rPr>
                <w:sz w:val="20"/>
                <w:szCs w:val="20"/>
                <w:color w:val="auto"/>
              </w:rPr>
            </w:pPr>
            <w:r>
              <w:rPr>
                <w:rFonts w:ascii="Arial" w:cs="Arial" w:eastAsia="Arial" w:hAnsi="Arial"/>
                <w:sz w:val="13"/>
                <w:szCs w:val="13"/>
                <w:b w:val="1"/>
                <w:bCs w:val="1"/>
                <w:color w:val="auto"/>
              </w:rPr>
              <w:t>First</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right"/>
              <w:ind w:right="760"/>
              <w:spacing w:after="0" w:line="119" w:lineRule="exact"/>
              <w:rPr>
                <w:sz w:val="20"/>
                <w:szCs w:val="20"/>
                <w:color w:val="auto"/>
              </w:rPr>
            </w:pPr>
            <w:r>
              <w:rPr>
                <w:rFonts w:ascii="Arial" w:cs="Arial" w:eastAsia="Arial" w:hAnsi="Arial"/>
                <w:sz w:val="13"/>
                <w:szCs w:val="13"/>
                <w:b w:val="1"/>
                <w:bCs w:val="1"/>
                <w:color w:val="auto"/>
              </w:rPr>
              <w:t>Fourth</w:t>
            </w:r>
          </w:p>
        </w:tc>
        <w:tc>
          <w:tcPr>
            <w:tcW w:w="100" w:type="dxa"/>
            <w:vAlign w:val="bottom"/>
          </w:tcPr>
          <w:p>
            <w:pPr>
              <w:spacing w:after="0"/>
              <w:rPr>
                <w:sz w:val="10"/>
                <w:szCs w:val="10"/>
                <w:color w:val="auto"/>
              </w:rPr>
            </w:pPr>
          </w:p>
        </w:tc>
        <w:tc>
          <w:tcPr>
            <w:tcW w:w="1300" w:type="dxa"/>
            <w:vAlign w:val="bottom"/>
            <w:gridSpan w:val="2"/>
          </w:tcPr>
          <w:p>
            <w:pPr>
              <w:jc w:val="right"/>
              <w:ind w:right="800"/>
              <w:spacing w:after="0" w:line="119" w:lineRule="exact"/>
              <w:rPr>
                <w:sz w:val="20"/>
                <w:szCs w:val="20"/>
                <w:color w:val="auto"/>
              </w:rPr>
            </w:pPr>
            <w:r>
              <w:rPr>
                <w:rFonts w:ascii="Arial" w:cs="Arial" w:eastAsia="Arial" w:hAnsi="Arial"/>
                <w:sz w:val="13"/>
                <w:szCs w:val="13"/>
                <w:b w:val="1"/>
                <w:bCs w:val="1"/>
                <w:color w:val="auto"/>
              </w:rPr>
              <w:t>Third</w:t>
            </w:r>
          </w:p>
        </w:tc>
        <w:tc>
          <w:tcPr>
            <w:tcW w:w="120" w:type="dxa"/>
            <w:vAlign w:val="bottom"/>
          </w:tcPr>
          <w:p>
            <w:pPr>
              <w:spacing w:after="0"/>
              <w:rPr>
                <w:sz w:val="10"/>
                <w:szCs w:val="10"/>
                <w:color w:val="auto"/>
              </w:rPr>
            </w:pPr>
          </w:p>
        </w:tc>
        <w:tc>
          <w:tcPr>
            <w:tcW w:w="1300" w:type="dxa"/>
            <w:vAlign w:val="bottom"/>
            <w:gridSpan w:val="2"/>
          </w:tcPr>
          <w:p>
            <w:pPr>
              <w:jc w:val="right"/>
              <w:ind w:right="780"/>
              <w:spacing w:after="0" w:line="119" w:lineRule="exact"/>
              <w:rPr>
                <w:sz w:val="20"/>
                <w:szCs w:val="20"/>
                <w:color w:val="auto"/>
              </w:rPr>
            </w:pPr>
            <w:r>
              <w:rPr>
                <w:rFonts w:ascii="Arial" w:cs="Arial" w:eastAsia="Arial" w:hAnsi="Arial"/>
                <w:sz w:val="13"/>
                <w:szCs w:val="13"/>
                <w:b w:val="1"/>
                <w:bCs w:val="1"/>
                <w:color w:val="auto"/>
              </w:rPr>
              <w:t>Second</w:t>
            </w:r>
          </w:p>
        </w:tc>
        <w:tc>
          <w:tcPr>
            <w:tcW w:w="100" w:type="dxa"/>
            <w:vAlign w:val="bottom"/>
          </w:tcPr>
          <w:p>
            <w:pPr>
              <w:spacing w:after="0"/>
              <w:rPr>
                <w:sz w:val="10"/>
                <w:szCs w:val="10"/>
                <w:color w:val="auto"/>
              </w:rPr>
            </w:pPr>
          </w:p>
        </w:tc>
        <w:tc>
          <w:tcPr>
            <w:tcW w:w="740" w:type="dxa"/>
            <w:vAlign w:val="bottom"/>
          </w:tcPr>
          <w:p>
            <w:pPr>
              <w:jc w:val="right"/>
              <w:ind w:right="171"/>
              <w:spacing w:after="0" w:line="119" w:lineRule="exact"/>
              <w:rPr>
                <w:sz w:val="20"/>
                <w:szCs w:val="20"/>
                <w:color w:val="auto"/>
              </w:rPr>
            </w:pPr>
            <w:r>
              <w:rPr>
                <w:rFonts w:ascii="Arial" w:cs="Arial" w:eastAsia="Arial" w:hAnsi="Arial"/>
                <w:sz w:val="13"/>
                <w:szCs w:val="13"/>
                <w:b w:val="1"/>
                <w:bCs w:val="1"/>
                <w:color w:val="auto"/>
              </w:rPr>
              <w:t>First</w:t>
            </w:r>
          </w:p>
        </w:tc>
        <w:tc>
          <w:tcPr>
            <w:tcW w:w="38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2007-2006</w:t>
            </w:r>
          </w:p>
        </w:tc>
        <w:tc>
          <w:tcPr>
            <w:tcW w:w="0" w:type="dxa"/>
            <w:vAlign w:val="bottom"/>
          </w:tcPr>
          <w:p>
            <w:pPr>
              <w:spacing w:after="0"/>
              <w:rPr>
                <w:sz w:val="1"/>
                <w:szCs w:val="1"/>
                <w:color w:val="auto"/>
              </w:rPr>
            </w:pPr>
          </w:p>
        </w:tc>
      </w:tr>
      <w:tr>
        <w:trPr>
          <w:trHeight w:val="178"/>
        </w:trPr>
        <w:tc>
          <w:tcPr>
            <w:tcW w:w="3540" w:type="dxa"/>
            <w:vAlign w:val="bottom"/>
            <w:gridSpan w:val="2"/>
          </w:tcPr>
          <w:p>
            <w:pPr>
              <w:spacing w:after="0"/>
              <w:rPr>
                <w:sz w:val="20"/>
                <w:szCs w:val="20"/>
                <w:color w:val="auto"/>
              </w:rPr>
            </w:pPr>
            <w:r>
              <w:rPr>
                <w:rFonts w:ascii="Arial" w:cs="Arial" w:eastAsia="Arial" w:hAnsi="Arial"/>
                <w:sz w:val="14"/>
                <w:szCs w:val="14"/>
                <w:i w:val="1"/>
                <w:iCs w:val="1"/>
                <w:color w:val="auto"/>
              </w:rPr>
              <w:t>data; taxable equivalent)</w:t>
            </w:r>
          </w:p>
        </w:tc>
        <w:tc>
          <w:tcPr>
            <w:tcW w:w="100" w:type="dxa"/>
            <w:vAlign w:val="bottom"/>
          </w:tcPr>
          <w:p>
            <w:pPr>
              <w:spacing w:after="0"/>
              <w:rPr>
                <w:sz w:val="15"/>
                <w:szCs w:val="15"/>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5"/>
                <w:szCs w:val="15"/>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5"/>
                <w:szCs w:val="15"/>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5"/>
                <w:szCs w:val="15"/>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Quarter</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INCOME SUMMARY</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Interest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129,028</w:t>
            </w:r>
          </w:p>
        </w:tc>
        <w:tc>
          <w:tcPr>
            <w:tcW w:w="3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123,463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116,304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107,890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99,038</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63,923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60,912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55,431</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49,407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43,065</w:t>
            </w: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ind w:left="600"/>
              <w:spacing w:after="0"/>
              <w:rPr>
                <w:sz w:val="20"/>
                <w:szCs w:val="20"/>
                <w:color w:val="auto"/>
              </w:rPr>
            </w:pPr>
            <w:r>
              <w:rPr>
                <w:rFonts w:ascii="Arial" w:cs="Arial" w:eastAsia="Arial" w:hAnsi="Arial"/>
                <w:sz w:val="18"/>
                <w:szCs w:val="18"/>
                <w:color w:val="auto"/>
              </w:rPr>
              <w:t>Net interest revenue</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65,105</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62,551</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60,873</w:t>
            </w: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58,483</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55,973</w:t>
            </w:r>
          </w:p>
        </w:tc>
        <w:tc>
          <w:tcPr>
            <w:tcW w:w="380" w:type="dxa"/>
            <w:vAlign w:val="bottom"/>
          </w:tcPr>
          <w:p>
            <w:pPr>
              <w:spacing w:after="0"/>
              <w:rPr>
                <w:sz w:val="19"/>
                <w:szCs w:val="19"/>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3,700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3,500</w:t>
            </w: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Fee revenue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14,382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13,215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12,146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11,976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11,758</w:t>
            </w:r>
          </w:p>
        </w:tc>
        <w:tc>
          <w:tcPr>
            <w:tcW w:w="1040" w:type="dxa"/>
            <w:vAlign w:val="bottom"/>
          </w:tcPr>
          <w:p>
            <w:pPr>
              <w:ind w:left="7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66,759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64,231</w:t>
            </w: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44,841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42,521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41,441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39,645</w:t>
            </w: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38,463</w:t>
            </w:r>
          </w:p>
        </w:tc>
        <w:tc>
          <w:tcPr>
            <w:tcW w:w="1040" w:type="dxa"/>
            <w:vAlign w:val="bottom"/>
          </w:tcPr>
          <w:p>
            <w:pPr>
              <w:ind w:left="7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before taxes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25,768</w:t>
            </w: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11,601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11,111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10,465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10,185</w:t>
            </w: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9,729</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19,345</w:t>
            </w:r>
          </w:p>
        </w:tc>
        <w:tc>
          <w:tcPr>
            <w:tcW w:w="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18,434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17,413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16,929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16,039</w:t>
            </w: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PERFORMANCE MEASURES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 common share: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600"/>
              <w:spacing w:after="0"/>
              <w:rPr>
                <w:sz w:val="20"/>
                <w:szCs w:val="20"/>
                <w:color w:val="auto"/>
              </w:rPr>
            </w:pPr>
            <w:r>
              <w:rPr>
                <w:rFonts w:ascii="Arial" w:cs="Arial" w:eastAsia="Arial" w:hAnsi="Arial"/>
                <w:sz w:val="18"/>
                <w:szCs w:val="18"/>
                <w:color w:val="auto"/>
              </w:rPr>
              <w:t>Basic earnings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.43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.40</w:t>
            </w:r>
          </w:p>
        </w:tc>
        <w:tc>
          <w:tcPr>
            <w:tcW w:w="1040" w:type="dxa"/>
            <w:vAlign w:val="bottom"/>
          </w:tcPr>
          <w:p>
            <w:pPr>
              <w:ind w:left="7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Diluted earnings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w:t>
            </w: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600"/>
              <w:spacing w:after="0"/>
              <w:rPr>
                <w:sz w:val="20"/>
                <w:szCs w:val="20"/>
                <w:color w:val="auto"/>
              </w:rPr>
            </w:pPr>
            <w:r>
              <w:rPr>
                <w:rFonts w:ascii="Arial" w:cs="Arial" w:eastAsia="Arial" w:hAnsi="Arial"/>
                <w:sz w:val="18"/>
                <w:szCs w:val="18"/>
                <w:color w:val="auto"/>
              </w:rPr>
              <w:t>Cash dividends declared</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.08</w:t>
            </w:r>
          </w:p>
        </w:tc>
        <w:tc>
          <w:tcPr>
            <w:tcW w:w="1040" w:type="dxa"/>
            <w:vAlign w:val="bottom"/>
          </w:tcPr>
          <w:p>
            <w:pPr>
              <w:ind w:left="7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Book value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13.07</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12.34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12.09</w:t>
            </w: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ind w:left="600"/>
              <w:spacing w:after="0"/>
              <w:rPr>
                <w:sz w:val="20"/>
                <w:szCs w:val="20"/>
                <w:color w:val="auto"/>
              </w:rPr>
            </w:pPr>
            <w:r>
              <w:rPr>
                <w:rFonts w:ascii="Arial" w:cs="Arial" w:eastAsia="Arial" w:hAnsi="Arial"/>
                <w:sz w:val="18"/>
                <w:szCs w:val="18"/>
                <w:color w:val="auto"/>
              </w:rPr>
              <w:t xml:space="preserve">Tangible book value </w:t>
            </w:r>
            <w:r>
              <w:rPr>
                <w:rFonts w:ascii="Arial" w:cs="Arial" w:eastAsia="Arial" w:hAnsi="Arial"/>
                <w:sz w:val="15"/>
                <w:szCs w:val="15"/>
                <w:color w:val="auto"/>
              </w:rPr>
              <w:t>(2)</w:t>
            </w:r>
          </w:p>
        </w:tc>
        <w:tc>
          <w:tcPr>
            <w:tcW w:w="1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11.06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9.25</w:t>
            </w:r>
          </w:p>
        </w:tc>
        <w:tc>
          <w:tcPr>
            <w:tcW w:w="1040" w:type="dxa"/>
            <w:vAlign w:val="bottom"/>
          </w:tcPr>
          <w:p>
            <w:pPr>
              <w:ind w:left="7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Key performance ratios: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600"/>
              <w:spacing w:after="0"/>
              <w:rPr>
                <w:sz w:val="20"/>
                <w:szCs w:val="20"/>
                <w:color w:val="auto"/>
              </w:rPr>
            </w:pPr>
            <w:r>
              <w:rPr>
                <w:rFonts w:ascii="Arial" w:cs="Arial" w:eastAsia="Arial" w:hAnsi="Arial"/>
                <w:sz w:val="18"/>
                <w:szCs w:val="18"/>
                <w:color w:val="auto"/>
              </w:rPr>
              <w:t xml:space="preserve">Return on tangible equity </w:t>
            </w:r>
            <w:r>
              <w:rPr>
                <w:rFonts w:ascii="Arial" w:cs="Arial" w:eastAsia="Arial" w:hAnsi="Arial"/>
                <w:sz w:val="15"/>
                <w:szCs w:val="15"/>
                <w:color w:val="auto"/>
              </w:rPr>
              <w:t>(1)(2)(3)</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17.18%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17.66%</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 xml:space="preserve">Return on equity </w:t>
            </w:r>
            <w:r>
              <w:rPr>
                <w:rFonts w:ascii="Arial" w:cs="Arial" w:eastAsia="Arial" w:hAnsi="Arial"/>
                <w:sz w:val="15"/>
                <w:szCs w:val="15"/>
                <w:color w:val="auto"/>
              </w:rPr>
              <w:t>(1)(3)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13.26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13.22</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13.25</w:t>
            </w: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600"/>
              <w:spacing w:after="0"/>
              <w:rPr>
                <w:sz w:val="20"/>
                <w:szCs w:val="20"/>
                <w:color w:val="auto"/>
              </w:rPr>
            </w:pPr>
            <w:r>
              <w:rPr>
                <w:rFonts w:ascii="Arial" w:cs="Arial" w:eastAsia="Arial" w:hAnsi="Arial"/>
                <w:sz w:val="18"/>
                <w:szCs w:val="18"/>
                <w:color w:val="auto"/>
              </w:rPr>
              <w:t xml:space="preserve">Return on assets </w:t>
            </w:r>
            <w:r>
              <w:rPr>
                <w:rFonts w:ascii="Arial" w:cs="Arial" w:eastAsia="Arial" w:hAnsi="Arial"/>
                <w:sz w:val="15"/>
                <w:szCs w:val="15"/>
                <w:color w:val="auto"/>
              </w:rPr>
              <w:t>(3)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1.09</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15"/>
                <w:szCs w:val="15"/>
                <w:color w:val="auto"/>
              </w:rPr>
              <w:t>(3)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4.06</w:t>
            </w: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600"/>
              <w:spacing w:after="0"/>
              <w:rPr>
                <w:sz w:val="20"/>
                <w:szCs w:val="20"/>
                <w:color w:val="auto"/>
              </w:rPr>
            </w:pPr>
            <w:r>
              <w:rPr>
                <w:rFonts w:ascii="Arial" w:cs="Arial" w:eastAsia="Arial" w:hAnsi="Arial"/>
                <w:sz w:val="18"/>
                <w:szCs w:val="18"/>
                <w:color w:val="auto"/>
              </w:rPr>
              <w:t>Efficiency ratio</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56.56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55.93</w:t>
            </w: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56.46</w:t>
            </w:r>
          </w:p>
        </w:tc>
        <w:tc>
          <w:tcPr>
            <w:tcW w:w="1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56.27</w:t>
            </w: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56.79</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Dividend payout ratio</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17.78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18.60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19.05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20.00</w:t>
            </w: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600"/>
              <w:spacing w:after="0"/>
              <w:rPr>
                <w:sz w:val="20"/>
                <w:szCs w:val="20"/>
                <w:color w:val="auto"/>
              </w:rPr>
            </w:pPr>
            <w:r>
              <w:rPr>
                <w:rFonts w:ascii="Arial" w:cs="Arial" w:eastAsia="Arial" w:hAnsi="Arial"/>
                <w:sz w:val="18"/>
                <w:szCs w:val="18"/>
                <w:color w:val="auto"/>
              </w:rPr>
              <w:t>Equity to assets</w:t>
            </w: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8.04</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 xml:space="preserve">Tangible equity to assets </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6.24</w:t>
            </w: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ASSET QUALITY</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Allowance for loan losses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68,804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66,566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60,901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58,508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55,850</w:t>
            </w: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Non-performing assets</w:t>
            </w: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14,290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13,654</w:t>
            </w: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9,347</w:t>
            </w:r>
          </w:p>
        </w:tc>
        <w:tc>
          <w:tcPr>
            <w:tcW w:w="1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8,805</w:t>
            </w: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8,367</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charge-offs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1,930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1,307</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1,042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1,245</w:t>
            </w: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Allowance for loan losses to loans</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Non-performing assets to total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 xml:space="preserve">Net charge-offs to average loans </w:t>
            </w: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BALANCES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5,402,860</w:t>
            </w:r>
          </w:p>
        </w:tc>
        <w:tc>
          <w:tcPr>
            <w:tcW w:w="3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5,134,721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4,865,886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4,690,196</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4,505,494</w:t>
            </w:r>
          </w:p>
        </w:tc>
        <w:tc>
          <w:tcPr>
            <w:tcW w:w="1040" w:type="dxa"/>
            <w:vAlign w:val="bottom"/>
          </w:tcPr>
          <w:p>
            <w:pPr>
              <w:ind w:left="7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1,153,208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1,059,125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1,029,981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1,039,707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1,038,683</w:t>
            </w: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Earning assets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6,599,035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6,225,943</w:t>
            </w: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5,942,710</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5,758,697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5,574,712</w:t>
            </w:r>
          </w:p>
        </w:tc>
        <w:tc>
          <w:tcPr>
            <w:tcW w:w="1040" w:type="dxa"/>
            <w:vAlign w:val="bottom"/>
          </w:tcPr>
          <w:p>
            <w:pPr>
              <w:ind w:left="7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7,092,710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6,669,950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6,350,205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6,159,152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5,960,801</w:t>
            </w: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5,764,426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5,517,696</w:t>
            </w: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5,085,168</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4,842,389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4,613,810</w:t>
            </w:r>
          </w:p>
        </w:tc>
        <w:tc>
          <w:tcPr>
            <w:tcW w:w="1040" w:type="dxa"/>
            <w:vAlign w:val="bottom"/>
          </w:tcPr>
          <w:p>
            <w:pPr>
              <w:ind w:left="7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624,100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547,419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510,791</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489,821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478,960</w:t>
            </w: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Common shares outstanding:</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41,096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40,223</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40,156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40,088</w:t>
            </w: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6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43,912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42,311</w:t>
            </w: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41,460</w:t>
            </w:r>
          </w:p>
        </w:tc>
        <w:tc>
          <w:tcPr>
            <w:tcW w:w="1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41,328</w:t>
            </w: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41,190</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PERIOD END</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5,402,198</w:t>
            </w:r>
          </w:p>
        </w:tc>
        <w:tc>
          <w:tcPr>
            <w:tcW w:w="3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5,376,538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4,965,365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4,810,277</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4,584,155</w:t>
            </w:r>
          </w:p>
        </w:tc>
        <w:tc>
          <w:tcPr>
            <w:tcW w:w="1040" w:type="dxa"/>
            <w:vAlign w:val="bottom"/>
          </w:tcPr>
          <w:p>
            <w:pPr>
              <w:ind w:left="7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1,150,424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1,107,153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980,273</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974,524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983,846</w:t>
            </w: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Earning assets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6,640,564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6,565,730</w:t>
            </w: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6,012,987</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5,862,614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5,633,381</w:t>
            </w:r>
          </w:p>
        </w:tc>
        <w:tc>
          <w:tcPr>
            <w:tcW w:w="1040" w:type="dxa"/>
            <w:vAlign w:val="bottom"/>
          </w:tcPr>
          <w:p>
            <w:pPr>
              <w:ind w:left="7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7,186,602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7,101,249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6,455,290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6,331,136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6,070,596</w:t>
            </w: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5,841,687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5,772,886</w:t>
            </w: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5,309,219</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4,976,650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4,748,438</w:t>
            </w:r>
          </w:p>
        </w:tc>
        <w:tc>
          <w:tcPr>
            <w:tcW w:w="1040" w:type="dxa"/>
            <w:vAlign w:val="bottom"/>
          </w:tcPr>
          <w:p>
            <w:pPr>
              <w:ind w:left="7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638,456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616,767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526,734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496,297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485,414</w:t>
            </w: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Common shares outstanding</w:t>
            </w:r>
          </w:p>
        </w:tc>
        <w:tc>
          <w:tcPr>
            <w:tcW w:w="1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43,038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42,891</w:t>
            </w:r>
          </w:p>
        </w:tc>
        <w:tc>
          <w:tcPr>
            <w:tcW w:w="10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40,269</w:t>
            </w:r>
          </w:p>
        </w:tc>
        <w:tc>
          <w:tcPr>
            <w:tcW w:w="12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40,179</w:t>
            </w:r>
          </w:p>
        </w:tc>
        <w:tc>
          <w:tcPr>
            <w:tcW w:w="10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40,119</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10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available to common shareholders, which excludes preferred stock dividends, divided by average realized common equity, which excludes accumulated other comprehensive income (loss).</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effect of acquisition related intangibles and associated amortization.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Annualized.</w:t>
      </w:r>
    </w:p>
    <w:p>
      <w:pPr>
        <w:sectPr>
          <w:pgSz w:w="11900" w:h="16838" w:orient="portrait"/>
          <w:cols w:equalWidth="0" w:num="1">
            <w:col w:w="11420"/>
          </w:cols>
          <w:pgMar w:left="240" w:top="419" w:right="239" w:bottom="271"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271"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40" w:firstLine="225"/>
        <w:spacing w:after="0" w:line="312" w:lineRule="auto"/>
        <w:rPr>
          <w:sz w:val="20"/>
          <w:szCs w:val="20"/>
          <w:color w:val="auto"/>
        </w:rPr>
      </w:pPr>
      <w:r>
        <w:rPr>
          <w:rFonts w:ascii="Arial" w:cs="Arial" w:eastAsia="Arial" w:hAnsi="Arial"/>
          <w:sz w:val="16"/>
          <w:szCs w:val="16"/>
          <w:color w:val="auto"/>
        </w:rPr>
        <w:t>Net income was $19.3 million for the first quarter of 2007, an increase of $3.3 million, or 21%, from the same period in 2006. Diluted operating earnings per share was $.44 for the first quarter of 2007, compared with $.39 for the first quarter of 2006, an increase of 13%. Return on tangible equity for the first quarter was 17.18% for 2007, compared with 17.66% for 2006. Return on assets for the first quarter was 1.11% for 2007, compared with 1.09% for 2006.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Revenue (Taxable Equivalent)</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Net interest revenue (the difference between the interest earned on assets and the interest paid on deposits and borrowed funds) is the single largest component of total revenue. United actively manages this revenue source to provide an optimal level of revenue while balancing interest rate, credit and liquidity risks. Net interest revenue for the three months ended March 31, 2007 was $65.1 million, up $9.1 million, or 16% over last year. The increase for the first quarter of 2007 was driven by strong loan growth during 2006. Average loans increased $897.4 million, or 20%, from the first quarter of last year. This loan growth was due to the high loan demand across all markets (particularly during the last nine months of 2006), the generation of loans at de novo offices and the acquisition of Southern National in the fourth quarter of 2006. The quarter-end loan balances increased $818 million compared with March 31, 2006 which resulted in an 18% growth rate. This increase includes $266.5 million from the acquisition of Southern and $8.1 million from the acquisition of two branches in western North Carolina. Excluding acquisitions, core loan growth was 12% reflecting solid growth across all of United’s markets with increases of $215.8 million was in North Georgia, $83.7 million in western North Carolina, $142.6 million in the metro Atlanta market, $49.2 million in east Tennessee, and $52.2 million in the coastal Georgia markets.</w:t>
      </w:r>
    </w:p>
    <w:p>
      <w:pPr>
        <w:spacing w:after="0" w:line="70" w:lineRule="exact"/>
        <w:rPr>
          <w:sz w:val="20"/>
          <w:szCs w:val="20"/>
          <w:color w:val="auto"/>
        </w:rPr>
      </w:pPr>
    </w:p>
    <w:p>
      <w:pPr>
        <w:ind w:right="40" w:firstLine="215"/>
        <w:spacing w:after="0" w:line="259" w:lineRule="auto"/>
        <w:rPr>
          <w:sz w:val="20"/>
          <w:szCs w:val="20"/>
          <w:color w:val="auto"/>
        </w:rPr>
      </w:pPr>
      <w:r>
        <w:rPr>
          <w:rFonts w:ascii="Arial" w:cs="Arial" w:eastAsia="Arial" w:hAnsi="Arial"/>
          <w:sz w:val="18"/>
          <w:szCs w:val="18"/>
          <w:color w:val="auto"/>
        </w:rPr>
        <w:t>Average interest-earning assets for the first quarter of 2007 increased $1.024 billion, or 18%, over the same period in 2006. The increase reflects the strong organic loan growth and the acquisition of Southern National during the fourth quarter of 2006, as well as an increase in the investment securities portfolio. The majority of the increase in interest-earning assets was funded by interest-bearing sources resulting in increases in average interest-bearing liabilities of approximately $956.2 million as compared with March 31, 2006.</w:t>
      </w:r>
    </w:p>
    <w:p>
      <w:pPr>
        <w:spacing w:after="0" w:line="79" w:lineRule="exact"/>
        <w:rPr>
          <w:sz w:val="20"/>
          <w:szCs w:val="20"/>
          <w:color w:val="auto"/>
        </w:rPr>
      </w:pPr>
    </w:p>
    <w:p>
      <w:pPr>
        <w:ind w:right="140" w:firstLine="222"/>
        <w:spacing w:after="0" w:line="302" w:lineRule="auto"/>
        <w:rPr>
          <w:sz w:val="20"/>
          <w:szCs w:val="20"/>
          <w:color w:val="auto"/>
        </w:rPr>
      </w:pPr>
      <w:r>
        <w:rPr>
          <w:rFonts w:ascii="Arial" w:cs="Arial" w:eastAsia="Arial" w:hAnsi="Arial"/>
          <w:sz w:val="16"/>
          <w:szCs w:val="16"/>
          <w:color w:val="auto"/>
        </w:rPr>
        <w:t>The banking industry uses two ratios to measure relative profitability of net interest revenue. The net interest rate spread measures the difference between the average yield on interest-earning assets and the average rate paid on interest-bearing liabilities. The interest rate spread eliminates the impact of non-interest-bearing deposits and gives a direct perspective on the effect of market interest rate movements. The net interest margin is defined as net interest revenue as a percent of average total interest-earning assets and takes into account the positive impact of investing non interest-bearing deposits and capital.</w:t>
      </w:r>
    </w:p>
    <w:p>
      <w:pPr>
        <w:spacing w:after="0" w:line="46"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For the three months ended March 31, 2007 and 2006, the net interest spread was 3.43% and 3.56%, respectively, while the net interest margin was 3.99% and 4.06%, respectively. Since June of 2004, the Federal Reserve has increased the federal funds rate seventeen times for a total of 425 basis points, the last four of these increases occurring in the first six months of 2006. During the last half of 2006 and the first quarter of 2007, deposit pricing has outpaced loan pricing and caused the net interest margin to compress by 7 basis points. For the first quarter of 2007, the rise in the average rate on interest-bearing liabilities has exceeded the rise in the average rate on interest-earning assets by 13 basis points compared with the first quarter of 2006, resulting in the lower net interest spread. This compression of the spread was primarily attributed to anticipated pricing competition for deposits during most of 2006. United was able to remain competitive in deposit pricing and still gather deposits below wholesale borrowing rates during most of 2006 and into 2007.</w:t>
      </w:r>
    </w:p>
    <w:p>
      <w:pPr>
        <w:spacing w:after="0" w:line="59" w:lineRule="exact"/>
        <w:rPr>
          <w:sz w:val="20"/>
          <w:szCs w:val="20"/>
          <w:color w:val="auto"/>
        </w:rPr>
      </w:pPr>
    </w:p>
    <w:p>
      <w:pPr>
        <w:ind w:right="60" w:firstLine="222"/>
        <w:spacing w:after="0" w:line="269" w:lineRule="auto"/>
        <w:rPr>
          <w:sz w:val="20"/>
          <w:szCs w:val="20"/>
          <w:color w:val="auto"/>
        </w:rPr>
      </w:pPr>
      <w:r>
        <w:rPr>
          <w:rFonts w:ascii="Arial" w:cs="Arial" w:eastAsia="Arial" w:hAnsi="Arial"/>
          <w:sz w:val="17"/>
          <w:szCs w:val="17"/>
          <w:color w:val="auto"/>
        </w:rPr>
        <w:t>The increases in the prime and federal funds rates, which effect variable rate assets and liabilities, along with the loan growth mentioned above, were the two primary reasons for the increases in the net interest margin and net interest revenue. Most of the loan growth added over the last year was prime-based, adjusted daily. At March 31, 2007, United had approximately $3.1 billion in loans indexed to the daily Prime Rate published in the Wall Street Journal compared with $2.6 billion a year ago. At March 31, 2007 and 2006, United had receive-fixed swap contracts with a total notional value of $505 million and $339 million, respectively, which were used to reduce United’s exposure to changes in interest rates that were accounted for as cash flow hedges of prime-based loans. United also has three receive-fixed/pay 1-month LIBOR interest rate swap contracts with an aggregate notional amount of $45 million that are being accounted for as fair value hedges of brokered time deposits and fixed rate Federal Home Loan Advances. In addition to the swap contracts, United has purchased interest rate floors having a total notional amount of $500 million for which it paid premiums totaling $13 million that are being accounted for as cash flow hedges of daily repricing, primed-based loans. While the swap contracts hedge our portfolio against the risks of lower interest rates, they will reduce the benefit of interest rate increases in the future. The use of swap contracts is more fully explained in the Interest Rate Sensitivity Management section of this report beginning on page 21.</w:t>
      </w:r>
    </w:p>
    <w:p>
      <w:pPr>
        <w:spacing w:after="0" w:line="75"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average yield on interest-earning assets for the first quarter of 2007 was 7.92%, compared with 7.19% in the first quarter of 2006. Loan yields were up 76 basis points, compared with the first quarter of 2006, due primarily to the growing level of prime-based, adjusted daily loans.</w:t>
      </w:r>
    </w:p>
    <w:p>
      <w:pPr>
        <w:spacing w:after="0" w:line="62" w:lineRule="exact"/>
        <w:rPr>
          <w:sz w:val="20"/>
          <w:szCs w:val="20"/>
          <w:color w:val="auto"/>
        </w:rPr>
      </w:pPr>
    </w:p>
    <w:p>
      <w:pPr>
        <w:ind w:right="260" w:firstLine="222"/>
        <w:spacing w:after="0" w:line="342" w:lineRule="auto"/>
        <w:rPr>
          <w:sz w:val="20"/>
          <w:szCs w:val="20"/>
          <w:color w:val="auto"/>
        </w:rPr>
      </w:pPr>
      <w:r>
        <w:rPr>
          <w:rFonts w:ascii="Arial" w:cs="Arial" w:eastAsia="Arial" w:hAnsi="Arial"/>
          <w:sz w:val="16"/>
          <w:szCs w:val="16"/>
          <w:color w:val="auto"/>
        </w:rPr>
        <w:t>The average cost of interest-bearing liabilities for the first quarter was 4.49%, an increase of 86 basis points from the same period in 2006. The increase reflects the impact of rising rates on United’s floating rate sources of funding and increased deposit pricing in selected products and all markets.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balances of interest-earning assets and interest-bearing liabilities for the three months ended March 31, 2007 and 2006.</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 Average Consolidated Balance Sheets and Net Interest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2007</w:t>
            </w: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2006</w:t>
            </w: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gridSpan w:val="2"/>
          </w:tcPr>
          <w:p>
            <w:pPr>
              <w:jc w:val="right"/>
              <w:ind w:right="800"/>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Interest</w:t>
            </w:r>
          </w:p>
        </w:tc>
        <w:tc>
          <w:tcPr>
            <w:tcW w:w="660" w:type="dxa"/>
            <w:vAlign w:val="bottom"/>
          </w:tcPr>
          <w:p>
            <w:pPr>
              <w:jc w:val="right"/>
              <w:ind w:right="112"/>
              <w:spacing w:after="0" w:line="119" w:lineRule="exact"/>
              <w:rPr>
                <w:sz w:val="20"/>
                <w:szCs w:val="20"/>
                <w:color w:val="auto"/>
              </w:rPr>
            </w:pPr>
            <w:r>
              <w:rPr>
                <w:rFonts w:ascii="Arial" w:cs="Arial" w:eastAsia="Arial" w:hAnsi="Arial"/>
                <w:sz w:val="13"/>
                <w:szCs w:val="13"/>
                <w:b w:val="1"/>
                <w:bCs w:val="1"/>
                <w:color w:val="auto"/>
              </w:rPr>
              <w:t>Avg.</w:t>
            </w: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Average</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Interest</w:t>
            </w:r>
          </w:p>
        </w:tc>
        <w:tc>
          <w:tcPr>
            <w:tcW w:w="660" w:type="dxa"/>
            <w:vAlign w:val="bottom"/>
          </w:tcPr>
          <w:p>
            <w:pPr>
              <w:jc w:val="right"/>
              <w:ind w:right="112"/>
              <w:spacing w:after="0" w:line="119" w:lineRule="exact"/>
              <w:rPr>
                <w:sz w:val="20"/>
                <w:szCs w:val="20"/>
                <w:color w:val="auto"/>
              </w:rPr>
            </w:pPr>
            <w:r>
              <w:rPr>
                <w:rFonts w:ascii="Arial" w:cs="Arial" w:eastAsia="Arial" w:hAnsi="Arial"/>
                <w:sz w:val="13"/>
                <w:szCs w:val="13"/>
                <w:b w:val="1"/>
                <w:bCs w:val="1"/>
                <w:color w:val="auto"/>
              </w:rPr>
              <w:t>Avg.</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32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 taxable equivalent)</w:t>
            </w:r>
          </w:p>
        </w:tc>
        <w:tc>
          <w:tcPr>
            <w:tcW w:w="300" w:type="dxa"/>
            <w:vAlign w:val="bottom"/>
          </w:tcPr>
          <w:p>
            <w:pPr>
              <w:spacing w:after="0"/>
              <w:rPr>
                <w:sz w:val="15"/>
                <w:szCs w:val="15"/>
                <w:color w:val="auto"/>
              </w:rPr>
            </w:pPr>
          </w:p>
        </w:tc>
        <w:tc>
          <w:tcPr>
            <w:tcW w:w="14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Rate</w:t>
            </w:r>
          </w:p>
        </w:tc>
        <w:tc>
          <w:tcPr>
            <w:tcW w:w="260" w:type="dxa"/>
            <w:vAlign w:val="bottom"/>
          </w:tcPr>
          <w:p>
            <w:pPr>
              <w:spacing w:after="0"/>
              <w:rPr>
                <w:sz w:val="15"/>
                <w:szCs w:val="15"/>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Balance</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Interest-earning assets: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15"/>
                <w:szCs w:val="15"/>
                <w:color w:val="auto"/>
              </w:rPr>
              <w:t>(1)(2)</w:t>
            </w:r>
          </w:p>
        </w:tc>
        <w:tc>
          <w:tcPr>
            <w:tcW w:w="17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$ 5,402,860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113,868</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8.55%</w:t>
            </w: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$ 4,505,494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86,495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15"/>
                <w:szCs w:val="15"/>
                <w:color w:val="auto"/>
              </w:rPr>
              <w:t>(3)</w:t>
            </w:r>
          </w:p>
        </w:tc>
        <w:tc>
          <w:tcPr>
            <w:tcW w:w="1780" w:type="dxa"/>
            <w:vAlign w:val="bottom"/>
            <w:gridSpan w:val="3"/>
          </w:tcPr>
          <w:p>
            <w:pPr>
              <w:jc w:val="right"/>
              <w:ind w:right="640"/>
              <w:spacing w:after="0"/>
              <w:rPr>
                <w:sz w:val="20"/>
                <w:szCs w:val="20"/>
                <w:color w:val="auto"/>
              </w:rPr>
            </w:pPr>
            <w:r>
              <w:rPr>
                <w:rFonts w:ascii="Arial" w:cs="Arial" w:eastAsia="Arial" w:hAnsi="Arial"/>
                <w:sz w:val="18"/>
                <w:szCs w:val="18"/>
                <w:color w:val="auto"/>
              </w:rPr>
              <w:t>1,109,847</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13,968</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5.03</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989,683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11,318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15"/>
                <w:szCs w:val="15"/>
                <w:color w:val="auto"/>
              </w:rPr>
              <w:t>(1) (3)</w:t>
            </w:r>
          </w:p>
        </w:tc>
        <w:tc>
          <w:tcPr>
            <w:tcW w:w="17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43,361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735</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6.78</w:t>
            </w: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49,000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846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tcPr>
          <w:p>
            <w:pPr>
              <w:ind w:left="200"/>
              <w:spacing w:after="0" w:line="201" w:lineRule="exact"/>
              <w:rPr>
                <w:sz w:val="20"/>
                <w:szCs w:val="20"/>
                <w:color w:val="auto"/>
              </w:rPr>
            </w:pPr>
            <w:r>
              <w:rPr>
                <w:rFonts w:ascii="Arial" w:cs="Arial" w:eastAsia="Arial" w:hAnsi="Arial"/>
                <w:sz w:val="18"/>
                <w:szCs w:val="18"/>
                <w:color w:val="auto"/>
              </w:rPr>
              <w:t>Federal funds sold and other interest-</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400"/>
              <w:spacing w:after="0"/>
              <w:rPr>
                <w:sz w:val="20"/>
                <w:szCs w:val="20"/>
                <w:color w:val="auto"/>
              </w:rPr>
            </w:pPr>
            <w:r>
              <w:rPr>
                <w:rFonts w:ascii="Arial" w:cs="Arial" w:eastAsia="Arial" w:hAnsi="Arial"/>
                <w:sz w:val="18"/>
                <w:szCs w:val="18"/>
                <w:color w:val="auto"/>
              </w:rPr>
              <w:t>earning assets</w:t>
            </w:r>
          </w:p>
        </w:tc>
        <w:tc>
          <w:tcPr>
            <w:tcW w:w="1780" w:type="dxa"/>
            <w:vAlign w:val="bottom"/>
            <w:gridSpan w:val="3"/>
          </w:tcPr>
          <w:p>
            <w:pPr>
              <w:jc w:val="right"/>
              <w:ind w:right="640"/>
              <w:spacing w:after="0"/>
              <w:rPr>
                <w:sz w:val="20"/>
                <w:szCs w:val="20"/>
                <w:color w:val="auto"/>
              </w:rPr>
            </w:pPr>
            <w:r>
              <w:rPr>
                <w:rFonts w:ascii="Arial" w:cs="Arial" w:eastAsia="Arial" w:hAnsi="Arial"/>
                <w:sz w:val="18"/>
                <w:szCs w:val="18"/>
                <w:color w:val="auto"/>
              </w:rPr>
              <w:t>42,967</w:t>
            </w:r>
          </w:p>
        </w:tc>
        <w:tc>
          <w:tcPr>
            <w:tcW w:w="10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457</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4.25</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30,535</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379</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Total interest-earning assets</w:t>
            </w:r>
          </w:p>
        </w:tc>
        <w:tc>
          <w:tcPr>
            <w:tcW w:w="17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6,599,035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129,028</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7.92</w:t>
            </w: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5,574,712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99,038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23"/>
        </w:trPr>
        <w:tc>
          <w:tcPr>
            <w:tcW w:w="3320" w:type="dxa"/>
            <w:vAlign w:val="bottom"/>
            <w:gridSpan w:val="2"/>
          </w:tcPr>
          <w:p>
            <w:pPr>
              <w:spacing w:after="0"/>
              <w:rPr>
                <w:sz w:val="20"/>
                <w:szCs w:val="20"/>
                <w:color w:val="auto"/>
              </w:rPr>
            </w:pPr>
            <w:r>
              <w:rPr>
                <w:rFonts w:ascii="Arial" w:cs="Arial" w:eastAsia="Arial" w:hAnsi="Arial"/>
                <w:sz w:val="18"/>
                <w:szCs w:val="18"/>
                <w:color w:val="auto"/>
              </w:rPr>
              <w:t>Non-interest-earning assets:</w:t>
            </w:r>
          </w:p>
        </w:tc>
        <w:tc>
          <w:tcPr>
            <w:tcW w:w="3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Allowance for loan losses</w:t>
            </w:r>
          </w:p>
        </w:tc>
        <w:tc>
          <w:tcPr>
            <w:tcW w:w="17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(68,187)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(54,825)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Cash and due from banks</w:t>
            </w:r>
          </w:p>
        </w:tc>
        <w:tc>
          <w:tcPr>
            <w:tcW w:w="1780" w:type="dxa"/>
            <w:vAlign w:val="bottom"/>
            <w:gridSpan w:val="3"/>
          </w:tcPr>
          <w:p>
            <w:pPr>
              <w:jc w:val="right"/>
              <w:ind w:right="640"/>
              <w:spacing w:after="0"/>
              <w:rPr>
                <w:sz w:val="20"/>
                <w:szCs w:val="20"/>
                <w:color w:val="auto"/>
              </w:rPr>
            </w:pPr>
            <w:r>
              <w:rPr>
                <w:rFonts w:ascii="Arial" w:cs="Arial" w:eastAsia="Arial" w:hAnsi="Arial"/>
                <w:sz w:val="18"/>
                <w:szCs w:val="18"/>
                <w:color w:val="auto"/>
              </w:rPr>
              <w:t>120,637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122,486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Premises and equipment</w:t>
            </w:r>
          </w:p>
        </w:tc>
        <w:tc>
          <w:tcPr>
            <w:tcW w:w="17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146,832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115,590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 xml:space="preserve">Other assets </w:t>
            </w:r>
            <w:r>
              <w:rPr>
                <w:rFonts w:ascii="Arial" w:cs="Arial" w:eastAsia="Arial" w:hAnsi="Arial"/>
                <w:sz w:val="15"/>
                <w:szCs w:val="15"/>
                <w:color w:val="auto"/>
              </w:rPr>
              <w:t>(3)</w:t>
            </w:r>
          </w:p>
        </w:tc>
        <w:tc>
          <w:tcPr>
            <w:tcW w:w="30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294,393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202,838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$ 7,092,710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$ 5,960,801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Interest-bearing deposits: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NOW</w:t>
            </w:r>
          </w:p>
        </w:tc>
        <w:tc>
          <w:tcPr>
            <w:tcW w:w="17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$ 1,322,818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10,627</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3.26</w:t>
            </w: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$ 1,082,342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5,987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400"/>
              <w:spacing w:after="0"/>
              <w:rPr>
                <w:sz w:val="20"/>
                <w:szCs w:val="20"/>
                <w:color w:val="auto"/>
              </w:rPr>
            </w:pPr>
            <w:r>
              <w:rPr>
                <w:rFonts w:ascii="Arial" w:cs="Arial" w:eastAsia="Arial" w:hAnsi="Arial"/>
                <w:sz w:val="18"/>
                <w:szCs w:val="18"/>
                <w:color w:val="auto"/>
              </w:rPr>
              <w:t>Money market</w:t>
            </w:r>
          </w:p>
        </w:tc>
        <w:tc>
          <w:tcPr>
            <w:tcW w:w="1780" w:type="dxa"/>
            <w:vAlign w:val="bottom"/>
            <w:gridSpan w:val="3"/>
          </w:tcPr>
          <w:p>
            <w:pPr>
              <w:jc w:val="right"/>
              <w:ind w:right="640"/>
              <w:spacing w:after="0"/>
              <w:rPr>
                <w:sz w:val="20"/>
                <w:szCs w:val="20"/>
                <w:color w:val="auto"/>
              </w:rPr>
            </w:pPr>
            <w:r>
              <w:rPr>
                <w:rFonts w:ascii="Arial" w:cs="Arial" w:eastAsia="Arial" w:hAnsi="Arial"/>
                <w:sz w:val="18"/>
                <w:szCs w:val="18"/>
                <w:color w:val="auto"/>
              </w:rPr>
              <w:t>261,753</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2,540</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3.94</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163,404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1,200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Savings</w:t>
            </w:r>
          </w:p>
        </w:tc>
        <w:tc>
          <w:tcPr>
            <w:tcW w:w="17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175,275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309</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w:t>
            </w: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175,796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400"/>
              <w:spacing w:after="0"/>
              <w:rPr>
                <w:sz w:val="20"/>
                <w:szCs w:val="20"/>
                <w:color w:val="auto"/>
              </w:rPr>
            </w:pPr>
            <w:r>
              <w:rPr>
                <w:rFonts w:ascii="Arial" w:cs="Arial" w:eastAsia="Arial" w:hAnsi="Arial"/>
                <w:sz w:val="18"/>
                <w:szCs w:val="18"/>
                <w:color w:val="auto"/>
              </w:rPr>
              <w:t>Time less than $100,000</w:t>
            </w:r>
          </w:p>
        </w:tc>
        <w:tc>
          <w:tcPr>
            <w:tcW w:w="1780" w:type="dxa"/>
            <w:vAlign w:val="bottom"/>
            <w:gridSpan w:val="3"/>
          </w:tcPr>
          <w:p>
            <w:pPr>
              <w:jc w:val="right"/>
              <w:ind w:right="640"/>
              <w:spacing w:after="0"/>
              <w:rPr>
                <w:sz w:val="20"/>
                <w:szCs w:val="20"/>
                <w:color w:val="auto"/>
              </w:rPr>
            </w:pPr>
            <w:r>
              <w:rPr>
                <w:rFonts w:ascii="Arial" w:cs="Arial" w:eastAsia="Arial" w:hAnsi="Arial"/>
                <w:sz w:val="18"/>
                <w:szCs w:val="18"/>
                <w:color w:val="auto"/>
              </w:rPr>
              <w:t>1,641,507</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19,796</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4.89</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1,270,078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12,035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Time greater than $100,000</w:t>
            </w:r>
          </w:p>
        </w:tc>
        <w:tc>
          <w:tcPr>
            <w:tcW w:w="17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1,385,401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17,916</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5.24</w:t>
            </w: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979,665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10,409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400"/>
              <w:spacing w:after="0"/>
              <w:rPr>
                <w:sz w:val="20"/>
                <w:szCs w:val="20"/>
                <w:color w:val="auto"/>
              </w:rPr>
            </w:pPr>
            <w:r>
              <w:rPr>
                <w:rFonts w:ascii="Arial" w:cs="Arial" w:eastAsia="Arial" w:hAnsi="Arial"/>
                <w:sz w:val="18"/>
                <w:szCs w:val="18"/>
                <w:color w:val="auto"/>
              </w:rPr>
              <w:t>Brokered</w:t>
            </w:r>
          </w:p>
        </w:tc>
        <w:tc>
          <w:tcPr>
            <w:tcW w:w="30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334,753</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3,913</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4.74</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315,090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2,942</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interest-bearing deposits</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5,121,507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55,101</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4.36</w:t>
            </w: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3,986,375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32,801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300" w:type="dxa"/>
            <w:vAlign w:val="bottom"/>
          </w:tcPr>
          <w:p>
            <w:pPr>
              <w:ind w:left="400"/>
              <w:spacing w:after="0"/>
              <w:rPr>
                <w:sz w:val="20"/>
                <w:szCs w:val="20"/>
                <w:color w:val="auto"/>
              </w:rPr>
            </w:pPr>
            <w:r>
              <w:rPr>
                <w:rFonts w:ascii="Arial" w:cs="Arial" w:eastAsia="Arial" w:hAnsi="Arial"/>
                <w:sz w:val="18"/>
                <w:szCs w:val="18"/>
                <w:color w:val="auto"/>
              </w:rPr>
              <w:t>Federal funds purchased and other</w:t>
            </w:r>
          </w:p>
        </w:tc>
        <w:tc>
          <w:tcPr>
            <w:tcW w:w="3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600"/>
              <w:spacing w:after="0"/>
              <w:rPr>
                <w:sz w:val="20"/>
                <w:szCs w:val="20"/>
                <w:color w:val="auto"/>
              </w:rPr>
            </w:pPr>
            <w:r>
              <w:rPr>
                <w:rFonts w:ascii="Arial" w:cs="Arial" w:eastAsia="Arial" w:hAnsi="Arial"/>
                <w:sz w:val="18"/>
                <w:szCs w:val="18"/>
                <w:color w:val="auto"/>
              </w:rPr>
              <w:t>borrowings</w:t>
            </w:r>
          </w:p>
        </w:tc>
        <w:tc>
          <w:tcPr>
            <w:tcW w:w="1780" w:type="dxa"/>
            <w:vAlign w:val="bottom"/>
            <w:gridSpan w:val="3"/>
          </w:tcPr>
          <w:p>
            <w:pPr>
              <w:jc w:val="right"/>
              <w:ind w:right="640"/>
              <w:spacing w:after="0"/>
              <w:rPr>
                <w:sz w:val="20"/>
                <w:szCs w:val="20"/>
                <w:color w:val="auto"/>
              </w:rPr>
            </w:pPr>
            <w:r>
              <w:rPr>
                <w:rFonts w:ascii="Arial" w:cs="Arial" w:eastAsia="Arial" w:hAnsi="Arial"/>
                <w:sz w:val="18"/>
                <w:szCs w:val="18"/>
                <w:color w:val="auto"/>
              </w:rPr>
              <w:t>139,256</w:t>
            </w:r>
          </w:p>
        </w:tc>
        <w:tc>
          <w:tcPr>
            <w:tcW w:w="10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1,817</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5.29</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128,602</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1,482</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Federal Home Loan Bank advances</w:t>
            </w:r>
          </w:p>
        </w:tc>
        <w:tc>
          <w:tcPr>
            <w:tcW w:w="17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395,746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4,801</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4.92</w:t>
            </w: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586,722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6,629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40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113,234</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2,204</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7.89</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111,869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2,153</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borrowed funds</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648,236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8,822</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5.52</w:t>
            </w: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827,193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10,264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600"/>
              <w:spacing w:after="0"/>
              <w:rPr>
                <w:sz w:val="20"/>
                <w:szCs w:val="20"/>
                <w:color w:val="auto"/>
              </w:rPr>
            </w:pPr>
            <w:r>
              <w:rPr>
                <w:rFonts w:ascii="Arial" w:cs="Arial" w:eastAsia="Arial" w:hAnsi="Arial"/>
                <w:sz w:val="18"/>
                <w:szCs w:val="18"/>
                <w:b w:val="1"/>
                <w:bCs w:val="1"/>
                <w:color w:val="auto"/>
              </w:rPr>
              <w:t>Total interest-bearing liabilities</w:t>
            </w:r>
          </w:p>
        </w:tc>
        <w:tc>
          <w:tcPr>
            <w:tcW w:w="30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5,769,743</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63,923</w:t>
            </w:r>
          </w:p>
        </w:tc>
        <w:tc>
          <w:tcPr>
            <w:tcW w:w="64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4.49</w:t>
            </w:r>
          </w:p>
        </w:tc>
        <w:tc>
          <w:tcPr>
            <w:tcW w:w="26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4,813,568</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43,065</w:t>
            </w:r>
          </w:p>
        </w:tc>
        <w:tc>
          <w:tcPr>
            <w:tcW w:w="6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Non-interest-bearing deposits</w:t>
            </w:r>
          </w:p>
        </w:tc>
        <w:tc>
          <w:tcPr>
            <w:tcW w:w="1780" w:type="dxa"/>
            <w:vAlign w:val="bottom"/>
            <w:gridSpan w:val="3"/>
          </w:tcPr>
          <w:p>
            <w:pPr>
              <w:jc w:val="right"/>
              <w:ind w:right="640"/>
              <w:spacing w:after="0"/>
              <w:rPr>
                <w:sz w:val="20"/>
                <w:szCs w:val="20"/>
                <w:color w:val="auto"/>
              </w:rPr>
            </w:pPr>
            <w:r>
              <w:rPr>
                <w:rFonts w:ascii="Arial" w:cs="Arial" w:eastAsia="Arial" w:hAnsi="Arial"/>
                <w:sz w:val="18"/>
                <w:szCs w:val="18"/>
                <w:color w:val="auto"/>
              </w:rPr>
              <w:t>642,919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627,436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7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55,948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40,837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6,468,610</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5,481,841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7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624,100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478,960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00" w:type="dxa"/>
            <w:vAlign w:val="bottom"/>
          </w:tcPr>
          <w:p>
            <w:pPr>
              <w:ind w:left="600"/>
              <w:spacing w:after="0" w:line="205" w:lineRule="exact"/>
              <w:rPr>
                <w:sz w:val="20"/>
                <w:szCs w:val="20"/>
                <w:color w:val="auto"/>
              </w:rPr>
            </w:pPr>
            <w:r>
              <w:rPr>
                <w:rFonts w:ascii="Arial" w:cs="Arial" w:eastAsia="Arial" w:hAnsi="Arial"/>
                <w:sz w:val="18"/>
                <w:szCs w:val="18"/>
                <w:b w:val="1"/>
                <w:bCs w:val="1"/>
                <w:color w:val="auto"/>
              </w:rPr>
              <w:t>Total liabilities and</w:t>
            </w:r>
          </w:p>
        </w:tc>
        <w:tc>
          <w:tcPr>
            <w:tcW w:w="3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tcPr>
          <w:p>
            <w:pPr>
              <w:ind w:left="800"/>
              <w:spacing w:after="0"/>
              <w:rPr>
                <w:sz w:val="20"/>
                <w:szCs w:val="20"/>
                <w:color w:val="auto"/>
              </w:rPr>
            </w:pPr>
            <w:r>
              <w:rPr>
                <w:rFonts w:ascii="Arial" w:cs="Arial" w:eastAsia="Arial" w:hAnsi="Arial"/>
                <w:sz w:val="18"/>
                <w:szCs w:val="18"/>
                <w:b w:val="1"/>
                <w:bCs w:val="1"/>
                <w:color w:val="auto"/>
              </w:rPr>
              <w:t>shareholders’ equity</w:t>
            </w:r>
          </w:p>
        </w:tc>
        <w:tc>
          <w:tcPr>
            <w:tcW w:w="1780" w:type="dxa"/>
            <w:vAlign w:val="bottom"/>
            <w:gridSpan w:val="3"/>
          </w:tcPr>
          <w:p>
            <w:pPr>
              <w:jc w:val="right"/>
              <w:ind w:right="640"/>
              <w:spacing w:after="0"/>
              <w:rPr>
                <w:sz w:val="20"/>
                <w:szCs w:val="20"/>
                <w:color w:val="auto"/>
              </w:rPr>
            </w:pPr>
            <w:r>
              <w:rPr>
                <w:rFonts w:ascii="Arial" w:cs="Arial" w:eastAsia="Arial" w:hAnsi="Arial"/>
                <w:sz w:val="18"/>
                <w:szCs w:val="18"/>
                <w:color w:val="auto"/>
              </w:rPr>
              <w:t>7,092,710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5,960,801</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revenue</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65,105</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55,973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8"/>
                <w:szCs w:val="18"/>
                <w:color w:val="auto"/>
              </w:rPr>
              <w:t>Net interest-rate spread</w:t>
            </w: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3.43%</w:t>
            </w: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line="20" w:lineRule="exact"/>
              <w:rPr>
                <w:sz w:val="1"/>
                <w:szCs w:val="1"/>
                <w:color w:val="auto"/>
              </w:rPr>
            </w:pPr>
          </w:p>
        </w:tc>
      </w:tr>
      <w:tr>
        <w:trPr>
          <w:trHeight w:val="210"/>
        </w:trPr>
        <w:tc>
          <w:tcPr>
            <w:tcW w:w="33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15"/>
                <w:szCs w:val="15"/>
                <w:color w:val="auto"/>
              </w:rPr>
              <w:t>(4)</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the average balance of loans outstanding are loans where the accrual of interest has been discontinued.</w:t>
      </w:r>
    </w:p>
    <w:p>
      <w:pPr>
        <w:spacing w:after="0" w:line="76"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Securities available for sale are shown at amortized cost. Pretax unrealized losses of $10.0 million and $14.2 million in 2007 and 2006, respectively, are included in other assets for purposes of this presentation.</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interest margin is taxable equivalent net-interest revenue divided by average interest-earning assets.</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following table shows the relative impact on net interest revenue for changes in the average outstanding balances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177" w:lineRule="exact"/>
        <w:rPr>
          <w:sz w:val="20"/>
          <w:szCs w:val="20"/>
          <w:color w:val="auto"/>
        </w:rPr>
      </w:pPr>
    </w:p>
    <w:p>
      <w:pPr>
        <w:ind w:right="5080"/>
        <w:spacing w:after="0" w:line="282" w:lineRule="auto"/>
        <w:rPr>
          <w:sz w:val="20"/>
          <w:szCs w:val="20"/>
          <w:color w:val="auto"/>
        </w:rPr>
      </w:pPr>
      <w:r>
        <w:rPr>
          <w:rFonts w:ascii="Arial" w:cs="Arial" w:eastAsia="Arial" w:hAnsi="Arial"/>
          <w:sz w:val="18"/>
          <w:szCs w:val="18"/>
          <w:b w:val="1"/>
          <w:bCs w:val="1"/>
          <w:color w:val="auto"/>
        </w:rPr>
        <w:t xml:space="preserve">Table 3 — Change in Interest Revenue and Expense on a Taxable Equivalent Basis </w:t>
      </w:r>
      <w:r>
        <w:rPr>
          <w:rFonts w:ascii="Arial" w:cs="Arial" w:eastAsia="Arial" w:hAnsi="Arial"/>
          <w:sz w:val="18"/>
          <w:szCs w:val="18"/>
          <w:i w:val="1"/>
          <w:iCs w:val="1"/>
          <w:color w:val="auto"/>
        </w:rPr>
        <w:t>(in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8"/>
          </w:tcPr>
          <w:p>
            <w:pPr>
              <w:jc w:val="center"/>
              <w:ind w:left="352"/>
              <w:spacing w:after="0"/>
              <w:rPr>
                <w:sz w:val="20"/>
                <w:szCs w:val="20"/>
                <w:color w:val="auto"/>
              </w:rPr>
            </w:pPr>
            <w:r>
              <w:rPr>
                <w:rFonts w:ascii="Arial" w:cs="Arial" w:eastAsia="Arial" w:hAnsi="Arial"/>
                <w:sz w:val="14"/>
                <w:szCs w:val="14"/>
                <w:b w:val="1"/>
                <w:bCs w:val="1"/>
                <w:color w:val="auto"/>
                <w:w w:val="95"/>
              </w:rPr>
              <w:t>Three Months Ended March 31, 2007</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Compared to 2006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Due to Changes in</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0"/>
              </w:rPr>
              <w:t>Volume</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600"/>
              <w:spacing w:after="0" w:line="142" w:lineRule="exact"/>
              <w:rPr>
                <w:sz w:val="20"/>
                <w:szCs w:val="20"/>
                <w:color w:val="auto"/>
              </w:rPr>
            </w:pPr>
            <w:r>
              <w:rPr>
                <w:rFonts w:ascii="Arial" w:cs="Arial" w:eastAsia="Arial" w:hAnsi="Arial"/>
                <w:sz w:val="14"/>
                <w:szCs w:val="14"/>
                <w:b w:val="1"/>
                <w:bCs w:val="1"/>
                <w:color w:val="auto"/>
                <w:w w:val="92"/>
              </w:rPr>
              <w:t>Rate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Interest-earning assets:</w:t>
            </w:r>
          </w:p>
        </w:tc>
        <w:tc>
          <w:tcPr>
            <w:tcW w:w="2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Loans</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18,358</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9,015</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27,373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Tax-exempt securities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Federal funds sold and other interest-earning assets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400"/>
              <w:spacing w:after="0"/>
              <w:rPr>
                <w:sz w:val="20"/>
                <w:szCs w:val="20"/>
                <w:color w:val="auto"/>
              </w:rPr>
            </w:pPr>
            <w:r>
              <w:rPr>
                <w:rFonts w:ascii="Arial" w:cs="Arial" w:eastAsia="Arial" w:hAnsi="Arial"/>
                <w:sz w:val="18"/>
                <w:szCs w:val="18"/>
                <w:b w:val="1"/>
                <w:bCs w:val="1"/>
                <w:color w:val="auto"/>
              </w:rPr>
              <w:t>Total interest-earning assets</w:t>
            </w:r>
          </w:p>
        </w:tc>
        <w:tc>
          <w:tcPr>
            <w:tcW w:w="2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19,849</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10,141</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29,990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7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Interest-bearing liabilities: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NOW accounts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1,528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3,112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Savings deposits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4,016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Time deposits greater than $100,000</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4,925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2,582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Brokered deposits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778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Total interest-bearing deposits</w:t>
            </w:r>
          </w:p>
        </w:tc>
        <w:tc>
          <w:tcPr>
            <w:tcW w:w="2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11,535</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10,765</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22,300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&amp; other borrowings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(2,287)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Total borrowed funds</w:t>
            </w:r>
          </w:p>
        </w:tc>
        <w:tc>
          <w:tcPr>
            <w:tcW w:w="2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(1,442)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interest-bearing liabilities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9,403</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11,455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Increase in net interest revenue</w:t>
            </w:r>
          </w:p>
        </w:tc>
        <w:tc>
          <w:tcPr>
            <w:tcW w:w="2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10,446</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(1,314)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vMerge w:val="restart"/>
          </w:tcPr>
          <w:p>
            <w:pPr>
              <w:ind w:left="220"/>
              <w:spacing w:after="0"/>
              <w:rPr>
                <w:sz w:val="20"/>
                <w:szCs w:val="20"/>
                <w:color w:val="auto"/>
              </w:rPr>
            </w:pPr>
            <w:r>
              <w:rPr>
                <w:rFonts w:ascii="Arial" w:cs="Arial" w:eastAsia="Arial" w:hAnsi="Arial"/>
                <w:sz w:val="18"/>
                <w:szCs w:val="18"/>
                <w:b w:val="1"/>
                <w:bCs w:val="1"/>
                <w:i w:val="1"/>
                <w:iCs w:val="1"/>
                <w:color w:val="auto"/>
              </w:rPr>
              <w:t>Provision for Loan Losses</w:t>
            </w: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provision for loan losses was $3.7 million for the first quarter of 2007, compared with $3.5 million for the same period in 2006. Net loan charge-offs as an annualized percentage of average outstanding loans for the three months ended March 31, 2007 was .11%, as compared with .11% for the first quarter of 2006. Net loan charge-offs continued at low levels; however, management expects net charge-offs to move higher within the Company’s historical six-year range of .11% to .25%.</w:t>
      </w:r>
    </w:p>
    <w:p>
      <w:pPr>
        <w:spacing w:after="0" w:line="79" w:lineRule="exact"/>
        <w:rPr>
          <w:sz w:val="20"/>
          <w:szCs w:val="20"/>
          <w:color w:val="auto"/>
        </w:rPr>
      </w:pPr>
    </w:p>
    <w:p>
      <w:pPr>
        <w:ind w:right="40" w:firstLine="222"/>
        <w:spacing w:after="0" w:line="272" w:lineRule="auto"/>
        <w:rPr>
          <w:sz w:val="20"/>
          <w:szCs w:val="20"/>
          <w:color w:val="auto"/>
        </w:rPr>
      </w:pPr>
      <w:r>
        <w:rPr>
          <w:rFonts w:ascii="Arial" w:cs="Arial" w:eastAsia="Arial" w:hAnsi="Arial"/>
          <w:sz w:val="17"/>
          <w:szCs w:val="17"/>
          <w:color w:val="auto"/>
        </w:rPr>
        <w:t>The provision for loan losses is based on management’s evaluation of losses inherent in the loan portfolio and the corresponding analysis of the allowance for loan losses at quarter-end. Although United’s credit quality indicators such as the relative level of nonperforming assets and net charge-offs remain at the low end United’s historical ranges, other factors considered in management’s evaluation of the adequacy of the allowance for loan losses support the higher provision for loan losses. The primary factors affecting the increase in the provision for loan losses from a year ago include an increasing concentration of construction and land development loans, the increasing size of individual credit exposures, the effect of rising interest rates on United’s substantially floating rate loan portfolio and slowing economic conditions in the residential real estate market. Additional discussion on loan quality and the allowance for loan losses is included in the Asset Quality section of this report.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 Revenue</w:t>
      </w:r>
    </w:p>
    <w:p>
      <w:pPr>
        <w:spacing w:after="0" w:line="117" w:lineRule="exact"/>
        <w:rPr>
          <w:sz w:val="20"/>
          <w:szCs w:val="20"/>
          <w:color w:val="auto"/>
        </w:rPr>
      </w:pPr>
    </w:p>
    <w:p>
      <w:pPr>
        <w:jc w:val="both"/>
        <w:ind w:right="220" w:firstLine="225"/>
        <w:spacing w:after="0" w:line="259" w:lineRule="auto"/>
        <w:rPr>
          <w:sz w:val="20"/>
          <w:szCs w:val="20"/>
          <w:color w:val="auto"/>
        </w:rPr>
      </w:pPr>
      <w:r>
        <w:rPr>
          <w:rFonts w:ascii="Arial" w:cs="Arial" w:eastAsia="Arial" w:hAnsi="Arial"/>
          <w:sz w:val="18"/>
          <w:szCs w:val="18"/>
          <w:color w:val="auto"/>
        </w:rPr>
        <w:t>Fee revenue for the first quarter of 2007 totaled $14.4 million, an increase of $2.6 million, or 22% from 2006. Fee revenue accounted for approximately 19% of total revenue for the first quarter of 2007, compared with 18% for the first quarter of 2006, which reflects the strong growth in fee revenue sources. United continues to focus on increasing fee revenue through new products and services. The following table presents the components of fee revenue for the first quarter of 2007 and 2006.</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4 — Fee 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Three Months Ended March 31,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5"/>
              </w:rPr>
              <w:t>March 31,</w:t>
            </w:r>
          </w:p>
        </w:tc>
        <w:tc>
          <w:tcPr>
            <w:tcW w:w="5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Service charges and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6,353</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8"/>
              </w:rPr>
              <w:t>14%</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Mortgage loan and other related fees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2,223</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1,513</w:t>
            </w: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Consulting fees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1,584</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Brokerage fees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944</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850</w:t>
            </w: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Securities gains (losses), net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2,008</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1,461</w:t>
            </w: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14,382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11,758</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Service charges and fees for the first quarter of 2007 increased $900,000, or 14% from 2006. This increase was primarily due to growth in transactions and new accounts resulting from core deposit programs, growth in overdraft products, and the cross-selling of other products and services. ATM and debit card usage fees were $1.7 million for the first quarter of 2007, an increase of 31% from 2006. This increase is the result of a larger customer base added through acquisitions, de novo growth and core deposit programs.</w:t>
      </w:r>
    </w:p>
    <w:p>
      <w:pPr>
        <w:spacing w:after="0" w:line="79"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Mortgage loans and related fees of $2.2 million for the quarter were up $710,000, or 47%, from 2006. Mortgage loan originations of $109 million for the first quarter of 2007 were up $32 million, or 42% from 2006, reflecting a continuation of favorable rate environment during the first quarter of 2007. The increase in the amount of originations was assisted by improved pricing. Substantially all originated residential mortgages were sold into the secondary market, including the right to service these loans.</w:t>
      </w:r>
    </w:p>
    <w:p>
      <w:pPr>
        <w:spacing w:after="0" w:line="79"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Consulting fees of $1.7 million were up $163,000, a 10% increase from the first three months of 2006. The increase was primarily due to growth in advisory services.</w:t>
      </w:r>
    </w:p>
    <w:p>
      <w:pPr>
        <w:spacing w:after="0" w:line="62"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Brokerage fees of $944,000 were up $94,000, or 11%, from the first three months of 2006. This increase was due primarily to an increase in the customer base resulting from acquisitions and de novo expansion and strong market activity.</w:t>
      </w:r>
    </w:p>
    <w:p>
      <w:pPr>
        <w:spacing w:after="0" w:line="62"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Other fee revenue of $2.0 million increased $547,000, or 37% from 2006. This increase is primarily due to $225,000 of recoveries related to overpaid interest on brokered deposits and a $207,000 gain from the sale of a potential office site in Tennessee.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For the three months ended March 31, 2007, total operating expenses were $44.8 million, an increase of 17%, compared with $38.5 million in 2006. The following table presents the components of operating expenses for the three months ended March 31, 2007 and 2006.</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 — Operating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Three Months Ended March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28,317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23,884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3,812</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3,376</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2,932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2,016</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1,888</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Postage, printing and supplies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1,516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Professional fees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1,479</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1,161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503</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3,802</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3,203</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44,841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38,463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Salaries and employee benefits for the first quarter of 2007 totaled $28.3 million, an increase of $4.4 million, or 19%, over the same period in 2006. De novo expansion and acquisitions accounted for approximately 49% of the increase, with the remainder due to higher costs for stock options and insurance and other health-care related expenses, as well as an increase in staff to support business growth. At March 31, 2007, total staff was 1,950, an increase of 215 employees from the first quarter of 2006. Of this increase, 78 staff members, or 36%, were added through de novo expansion and 41 staff members, or 19%, were added through acquisitions.</w:t>
      </w:r>
    </w:p>
    <w:p>
      <w:pPr>
        <w:spacing w:after="0" w:line="80" w:lineRule="exact"/>
        <w:rPr>
          <w:sz w:val="20"/>
          <w:szCs w:val="20"/>
          <w:color w:val="auto"/>
        </w:rPr>
      </w:pPr>
    </w:p>
    <w:p>
      <w:pPr>
        <w:ind w:right="260" w:firstLine="225"/>
        <w:spacing w:after="0" w:line="342" w:lineRule="auto"/>
        <w:rPr>
          <w:sz w:val="20"/>
          <w:szCs w:val="20"/>
          <w:color w:val="auto"/>
        </w:rPr>
      </w:pPr>
      <w:r>
        <w:rPr>
          <w:rFonts w:ascii="Arial" w:cs="Arial" w:eastAsia="Arial" w:hAnsi="Arial"/>
          <w:sz w:val="16"/>
          <w:szCs w:val="16"/>
          <w:color w:val="auto"/>
        </w:rPr>
        <w:t>Communication and equipment expense for the first quarter of 2007 was up $436,000, or 13%, from 2006. This increase is the result of higher software and equipment costs associated with de novo expansion and further investments in technology to support business growth and additional banking offices.</w:t>
      </w:r>
    </w:p>
    <w:p>
      <w:pPr>
        <w:spacing w:after="0" w:line="16"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Occupancy expense for the first quarter of 2007 was up $259,000, or 9%, from 2006. The majority of this increase was the result of higher facilities costs and maintenance expenses resulting from additional banking offices added through de novo expansion.</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Advertising and public relations expense for the first quarter of 2007 was up $128,000, or 7%, from 2006. A portion of the increase relates to additional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costs of sponsorships designed to increase brand awareness, while the remainder of the increase reflects the cost associated with initiatives designed to raise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core deposits and ongoing efforts to generate brand awareness in new markets added by de novo expansion and the recent acquisition of Southern National.</w:t>
      </w:r>
    </w:p>
    <w:p>
      <w:pPr>
        <w:spacing w:after="0" w:line="126"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Postage, printing and supplies expense for the first quarter of 2007 was up $144,000, or 9%, from 2006. The primary increase is from higher cost of postage and courier costs resulting from the growing number of offices, both through acquisitions and de novos.</w:t>
      </w:r>
    </w:p>
    <w:p>
      <w:pPr>
        <w:spacing w:after="0" w:line="62" w:lineRule="exact"/>
        <w:rPr>
          <w:sz w:val="20"/>
          <w:szCs w:val="20"/>
          <w:color w:val="auto"/>
        </w:rPr>
      </w:pPr>
    </w:p>
    <w:p>
      <w:pPr>
        <w:ind w:right="780" w:firstLine="225"/>
        <w:spacing w:after="0" w:line="277" w:lineRule="auto"/>
        <w:rPr>
          <w:sz w:val="20"/>
          <w:szCs w:val="20"/>
          <w:color w:val="auto"/>
        </w:rPr>
      </w:pPr>
      <w:r>
        <w:rPr>
          <w:rFonts w:ascii="Arial" w:cs="Arial" w:eastAsia="Arial" w:hAnsi="Arial"/>
          <w:sz w:val="18"/>
          <w:szCs w:val="18"/>
          <w:color w:val="auto"/>
        </w:rPr>
        <w:t>Professional fees increased $318,000, or 27%, from 2006. Increasing legal costs associated with the loan workouts, along with the higher cost of outsourced services contributed to this increase.</w:t>
      </w:r>
    </w:p>
    <w:p>
      <w:pPr>
        <w:spacing w:after="0" w:line="62"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Other expense increased by $599,000, or 19%, from 2006. The majority of this increase is the result of higher costs of with ATMs and internet banking activities associated with continued business growth within existing markets and de novo expansion.</w:t>
      </w:r>
    </w:p>
    <w:p>
      <w:pPr>
        <w:spacing w:after="0" w:line="62"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The efficiency ratio measures total operating expenses as a percentage of total revenue, excluding the provision for loan losses and net securities gains or losses. United’s efficiency ratio for the first quarter was 56.56% compared with 56.79% for the first quarter of 2006. The decrease is primarily the result of the strong growth in net interest revenue and fee revenue, which was offset in part by higher costs for additional de novo locations. United’s efficiency ratio remained within management’s long-term efficiency goal of 56% — 58%.</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300" w:firstLine="225"/>
        <w:spacing w:after="0" w:line="302" w:lineRule="auto"/>
        <w:rPr>
          <w:sz w:val="20"/>
          <w:szCs w:val="20"/>
          <w:color w:val="auto"/>
        </w:rPr>
      </w:pPr>
      <w:r>
        <w:rPr>
          <w:rFonts w:ascii="Arial" w:cs="Arial" w:eastAsia="Arial" w:hAnsi="Arial"/>
          <w:sz w:val="16"/>
          <w:szCs w:val="16"/>
          <w:color w:val="auto"/>
        </w:rPr>
        <w:t>Income tax expense was $11.1 million for the first quarter, as compared with $9.3 million for the first quarter of 2006, representing a 36.5% and 36.7% effective tax rate, respectively. The effective tax rates were lower than the statutory tax rates primarily due to interest and revenue on certain investment securities and loans that are exempt from income taxes, tax exempt fee revenue and tax credits received on affordable housing investments. Additional information regarding income taxes can be found in Note 14 to the consolidated financial statements filed with United’s 2006 Form 10-K.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121"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Total assets at March 31, 2007 were $7.2 billion, compared with $6.1 billion at March 31, 2006. Average total assets for the first quarter of 2007 were $7.1 billion, up $1.1 billion from average assets in the first quarter of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 summary of the loan portfolio.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6 — Loans Outstanding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5"/>
              </w:rPr>
              <w:t>March 31,</w:t>
            </w:r>
          </w:p>
        </w:tc>
        <w:tc>
          <w:tcPr>
            <w:tcW w:w="26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7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Commercial (commercial and industrial)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315,246</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295,698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251,111</w:t>
            </w: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1,227,075</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1,229,910</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1,088,516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commercial</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1,542,321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1,525,608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1,339,627</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Construction and land development</w:t>
            </w: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2,336,260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2,333,585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1,856,542</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1,353,444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1,337,728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1,226,152</w:t>
            </w: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Installment</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170,173</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179,617</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161,834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loans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5,402,198</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5,376,538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4,584,155</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color w:val="auto"/>
              </w:rPr>
              <w:t>As a percentage of total loans: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(commercial and industrial)</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340" w:type="dxa"/>
            <w:vAlign w:val="bottom"/>
          </w:tcPr>
          <w:p>
            <w:pPr>
              <w:ind w:left="220"/>
              <w:spacing w:after="0"/>
              <w:rPr>
                <w:sz w:val="20"/>
                <w:szCs w:val="20"/>
                <w:color w:val="auto"/>
              </w:rPr>
            </w:pPr>
            <w:r>
              <w:rPr>
                <w:rFonts w:ascii="Arial" w:cs="Arial" w:eastAsia="Arial" w:hAnsi="Arial"/>
                <w:sz w:val="18"/>
                <w:szCs w:val="18"/>
                <w:color w:val="auto"/>
              </w:rPr>
              <w:t>Commercial (secured by real estate)</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commercial</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340" w:type="dxa"/>
            <w:vAlign w:val="bottom"/>
          </w:tcPr>
          <w:p>
            <w:pPr>
              <w:ind w:left="220"/>
              <w:spacing w:after="0"/>
              <w:rPr>
                <w:sz w:val="20"/>
                <w:szCs w:val="20"/>
                <w:color w:val="auto"/>
              </w:rPr>
            </w:pPr>
            <w:r>
              <w:rPr>
                <w:rFonts w:ascii="Arial" w:cs="Arial" w:eastAsia="Arial" w:hAnsi="Arial"/>
                <w:sz w:val="18"/>
                <w:szCs w:val="18"/>
                <w:color w:val="auto"/>
              </w:rPr>
              <w:t>Construction and land development</w:t>
            </w: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 mortgage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7340" w:type="dxa"/>
            <w:vAlign w:val="bottom"/>
          </w:tcPr>
          <w:p>
            <w:pPr>
              <w:ind w:left="220"/>
              <w:spacing w:after="0"/>
              <w:rPr>
                <w:sz w:val="20"/>
                <w:szCs w:val="20"/>
                <w:color w:val="auto"/>
              </w:rPr>
            </w:pPr>
            <w:r>
              <w:rPr>
                <w:rFonts w:ascii="Arial" w:cs="Arial" w:eastAsia="Arial" w:hAnsi="Arial"/>
                <w:sz w:val="18"/>
                <w:szCs w:val="18"/>
                <w:color w:val="auto"/>
              </w:rPr>
              <w:t>Installment</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215"/>
        <w:spacing w:after="0" w:line="276" w:lineRule="auto"/>
        <w:rPr>
          <w:sz w:val="20"/>
          <w:szCs w:val="20"/>
          <w:color w:val="auto"/>
        </w:rPr>
      </w:pPr>
      <w:r>
        <w:rPr>
          <w:rFonts w:ascii="Arial" w:cs="Arial" w:eastAsia="Arial" w:hAnsi="Arial"/>
          <w:sz w:val="17"/>
          <w:szCs w:val="17"/>
          <w:color w:val="auto"/>
        </w:rPr>
        <w:t>At March 31, 2007, total loans were $5.4 billion, an increase of $818.0 million, or 18%, from March 31, 2006. During 2006, United experienced strong loan growth in all markets, with particular strength in construction loans secured by real estate. The growth rate slowed in the first quarter of 2007 due to an oversupply of lot inventory within United’s markets which slowed construction activity for acquisition and development projects. Substantially all loans are to customers located in the immediate market areas of the Community Banks in Georgia, North Carolina, and Tennessee. Approximately $480 million, or 59%, of the increase in loans from the first quarter of 2006 were in construction and land development loans.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117"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 xml:space="preserve">United manages asset quality and controls credit risk through close review and oversight of the loan portfolio as well as adherence to policies designed to promote sound underwriting and loan monitoring practices. United’s credit administration function is responsible for monitoring asset quality, establishing credit policies and procedures and enforcing the consistent application of these policies and procedures at all of the Community Banks. Additional information on the credit administration function is included in Item 1 under the heading </w:t>
      </w:r>
      <w:r>
        <w:rPr>
          <w:rFonts w:ascii="Arial" w:cs="Arial" w:eastAsia="Arial" w:hAnsi="Arial"/>
          <w:sz w:val="18"/>
          <w:szCs w:val="18"/>
          <w:i w:val="1"/>
          <w:iCs w:val="1"/>
          <w:color w:val="auto"/>
        </w:rPr>
        <w:t>Loan Review and Non-performing Assets</w:t>
      </w:r>
      <w:r>
        <w:rPr>
          <w:rFonts w:ascii="Arial" w:cs="Arial" w:eastAsia="Arial" w:hAnsi="Arial"/>
          <w:sz w:val="18"/>
          <w:szCs w:val="18"/>
          <w:color w:val="auto"/>
        </w:rPr>
        <w:t xml:space="preserve"> in United’s Annual Report on Form 10-K.</w:t>
      </w:r>
    </w:p>
    <w:p>
      <w:pPr>
        <w:spacing w:after="0" w:line="80" w:lineRule="exact"/>
        <w:rPr>
          <w:sz w:val="20"/>
          <w:szCs w:val="20"/>
          <w:color w:val="auto"/>
        </w:rPr>
      </w:pPr>
    </w:p>
    <w:p>
      <w:pPr>
        <w:ind w:right="100" w:firstLine="222"/>
        <w:spacing w:after="0" w:line="302" w:lineRule="auto"/>
        <w:rPr>
          <w:sz w:val="20"/>
          <w:szCs w:val="20"/>
          <w:color w:val="auto"/>
        </w:rPr>
      </w:pPr>
      <w:r>
        <w:rPr>
          <w:rFonts w:ascii="Arial" w:cs="Arial" w:eastAsia="Arial" w:hAnsi="Arial"/>
          <w:sz w:val="16"/>
          <w:szCs w:val="16"/>
          <w:color w:val="auto"/>
        </w:rPr>
        <w:t>The provision for loan losses charged to earnings was based upon management’s judgment of the amount necessary to maintain the allowance at a level adequate to absorb probable losses at quarter-end. The amount each period is dependent upon many factors including growth and changes in the composition of the loan portfolio, net charge-offs, delinquencies, management’s assessment of loan portfolio quality, the value of collateral, and other economic factors and trends. The evaluation of these factors is performed quarterly by management through an analysis of the adequacy of the allowance for loan losses.</w:t>
      </w:r>
    </w:p>
    <w:p>
      <w:pPr>
        <w:spacing w:after="0" w:line="46" w:lineRule="exact"/>
        <w:rPr>
          <w:sz w:val="20"/>
          <w:szCs w:val="20"/>
          <w:color w:val="auto"/>
        </w:rPr>
      </w:pPr>
    </w:p>
    <w:p>
      <w:pPr>
        <w:ind w:right="180" w:firstLine="225"/>
        <w:spacing w:after="0" w:line="297" w:lineRule="auto"/>
        <w:rPr>
          <w:sz w:val="20"/>
          <w:szCs w:val="20"/>
          <w:color w:val="auto"/>
        </w:rPr>
      </w:pPr>
      <w:r>
        <w:rPr>
          <w:rFonts w:ascii="Arial" w:cs="Arial" w:eastAsia="Arial" w:hAnsi="Arial"/>
          <w:sz w:val="16"/>
          <w:szCs w:val="16"/>
          <w:color w:val="auto"/>
        </w:rPr>
        <w:t>Reviews of non-performing loans, past due loans and larger credits, designed to identify potential charges to the allowance for loan losses, as well as determine the adequacy of the allowance, are conducted on a regular basis during the quarter. These reviews are performed by the responsible lending officers, as well as a separate loan review department, and consider such factors as the financial strength of borrowers, the value of the applicable collateral, past loan loss experience, anticipated loan losses, growth in the loan portfolio, prevailing economic conditions and other factors. United also uses external loan review to supplement the activities of the loan review department and to ensure the independence of the loan review process.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presents a summary of the changes in the allowance for loan losses for the three-month periods ended March 31, 2007 and 2006.</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7 — Summary of Loan Loss Experience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202"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2007</w:t>
            </w: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66,566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Loans charged-off</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(1,966)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Net charge-offs</w:t>
            </w:r>
          </w:p>
        </w:tc>
        <w:tc>
          <w:tcPr>
            <w:tcW w:w="2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(1,462)</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Balance end of period</w:t>
            </w:r>
          </w:p>
        </w:tc>
        <w:tc>
          <w:tcPr>
            <w:tcW w:w="2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68,804</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55,850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At period end</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w w:val="87"/>
              </w:rPr>
              <w:t>5,402,198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4,584,155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7"/>
              </w:rPr>
              <w:t>5,402,860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4,505,494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As a percentage of average loans (annualized):</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charge-offs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Provision for loan losses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period end loans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Allowance as a percentage of period end non-performing loans</w:t>
            </w: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Management believes that the allowance for loan losses at March 31, 2007 is adequate to absorb losses inherent in the loan portfolio. This assessment involves uncertainty and judgment; therefore, the adequacy of the allowance for loan losses cannot be determined with precision and may be subject to change in future periods. In addition, bank regulatory authorities, as part of their periodic examination of the Banks, may require adjustments to the provision for loan losses in future periods if, in their opinion, the results of their review warrant such additions.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table below summarizes non-performing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8 — Non-Performing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9"/>
              </w:rPr>
              <w:t>March 31,</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March 31,</w:t>
            </w:r>
          </w:p>
        </w:tc>
      </w:tr>
      <w:tr>
        <w:trPr>
          <w:trHeight w:val="171"/>
        </w:trPr>
        <w:tc>
          <w:tcPr>
            <w:tcW w:w="5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12,319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12,458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6,322</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Loans past due 90 days or more and still accruing</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non-performing loans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12,319</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12,458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6,322</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1,971</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1,196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2,045</w:t>
            </w:r>
          </w:p>
        </w:tc>
      </w:tr>
      <w:tr>
        <w:trPr>
          <w:trHeight w:val="27"/>
        </w:trPr>
        <w:tc>
          <w:tcPr>
            <w:tcW w:w="5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non-performing assets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14,290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13,654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8,367</w:t>
            </w:r>
          </w:p>
        </w:tc>
      </w:tr>
      <w:tr>
        <w:trPr>
          <w:trHeight w:val="20"/>
        </w:trPr>
        <w:tc>
          <w:tcPr>
            <w:tcW w:w="5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5740" w:type="dxa"/>
            <w:vAlign w:val="bottom"/>
          </w:tcPr>
          <w:p>
            <w:pPr>
              <w:spacing w:after="0"/>
              <w:rPr>
                <w:sz w:val="20"/>
                <w:szCs w:val="20"/>
                <w:color w:val="auto"/>
              </w:rPr>
            </w:pPr>
            <w:r>
              <w:rPr>
                <w:rFonts w:ascii="Arial" w:cs="Arial" w:eastAsia="Arial" w:hAnsi="Arial"/>
                <w:sz w:val="18"/>
                <w:szCs w:val="18"/>
                <w:color w:val="auto"/>
              </w:rPr>
              <w:t>Non-performing loans as a percentage of total loans</w:t>
            </w: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 as a percentage of total assets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r>
    </w:tbl>
    <w:p>
      <w:pPr>
        <w:spacing w:after="0" w:line="94"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Non-performing loans totaled $12.3 million at March 31, 2007, compared with $12.5 million at December 31, 2006 and $6.3 million at March 31, 2006. The ratio of non-performing loans to total loans increased 9 basis points from March 31, 2006 and remained flat with December 31, 2006. Non-performing assets, which include non-performing loans and foreclosed real estate, totaled $14.3 million at March 31, 2007, compared with $13.7 million at December 31, 2006 and $8.4 million at March 31, 2006.</w:t>
      </w:r>
    </w:p>
    <w:p>
      <w:pPr>
        <w:spacing w:after="0" w:line="79"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placed on non-accrual status, interest previously accrued, but not collected, is reversed against current interest revenue. Depending on management’s evaluation of the borrower and loan collateral, interest revenue on a non-accrual loan may be recognized on a cash basis as payments are received. There were no commitments to lend additional funds to customers whose loans were on non-accrual status at March 31, 2007.</w:t>
      </w:r>
    </w:p>
    <w:p>
      <w:pPr>
        <w:spacing w:after="0" w:line="64" w:lineRule="exact"/>
        <w:rPr>
          <w:sz w:val="20"/>
          <w:szCs w:val="20"/>
          <w:color w:val="auto"/>
        </w:rPr>
      </w:pPr>
    </w:p>
    <w:p>
      <w:pPr>
        <w:ind w:right="160" w:firstLine="215"/>
        <w:spacing w:after="0" w:line="302" w:lineRule="auto"/>
        <w:rPr>
          <w:sz w:val="20"/>
          <w:szCs w:val="20"/>
          <w:color w:val="auto"/>
        </w:rPr>
      </w:pPr>
      <w:r>
        <w:rPr>
          <w:rFonts w:ascii="Arial" w:cs="Arial" w:eastAsia="Arial" w:hAnsi="Arial"/>
          <w:sz w:val="16"/>
          <w:szCs w:val="16"/>
          <w:color w:val="auto"/>
        </w:rPr>
        <w:t>At March 31, 2007 and 2006, there were $2.5 million and $1.4 million, respectively, of loans classified as impaired under the definition outlined in SFAS No. 114. Specific reserves allocated to these impaired loans totaled $490,000 million at March 31, 2007, and $357,000 at March 31, 2006. The average recorded investment in impaired loans for the quarters ended March 31, 2007 and 2006, was $3.3 million and $1.4 million, respectively. Interest revenue recognized on loans while they were impaired for the first three months of 2007 was $18,000 compared with $14,000 for the same period in 2006.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17" w:lineRule="exact"/>
        <w:rPr>
          <w:sz w:val="20"/>
          <w:szCs w:val="20"/>
          <w:color w:val="auto"/>
        </w:rPr>
      </w:pPr>
    </w:p>
    <w:p>
      <w:pPr>
        <w:ind w:right="440" w:firstLine="222"/>
        <w:spacing w:after="0" w:line="259" w:lineRule="auto"/>
        <w:rPr>
          <w:sz w:val="20"/>
          <w:szCs w:val="20"/>
          <w:color w:val="auto"/>
        </w:rPr>
      </w:pPr>
      <w:r>
        <w:rPr>
          <w:rFonts w:ascii="Arial" w:cs="Arial" w:eastAsia="Arial" w:hAnsi="Arial"/>
          <w:sz w:val="18"/>
          <w:szCs w:val="18"/>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w:t>
      </w:r>
    </w:p>
    <w:p>
      <w:pPr>
        <w:spacing w:after="0" w:line="79" w:lineRule="exact"/>
        <w:rPr>
          <w:sz w:val="20"/>
          <w:szCs w:val="20"/>
          <w:color w:val="auto"/>
        </w:rPr>
      </w:pPr>
    </w:p>
    <w:p>
      <w:pPr>
        <w:ind w:firstLine="222"/>
        <w:spacing w:after="0" w:line="312" w:lineRule="auto"/>
        <w:rPr>
          <w:sz w:val="20"/>
          <w:szCs w:val="20"/>
          <w:color w:val="auto"/>
        </w:rPr>
      </w:pPr>
      <w:r>
        <w:rPr>
          <w:rFonts w:ascii="Arial" w:cs="Arial" w:eastAsia="Arial" w:hAnsi="Arial"/>
          <w:sz w:val="16"/>
          <w:szCs w:val="16"/>
          <w:color w:val="auto"/>
        </w:rPr>
        <w:t>Total investment securities available for sale at quarter-end increased $167 million from a year ago. The investment portfolio is used as a supplemental tool to stabilize interest rate sensitivity and increase net interest revenue. The growth in the investment securities portfolio was consistent with growth in the rest of the balance sheet. At March 31, 2007, December 31, 2006 and March 31, 2006, the securities portfolio accounted for approximately 16% of total assets.</w:t>
      </w:r>
    </w:p>
    <w:p>
      <w:pPr>
        <w:spacing w:after="0" w:line="39" w:lineRule="exact"/>
        <w:rPr>
          <w:sz w:val="20"/>
          <w:szCs w:val="20"/>
          <w:color w:val="auto"/>
        </w:rPr>
      </w:pPr>
    </w:p>
    <w:p>
      <w:pPr>
        <w:ind w:right="120" w:firstLine="222"/>
        <w:spacing w:after="0" w:line="291" w:lineRule="auto"/>
        <w:rPr>
          <w:sz w:val="20"/>
          <w:szCs w:val="20"/>
          <w:color w:val="auto"/>
        </w:rPr>
      </w:pPr>
      <w:r>
        <w:rPr>
          <w:rFonts w:ascii="Arial" w:cs="Arial" w:eastAsia="Arial" w:hAnsi="Arial"/>
          <w:sz w:val="16"/>
          <w:szCs w:val="16"/>
          <w:color w:val="auto"/>
        </w:rPr>
        <w:t>The investment securities portfolio primarily consists of U.S. Government agency securities, U.S. Government sponsored agency mortgage-backed securities, non-agency mortgage-backed securities, and municipal securities. Mortgage-backed securities rely on the underlying pools of mortgage loans to provide a cash flow of principal and interest. The actual maturities of these securities will differ from the contractual maturities because loans underlying the securities may prepay. Decreases in interest rates will generally cause an acceleration of prepayment levels. In a declining interest rate environment, United may not be able to reinvest the proceeds from these prepayments in assets that have comparable yields. In a rising rate environment, the opposite occurs. Prepayments tend to slow and the weighted average life extends. This is referred to as extension risk which can lead to lower levels of liquidity due to the delay of timing of cash receipts and can result in the holding of a below market yielding asset for a longer time period.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17" w:lineRule="exact"/>
        <w:rPr>
          <w:sz w:val="20"/>
          <w:szCs w:val="20"/>
          <w:color w:val="auto"/>
        </w:rPr>
      </w:pPr>
    </w:p>
    <w:p>
      <w:pPr>
        <w:ind w:right="200" w:firstLine="222"/>
        <w:spacing w:after="0" w:line="259" w:lineRule="auto"/>
        <w:rPr>
          <w:sz w:val="20"/>
          <w:szCs w:val="20"/>
          <w:color w:val="auto"/>
        </w:rPr>
      </w:pPr>
      <w:r>
        <w:rPr>
          <w:rFonts w:ascii="Arial" w:cs="Arial" w:eastAsia="Arial" w:hAnsi="Arial"/>
          <w:sz w:val="18"/>
          <w:szCs w:val="18"/>
          <w:color w:val="auto"/>
        </w:rPr>
        <w:t>Total deposits at March 31, 2007 were $5.8 billion, an increase of $1.1 billion, or 23%, from March 31, 2006. Total non-interest-bearing demand deposit accounts of $676 million increased $22 million, or 3.4%, and interest-bearing demand and savings accounts of $1.9 billion increased $407 million, or 28%, reflecting the success of United’s initiatives to raise core deposits and the acquisitions of Southern National and two banking offices in western North Carolina.</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time deposits as of March 31, 2007 were $3.0 billion, an increase of $648 million, or 28%, from the first quarter of 2006. Time deposits less than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$100,000 totaled $1.6 billion, compared with $1.3 billion a year ago, an increase of 24%. Time deposits of $100,000 and greater totaled $1.4 billion compared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$1.0 billion at March 31, 2006, an increase of 33%. United utilizes “brokered” time deposits, issued in certificates of less than $100,000, as 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alternative source of cost-effective funding. Brokered time deposits outstanding at March 31, 2007 were $319 million compared with $303 million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March 31, 2006, an increase of 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Funding</w:t>
      </w:r>
    </w:p>
    <w:p>
      <w:pPr>
        <w:spacing w:after="0" w:line="117" w:lineRule="exact"/>
        <w:rPr>
          <w:sz w:val="20"/>
          <w:szCs w:val="20"/>
          <w:color w:val="auto"/>
        </w:rPr>
      </w:pPr>
    </w:p>
    <w:p>
      <w:pPr>
        <w:ind w:right="60" w:firstLine="215"/>
        <w:spacing w:after="0" w:line="257" w:lineRule="auto"/>
        <w:rPr>
          <w:sz w:val="20"/>
          <w:szCs w:val="20"/>
          <w:color w:val="auto"/>
        </w:rPr>
      </w:pPr>
      <w:r>
        <w:rPr>
          <w:rFonts w:ascii="Arial" w:cs="Arial" w:eastAsia="Arial" w:hAnsi="Arial"/>
          <w:sz w:val="18"/>
          <w:szCs w:val="18"/>
          <w:color w:val="auto"/>
        </w:rPr>
        <w:t>At March 31, 2007, both of the Banks were shareholders in a Federal Home Loan Bank (“FHLB”). Through this affiliation, FHLB secured advances totaled $464 million and $511 million at March 31, 2007 and 2006, respectively. United anticipates continued utilization of this short and long-term source of funds. FHLB advances outstanding at March 31, 2007 had both fixed and floating interest rates ranging from 2.85% to 6.59%. Additional information regarding FHLB advances, including scheduled maturities, is provided in Note 10 to the consolidated financial statements included in United’s 2006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121"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absolute level and volatility of interest rates can have a significant impact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79"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Net interest revenue is influenced by changes in the level of interest rates. United manages its exposure to fluctuations in interest rates through policies established by the Asset/Liability Management Committee (“ALCO”). ALCO meets regularly and has responsibility for approving asset/liability management policies, formulating and implementing strategies to improve balance sheet positioning and/or earnings, and reviewing United’s interest rate sensitivity.</w:t>
      </w:r>
    </w:p>
    <w:p>
      <w:pPr>
        <w:spacing w:after="0" w:line="39"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One of the tools management utilizes to estimate the sensitivity of net interest revenue to changes in interest rates is an interest rate simulation model. Such estimates are based upon a number of assumptions for various scenarios, including the level of balance sheet growth, deposit repricing characteristics and the rate of prepayments. The simulation model measures the potential change in net interest revenue over a twelve-month period under various interest rate scenarios. United’s baseline scenario assumes rates remain flat (“flat rate scenario”) over the next twelve months and is the scenario that all others are compared to in order to measure the change in net interest revenue. United runs ramp scenarios that assume gradual increases and decreases of 200 basis points each over the next twelve months. United’s policy for net interest revenue simulation is limited to a change from the flat rate scenario of less than 10% for the up or down 200 basis point ramp scenarios over twelve months. At March 31, 2007, United’s simulation model indicated that a 200 basis point increase in rates over the next twelve months would cause an approximate 1.5% increase in net interest revenue and a 200 basis point decrease in rates over the next twelve months would cause an approximate .30% decrease in net interest revenue.</w:t>
      </w:r>
    </w:p>
    <w:p>
      <w:pPr>
        <w:spacing w:after="0" w:line="59" w:lineRule="exact"/>
        <w:rPr>
          <w:sz w:val="20"/>
          <w:szCs w:val="20"/>
          <w:color w:val="auto"/>
        </w:rPr>
      </w:pPr>
    </w:p>
    <w:p>
      <w:pPr>
        <w:ind w:right="240" w:firstLine="225"/>
        <w:spacing w:after="0" w:line="257" w:lineRule="auto"/>
        <w:rPr>
          <w:sz w:val="20"/>
          <w:szCs w:val="20"/>
          <w:color w:val="auto"/>
        </w:rPr>
      </w:pPr>
      <w:r>
        <w:rPr>
          <w:rFonts w:ascii="Arial" w:cs="Arial" w:eastAsia="Arial" w:hAnsi="Arial"/>
          <w:sz w:val="18"/>
          <w:szCs w:val="18"/>
          <w:color w:val="auto"/>
        </w:rPr>
        <w:t>In order to manage its interest rate sensitivity, United uses off-balance sheet contracts that are considered derivative financial instruments. Derivative financial instruments can be a cost and capital effective means of modifying the repricing characteristics of on-balance sheet assets and liabilities. At March 31, 2007, United was a party to interest rate swap contracts under which it pays a variable rate and receives a fixed rate, and interest rate floor contracts in which United pays a premium to a counterparty who agrees to pay United the difference between a variable rate and a strike rate if the variable rate falls below the strike rate.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the interest rate swap contracts outstanding at March 31, 2007.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9 — Derivative Financial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Notional</w:t>
            </w:r>
          </w:p>
        </w:tc>
        <w:tc>
          <w:tcPr>
            <w:tcW w:w="13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8"/>
              </w:rPr>
              <w:t>Rate</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Type/Maturity</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Received /</w:t>
            </w: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Rate Paid</w:t>
            </w:r>
          </w:p>
        </w:tc>
        <w:tc>
          <w:tcPr>
            <w:tcW w:w="120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(6)</w:t>
            </w:r>
          </w:p>
        </w:tc>
        <w:tc>
          <w:tcPr>
            <w:tcW w:w="0" w:type="dxa"/>
            <w:vAlign w:val="bottom"/>
          </w:tcPr>
          <w:p>
            <w:pPr>
              <w:spacing w:after="0"/>
              <w:rPr>
                <w:sz w:val="1"/>
                <w:szCs w:val="1"/>
                <w:color w:val="auto"/>
              </w:rPr>
            </w:pPr>
          </w:p>
        </w:tc>
      </w:tr>
      <w:tr>
        <w:trPr>
          <w:trHeight w:val="171"/>
        </w:trPr>
        <w:tc>
          <w:tcPr>
            <w:tcW w:w="57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3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5"/>
              </w:rPr>
              <w:t>Floor Rate</w:t>
            </w:r>
          </w:p>
        </w:tc>
        <w:tc>
          <w:tcPr>
            <w:tcW w:w="1100" w:type="dxa"/>
            <w:vAlign w:val="bottom"/>
            <w:gridSpan w:val="2"/>
            <w:vMerge w:val="continue"/>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Fair Value Hedges:</w:t>
            </w: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b w:val="1"/>
                <w:bCs w:val="1"/>
                <w:color w:val="auto"/>
              </w:rPr>
              <w:t>LIBOR Swaps (Brokered CDs)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September 29, 2008 </w:t>
            </w:r>
            <w:r>
              <w:rPr>
                <w:rFonts w:ascii="Arial" w:cs="Arial" w:eastAsia="Arial" w:hAnsi="Arial"/>
                <w:sz w:val="15"/>
                <w:szCs w:val="15"/>
                <w:color w:val="auto"/>
              </w:rPr>
              <w:t>(1)</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10,000</w:t>
            </w:r>
          </w:p>
        </w:tc>
        <w:tc>
          <w:tcPr>
            <w:tcW w:w="1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5.25%</w:t>
            </w: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5.31%</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 xml:space="preserve">November 3, 2008 </w:t>
            </w:r>
            <w:r>
              <w:rPr>
                <w:rFonts w:ascii="Arial" w:cs="Arial" w:eastAsia="Arial" w:hAnsi="Arial"/>
                <w:sz w:val="15"/>
                <w:szCs w:val="15"/>
                <w:color w:val="auto"/>
              </w:rPr>
              <w:t>(2)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60"/>
              <w:spacing w:after="0"/>
              <w:rPr>
                <w:sz w:val="20"/>
                <w:szCs w:val="20"/>
                <w:color w:val="auto"/>
              </w:rPr>
            </w:pPr>
            <w:r>
              <w:rPr>
                <w:rFonts w:ascii="Arial" w:cs="Arial" w:eastAsia="Arial" w:hAnsi="Arial"/>
                <w:sz w:val="18"/>
                <w:szCs w:val="18"/>
                <w:color w:val="auto"/>
              </w:rPr>
              <w:t>10,000</w:t>
            </w:r>
          </w:p>
        </w:tc>
        <w:tc>
          <w:tcPr>
            <w:tcW w:w="1380" w:type="dxa"/>
            <w:vAlign w:val="bottom"/>
            <w:gridSpan w:val="2"/>
          </w:tcPr>
          <w:p>
            <w:pPr>
              <w:ind w:left="360"/>
              <w:spacing w:after="0"/>
              <w:rPr>
                <w:sz w:val="20"/>
                <w:szCs w:val="20"/>
                <w:color w:val="auto"/>
              </w:rPr>
            </w:pPr>
            <w:r>
              <w:rPr>
                <w:rFonts w:ascii="Arial" w:cs="Arial" w:eastAsia="Arial" w:hAnsi="Arial"/>
                <w:sz w:val="18"/>
                <w:szCs w:val="18"/>
                <w:color w:val="auto"/>
              </w:rPr>
              <w:t>5.00</w:t>
            </w: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5.05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Total LIBOR Swaps: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20,000</w:t>
            </w:r>
          </w:p>
        </w:tc>
        <w:tc>
          <w:tcPr>
            <w:tcW w:w="1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5.13</w:t>
            </w: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5.18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680" w:type="dxa"/>
            <w:vAlign w:val="bottom"/>
          </w:tcPr>
          <w:p>
            <w:pPr>
              <w:ind w:left="200"/>
              <w:spacing w:after="0"/>
              <w:rPr>
                <w:sz w:val="20"/>
                <w:szCs w:val="20"/>
                <w:color w:val="auto"/>
              </w:rPr>
            </w:pPr>
            <w:r>
              <w:rPr>
                <w:rFonts w:ascii="Arial" w:cs="Arial" w:eastAsia="Arial" w:hAnsi="Arial"/>
                <w:sz w:val="18"/>
                <w:szCs w:val="18"/>
                <w:b w:val="1"/>
                <w:bCs w:val="1"/>
                <w:color w:val="auto"/>
              </w:rPr>
              <w:t>FHLB Advances Swaps</w:t>
            </w:r>
          </w:p>
        </w:tc>
        <w:tc>
          <w:tcPr>
            <w:tcW w:w="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January 5, 2009 </w:t>
            </w:r>
            <w:r>
              <w:rPr>
                <w:rFonts w:ascii="Arial" w:cs="Arial" w:eastAsia="Arial" w:hAnsi="Arial"/>
                <w:sz w:val="15"/>
                <w:szCs w:val="15"/>
                <w:color w:val="auto"/>
              </w:rPr>
              <w:t>(3)</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25,000</w:t>
            </w:r>
          </w:p>
        </w:tc>
        <w:tc>
          <w:tcPr>
            <w:tcW w:w="1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5.06</w:t>
            </w: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5.21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600"/>
              <w:spacing w:after="0"/>
              <w:rPr>
                <w:sz w:val="20"/>
                <w:szCs w:val="20"/>
                <w:color w:val="auto"/>
              </w:rPr>
            </w:pPr>
            <w:r>
              <w:rPr>
                <w:rFonts w:ascii="Arial" w:cs="Arial" w:eastAsia="Arial" w:hAnsi="Arial"/>
                <w:sz w:val="18"/>
                <w:szCs w:val="18"/>
                <w:color w:val="auto"/>
              </w:rPr>
              <w:t>Total FHLB Advances Swaps:</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79"/>
              </w:rPr>
              <w:t>5.06</w:t>
            </w:r>
          </w:p>
        </w:tc>
        <w:tc>
          <w:tcPr>
            <w:tcW w:w="720" w:type="dxa"/>
            <w:vAlign w:val="bottom"/>
          </w:tcPr>
          <w:p>
            <w:pPr>
              <w:spacing w:after="0"/>
              <w:rPr>
                <w:sz w:val="20"/>
                <w:szCs w:val="20"/>
                <w:color w:val="auto"/>
              </w:rPr>
            </w:pPr>
          </w:p>
        </w:tc>
        <w:tc>
          <w:tcPr>
            <w:tcW w:w="6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79"/>
              </w:rPr>
              <w:t>5.21</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Total Fair Value Hedges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45,000</w:t>
            </w:r>
          </w:p>
        </w:tc>
        <w:tc>
          <w:tcPr>
            <w:tcW w:w="1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5.09</w:t>
            </w: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5.20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439"/>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Cash Flow Hedges:</w:t>
            </w:r>
          </w:p>
        </w:tc>
        <w:tc>
          <w:tcPr>
            <w:tcW w:w="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Prime Swaps (Prime Loans)</w:t>
            </w:r>
            <w:r>
              <w:rPr>
                <w:rFonts w:ascii="Arial" w:cs="Arial" w:eastAsia="Arial" w:hAnsi="Arial"/>
                <w:sz w:val="15"/>
                <w:szCs w:val="15"/>
                <w:b w:val="1"/>
                <w:bCs w:val="1"/>
                <w:color w:val="auto"/>
              </w:rPr>
              <w:t>(4)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November 5, 2007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60"/>
              <w:spacing w:after="0"/>
              <w:rPr>
                <w:sz w:val="20"/>
                <w:szCs w:val="20"/>
                <w:color w:val="auto"/>
              </w:rPr>
            </w:pPr>
            <w:r>
              <w:rPr>
                <w:rFonts w:ascii="Arial" w:cs="Arial" w:eastAsia="Arial" w:hAnsi="Arial"/>
                <w:sz w:val="18"/>
                <w:szCs w:val="18"/>
                <w:color w:val="auto"/>
              </w:rPr>
              <w:t>50,000</w:t>
            </w:r>
          </w:p>
        </w:tc>
        <w:tc>
          <w:tcPr>
            <w:tcW w:w="1380" w:type="dxa"/>
            <w:vAlign w:val="bottom"/>
            <w:gridSpan w:val="2"/>
          </w:tcPr>
          <w:p>
            <w:pPr>
              <w:ind w:left="360"/>
              <w:spacing w:after="0"/>
              <w:rPr>
                <w:sz w:val="20"/>
                <w:szCs w:val="20"/>
                <w:color w:val="auto"/>
              </w:rPr>
            </w:pPr>
            <w:r>
              <w:rPr>
                <w:rFonts w:ascii="Arial" w:cs="Arial" w:eastAsia="Arial" w:hAnsi="Arial"/>
                <w:sz w:val="18"/>
                <w:szCs w:val="18"/>
                <w:color w:val="auto"/>
              </w:rPr>
              <w:t>8.41</w:t>
            </w: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8.25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February 1, 2008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50,000</w:t>
            </w:r>
          </w:p>
        </w:tc>
        <w:tc>
          <w:tcPr>
            <w:tcW w:w="1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8.40</w:t>
            </w: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8.25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April 17, 2008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60"/>
              <w:spacing w:after="0"/>
              <w:rPr>
                <w:sz w:val="20"/>
                <w:szCs w:val="20"/>
                <w:color w:val="auto"/>
              </w:rPr>
            </w:pPr>
            <w:r>
              <w:rPr>
                <w:rFonts w:ascii="Arial" w:cs="Arial" w:eastAsia="Arial" w:hAnsi="Arial"/>
                <w:sz w:val="18"/>
                <w:szCs w:val="18"/>
                <w:color w:val="auto"/>
              </w:rPr>
              <w:t>50,000</w:t>
            </w:r>
          </w:p>
        </w:tc>
        <w:tc>
          <w:tcPr>
            <w:tcW w:w="1380" w:type="dxa"/>
            <w:vAlign w:val="bottom"/>
            <w:gridSpan w:val="2"/>
          </w:tcPr>
          <w:p>
            <w:pPr>
              <w:ind w:left="360"/>
              <w:spacing w:after="0"/>
              <w:rPr>
                <w:sz w:val="20"/>
                <w:szCs w:val="20"/>
                <w:color w:val="auto"/>
              </w:rPr>
            </w:pPr>
            <w:r>
              <w:rPr>
                <w:rFonts w:ascii="Arial" w:cs="Arial" w:eastAsia="Arial" w:hAnsi="Arial"/>
                <w:sz w:val="18"/>
                <w:szCs w:val="18"/>
                <w:color w:val="auto"/>
              </w:rPr>
              <w:t>8.25</w:t>
            </w: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8.25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April 17, 2008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50,000</w:t>
            </w:r>
          </w:p>
        </w:tc>
        <w:tc>
          <w:tcPr>
            <w:tcW w:w="1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8.25</w:t>
            </w: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8.25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May 1, 2008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60"/>
              <w:spacing w:after="0"/>
              <w:rPr>
                <w:sz w:val="20"/>
                <w:szCs w:val="20"/>
                <w:color w:val="auto"/>
              </w:rPr>
            </w:pPr>
            <w:r>
              <w:rPr>
                <w:rFonts w:ascii="Arial" w:cs="Arial" w:eastAsia="Arial" w:hAnsi="Arial"/>
                <w:sz w:val="18"/>
                <w:szCs w:val="18"/>
                <w:color w:val="auto"/>
              </w:rPr>
              <w:t>50,000</w:t>
            </w:r>
          </w:p>
        </w:tc>
        <w:tc>
          <w:tcPr>
            <w:tcW w:w="1380" w:type="dxa"/>
            <w:vAlign w:val="bottom"/>
            <w:gridSpan w:val="2"/>
          </w:tcPr>
          <w:p>
            <w:pPr>
              <w:ind w:left="360"/>
              <w:spacing w:after="0"/>
              <w:rPr>
                <w:sz w:val="20"/>
                <w:szCs w:val="20"/>
                <w:color w:val="auto"/>
              </w:rPr>
            </w:pPr>
            <w:r>
              <w:rPr>
                <w:rFonts w:ascii="Arial" w:cs="Arial" w:eastAsia="Arial" w:hAnsi="Arial"/>
                <w:sz w:val="18"/>
                <w:szCs w:val="18"/>
                <w:color w:val="auto"/>
              </w:rPr>
              <w:t>8.33</w:t>
            </w: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8.25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May 1, 2008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50,000</w:t>
            </w:r>
          </w:p>
        </w:tc>
        <w:tc>
          <w:tcPr>
            <w:tcW w:w="1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8.34</w:t>
            </w: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8.25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August 4, 2008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60"/>
              <w:spacing w:after="0"/>
              <w:rPr>
                <w:sz w:val="20"/>
                <w:szCs w:val="20"/>
                <w:color w:val="auto"/>
              </w:rPr>
            </w:pPr>
            <w:r>
              <w:rPr>
                <w:rFonts w:ascii="Arial" w:cs="Arial" w:eastAsia="Arial" w:hAnsi="Arial"/>
                <w:sz w:val="18"/>
                <w:szCs w:val="18"/>
                <w:color w:val="auto"/>
              </w:rPr>
              <w:t>50,000</w:t>
            </w:r>
          </w:p>
        </w:tc>
        <w:tc>
          <w:tcPr>
            <w:tcW w:w="1380" w:type="dxa"/>
            <w:vAlign w:val="bottom"/>
            <w:gridSpan w:val="2"/>
          </w:tcPr>
          <w:p>
            <w:pPr>
              <w:ind w:left="360"/>
              <w:spacing w:after="0"/>
              <w:rPr>
                <w:sz w:val="20"/>
                <w:szCs w:val="20"/>
                <w:color w:val="auto"/>
              </w:rPr>
            </w:pPr>
            <w:r>
              <w:rPr>
                <w:rFonts w:ascii="Arial" w:cs="Arial" w:eastAsia="Arial" w:hAnsi="Arial"/>
                <w:sz w:val="18"/>
                <w:szCs w:val="18"/>
                <w:color w:val="auto"/>
              </w:rPr>
              <w:t>8.32</w:t>
            </w: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8.25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November 4, 2008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8.32</w:t>
            </w: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8.25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February 1, 2009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60"/>
              <w:spacing w:after="0"/>
              <w:rPr>
                <w:sz w:val="20"/>
                <w:szCs w:val="20"/>
                <w:color w:val="auto"/>
              </w:rPr>
            </w:pPr>
            <w:r>
              <w:rPr>
                <w:rFonts w:ascii="Arial" w:cs="Arial" w:eastAsia="Arial" w:hAnsi="Arial"/>
                <w:sz w:val="18"/>
                <w:szCs w:val="18"/>
                <w:color w:val="auto"/>
              </w:rPr>
              <w:t>25,000</w:t>
            </w:r>
          </w:p>
        </w:tc>
        <w:tc>
          <w:tcPr>
            <w:tcW w:w="1380" w:type="dxa"/>
            <w:vAlign w:val="bottom"/>
            <w:gridSpan w:val="2"/>
          </w:tcPr>
          <w:p>
            <w:pPr>
              <w:ind w:left="360"/>
              <w:spacing w:after="0"/>
              <w:rPr>
                <w:sz w:val="20"/>
                <w:szCs w:val="20"/>
                <w:color w:val="auto"/>
              </w:rPr>
            </w:pPr>
            <w:r>
              <w:rPr>
                <w:rFonts w:ascii="Arial" w:cs="Arial" w:eastAsia="Arial" w:hAnsi="Arial"/>
                <w:sz w:val="18"/>
                <w:szCs w:val="18"/>
                <w:color w:val="auto"/>
              </w:rPr>
              <w:t>8.31</w:t>
            </w: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8.25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May 4, 2009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30,000</w:t>
            </w:r>
          </w:p>
        </w:tc>
        <w:tc>
          <w:tcPr>
            <w:tcW w:w="1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8.29</w:t>
            </w: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8.25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400"/>
              <w:spacing w:after="0"/>
              <w:rPr>
                <w:sz w:val="20"/>
                <w:szCs w:val="20"/>
                <w:color w:val="auto"/>
              </w:rPr>
            </w:pPr>
            <w:r>
              <w:rPr>
                <w:rFonts w:ascii="Arial" w:cs="Arial" w:eastAsia="Arial" w:hAnsi="Arial"/>
                <w:sz w:val="18"/>
                <w:szCs w:val="18"/>
                <w:color w:val="auto"/>
              </w:rPr>
              <w:t>Total Prime Swaps:</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505,000</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79"/>
              </w:rPr>
              <w:t>8.32</w:t>
            </w:r>
          </w:p>
        </w:tc>
        <w:tc>
          <w:tcPr>
            <w:tcW w:w="720" w:type="dxa"/>
            <w:vAlign w:val="bottom"/>
          </w:tcPr>
          <w:p>
            <w:pPr>
              <w:spacing w:after="0"/>
              <w:rPr>
                <w:sz w:val="20"/>
                <w:szCs w:val="20"/>
                <w:color w:val="auto"/>
              </w:rPr>
            </w:pPr>
          </w:p>
        </w:tc>
        <w:tc>
          <w:tcPr>
            <w:tcW w:w="6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79"/>
              </w:rPr>
              <w:t>8.25</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 xml:space="preserve">Prime Floors (Prime Loans) </w:t>
            </w:r>
            <w:r>
              <w:rPr>
                <w:rFonts w:ascii="Arial" w:cs="Arial" w:eastAsia="Arial" w:hAnsi="Arial"/>
                <w:sz w:val="15"/>
                <w:szCs w:val="15"/>
                <w:b w:val="1"/>
                <w:bCs w:val="1"/>
                <w:color w:val="auto"/>
              </w:rPr>
              <w:t>(5)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February 1, 2009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60"/>
              <w:spacing w:after="0"/>
              <w:rPr>
                <w:sz w:val="20"/>
                <w:szCs w:val="20"/>
                <w:color w:val="auto"/>
              </w:rPr>
            </w:pPr>
            <w:r>
              <w:rPr>
                <w:rFonts w:ascii="Arial" w:cs="Arial" w:eastAsia="Arial" w:hAnsi="Arial"/>
                <w:sz w:val="18"/>
                <w:szCs w:val="18"/>
                <w:color w:val="auto"/>
              </w:rPr>
              <w:t>25,000</w:t>
            </w:r>
          </w:p>
        </w:tc>
        <w:tc>
          <w:tcPr>
            <w:tcW w:w="1380" w:type="dxa"/>
            <w:vAlign w:val="bottom"/>
            <w:gridSpan w:val="2"/>
          </w:tcPr>
          <w:p>
            <w:pPr>
              <w:ind w:left="360"/>
              <w:spacing w:after="0"/>
              <w:rPr>
                <w:sz w:val="20"/>
                <w:szCs w:val="20"/>
                <w:color w:val="auto"/>
              </w:rPr>
            </w:pPr>
            <w:r>
              <w:rPr>
                <w:rFonts w:ascii="Arial" w:cs="Arial" w:eastAsia="Arial" w:hAnsi="Arial"/>
                <w:sz w:val="18"/>
                <w:szCs w:val="18"/>
                <w:color w:val="auto"/>
              </w:rPr>
              <w:t>8.75</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May 1, 2009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25,000</w:t>
            </w:r>
          </w:p>
        </w:tc>
        <w:tc>
          <w:tcPr>
            <w:tcW w:w="1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8.75</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August 1, 2009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60"/>
              <w:spacing w:after="0"/>
              <w:rPr>
                <w:sz w:val="20"/>
                <w:szCs w:val="20"/>
                <w:color w:val="auto"/>
              </w:rPr>
            </w:pPr>
            <w:r>
              <w:rPr>
                <w:rFonts w:ascii="Arial" w:cs="Arial" w:eastAsia="Arial" w:hAnsi="Arial"/>
                <w:sz w:val="18"/>
                <w:szCs w:val="18"/>
                <w:color w:val="auto"/>
              </w:rPr>
              <w:t>75,000</w:t>
            </w:r>
          </w:p>
        </w:tc>
        <w:tc>
          <w:tcPr>
            <w:tcW w:w="1380" w:type="dxa"/>
            <w:vAlign w:val="bottom"/>
            <w:gridSpan w:val="2"/>
          </w:tcPr>
          <w:p>
            <w:pPr>
              <w:ind w:left="360"/>
              <w:spacing w:after="0"/>
              <w:rPr>
                <w:sz w:val="20"/>
                <w:szCs w:val="20"/>
                <w:color w:val="auto"/>
              </w:rPr>
            </w:pPr>
            <w:r>
              <w:rPr>
                <w:rFonts w:ascii="Arial" w:cs="Arial" w:eastAsia="Arial" w:hAnsi="Arial"/>
                <w:sz w:val="18"/>
                <w:szCs w:val="18"/>
                <w:color w:val="auto"/>
              </w:rPr>
              <w:t>8.75</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November 1, 2009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75,000</w:t>
            </w:r>
          </w:p>
        </w:tc>
        <w:tc>
          <w:tcPr>
            <w:tcW w:w="1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8.75</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February 4, 2010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640" w:type="dxa"/>
            <w:vAlign w:val="bottom"/>
          </w:tcPr>
          <w:p>
            <w:pPr>
              <w:spacing w:after="0"/>
              <w:rPr>
                <w:sz w:val="18"/>
                <w:szCs w:val="18"/>
                <w:color w:val="auto"/>
              </w:rPr>
            </w:pPr>
          </w:p>
        </w:tc>
        <w:tc>
          <w:tcPr>
            <w:tcW w:w="1380" w:type="dxa"/>
            <w:vAlign w:val="bottom"/>
            <w:gridSpan w:val="2"/>
          </w:tcPr>
          <w:p>
            <w:pPr>
              <w:ind w:left="360"/>
              <w:spacing w:after="0"/>
              <w:rPr>
                <w:sz w:val="20"/>
                <w:szCs w:val="20"/>
                <w:color w:val="auto"/>
              </w:rPr>
            </w:pPr>
            <w:r>
              <w:rPr>
                <w:rFonts w:ascii="Arial" w:cs="Arial" w:eastAsia="Arial" w:hAnsi="Arial"/>
                <w:sz w:val="18"/>
                <w:szCs w:val="18"/>
                <w:color w:val="auto"/>
              </w:rPr>
              <w:t>8.75</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May 4, 2010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8.75</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August 1, 2010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60"/>
              <w:spacing w:after="0"/>
              <w:rPr>
                <w:sz w:val="20"/>
                <w:szCs w:val="20"/>
                <w:color w:val="auto"/>
              </w:rPr>
            </w:pPr>
            <w:r>
              <w:rPr>
                <w:rFonts w:ascii="Arial" w:cs="Arial" w:eastAsia="Arial" w:hAnsi="Arial"/>
                <w:sz w:val="18"/>
                <w:szCs w:val="18"/>
                <w:color w:val="auto"/>
              </w:rPr>
              <w:t>50,000</w:t>
            </w:r>
          </w:p>
        </w:tc>
        <w:tc>
          <w:tcPr>
            <w:tcW w:w="1380" w:type="dxa"/>
            <w:vAlign w:val="bottom"/>
            <w:gridSpan w:val="2"/>
          </w:tcPr>
          <w:p>
            <w:pPr>
              <w:ind w:left="360"/>
              <w:spacing w:after="0"/>
              <w:rPr>
                <w:sz w:val="20"/>
                <w:szCs w:val="20"/>
                <w:color w:val="auto"/>
              </w:rPr>
            </w:pPr>
            <w:r>
              <w:rPr>
                <w:rFonts w:ascii="Arial" w:cs="Arial" w:eastAsia="Arial" w:hAnsi="Arial"/>
                <w:sz w:val="18"/>
                <w:szCs w:val="18"/>
                <w:color w:val="auto"/>
              </w:rPr>
              <w:t>8.75</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August 4, 2010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50,000</w:t>
            </w:r>
          </w:p>
        </w:tc>
        <w:tc>
          <w:tcPr>
            <w:tcW w:w="1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8.75</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400"/>
              <w:spacing w:after="0"/>
              <w:rPr>
                <w:sz w:val="20"/>
                <w:szCs w:val="20"/>
                <w:color w:val="auto"/>
              </w:rPr>
            </w:pPr>
            <w:r>
              <w:rPr>
                <w:rFonts w:ascii="Arial" w:cs="Arial" w:eastAsia="Arial" w:hAnsi="Arial"/>
                <w:sz w:val="18"/>
                <w:szCs w:val="18"/>
                <w:color w:val="auto"/>
              </w:rPr>
              <w:t>Total Prime Floors:</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Cash Flow Hedges:</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1,005,000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680" w:type="dxa"/>
            <w:vAlign w:val="bottom"/>
          </w:tcPr>
          <w:p>
            <w:pPr>
              <w:ind w:left="400"/>
              <w:spacing w:after="0"/>
              <w:rPr>
                <w:sz w:val="20"/>
                <w:szCs w:val="20"/>
                <w:color w:val="auto"/>
              </w:rPr>
            </w:pPr>
            <w:r>
              <w:rPr>
                <w:rFonts w:ascii="Arial" w:cs="Arial" w:eastAsia="Arial" w:hAnsi="Arial"/>
                <w:sz w:val="18"/>
                <w:szCs w:val="18"/>
                <w:b w:val="1"/>
                <w:bCs w:val="1"/>
                <w:color w:val="auto"/>
              </w:rPr>
              <w:t>Total Derivative Contracts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1,050,000</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Rate Paid equals 1-Month LIBOR minus .0075</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Rate Paid equals 1-Month LIBOR minus .2725</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Rate Paid equals 1-Month LIBOR minus .1100</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Rate Paid equals Prime rate as of March 31,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Floor contracts receive cash payments equal to the floor rate less the prime rate (6) Excludes accrued interest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United’s derivative financial instruments are classified as either cash flow or fair value hedges. The change in fair value of cash flow hedges is recognized in other comprehensive income. Fair value hedges recognize currently in earnings both the impact of the change in the fair value of the derivative financial instrument and the offsetting impact of the change in fair value of the hedged asset or liability. At March 31, 2007, United had interest rate swap contracts with a total notional amount of $505 million that were designated as cash flow hedges of prime based loans. United had interest rate floor contracts with a total notional of $500 million that were also designated as cash flow hedges of prime based loans. United also has three receive fixed, pay LIBOR swap contracts with a total notional of $45 million that were accounted for as fair value hedges of brokered deposits and fixed rate FHLB advances.</w:t>
      </w:r>
    </w:p>
    <w:p>
      <w:pPr>
        <w:spacing w:after="0" w:line="57"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United’s policy requires all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unintended impact on the financial condition or results of operations. In order to mitigate potential credit risk, from time to time United may require the counterparties to derivative contracts to pledge securities as collateral to cover the net exposure.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121" w:lineRule="exact"/>
        <w:rPr>
          <w:sz w:val="20"/>
          <w:szCs w:val="20"/>
          <w:color w:val="auto"/>
        </w:rPr>
      </w:pPr>
    </w:p>
    <w:p>
      <w:pPr>
        <w:ind w:right="80" w:firstLine="222"/>
        <w:spacing w:after="0" w:line="276" w:lineRule="auto"/>
        <w:rPr>
          <w:sz w:val="20"/>
          <w:szCs w:val="20"/>
          <w:color w:val="auto"/>
        </w:rPr>
      </w:pPr>
      <w:r>
        <w:rPr>
          <w:rFonts w:ascii="Arial" w:cs="Arial" w:eastAsia="Arial" w:hAnsi="Arial"/>
          <w:sz w:val="17"/>
          <w:szCs w:val="17"/>
          <w:color w:val="auto"/>
        </w:rPr>
        <w:t>The objective of liquidity management is to ensure that sufficient funding is available, at reasonable cost, to meet the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Liquidity is defined as the ability to convert assets into cash or cash equivalents without significant loss and to raise additional funds by increasing liabilities. Liquidity management involves maintaining United’s ability to meet the daily cash flow requirements of the Banks’ customers, both depositors and borrowers.</w:t>
      </w:r>
    </w:p>
    <w:p>
      <w:pPr>
        <w:spacing w:after="0" w:line="64" w:lineRule="exact"/>
        <w:rPr>
          <w:sz w:val="20"/>
          <w:szCs w:val="20"/>
          <w:color w:val="auto"/>
        </w:rPr>
      </w:pPr>
    </w:p>
    <w:p>
      <w:pPr>
        <w:ind w:firstLine="222"/>
        <w:spacing w:after="0" w:line="312" w:lineRule="auto"/>
        <w:rPr>
          <w:sz w:val="20"/>
          <w:szCs w:val="20"/>
          <w:color w:val="auto"/>
        </w:rPr>
      </w:pPr>
      <w:r>
        <w:rPr>
          <w:rFonts w:ascii="Arial" w:cs="Arial" w:eastAsia="Arial" w:hAnsi="Arial"/>
          <w:sz w:val="16"/>
          <w:szCs w:val="16"/>
          <w:color w:val="auto"/>
        </w:rPr>
        <w:t>The primary objectives of asset/liability management are to provide for adequate liquidity in order to meet the needs of customers and to maintain an optimal balance between interest-sensitive assets and interest-sensitive liabilities; so that United can also meet the investment requirements of its shareholders as market interest rates change. Daily monitoring of the sources and uses of funds is necessary to maintain a position that meets both requirements.</w:t>
      </w:r>
    </w:p>
    <w:p>
      <w:pPr>
        <w:spacing w:after="0" w:line="39"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The asset portion of the balance sheet provides liquidity primarily through loan principal repayments and the maturities and sales of securities. Mortgage loans held for sale totaled $31.6 million at March 31, 2007, and typically turn over every 45 days as the closed loans are sold to investors in the secondary market.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liability section of the balance sheet provides liquidity through interest-bearing and noninterest-bearing deposit accounts. Federal funds purchased,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FHLB advances and securities sold under agreements to repurchase are additional sources of liquidity and represent United’s incremental borrowing capacity.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These sources of liquidity are generally short-term in nature and are used as necessary to fund asset growth and meet other short-term liquidity needs.</w:t>
      </w:r>
    </w:p>
    <w:p>
      <w:pPr>
        <w:spacing w:after="0" w:line="114"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United has available a line of credit and a joint credit agreement at its holding company with other financial institutions totaling $75 million. At March 31, 2007, United had no outstanding balances on these credit facilities. United had sufficient qualifying collateral to increase FHLB advances by $432 million at March 31, 2007. United’s internal policy limits brokered deposits to 25% of total non-brokered deposits. At March 31, 2007, United had the capacity to increase brokered deposits by $1.062 billion and still remain within this limit.</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As disclosed in United’s consolidated statement of cash flows, net cash provided by operating activities was $37.6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March 31, 2007. The major contributors in this category were net income of $19.3 million, depreciation, amortization and accretion of $3.4 million, provision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loan losses of $3.7 million, stock based compensation of $729,000, a decrease in mortgage loans held for sale of $3.7 million, an increase in accrued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and other liabilities of $8.3 million, which was partially offset by an increase in other assets of $1.1 million. Net cash used by investing activities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$81.0 million consisted primarily of a net increase in loans totaling $29.6 million, purchases of premises and equipment of $13.5 million, and $120.1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used to purchase investment securities, partially offset by proceeds from sales of securities of $915,000, maturities and calls of investment securities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$78.9 million, and sales of premises, equipment and other real estate of $2.4 million. Net cash provided by financing activities consisted primarily of a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deposits of $68.8 million, a net increase in federal funds purchased, repurchase agreements, and other short-term borrowings of $11.5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was partially offset by a decrease in FHLB advances of $25.0 million, cash dividends paid of $3.4 million and proceeds from exercise of stock options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common stock issued for employee benefit plans of $2.4 million. In the opinion of management, the liquidity position at March 31, 2007 is sufficient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meet its expected cash flow requirements.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121"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color w:val="auto"/>
        </w:rPr>
        <w:t>Shareholders’ equity at March 31, 2007 was $638.5 million, an increase of $153 million, or 32%, from March 31, 2006. Accumulated other comprehensive income (loss) is not included in the calculation of regulatory capital adequacy ratios. Excluding the change in the accumulated other comprehensive income (loss), shareholders’ equity increased $140 million, or 28%, from March 31, 2006. Dividends of $3.9 million, or $.09 per share, were declared on common stock during the first quarter of 2007, an increase of 21% from the amount declared in the same period in 2006 due to a 13% increase in the dividend rate and an increase in the number of outstanding shares. The dividend payout ratio was 20% for the first quarters of 2007 and 2006. Although, United retains a portion of its earnings in order to provide a cost effective source of capital for continued growth and expansion, the company recognizes that cash dividends are an important component of shareholder value, and therefore, provides for cash dividends when earnings and capital levels permit.</w:t>
      </w:r>
    </w:p>
    <w:p>
      <w:pPr>
        <w:spacing w:after="0" w:line="59"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United’s Board of Directors has authorized the repurchase of United’s outstanding common stock for the general corporate purposes. At March 31, 2007, 1,000,000 shares may be repurchased under the current authorization through December 31, 2007.</w:t>
      </w:r>
    </w:p>
    <w:p>
      <w:pPr>
        <w:spacing w:after="0" w:line="62"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2007 and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10 — Stock Price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688"/>
              <w:spacing w:after="0"/>
              <w:rPr>
                <w:sz w:val="20"/>
                <w:szCs w:val="20"/>
                <w:color w:val="auto"/>
              </w:rPr>
            </w:pPr>
            <w:r>
              <w:rPr>
                <w:rFonts w:ascii="Arial" w:cs="Arial" w:eastAsia="Arial" w:hAnsi="Arial"/>
                <w:sz w:val="14"/>
                <w:szCs w:val="14"/>
                <w:b w:val="1"/>
                <w:bCs w:val="1"/>
                <w:color w:val="auto"/>
              </w:rPr>
              <w:t>2007</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808"/>
              <w:spacing w:after="0"/>
              <w:rPr>
                <w:sz w:val="20"/>
                <w:szCs w:val="20"/>
                <w:color w:val="auto"/>
              </w:rPr>
            </w:pPr>
            <w:r>
              <w:rPr>
                <w:rFonts w:ascii="Arial" w:cs="Arial" w:eastAsia="Arial" w:hAnsi="Arial"/>
                <w:sz w:val="14"/>
                <w:szCs w:val="14"/>
                <w:b w:val="1"/>
                <w:bCs w:val="1"/>
                <w:color w:val="auto"/>
                <w:w w:val="96"/>
              </w:rPr>
              <w:t>2006</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40" w:type="dxa"/>
            <w:vAlign w:val="bottom"/>
          </w:tcPr>
          <w:p>
            <w:pPr>
              <w:spacing w:after="0"/>
              <w:rPr>
                <w:sz w:val="10"/>
                <w:szCs w:val="10"/>
                <w:color w:val="auto"/>
              </w:rPr>
            </w:pPr>
          </w:p>
        </w:tc>
        <w:tc>
          <w:tcPr>
            <w:tcW w:w="90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10"/>
                <w:szCs w:val="10"/>
                <w:color w:val="auto"/>
              </w:rPr>
            </w:pPr>
          </w:p>
        </w:tc>
        <w:tc>
          <w:tcPr>
            <w:tcW w:w="9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Low</w:t>
            </w:r>
          </w:p>
        </w:tc>
        <w:tc>
          <w:tcPr>
            <w:tcW w:w="240" w:type="dxa"/>
            <w:vAlign w:val="bottom"/>
          </w:tcPr>
          <w:p>
            <w:pPr>
              <w:spacing w:after="0"/>
              <w:rPr>
                <w:sz w:val="10"/>
                <w:szCs w:val="10"/>
                <w:color w:val="auto"/>
              </w:rPr>
            </w:pPr>
          </w:p>
        </w:tc>
        <w:tc>
          <w:tcPr>
            <w:tcW w:w="9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Close</w:t>
            </w:r>
          </w:p>
        </w:tc>
        <w:tc>
          <w:tcPr>
            <w:tcW w:w="260" w:type="dxa"/>
            <w:vAlign w:val="bottom"/>
          </w:tcPr>
          <w:p>
            <w:pPr>
              <w:spacing w:after="0"/>
              <w:rPr>
                <w:sz w:val="10"/>
                <w:szCs w:val="10"/>
                <w:color w:val="auto"/>
              </w:rPr>
            </w:pPr>
          </w:p>
        </w:tc>
        <w:tc>
          <w:tcPr>
            <w:tcW w:w="1160" w:type="dxa"/>
            <w:vAlign w:val="bottom"/>
          </w:tcPr>
          <w:p>
            <w:pPr>
              <w:ind w:left="280"/>
              <w:spacing w:after="0" w:line="119" w:lineRule="exact"/>
              <w:rPr>
                <w:sz w:val="20"/>
                <w:szCs w:val="20"/>
                <w:color w:val="auto"/>
              </w:rPr>
            </w:pPr>
            <w:r>
              <w:rPr>
                <w:rFonts w:ascii="Arial" w:cs="Arial" w:eastAsia="Arial" w:hAnsi="Arial"/>
                <w:sz w:val="13"/>
                <w:szCs w:val="13"/>
                <w:b w:val="1"/>
                <w:bCs w:val="1"/>
                <w:color w:val="auto"/>
              </w:rPr>
              <w:t>Avg Daily</w:t>
            </w:r>
          </w:p>
        </w:tc>
        <w:tc>
          <w:tcPr>
            <w:tcW w:w="260" w:type="dxa"/>
            <w:vAlign w:val="bottom"/>
          </w:tcPr>
          <w:p>
            <w:pPr>
              <w:spacing w:after="0"/>
              <w:rPr>
                <w:sz w:val="10"/>
                <w:szCs w:val="10"/>
                <w:color w:val="auto"/>
              </w:rPr>
            </w:pPr>
          </w:p>
        </w:tc>
        <w:tc>
          <w:tcPr>
            <w:tcW w:w="9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0"/>
                <w:szCs w:val="10"/>
                <w:color w:val="auto"/>
              </w:rPr>
            </w:pPr>
          </w:p>
        </w:tc>
        <w:tc>
          <w:tcPr>
            <w:tcW w:w="9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Low</w:t>
            </w:r>
          </w:p>
        </w:tc>
        <w:tc>
          <w:tcPr>
            <w:tcW w:w="260" w:type="dxa"/>
            <w:vAlign w:val="bottom"/>
          </w:tcPr>
          <w:p>
            <w:pPr>
              <w:spacing w:after="0"/>
              <w:rPr>
                <w:sz w:val="10"/>
                <w:szCs w:val="10"/>
                <w:color w:val="auto"/>
              </w:rPr>
            </w:pPr>
          </w:p>
        </w:tc>
        <w:tc>
          <w:tcPr>
            <w:tcW w:w="9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Close</w:t>
            </w:r>
          </w:p>
        </w:tc>
        <w:tc>
          <w:tcPr>
            <w:tcW w:w="24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Avg Daily</w:t>
            </w: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Volume</w:t>
            </w:r>
          </w:p>
        </w:tc>
        <w:tc>
          <w:tcPr>
            <w:tcW w:w="260" w:type="dxa"/>
            <w:vAlign w:val="bottom"/>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Volume</w:t>
            </w:r>
          </w:p>
        </w:tc>
        <w:tc>
          <w:tcPr>
            <w:tcW w:w="0" w:type="dxa"/>
            <w:vAlign w:val="bottom"/>
          </w:tcPr>
          <w:p>
            <w:pPr>
              <w:spacing w:after="0"/>
              <w:rPr>
                <w:sz w:val="1"/>
                <w:szCs w:val="1"/>
                <w:color w:val="auto"/>
              </w:rPr>
            </w:pPr>
          </w:p>
        </w:tc>
      </w:tr>
      <w:tr>
        <w:trPr>
          <w:trHeight w:val="210"/>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$34.98</w:t>
            </w:r>
          </w:p>
        </w:tc>
        <w:tc>
          <w:tcPr>
            <w:tcW w:w="11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$30.81</w:t>
            </w:r>
          </w:p>
        </w:tc>
        <w:tc>
          <w:tcPr>
            <w:tcW w:w="11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$32.79</w:t>
            </w:r>
          </w:p>
        </w:tc>
        <w:tc>
          <w:tcPr>
            <w:tcW w:w="1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232,269</w:t>
            </w:r>
          </w:p>
        </w:tc>
        <w:tc>
          <w:tcPr>
            <w:tcW w:w="12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$29.64</w:t>
            </w:r>
          </w:p>
        </w:tc>
        <w:tc>
          <w:tcPr>
            <w:tcW w:w="11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$26.02</w:t>
            </w:r>
          </w:p>
        </w:tc>
        <w:tc>
          <w:tcPr>
            <w:tcW w:w="12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$28.15</w:t>
            </w:r>
          </w:p>
        </w:tc>
        <w:tc>
          <w:tcPr>
            <w:tcW w:w="12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59,252</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Second quarter</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gridSpan w:val="2"/>
          </w:tcPr>
          <w:p>
            <w:pPr>
              <w:jc w:val="right"/>
              <w:ind w:right="188"/>
              <w:spacing w:after="0"/>
              <w:rPr>
                <w:sz w:val="20"/>
                <w:szCs w:val="20"/>
                <w:color w:val="auto"/>
              </w:rPr>
            </w:pPr>
            <w:r>
              <w:rPr>
                <w:rFonts w:ascii="Arial" w:cs="Arial" w:eastAsia="Arial" w:hAnsi="Arial"/>
                <w:sz w:val="18"/>
                <w:szCs w:val="18"/>
                <w:color w:val="auto"/>
              </w:rPr>
              <w:t>31.26</w:t>
            </w:r>
          </w:p>
        </w:tc>
        <w:tc>
          <w:tcPr>
            <w:tcW w:w="1180" w:type="dxa"/>
            <w:vAlign w:val="bottom"/>
            <w:gridSpan w:val="2"/>
          </w:tcPr>
          <w:p>
            <w:pPr>
              <w:jc w:val="right"/>
              <w:ind w:right="188"/>
              <w:spacing w:after="0"/>
              <w:rPr>
                <w:sz w:val="20"/>
                <w:szCs w:val="20"/>
                <w:color w:val="auto"/>
              </w:rPr>
            </w:pPr>
            <w:r>
              <w:rPr>
                <w:rFonts w:ascii="Arial" w:cs="Arial" w:eastAsia="Arial" w:hAnsi="Arial"/>
                <w:sz w:val="18"/>
                <w:szCs w:val="18"/>
                <w:color w:val="auto"/>
              </w:rPr>
              <w:t>27.02</w:t>
            </w:r>
          </w:p>
        </w:tc>
        <w:tc>
          <w:tcPr>
            <w:tcW w:w="1200" w:type="dxa"/>
            <w:vAlign w:val="bottom"/>
            <w:gridSpan w:val="2"/>
          </w:tcPr>
          <w:p>
            <w:pPr>
              <w:jc w:val="right"/>
              <w:ind w:right="188"/>
              <w:spacing w:after="0"/>
              <w:rPr>
                <w:sz w:val="20"/>
                <w:szCs w:val="20"/>
                <w:color w:val="auto"/>
              </w:rPr>
            </w:pPr>
            <w:r>
              <w:rPr>
                <w:rFonts w:ascii="Arial" w:cs="Arial" w:eastAsia="Arial" w:hAnsi="Arial"/>
                <w:sz w:val="18"/>
                <w:szCs w:val="18"/>
                <w:color w:val="auto"/>
              </w:rPr>
              <w:t>30.44</w:t>
            </w:r>
          </w:p>
        </w:tc>
        <w:tc>
          <w:tcPr>
            <w:tcW w:w="126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92,937</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33.10</w:t>
            </w:r>
          </w:p>
        </w:tc>
        <w:tc>
          <w:tcPr>
            <w:tcW w:w="11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27.51</w:t>
            </w:r>
          </w:p>
        </w:tc>
        <w:tc>
          <w:tcPr>
            <w:tcW w:w="12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30.05</w:t>
            </w:r>
          </w:p>
        </w:tc>
        <w:tc>
          <w:tcPr>
            <w:tcW w:w="12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86,495</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Fourth quarter</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0" w:type="dxa"/>
            <w:vAlign w:val="bottom"/>
            <w:gridSpan w:val="2"/>
          </w:tcPr>
          <w:p>
            <w:pPr>
              <w:jc w:val="right"/>
              <w:ind w:right="188"/>
              <w:spacing w:after="0"/>
              <w:rPr>
                <w:sz w:val="20"/>
                <w:szCs w:val="20"/>
                <w:color w:val="auto"/>
              </w:rPr>
            </w:pPr>
            <w:r>
              <w:rPr>
                <w:rFonts w:ascii="Arial" w:cs="Arial" w:eastAsia="Arial" w:hAnsi="Arial"/>
                <w:sz w:val="18"/>
                <w:szCs w:val="18"/>
                <w:color w:val="auto"/>
              </w:rPr>
              <w:t>33.37</w:t>
            </w:r>
          </w:p>
        </w:tc>
        <w:tc>
          <w:tcPr>
            <w:tcW w:w="1180" w:type="dxa"/>
            <w:vAlign w:val="bottom"/>
            <w:gridSpan w:val="2"/>
          </w:tcPr>
          <w:p>
            <w:pPr>
              <w:jc w:val="right"/>
              <w:ind w:right="188"/>
              <w:spacing w:after="0"/>
              <w:rPr>
                <w:sz w:val="20"/>
                <w:szCs w:val="20"/>
                <w:color w:val="auto"/>
              </w:rPr>
            </w:pPr>
            <w:r>
              <w:rPr>
                <w:rFonts w:ascii="Arial" w:cs="Arial" w:eastAsia="Arial" w:hAnsi="Arial"/>
                <w:sz w:val="18"/>
                <w:szCs w:val="18"/>
                <w:color w:val="auto"/>
              </w:rPr>
              <w:t>29.03</w:t>
            </w:r>
          </w:p>
        </w:tc>
        <w:tc>
          <w:tcPr>
            <w:tcW w:w="1200" w:type="dxa"/>
            <w:vAlign w:val="bottom"/>
            <w:gridSpan w:val="2"/>
          </w:tcPr>
          <w:p>
            <w:pPr>
              <w:jc w:val="right"/>
              <w:ind w:right="188"/>
              <w:spacing w:after="0"/>
              <w:rPr>
                <w:sz w:val="20"/>
                <w:szCs w:val="20"/>
                <w:color w:val="auto"/>
              </w:rPr>
            </w:pPr>
            <w:r>
              <w:rPr>
                <w:rFonts w:ascii="Arial" w:cs="Arial" w:eastAsia="Arial" w:hAnsi="Arial"/>
                <w:sz w:val="18"/>
                <w:szCs w:val="18"/>
                <w:color w:val="auto"/>
              </w:rPr>
              <w:t>32.32</w:t>
            </w:r>
          </w:p>
        </w:tc>
        <w:tc>
          <w:tcPr>
            <w:tcW w:w="126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87,626</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increase in the average daily trading volume in the first quarter of 2007 resulted from United’s inclusion in Standard &amp; Poors’ SmallCap 600 index on March 9, 2007.</w:t>
      </w:r>
    </w:p>
    <w:p>
      <w:pPr>
        <w:spacing w:after="0" w:line="62"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following table presents the quarterly cash dividends declared in 2007 and 2006 and the respective payout ratios as a percentage of basic earnings per share, which excludes merger-related charges.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11 — Dividend Payout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8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2007</w:t>
            </w:r>
          </w:p>
        </w:tc>
        <w:tc>
          <w:tcPr>
            <w:tcW w:w="6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4"/>
                <w:szCs w:val="14"/>
                <w:b w:val="1"/>
                <w:bCs w:val="1"/>
                <w:color w:val="auto"/>
              </w:rPr>
              <w:t>2006</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6000" w:type="dxa"/>
            <w:vAlign w:val="bottom"/>
          </w:tcPr>
          <w:p>
            <w:pPr>
              <w:spacing w:after="0"/>
              <w:rPr>
                <w:sz w:val="12"/>
                <w:szCs w:val="12"/>
                <w:color w:val="auto"/>
              </w:rPr>
            </w:pPr>
          </w:p>
        </w:tc>
        <w:tc>
          <w:tcPr>
            <w:tcW w:w="1300" w:type="dxa"/>
            <w:vAlign w:val="bottom"/>
          </w:tcPr>
          <w:p>
            <w:pPr>
              <w:jc w:val="right"/>
              <w:ind w:right="302"/>
              <w:spacing w:after="0" w:line="142" w:lineRule="exact"/>
              <w:rPr>
                <w:sz w:val="20"/>
                <w:szCs w:val="20"/>
                <w:color w:val="auto"/>
              </w:rPr>
            </w:pPr>
            <w:r>
              <w:rPr>
                <w:rFonts w:ascii="Arial" w:cs="Arial" w:eastAsia="Arial" w:hAnsi="Arial"/>
                <w:sz w:val="14"/>
                <w:szCs w:val="14"/>
                <w:b w:val="1"/>
                <w:bCs w:val="1"/>
                <w:color w:val="auto"/>
              </w:rPr>
              <w:t>Dividend</w:t>
            </w:r>
          </w:p>
        </w:tc>
        <w:tc>
          <w:tcPr>
            <w:tcW w:w="52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Payout %</w:t>
            </w:r>
          </w:p>
        </w:tc>
        <w:tc>
          <w:tcPr>
            <w:tcW w:w="5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Dividend</w:t>
            </w:r>
          </w:p>
        </w:tc>
        <w:tc>
          <w:tcPr>
            <w:tcW w:w="300" w:type="dxa"/>
            <w:vAlign w:val="bottom"/>
          </w:tcPr>
          <w:p>
            <w:pPr>
              <w:spacing w:after="0"/>
              <w:rPr>
                <w:sz w:val="12"/>
                <w:szCs w:val="12"/>
                <w:color w:val="auto"/>
              </w:rPr>
            </w:pPr>
          </w:p>
        </w:tc>
        <w:tc>
          <w:tcPr>
            <w:tcW w:w="1140" w:type="dxa"/>
            <w:vAlign w:val="bottom"/>
            <w:gridSpan w:val="2"/>
          </w:tcPr>
          <w:p>
            <w:pPr>
              <w:jc w:val="center"/>
              <w:ind w:left="468"/>
              <w:spacing w:after="0" w:line="142" w:lineRule="exact"/>
              <w:rPr>
                <w:sz w:val="20"/>
                <w:szCs w:val="20"/>
                <w:color w:val="auto"/>
              </w:rPr>
            </w:pPr>
            <w:r>
              <w:rPr>
                <w:rFonts w:ascii="Arial" w:cs="Arial" w:eastAsia="Arial" w:hAnsi="Arial"/>
                <w:sz w:val="14"/>
                <w:szCs w:val="14"/>
                <w:b w:val="1"/>
                <w:bCs w:val="1"/>
                <w:color w:val="auto"/>
                <w:w w:val="95"/>
              </w:rPr>
              <w:t>Payout %</w:t>
            </w:r>
          </w:p>
        </w:tc>
        <w:tc>
          <w:tcPr>
            <w:tcW w:w="20" w:type="dxa"/>
            <w:vAlign w:val="bottom"/>
          </w:tcPr>
          <w:p>
            <w:pPr>
              <w:spacing w:after="0"/>
              <w:rPr>
                <w:sz w:val="12"/>
                <w:szCs w:val="12"/>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300" w:type="dxa"/>
            <w:vAlign w:val="bottom"/>
            <w:tcBorders>
              <w:top w:val="single" w:sz="8" w:color="auto"/>
            </w:tcBorders>
            <w:shd w:val="clear" w:color="auto" w:fill="CCEEFF"/>
          </w:tcPr>
          <w:p>
            <w:pPr>
              <w:jc w:val="right"/>
              <w:ind w:right="462"/>
              <w:spacing w:after="0"/>
              <w:rPr>
                <w:sz w:val="20"/>
                <w:szCs w:val="20"/>
                <w:color w:val="auto"/>
              </w:rPr>
            </w:pPr>
            <w:r>
              <w:rPr>
                <w:rFonts w:ascii="Arial" w:cs="Arial" w:eastAsia="Arial" w:hAnsi="Arial"/>
                <w:sz w:val="18"/>
                <w:szCs w:val="18"/>
                <w:color w:val="auto"/>
              </w:rPr>
              <w:t>$.09</w:t>
            </w:r>
          </w:p>
        </w:tc>
        <w:tc>
          <w:tcPr>
            <w:tcW w:w="5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20</w:t>
            </w:r>
          </w:p>
        </w:tc>
        <w:tc>
          <w:tcPr>
            <w:tcW w:w="5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$.08</w:t>
            </w:r>
          </w:p>
        </w:tc>
        <w:tc>
          <w:tcPr>
            <w:tcW w:w="3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20" w:type="dxa"/>
            <w:vAlign w:val="bottom"/>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Second quarter</w:t>
            </w: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.08</w:t>
            </w:r>
          </w:p>
        </w:tc>
        <w:tc>
          <w:tcPr>
            <w:tcW w:w="1440" w:type="dxa"/>
            <w:vAlign w:val="bottom"/>
            <w:gridSpan w:val="3"/>
          </w:tcPr>
          <w:p>
            <w:pPr>
              <w:jc w:val="center"/>
              <w:ind w:left="774"/>
              <w:spacing w:after="0"/>
              <w:rPr>
                <w:sz w:val="20"/>
                <w:szCs w:val="20"/>
                <w:color w:val="auto"/>
              </w:rPr>
            </w:pPr>
            <w:r>
              <w:rPr>
                <w:rFonts w:ascii="Arial" w:cs="Arial" w:eastAsia="Arial" w:hAnsi="Arial"/>
                <w:sz w:val="18"/>
                <w:szCs w:val="18"/>
                <w:color w:val="auto"/>
                <w:w w:val="89"/>
              </w:rPr>
              <w:t>19</w:t>
            </w:r>
          </w:p>
        </w:tc>
        <w:tc>
          <w:tcPr>
            <w:tcW w:w="2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.08</w:t>
            </w:r>
          </w:p>
        </w:tc>
        <w:tc>
          <w:tcPr>
            <w:tcW w:w="1440" w:type="dxa"/>
            <w:vAlign w:val="bottom"/>
            <w:gridSpan w:val="3"/>
            <w:shd w:val="clear" w:color="auto" w:fill="CCEEFF"/>
          </w:tcPr>
          <w:p>
            <w:pPr>
              <w:jc w:val="center"/>
              <w:ind w:left="774"/>
              <w:spacing w:after="0"/>
              <w:rPr>
                <w:sz w:val="20"/>
                <w:szCs w:val="20"/>
                <w:color w:val="auto"/>
              </w:rPr>
            </w:pPr>
            <w:r>
              <w:rPr>
                <w:rFonts w:ascii="Arial" w:cs="Arial" w:eastAsia="Arial" w:hAnsi="Arial"/>
                <w:sz w:val="18"/>
                <w:szCs w:val="18"/>
                <w:color w:val="auto"/>
                <w:w w:val="89"/>
              </w:rPr>
              <w:t>19</w:t>
            </w:r>
          </w:p>
        </w:tc>
        <w:tc>
          <w:tcPr>
            <w:tcW w:w="20" w:type="dxa"/>
            <w:vAlign w:val="bottom"/>
          </w:tcPr>
          <w:p>
            <w:pPr>
              <w:spacing w:after="0"/>
              <w:rPr>
                <w:sz w:val="18"/>
                <w:szCs w:val="18"/>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Fourth quarter</w:t>
            </w:r>
          </w:p>
        </w:tc>
        <w:tc>
          <w:tcPr>
            <w:tcW w:w="1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.08</w:t>
            </w:r>
          </w:p>
        </w:tc>
        <w:tc>
          <w:tcPr>
            <w:tcW w:w="1440" w:type="dxa"/>
            <w:vAlign w:val="bottom"/>
            <w:gridSpan w:val="3"/>
          </w:tcPr>
          <w:p>
            <w:pPr>
              <w:jc w:val="center"/>
              <w:ind w:left="774"/>
              <w:spacing w:after="0"/>
              <w:rPr>
                <w:sz w:val="20"/>
                <w:szCs w:val="20"/>
                <w:color w:val="auto"/>
              </w:rPr>
            </w:pPr>
            <w:r>
              <w:rPr>
                <w:rFonts w:ascii="Arial" w:cs="Arial" w:eastAsia="Arial" w:hAnsi="Arial"/>
                <w:sz w:val="18"/>
                <w:szCs w:val="18"/>
                <w:color w:val="auto"/>
                <w:w w:val="89"/>
              </w:rPr>
              <w:t>18</w:t>
            </w:r>
          </w:p>
        </w:tc>
        <w:tc>
          <w:tcPr>
            <w:tcW w:w="20" w:type="dxa"/>
            <w:vAlign w:val="bottom"/>
          </w:tcPr>
          <w:p>
            <w:pPr>
              <w:spacing w:after="0"/>
              <w:rPr>
                <w:sz w:val="20"/>
                <w:szCs w:val="20"/>
                <w:color w:val="auto"/>
              </w:rPr>
            </w:pPr>
          </w:p>
        </w:tc>
      </w:tr>
    </w:tbl>
    <w:p>
      <w:pPr>
        <w:spacing w:after="0" w:line="79"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The Board of Governors of the Federal Reserve System has issued guidelines for the implementation of risk-based capital requirements by U.S. banks and bank holding companies. These risk-based capital guidelines take into consideration risk factors, as defined by regulators, associated with various categories of assets, both on and off-balance sheet. Under the guidelines, capital strength is measured in two tiers that are used in conjunction with risk-adjusted assets to determine the risk based capital ratios. The guidelines require an 8% total risk-based capital ratio, of which 4% must be Tier I capital. To be considered well capitalized under the guidelines, a 10% total risk-based capital ratio is required, of which 6% must be Tier I capital.</w:t>
      </w:r>
    </w:p>
    <w:p>
      <w:pPr>
        <w:spacing w:after="0" w:line="64" w:lineRule="exact"/>
        <w:rPr>
          <w:sz w:val="20"/>
          <w:szCs w:val="20"/>
          <w:color w:val="auto"/>
        </w:rPr>
      </w:pPr>
    </w:p>
    <w:p>
      <w:pPr>
        <w:ind w:right="140" w:firstLine="215"/>
        <w:spacing w:after="0" w:line="297" w:lineRule="auto"/>
        <w:rPr>
          <w:sz w:val="20"/>
          <w:szCs w:val="20"/>
          <w:color w:val="auto"/>
        </w:rPr>
      </w:pPr>
      <w:r>
        <w:rPr>
          <w:rFonts w:ascii="Arial" w:cs="Arial" w:eastAsia="Arial" w:hAnsi="Arial"/>
          <w:sz w:val="16"/>
          <w:szCs w:val="16"/>
          <w:color w:val="auto"/>
        </w:rPr>
        <w:t>A minimum leverage ratio is required in addition to the risk-based capital standards and is defined as Tier I capital divided by average assets adjusted for goodwill and deposit-based intangibles. Although a minimum leverage ratio of 3% is required for the highest-rated bank holding companies which are not undertaking significant expansion programs, the Federal Reserve Board requires a bank holding company to maintain a leverage ratio greater than 3% if it is experiencing or anticipating significant growth or is operating with less than well-diversified risks in the opinion of the Federal Reserve Board. The Federal Reserve Board uses the leverage and risk-based capital ratios to assess capital adequacy of banks and bank holding companies.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shows United’s capital ratios, as calculated under regulatory guidelines, at March 31, 2007 and 2006.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12 — Capital Ratios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16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1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640" w:type="dxa"/>
            <w:vAlign w:val="bottom"/>
          </w:tcPr>
          <w:p>
            <w:pPr>
              <w:jc w:val="right"/>
              <w:ind w:right="535"/>
              <w:spacing w:after="0" w:line="119" w:lineRule="exact"/>
              <w:rPr>
                <w:sz w:val="20"/>
                <w:szCs w:val="20"/>
                <w:color w:val="auto"/>
              </w:rPr>
            </w:pPr>
            <w:r>
              <w:rPr>
                <w:rFonts w:ascii="Arial" w:cs="Arial" w:eastAsia="Arial" w:hAnsi="Arial"/>
                <w:sz w:val="13"/>
                <w:szCs w:val="13"/>
                <w:b w:val="1"/>
                <w:bCs w:val="1"/>
                <w:color w:val="auto"/>
              </w:rPr>
              <w:t>Actual</w:t>
            </w:r>
          </w:p>
        </w:tc>
        <w:tc>
          <w:tcPr>
            <w:tcW w:w="460" w:type="dxa"/>
            <w:vAlign w:val="bottom"/>
          </w:tcPr>
          <w:p>
            <w:pPr>
              <w:spacing w:after="0"/>
              <w:rPr>
                <w:sz w:val="10"/>
                <w:szCs w:val="10"/>
                <w:color w:val="auto"/>
              </w:rPr>
            </w:pPr>
          </w:p>
        </w:tc>
        <w:tc>
          <w:tcPr>
            <w:tcW w:w="1640" w:type="dxa"/>
            <w:vAlign w:val="bottom"/>
          </w:tcPr>
          <w:p>
            <w:pPr>
              <w:jc w:val="right"/>
              <w:ind w:right="411"/>
              <w:spacing w:after="0" w:line="119" w:lineRule="exact"/>
              <w:rPr>
                <w:sz w:val="20"/>
                <w:szCs w:val="20"/>
                <w:color w:val="auto"/>
              </w:rPr>
            </w:pPr>
            <w:r>
              <w:rPr>
                <w:rFonts w:ascii="Arial" w:cs="Arial" w:eastAsia="Arial" w:hAnsi="Arial"/>
                <w:sz w:val="13"/>
                <w:szCs w:val="13"/>
                <w:b w:val="1"/>
                <w:bCs w:val="1"/>
                <w:color w:val="auto"/>
              </w:rPr>
              <w:t>Regulatory</w:t>
            </w:r>
          </w:p>
        </w:tc>
        <w:tc>
          <w:tcPr>
            <w:tcW w:w="460" w:type="dxa"/>
            <w:vAlign w:val="bottom"/>
          </w:tcPr>
          <w:p>
            <w:pPr>
              <w:spacing w:after="0"/>
              <w:rPr>
                <w:sz w:val="10"/>
                <w:szCs w:val="10"/>
                <w:color w:val="auto"/>
              </w:rPr>
            </w:pPr>
          </w:p>
        </w:tc>
        <w:tc>
          <w:tcPr>
            <w:tcW w:w="1620" w:type="dxa"/>
            <w:vAlign w:val="bottom"/>
          </w:tcPr>
          <w:p>
            <w:pPr>
              <w:jc w:val="right"/>
              <w:ind w:right="531"/>
              <w:spacing w:after="0" w:line="119" w:lineRule="exact"/>
              <w:rPr>
                <w:sz w:val="20"/>
                <w:szCs w:val="20"/>
                <w:color w:val="auto"/>
              </w:rPr>
            </w:pPr>
            <w:r>
              <w:rPr>
                <w:rFonts w:ascii="Arial" w:cs="Arial" w:eastAsia="Arial" w:hAnsi="Arial"/>
                <w:sz w:val="13"/>
                <w:szCs w:val="13"/>
                <w:b w:val="1"/>
                <w:bCs w:val="1"/>
                <w:color w:val="auto"/>
              </w:rPr>
              <w:t>Actual</w:t>
            </w:r>
          </w:p>
        </w:tc>
        <w:tc>
          <w:tcPr>
            <w:tcW w:w="460" w:type="dxa"/>
            <w:vAlign w:val="bottom"/>
          </w:tcPr>
          <w:p>
            <w:pPr>
              <w:spacing w:after="0"/>
              <w:rPr>
                <w:sz w:val="10"/>
                <w:szCs w:val="10"/>
                <w:color w:val="auto"/>
              </w:rPr>
            </w:pPr>
          </w:p>
        </w:tc>
        <w:tc>
          <w:tcPr>
            <w:tcW w:w="1640" w:type="dxa"/>
            <w:vAlign w:val="bottom"/>
          </w:tcPr>
          <w:p>
            <w:pPr>
              <w:jc w:val="right"/>
              <w:ind w:right="411"/>
              <w:spacing w:after="0" w:line="119" w:lineRule="exact"/>
              <w:rPr>
                <w:sz w:val="20"/>
                <w:szCs w:val="20"/>
                <w:color w:val="auto"/>
              </w:rPr>
            </w:pPr>
            <w:r>
              <w:rPr>
                <w:rFonts w:ascii="Arial" w:cs="Arial" w:eastAsia="Arial" w:hAnsi="Arial"/>
                <w:sz w:val="13"/>
                <w:szCs w:val="13"/>
                <w:b w:val="1"/>
                <w:bCs w:val="1"/>
                <w:color w:val="auto"/>
              </w:rPr>
              <w:t>Regulatory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spacing w:after="0"/>
              <w:rPr>
                <w:sz w:val="14"/>
                <w:szCs w:val="14"/>
                <w:color w:val="auto"/>
              </w:rPr>
            </w:pPr>
          </w:p>
        </w:tc>
        <w:tc>
          <w:tcPr>
            <w:tcW w:w="16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Minimum</w:t>
            </w:r>
          </w:p>
        </w:tc>
        <w:tc>
          <w:tcPr>
            <w:tcW w:w="460" w:type="dxa"/>
            <w:vAlign w:val="bottom"/>
          </w:tcPr>
          <w:p>
            <w:pPr>
              <w:spacing w:after="0"/>
              <w:rPr>
                <w:sz w:val="14"/>
                <w:szCs w:val="14"/>
                <w:color w:val="auto"/>
              </w:rPr>
            </w:pPr>
          </w:p>
        </w:tc>
        <w:tc>
          <w:tcPr>
            <w:tcW w:w="16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spacing w:after="0"/>
              <w:rPr>
                <w:sz w:val="14"/>
                <w:szCs w:val="14"/>
                <w:color w:val="auto"/>
              </w:rPr>
            </w:pPr>
          </w:p>
        </w:tc>
        <w:tc>
          <w:tcPr>
            <w:tcW w:w="16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Minimum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Tier I Leverage:</w:t>
            </w:r>
          </w:p>
        </w:tc>
        <w:tc>
          <w:tcPr>
            <w:tcW w:w="1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Amount</w:t>
            </w:r>
          </w:p>
        </w:tc>
        <w:tc>
          <w:tcPr>
            <w:tcW w:w="1640" w:type="dxa"/>
            <w:vAlign w:val="bottom"/>
          </w:tcPr>
          <w:p>
            <w:pPr>
              <w:jc w:val="right"/>
              <w:ind w:right="475"/>
              <w:spacing w:after="0"/>
              <w:rPr>
                <w:sz w:val="20"/>
                <w:szCs w:val="20"/>
                <w:color w:val="auto"/>
              </w:rPr>
            </w:pPr>
            <w:r>
              <w:rPr>
                <w:rFonts w:ascii="Arial" w:cs="Arial" w:eastAsia="Arial" w:hAnsi="Arial"/>
                <w:sz w:val="18"/>
                <w:szCs w:val="18"/>
                <w:color w:val="auto"/>
              </w:rPr>
              <w:t>$523,749</w:t>
            </w:r>
          </w:p>
        </w:tc>
        <w:tc>
          <w:tcPr>
            <w:tcW w:w="2100" w:type="dxa"/>
            <w:vAlign w:val="bottom"/>
            <w:gridSpan w:val="2"/>
          </w:tcPr>
          <w:p>
            <w:pPr>
              <w:jc w:val="right"/>
              <w:ind w:right="511"/>
              <w:spacing w:after="0"/>
              <w:rPr>
                <w:sz w:val="20"/>
                <w:szCs w:val="20"/>
                <w:color w:val="auto"/>
              </w:rPr>
            </w:pPr>
            <w:r>
              <w:rPr>
                <w:rFonts w:ascii="Arial" w:cs="Arial" w:eastAsia="Arial" w:hAnsi="Arial"/>
                <w:sz w:val="18"/>
                <w:szCs w:val="18"/>
                <w:color w:val="auto"/>
              </w:rPr>
              <w:t>$207,863</w:t>
            </w:r>
          </w:p>
        </w:tc>
        <w:tc>
          <w:tcPr>
            <w:tcW w:w="2080" w:type="dxa"/>
            <w:vAlign w:val="bottom"/>
            <w:gridSpan w:val="2"/>
          </w:tcPr>
          <w:p>
            <w:pPr>
              <w:jc w:val="right"/>
              <w:ind w:right="491"/>
              <w:spacing w:after="0"/>
              <w:rPr>
                <w:sz w:val="20"/>
                <w:szCs w:val="20"/>
                <w:color w:val="auto"/>
              </w:rPr>
            </w:pPr>
            <w:r>
              <w:rPr>
                <w:rFonts w:ascii="Arial" w:cs="Arial" w:eastAsia="Arial" w:hAnsi="Arial"/>
                <w:sz w:val="18"/>
                <w:szCs w:val="18"/>
                <w:color w:val="auto"/>
              </w:rPr>
              <w:t>$427,034</w:t>
            </w:r>
          </w:p>
        </w:tc>
        <w:tc>
          <w:tcPr>
            <w:tcW w:w="2100" w:type="dxa"/>
            <w:vAlign w:val="bottom"/>
            <w:gridSpan w:val="2"/>
          </w:tcPr>
          <w:p>
            <w:pPr>
              <w:jc w:val="right"/>
              <w:ind w:right="491"/>
              <w:spacing w:after="0"/>
              <w:rPr>
                <w:sz w:val="20"/>
                <w:szCs w:val="20"/>
                <w:color w:val="auto"/>
              </w:rPr>
            </w:pPr>
            <w:r>
              <w:rPr>
                <w:rFonts w:ascii="Arial" w:cs="Arial" w:eastAsia="Arial" w:hAnsi="Arial"/>
                <w:sz w:val="18"/>
                <w:szCs w:val="18"/>
                <w:color w:val="auto"/>
              </w:rPr>
              <w:t>$175,415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Ratio</w:t>
            </w:r>
          </w:p>
        </w:tc>
        <w:tc>
          <w:tcPr>
            <w:tcW w:w="16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7.56%</w:t>
            </w:r>
          </w:p>
        </w:tc>
        <w:tc>
          <w:tcPr>
            <w:tcW w:w="2100" w:type="dxa"/>
            <w:vAlign w:val="bottom"/>
            <w:gridSpan w:val="2"/>
            <w:shd w:val="clear" w:color="auto" w:fill="CCEEFF"/>
          </w:tcPr>
          <w:p>
            <w:pPr>
              <w:jc w:val="right"/>
              <w:ind w:right="351"/>
              <w:spacing w:after="0"/>
              <w:rPr>
                <w:sz w:val="20"/>
                <w:szCs w:val="20"/>
                <w:color w:val="auto"/>
              </w:rPr>
            </w:pPr>
            <w:r>
              <w:rPr>
                <w:rFonts w:ascii="Arial" w:cs="Arial" w:eastAsia="Arial" w:hAnsi="Arial"/>
                <w:sz w:val="18"/>
                <w:szCs w:val="18"/>
                <w:color w:val="auto"/>
              </w:rPr>
              <w:t>3.00%</w:t>
            </w:r>
          </w:p>
        </w:tc>
        <w:tc>
          <w:tcPr>
            <w:tcW w:w="2080" w:type="dxa"/>
            <w:vAlign w:val="bottom"/>
            <w:gridSpan w:val="2"/>
            <w:shd w:val="clear" w:color="auto" w:fill="CCEEFF"/>
          </w:tcPr>
          <w:p>
            <w:pPr>
              <w:jc w:val="right"/>
              <w:ind w:right="351"/>
              <w:spacing w:after="0"/>
              <w:rPr>
                <w:sz w:val="20"/>
                <w:szCs w:val="20"/>
                <w:color w:val="auto"/>
              </w:rPr>
            </w:pPr>
            <w:r>
              <w:rPr>
                <w:rFonts w:ascii="Arial" w:cs="Arial" w:eastAsia="Arial" w:hAnsi="Arial"/>
                <w:sz w:val="18"/>
                <w:szCs w:val="18"/>
                <w:color w:val="auto"/>
              </w:rPr>
              <w:t>7.30%</w:t>
            </w:r>
          </w:p>
        </w:tc>
        <w:tc>
          <w:tcPr>
            <w:tcW w:w="2100" w:type="dxa"/>
            <w:vAlign w:val="bottom"/>
            <w:gridSpan w:val="2"/>
            <w:shd w:val="clear" w:color="auto" w:fill="CCEEFF"/>
          </w:tcPr>
          <w:p>
            <w:pPr>
              <w:jc w:val="right"/>
              <w:ind w:right="35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432"/>
        </w:trPr>
        <w:tc>
          <w:tcPr>
            <w:tcW w:w="3500" w:type="dxa"/>
            <w:vAlign w:val="bottom"/>
            <w:gridSpan w:val="2"/>
          </w:tcPr>
          <w:p>
            <w:pPr>
              <w:spacing w:after="0"/>
              <w:rPr>
                <w:sz w:val="20"/>
                <w:szCs w:val="20"/>
                <w:color w:val="auto"/>
              </w:rPr>
            </w:pPr>
            <w:r>
              <w:rPr>
                <w:rFonts w:ascii="Arial" w:cs="Arial" w:eastAsia="Arial" w:hAnsi="Arial"/>
                <w:sz w:val="18"/>
                <w:szCs w:val="18"/>
                <w:color w:val="auto"/>
              </w:rPr>
              <w:t>Tier I Risk-Based:</w:t>
            </w: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w:t>
            </w:r>
          </w:p>
        </w:tc>
        <w:tc>
          <w:tcPr>
            <w:tcW w:w="164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$523,749</w:t>
            </w:r>
          </w:p>
        </w:tc>
        <w:tc>
          <w:tcPr>
            <w:tcW w:w="2100" w:type="dxa"/>
            <w:vAlign w:val="bottom"/>
            <w:gridSpan w:val="2"/>
            <w:shd w:val="clear" w:color="auto" w:fill="CCEEFF"/>
          </w:tcPr>
          <w:p>
            <w:pPr>
              <w:jc w:val="right"/>
              <w:ind w:right="511"/>
              <w:spacing w:after="0"/>
              <w:rPr>
                <w:sz w:val="20"/>
                <w:szCs w:val="20"/>
                <w:color w:val="auto"/>
              </w:rPr>
            </w:pPr>
            <w:r>
              <w:rPr>
                <w:rFonts w:ascii="Arial" w:cs="Arial" w:eastAsia="Arial" w:hAnsi="Arial"/>
                <w:sz w:val="18"/>
                <w:szCs w:val="18"/>
                <w:color w:val="auto"/>
              </w:rPr>
              <w:t>$224,610</w:t>
            </w:r>
          </w:p>
        </w:tc>
        <w:tc>
          <w:tcPr>
            <w:tcW w:w="2080" w:type="dxa"/>
            <w:vAlign w:val="bottom"/>
            <w:gridSpan w:val="2"/>
            <w:shd w:val="clear" w:color="auto" w:fill="CCEEFF"/>
          </w:tcPr>
          <w:p>
            <w:pPr>
              <w:jc w:val="right"/>
              <w:ind w:right="491"/>
              <w:spacing w:after="0"/>
              <w:rPr>
                <w:sz w:val="20"/>
                <w:szCs w:val="20"/>
                <w:color w:val="auto"/>
              </w:rPr>
            </w:pPr>
            <w:r>
              <w:rPr>
                <w:rFonts w:ascii="Arial" w:cs="Arial" w:eastAsia="Arial" w:hAnsi="Arial"/>
                <w:sz w:val="18"/>
                <w:szCs w:val="18"/>
                <w:color w:val="auto"/>
              </w:rPr>
              <w:t>$427,034</w:t>
            </w:r>
          </w:p>
        </w:tc>
        <w:tc>
          <w:tcPr>
            <w:tcW w:w="2100" w:type="dxa"/>
            <w:vAlign w:val="bottom"/>
            <w:gridSpan w:val="2"/>
            <w:shd w:val="clear" w:color="auto" w:fill="CCEEFF"/>
          </w:tcPr>
          <w:p>
            <w:pPr>
              <w:jc w:val="right"/>
              <w:ind w:right="491"/>
              <w:spacing w:after="0"/>
              <w:rPr>
                <w:sz w:val="20"/>
                <w:szCs w:val="20"/>
                <w:color w:val="auto"/>
              </w:rPr>
            </w:pPr>
            <w:r>
              <w:rPr>
                <w:rFonts w:ascii="Arial" w:cs="Arial" w:eastAsia="Arial" w:hAnsi="Arial"/>
                <w:sz w:val="18"/>
                <w:szCs w:val="18"/>
                <w:color w:val="auto"/>
              </w:rPr>
              <w:t>$192,230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Ratio</w:t>
            </w:r>
          </w:p>
        </w:tc>
        <w:tc>
          <w:tcPr>
            <w:tcW w:w="1640" w:type="dxa"/>
            <w:vAlign w:val="bottom"/>
          </w:tcPr>
          <w:p>
            <w:pPr>
              <w:jc w:val="right"/>
              <w:ind w:right="335"/>
              <w:spacing w:after="0"/>
              <w:rPr>
                <w:sz w:val="20"/>
                <w:szCs w:val="20"/>
                <w:color w:val="auto"/>
              </w:rPr>
            </w:pPr>
            <w:r>
              <w:rPr>
                <w:rFonts w:ascii="Arial" w:cs="Arial" w:eastAsia="Arial" w:hAnsi="Arial"/>
                <w:sz w:val="18"/>
                <w:szCs w:val="18"/>
                <w:color w:val="auto"/>
              </w:rPr>
              <w:t>9.33%</w:t>
            </w:r>
          </w:p>
        </w:tc>
        <w:tc>
          <w:tcPr>
            <w:tcW w:w="2100" w:type="dxa"/>
            <w:vAlign w:val="bottom"/>
            <w:gridSpan w:val="2"/>
          </w:tcPr>
          <w:p>
            <w:pPr>
              <w:jc w:val="right"/>
              <w:ind w:right="351"/>
              <w:spacing w:after="0"/>
              <w:rPr>
                <w:sz w:val="20"/>
                <w:szCs w:val="20"/>
                <w:color w:val="auto"/>
              </w:rPr>
            </w:pPr>
            <w:r>
              <w:rPr>
                <w:rFonts w:ascii="Arial" w:cs="Arial" w:eastAsia="Arial" w:hAnsi="Arial"/>
                <w:sz w:val="18"/>
                <w:szCs w:val="18"/>
                <w:color w:val="auto"/>
              </w:rPr>
              <w:t>4.00%</w:t>
            </w:r>
          </w:p>
        </w:tc>
        <w:tc>
          <w:tcPr>
            <w:tcW w:w="2080" w:type="dxa"/>
            <w:vAlign w:val="bottom"/>
            <w:gridSpan w:val="2"/>
          </w:tcPr>
          <w:p>
            <w:pPr>
              <w:jc w:val="right"/>
              <w:ind w:right="351"/>
              <w:spacing w:after="0"/>
              <w:rPr>
                <w:sz w:val="20"/>
                <w:szCs w:val="20"/>
                <w:color w:val="auto"/>
              </w:rPr>
            </w:pPr>
            <w:r>
              <w:rPr>
                <w:rFonts w:ascii="Arial" w:cs="Arial" w:eastAsia="Arial" w:hAnsi="Arial"/>
                <w:sz w:val="18"/>
                <w:szCs w:val="18"/>
                <w:color w:val="auto"/>
              </w:rPr>
              <w:t>8.89%</w:t>
            </w:r>
          </w:p>
        </w:tc>
        <w:tc>
          <w:tcPr>
            <w:tcW w:w="2100" w:type="dxa"/>
            <w:vAlign w:val="bottom"/>
            <w:gridSpan w:val="2"/>
          </w:tcPr>
          <w:p>
            <w:pPr>
              <w:jc w:val="right"/>
              <w:ind w:right="35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4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 Risk-Based:</w:t>
            </w:r>
          </w:p>
        </w:tc>
        <w:tc>
          <w:tcPr>
            <w:tcW w:w="1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Amount</w:t>
            </w:r>
          </w:p>
        </w:tc>
        <w:tc>
          <w:tcPr>
            <w:tcW w:w="1640" w:type="dxa"/>
            <w:vAlign w:val="bottom"/>
          </w:tcPr>
          <w:p>
            <w:pPr>
              <w:jc w:val="right"/>
              <w:ind w:right="475"/>
              <w:spacing w:after="0"/>
              <w:rPr>
                <w:sz w:val="20"/>
                <w:szCs w:val="20"/>
                <w:color w:val="auto"/>
              </w:rPr>
            </w:pPr>
            <w:r>
              <w:rPr>
                <w:rFonts w:ascii="Arial" w:cs="Arial" w:eastAsia="Arial" w:hAnsi="Arial"/>
                <w:sz w:val="18"/>
                <w:szCs w:val="18"/>
                <w:color w:val="auto"/>
              </w:rPr>
              <w:t>$659,053</w:t>
            </w:r>
          </w:p>
        </w:tc>
        <w:tc>
          <w:tcPr>
            <w:tcW w:w="2100" w:type="dxa"/>
            <w:vAlign w:val="bottom"/>
            <w:gridSpan w:val="2"/>
          </w:tcPr>
          <w:p>
            <w:pPr>
              <w:jc w:val="right"/>
              <w:ind w:right="511"/>
              <w:spacing w:after="0"/>
              <w:rPr>
                <w:sz w:val="20"/>
                <w:szCs w:val="20"/>
                <w:color w:val="auto"/>
              </w:rPr>
            </w:pPr>
            <w:r>
              <w:rPr>
                <w:rFonts w:ascii="Arial" w:cs="Arial" w:eastAsia="Arial" w:hAnsi="Arial"/>
                <w:sz w:val="18"/>
                <w:szCs w:val="18"/>
                <w:color w:val="auto"/>
              </w:rPr>
              <w:t>$449,220</w:t>
            </w:r>
          </w:p>
        </w:tc>
        <w:tc>
          <w:tcPr>
            <w:tcW w:w="2080" w:type="dxa"/>
            <w:vAlign w:val="bottom"/>
            <w:gridSpan w:val="2"/>
          </w:tcPr>
          <w:p>
            <w:pPr>
              <w:jc w:val="right"/>
              <w:ind w:right="491"/>
              <w:spacing w:after="0"/>
              <w:rPr>
                <w:sz w:val="20"/>
                <w:szCs w:val="20"/>
                <w:color w:val="auto"/>
              </w:rPr>
            </w:pPr>
            <w:r>
              <w:rPr>
                <w:rFonts w:ascii="Arial" w:cs="Arial" w:eastAsia="Arial" w:hAnsi="Arial"/>
                <w:sz w:val="18"/>
                <w:szCs w:val="18"/>
                <w:color w:val="auto"/>
              </w:rPr>
              <w:t>$552,484</w:t>
            </w:r>
          </w:p>
        </w:tc>
        <w:tc>
          <w:tcPr>
            <w:tcW w:w="2100" w:type="dxa"/>
            <w:vAlign w:val="bottom"/>
            <w:gridSpan w:val="2"/>
          </w:tcPr>
          <w:p>
            <w:pPr>
              <w:jc w:val="right"/>
              <w:ind w:right="491"/>
              <w:spacing w:after="0"/>
              <w:rPr>
                <w:sz w:val="20"/>
                <w:szCs w:val="20"/>
                <w:color w:val="auto"/>
              </w:rPr>
            </w:pPr>
            <w:r>
              <w:rPr>
                <w:rFonts w:ascii="Arial" w:cs="Arial" w:eastAsia="Arial" w:hAnsi="Arial"/>
                <w:sz w:val="18"/>
                <w:szCs w:val="18"/>
                <w:color w:val="auto"/>
              </w:rPr>
              <w:t>$384,459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Ratio</w:t>
            </w:r>
          </w:p>
        </w:tc>
        <w:tc>
          <w:tcPr>
            <w:tcW w:w="16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11.74%</w:t>
            </w:r>
          </w:p>
        </w:tc>
        <w:tc>
          <w:tcPr>
            <w:tcW w:w="2100" w:type="dxa"/>
            <w:vAlign w:val="bottom"/>
            <w:gridSpan w:val="2"/>
            <w:shd w:val="clear" w:color="auto" w:fill="CCEEFF"/>
          </w:tcPr>
          <w:p>
            <w:pPr>
              <w:jc w:val="right"/>
              <w:ind w:right="351"/>
              <w:spacing w:after="0"/>
              <w:rPr>
                <w:sz w:val="20"/>
                <w:szCs w:val="20"/>
                <w:color w:val="auto"/>
              </w:rPr>
            </w:pPr>
            <w:r>
              <w:rPr>
                <w:rFonts w:ascii="Arial" w:cs="Arial" w:eastAsia="Arial" w:hAnsi="Arial"/>
                <w:sz w:val="18"/>
                <w:szCs w:val="18"/>
                <w:color w:val="auto"/>
              </w:rPr>
              <w:t>8.00%</w:t>
            </w:r>
          </w:p>
        </w:tc>
        <w:tc>
          <w:tcPr>
            <w:tcW w:w="2080" w:type="dxa"/>
            <w:vAlign w:val="bottom"/>
            <w:gridSpan w:val="2"/>
            <w:shd w:val="clear" w:color="auto" w:fill="CCEEFF"/>
          </w:tcPr>
          <w:p>
            <w:pPr>
              <w:jc w:val="right"/>
              <w:ind w:right="351"/>
              <w:spacing w:after="0"/>
              <w:rPr>
                <w:sz w:val="20"/>
                <w:szCs w:val="20"/>
                <w:color w:val="auto"/>
              </w:rPr>
            </w:pPr>
            <w:r>
              <w:rPr>
                <w:rFonts w:ascii="Arial" w:cs="Arial" w:eastAsia="Arial" w:hAnsi="Arial"/>
                <w:sz w:val="18"/>
                <w:szCs w:val="18"/>
                <w:color w:val="auto"/>
              </w:rPr>
              <w:t>11.50%</w:t>
            </w:r>
          </w:p>
        </w:tc>
        <w:tc>
          <w:tcPr>
            <w:tcW w:w="2100" w:type="dxa"/>
            <w:vAlign w:val="bottom"/>
            <w:gridSpan w:val="2"/>
            <w:shd w:val="clear" w:color="auto" w:fill="CCEEFF"/>
          </w:tcPr>
          <w:p>
            <w:pPr>
              <w:jc w:val="right"/>
              <w:ind w:right="351"/>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500" w:firstLine="225"/>
        <w:spacing w:after="0" w:line="264" w:lineRule="auto"/>
        <w:rPr>
          <w:sz w:val="20"/>
          <w:szCs w:val="20"/>
          <w:color w:val="auto"/>
        </w:rPr>
      </w:pPr>
      <w:r>
        <w:rPr>
          <w:rFonts w:ascii="Arial" w:cs="Arial" w:eastAsia="Arial" w:hAnsi="Arial"/>
          <w:sz w:val="18"/>
          <w:szCs w:val="18"/>
          <w:color w:val="auto"/>
        </w:rPr>
        <w:t>United’s Tier I capital excludes other comprehensive income, and consists of stockholders’ equity and qualifying capital securities less goodwill and deposit-based intangibles. Tier II capital components include supplemental capital items such as a qualifying allowance for loan losses and qualifying subordinated debt. Tier I capital plus Tier II capital components is referred to as Total Risk-Based capital.</w:t>
      </w:r>
    </w:p>
    <w:p>
      <w:pPr>
        <w:spacing w:after="0" w:line="73"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capital ratios of United and the Banks currently exceed the minimum ratios as defined by federal regulators. United monitors these ratios to ensure that United and the Banks remain above regulatory minimum guidelines.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 and Changing Prices</w:t>
      </w:r>
    </w:p>
    <w:p>
      <w:pPr>
        <w:spacing w:after="0" w:line="117" w:lineRule="exact"/>
        <w:rPr>
          <w:sz w:val="20"/>
          <w:szCs w:val="20"/>
          <w:color w:val="auto"/>
        </w:rPr>
      </w:pPr>
    </w:p>
    <w:p>
      <w:pPr>
        <w:ind w:right="520" w:firstLine="215"/>
        <w:spacing w:after="0" w:line="286" w:lineRule="auto"/>
        <w:rPr>
          <w:sz w:val="20"/>
          <w:szCs w:val="20"/>
          <w:color w:val="auto"/>
        </w:rPr>
      </w:pPr>
      <w:r>
        <w:rPr>
          <w:rFonts w:ascii="Arial" w:cs="Arial" w:eastAsia="Arial" w:hAnsi="Arial"/>
          <w:sz w:val="17"/>
          <w:szCs w:val="17"/>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impact on the growth of total assets and the resulting need to increase equity capital at higher than normal rates in order to maintain an appropriate equity to assets ratio.</w:t>
      </w:r>
    </w:p>
    <w:p>
      <w:pPr>
        <w:spacing w:after="0" w:line="57" w:lineRule="exact"/>
        <w:rPr>
          <w:sz w:val="20"/>
          <w:szCs w:val="20"/>
          <w:color w:val="auto"/>
        </w:rPr>
      </w:pPr>
    </w:p>
    <w:p>
      <w:pPr>
        <w:jc w:val="both"/>
        <w:ind w:right="320" w:firstLine="225"/>
        <w:spacing w:after="0" w:line="286" w:lineRule="auto"/>
        <w:rPr>
          <w:sz w:val="20"/>
          <w:szCs w:val="20"/>
          <w:color w:val="auto"/>
        </w:rPr>
      </w:pPr>
      <w:r>
        <w:rPr>
          <w:rFonts w:ascii="Arial" w:cs="Arial" w:eastAsia="Arial" w:hAnsi="Arial"/>
          <w:sz w:val="17"/>
          <w:szCs w:val="17"/>
          <w:color w:val="auto"/>
        </w:rPr>
        <w:t>United’s management believes the impact of inflation on financial results depends on United’s ability to react to changes in interest rates and, by such reaction, reduce the inflationary impact on performance. United has an asset/liability management program to manage interest rate sensitivity. In addition, periodic reviews of banking services and products are conducted to adjust pricing in view of current and expected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There have been no material changes in United’s quantitative and qualitative disclosures about market risk as of March 31, 2007 from that presented in the Annual Report on Form 10-K for the year ended December 31, 2006. The interest rate sensitivity position at March 31, 2007 is included in management’s discussion and analysis on page 21 of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United’s management, including the Chief Executive Officer and Chief Financial Officer, supervised and participated in an evaluation of the company’s disclosure controls and procedures as of March 31, 2007.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Securities and Exchange Commission’s rules and forms and that the disclosure controls and procedures are designed to ensure that the information required to be disclosed in reports that are filed or submitted by United under the Act is recorded, processed, summarized and reported within the time periods specified in the Securities and Exchange Commission’s rules and forms.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There were no significant changes in the internal controls or in other factors that could significantly affect these controls subsequent to the date of their evaluation.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240" w:right="80"/>
        <w:spacing w:after="0" w:line="264" w:lineRule="auto"/>
        <w:rPr>
          <w:sz w:val="20"/>
          <w:szCs w:val="20"/>
          <w:color w:val="auto"/>
        </w:rPr>
      </w:pPr>
      <w:r>
        <w:rPr>
          <w:rFonts w:ascii="Arial" w:cs="Arial" w:eastAsia="Arial" w:hAnsi="Arial"/>
          <w:sz w:val="18"/>
          <w:szCs w:val="18"/>
          <w:color w:val="auto"/>
        </w:rPr>
        <w:t>In the ordinary course of operations, United and the Banks are defendants in various legal proceedings. In the opinion of management, there is no pending or threatened proceeding in which an adverse decision could result in a material adverse change in the consolidated financial condition or results of operations of United.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There have been no material changes from the risk factors previously disclosed in United’s Form 10-K for the year ended December 31, 2006.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 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Defaults upon Senior Securities </w:t>
      </w:r>
      <w:r>
        <w:rPr>
          <w:rFonts w:ascii="Arial" w:cs="Arial" w:eastAsia="Arial" w:hAnsi="Arial"/>
          <w:sz w:val="18"/>
          <w:szCs w:val="18"/>
          <w:color w:val="auto"/>
        </w:rPr>
        <w:t>— 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Submission of Matters to a Vote of Security Holders </w:t>
      </w:r>
      <w:r>
        <w:rPr>
          <w:rFonts w:ascii="Arial" w:cs="Arial" w:eastAsia="Arial" w:hAnsi="Arial"/>
          <w:sz w:val="18"/>
          <w:szCs w:val="18"/>
          <w:color w:val="auto"/>
        </w:rPr>
        <w:t>— 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Other Information </w:t>
      </w:r>
      <w:r>
        <w:rPr>
          <w:rFonts w:ascii="Arial" w:cs="Arial" w:eastAsia="Arial" w:hAnsi="Arial"/>
          <w:sz w:val="18"/>
          <w:szCs w:val="18"/>
          <w:color w:val="auto"/>
        </w:rPr>
        <w:t>— 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jc w:val="both"/>
        <w:ind w:left="1360" w:right="860" w:hanging="445"/>
        <w:spacing w:after="0" w:line="264" w:lineRule="auto"/>
        <w:tabs>
          <w:tab w:leader="none" w:pos="1340" w:val="left"/>
        </w:tabs>
        <w:rPr>
          <w:sz w:val="20"/>
          <w:szCs w:val="20"/>
          <w:color w:val="auto"/>
        </w:rPr>
      </w:pPr>
      <w:r>
        <w:rPr>
          <w:rFonts w:ascii="Arial" w:cs="Arial" w:eastAsia="Arial" w:hAnsi="Arial"/>
          <w:sz w:val="18"/>
          <w:szCs w:val="18"/>
          <w:color w:val="auto"/>
        </w:rPr>
        <w:t>3.1</w:t>
        <w:tab/>
        <w:t>Restated Articles of Incorporation of United Community Banks, Inc., (incorporated herein by reference to Exhibit 3.1 to United Community Banks, Inc.’s Quarterly Report on Form 10-Q for the quarter ended June 30, 2001, File No. 0-21656, filed with the Commission on August 14, 2001).</w:t>
      </w:r>
    </w:p>
    <w:p>
      <w:pPr>
        <w:spacing w:after="0" w:line="87" w:lineRule="exact"/>
        <w:rPr>
          <w:sz w:val="20"/>
          <w:szCs w:val="20"/>
          <w:color w:val="auto"/>
        </w:rPr>
      </w:pPr>
    </w:p>
    <w:p>
      <w:pPr>
        <w:ind w:left="1360" w:right="60" w:hanging="445"/>
        <w:spacing w:after="0" w:line="264" w:lineRule="auto"/>
        <w:tabs>
          <w:tab w:leader="none" w:pos="1340" w:val="left"/>
        </w:tabs>
        <w:rPr>
          <w:sz w:val="20"/>
          <w:szCs w:val="20"/>
          <w:color w:val="auto"/>
        </w:rPr>
      </w:pPr>
      <w:r>
        <w:rPr>
          <w:rFonts w:ascii="Arial" w:cs="Arial" w:eastAsia="Arial" w:hAnsi="Arial"/>
          <w:sz w:val="18"/>
          <w:szCs w:val="18"/>
          <w:color w:val="auto"/>
        </w:rPr>
        <w:t>3.2</w:t>
        <w:tab/>
        <w:t>Amendment to the Restated Articles of Incorporation of United Community Banks, Inc. (incorporated herein by reference to Exhibit 3.3 to United Community Banks, Inc.’s Registration Statement on Form S-4, File No. 333-118893, filed with the Commission on September 9, 2004).</w:t>
      </w:r>
    </w:p>
    <w:p>
      <w:pPr>
        <w:spacing w:after="0" w:line="87" w:lineRule="exact"/>
        <w:rPr>
          <w:sz w:val="20"/>
          <w:szCs w:val="20"/>
          <w:color w:val="auto"/>
        </w:rPr>
      </w:pPr>
    </w:p>
    <w:p>
      <w:pPr>
        <w:ind w:left="1360" w:right="240" w:hanging="445"/>
        <w:spacing w:after="0" w:line="264" w:lineRule="auto"/>
        <w:tabs>
          <w:tab w:leader="none" w:pos="1340" w:val="left"/>
        </w:tabs>
        <w:rPr>
          <w:sz w:val="20"/>
          <w:szCs w:val="20"/>
          <w:color w:val="auto"/>
        </w:rPr>
      </w:pPr>
      <w:r>
        <w:rPr>
          <w:rFonts w:ascii="Arial" w:cs="Arial" w:eastAsia="Arial" w:hAnsi="Arial"/>
          <w:sz w:val="18"/>
          <w:szCs w:val="18"/>
          <w:color w:val="auto"/>
        </w:rPr>
        <w:t>3.3</w:t>
        <w:tab/>
        <w:t>Amended and Restated Bylaws of United Community Banks, Inc., dated September 12, 1997 (incorporated herein by reference to Exhibit 3.1 to United Community Banks, Inc.’s Annual Report on Form 10-K, for the year ended December 31, 1997, File No. 0-21656, filed with the Commission on March 27, 1998).</w:t>
      </w:r>
    </w:p>
    <w:p>
      <w:pPr>
        <w:spacing w:after="0" w:line="87" w:lineRule="exact"/>
        <w:rPr>
          <w:sz w:val="20"/>
          <w:szCs w:val="20"/>
          <w:color w:val="auto"/>
        </w:rPr>
      </w:pPr>
    </w:p>
    <w:p>
      <w:pPr>
        <w:ind w:left="1360" w:right="360" w:hanging="445"/>
        <w:spacing w:after="0" w:line="277" w:lineRule="auto"/>
        <w:tabs>
          <w:tab w:leader="none" w:pos="1340" w:val="left"/>
        </w:tabs>
        <w:rPr>
          <w:sz w:val="20"/>
          <w:szCs w:val="20"/>
          <w:color w:val="auto"/>
        </w:rPr>
      </w:pPr>
      <w:r>
        <w:rPr>
          <w:rFonts w:ascii="Arial" w:cs="Arial" w:eastAsia="Arial" w:hAnsi="Arial"/>
          <w:sz w:val="18"/>
          <w:szCs w:val="18"/>
          <w:color w:val="auto"/>
        </w:rPr>
        <w:t>4.1</w:t>
        <w:tab/>
        <w:t>See Exhibits 3.1, 3.2 and 3.3 for provisions of the Restated Articles of Incorporation, as amended, and Amended and Restated Bylaws, which define the rights of the Shareholders.</w:t>
      </w:r>
    </w:p>
    <w:p>
      <w:pPr>
        <w:spacing w:after="0" w:line="76" w:lineRule="exact"/>
        <w:rPr>
          <w:sz w:val="20"/>
          <w:szCs w:val="20"/>
          <w:color w:val="auto"/>
        </w:rPr>
      </w:pPr>
    </w:p>
    <w:p>
      <w:pPr>
        <w:ind w:left="1360" w:hanging="445"/>
        <w:spacing w:after="0" w:line="264" w:lineRule="auto"/>
        <w:rPr>
          <w:sz w:val="20"/>
          <w:szCs w:val="20"/>
          <w:color w:val="auto"/>
        </w:rPr>
      </w:pPr>
      <w:r>
        <w:rPr>
          <w:rFonts w:ascii="Arial" w:cs="Arial" w:eastAsia="Arial" w:hAnsi="Arial"/>
          <w:sz w:val="18"/>
          <w:szCs w:val="18"/>
          <w:color w:val="auto"/>
        </w:rPr>
        <w:t>10.1 Amendment No. 1 to United Community Banks, Inc.’s Amended and Restated 2000 Key Employee Stock Option Plan (incorporated herein by reference to Exhibit 10.1 to United Community Banks, Inc.’s Form 8-K date April 13, 2007, File No. 0-21656, filed with the Commission on April 13, 2007).</w:t>
      </w:r>
    </w:p>
    <w:p>
      <w:pPr>
        <w:spacing w:after="0" w:line="87" w:lineRule="exact"/>
        <w:rPr>
          <w:sz w:val="20"/>
          <w:szCs w:val="20"/>
          <w:color w:val="auto"/>
        </w:rPr>
      </w:pPr>
    </w:p>
    <w:p>
      <w:pPr>
        <w:ind w:left="1360" w:right="300" w:hanging="445"/>
        <w:spacing w:after="0" w:line="264" w:lineRule="auto"/>
        <w:rPr>
          <w:sz w:val="20"/>
          <w:szCs w:val="20"/>
          <w:color w:val="auto"/>
        </w:rPr>
      </w:pPr>
      <w:r>
        <w:rPr>
          <w:rFonts w:ascii="Arial" w:cs="Arial" w:eastAsia="Arial" w:hAnsi="Arial"/>
          <w:sz w:val="18"/>
          <w:szCs w:val="18"/>
          <w:color w:val="auto"/>
        </w:rPr>
        <w:t>10.2 United Community Banks, Inc.’s Amended and Restated 2000 Key Employee Stock Option Plan (incorporated herein by reference to Exhibit 10.1 to United Community Banks, Inc.’s Form 8-K dated May 1, 2007, File No. 0-21656, filed with the Commission on May 1, 2007).</w:t>
      </w:r>
    </w:p>
    <w:p>
      <w:pPr>
        <w:spacing w:after="0" w:line="87" w:lineRule="exact"/>
        <w:rPr>
          <w:sz w:val="20"/>
          <w:szCs w:val="20"/>
          <w:color w:val="auto"/>
        </w:rPr>
      </w:pPr>
    </w:p>
    <w:p>
      <w:pPr>
        <w:ind w:left="1360" w:right="420" w:hanging="445"/>
        <w:spacing w:after="0" w:line="277" w:lineRule="auto"/>
        <w:rPr>
          <w:sz w:val="20"/>
          <w:szCs w:val="20"/>
          <w:color w:val="auto"/>
        </w:rPr>
      </w:pPr>
      <w:r>
        <w:rPr>
          <w:rFonts w:ascii="Arial" w:cs="Arial" w:eastAsia="Arial" w:hAnsi="Arial"/>
          <w:sz w:val="18"/>
          <w:szCs w:val="18"/>
          <w:color w:val="auto"/>
        </w:rPr>
        <w:t>10.3 United Community Banks, Inc.’s Management Incentive Plan (incorporated herein by reference to Exhibit 10.5 to United Community Banks, Inc.’s Form 8-K dated May 1, 2007, File No. 0-21656, filed with the Commission on May 1, 2007).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60" w:right="140" w:hanging="445"/>
        <w:spacing w:after="0" w:line="277" w:lineRule="auto"/>
        <w:rPr>
          <w:sz w:val="20"/>
          <w:szCs w:val="20"/>
          <w:color w:val="auto"/>
        </w:rPr>
      </w:pPr>
      <w:r>
        <w:rPr>
          <w:rFonts w:ascii="Arial" w:cs="Arial" w:eastAsia="Arial" w:hAnsi="Arial"/>
          <w:sz w:val="18"/>
          <w:szCs w:val="18"/>
          <w:color w:val="auto"/>
        </w:rPr>
        <w:t>31.1 Certification by Jimmy C. Tallent, President and Chief Executive Officer of United Community Banks, Inc., as adopted pursuant to Section 302 of the Sarbanes-Oxley Act of 2002</w:t>
      </w:r>
    </w:p>
    <w:p>
      <w:pPr>
        <w:spacing w:after="0" w:line="76" w:lineRule="exact"/>
        <w:rPr>
          <w:sz w:val="20"/>
          <w:szCs w:val="20"/>
          <w:color w:val="auto"/>
        </w:rPr>
      </w:pPr>
    </w:p>
    <w:p>
      <w:pPr>
        <w:ind w:left="1360" w:hanging="445"/>
        <w:spacing w:after="0" w:line="277" w:lineRule="auto"/>
        <w:rPr>
          <w:sz w:val="20"/>
          <w:szCs w:val="20"/>
          <w:color w:val="auto"/>
        </w:rPr>
      </w:pPr>
      <w:r>
        <w:rPr>
          <w:rFonts w:ascii="Arial" w:cs="Arial" w:eastAsia="Arial" w:hAnsi="Arial"/>
          <w:sz w:val="18"/>
          <w:szCs w:val="18"/>
          <w:color w:val="auto"/>
        </w:rPr>
        <w:t>31.2 Certification by Rex S. Schuette, Executive Vice President and Chief Financial Officer of United Community Banks, Inc., as adopted pursuant to Section 302 of the Sarbanes-Oxley Act of 2002</w:t>
      </w:r>
    </w:p>
    <w:p>
      <w:pPr>
        <w:spacing w:after="0" w:line="76" w:lineRule="exact"/>
        <w:rPr>
          <w:sz w:val="20"/>
          <w:szCs w:val="20"/>
          <w:color w:val="auto"/>
        </w:rPr>
      </w:pPr>
    </w:p>
    <w:p>
      <w:pPr>
        <w:jc w:val="center"/>
        <w:ind w:left="460"/>
        <w:spacing w:after="0"/>
        <w:tabs>
          <w:tab w:leader="none" w:pos="240" w:val="left"/>
        </w:tabs>
        <w:rPr>
          <w:sz w:val="20"/>
          <w:szCs w:val="20"/>
          <w:color w:val="auto"/>
        </w:rPr>
      </w:pPr>
      <w:r>
        <w:rPr>
          <w:rFonts w:ascii="Arial" w:cs="Arial" w:eastAsia="Arial" w:hAnsi="Arial"/>
          <w:sz w:val="18"/>
          <w:szCs w:val="18"/>
          <w:color w:val="auto"/>
        </w:rPr>
        <w:t>32</w:t>
        <w:tab/>
        <w:t>Certification Pursuant to 18 U.S.C. Section 1350, as Adopted Pursuant to Section 906 of the Sarbanes-Oxley Act of 2002</w:t>
      </w:r>
    </w:p>
    <w:p>
      <w:pPr>
        <w:spacing w:after="0" w:line="32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 (Principal</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 Officer)</w:t>
      </w:r>
    </w:p>
    <w:p>
      <w:pPr>
        <w:spacing w:after="0" w:line="200" w:lineRule="exact"/>
        <w:rPr>
          <w:sz w:val="20"/>
          <w:szCs w:val="20"/>
          <w:color w:val="auto"/>
        </w:rPr>
      </w:pPr>
    </w:p>
    <w:p>
      <w:pPr>
        <w:spacing w:after="0" w:line="227" w:lineRule="exact"/>
        <w:rPr>
          <w:sz w:val="20"/>
          <w:szCs w:val="20"/>
          <w:color w:val="auto"/>
        </w:rPr>
      </w:pPr>
    </w:p>
    <w:p>
      <w:pPr>
        <w:ind w:left="5500"/>
        <w:spacing w:after="0"/>
        <w:rPr>
          <w:sz w:val="20"/>
          <w:szCs w:val="20"/>
          <w:color w:val="auto"/>
        </w:rPr>
      </w:pP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ind w:left="550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Senior Vice President and Controller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Date: May 9, 2007</w:t>
      </w:r>
    </w:p>
    <w:p>
      <w:pPr>
        <w:spacing w:after="0" w:line="19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240" w:top="419" w:right="699" w:bottom="1440" w:gutter="0" w:footer="0" w:header="0"/>
        </w:sectPr>
      </w:pPr>
    </w:p>
    <w:bookmarkStart w:id="30" w:name="page31"/>
    <w:bookmarkEnd w:id="30"/>
    <w:p>
      <w:pPr>
        <w:ind w:left="5240"/>
        <w:spacing w:after="0"/>
        <w:rPr>
          <w:sz w:val="20"/>
          <w:szCs w:val="20"/>
          <w:color w:val="auto"/>
        </w:rPr>
      </w:pPr>
      <w:r>
        <w:rPr>
          <w:rFonts w:ascii="Arial" w:cs="Arial" w:eastAsia="Arial" w:hAnsi="Arial"/>
          <w:sz w:val="18"/>
          <w:szCs w:val="18"/>
          <w:b w:val="1"/>
          <w:bCs w:val="1"/>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Jimmy C. Tallent, President and Chief Executive Officer of United Community Banks, Inc. (the “registrant”), certify that:</w:t>
      </w:r>
    </w:p>
    <w:p>
      <w:pPr>
        <w:spacing w:after="0" w:line="117"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0" w:firstLine="8"/>
        <w:spacing w:after="0" w:line="264"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60" w:right="100" w:firstLine="4"/>
        <w:spacing w:after="0" w:line="308" w:lineRule="auto"/>
        <w:tabs>
          <w:tab w:leader="none" w:pos="655" w:val="left"/>
        </w:tabs>
        <w:numPr>
          <w:ilvl w:val="1"/>
          <w:numId w:val="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right="640" w:firstLine="8"/>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460" w:firstLine="4"/>
        <w:spacing w:after="0" w:line="277" w:lineRule="auto"/>
        <w:tabs>
          <w:tab w:leader="none" w:pos="645"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40" w:firstLine="4"/>
        <w:spacing w:after="0" w:line="277" w:lineRule="auto"/>
        <w:tabs>
          <w:tab w:leader="none" w:pos="655"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Date: May 9, 2007</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958" w:right="239" w:bottom="1440" w:gutter="0" w:footer="0" w:header="0"/>
        </w:sectPr>
      </w:pPr>
    </w:p>
    <w:bookmarkStart w:id="31" w:name="page32"/>
    <w:bookmarkEnd w:id="31"/>
    <w:p>
      <w:pPr>
        <w:ind w:left="5240"/>
        <w:spacing w:after="0"/>
        <w:rPr>
          <w:sz w:val="20"/>
          <w:szCs w:val="20"/>
          <w:color w:val="auto"/>
        </w:rPr>
      </w:pPr>
      <w:r>
        <w:rPr>
          <w:rFonts w:ascii="Arial" w:cs="Arial" w:eastAsia="Arial" w:hAnsi="Arial"/>
          <w:sz w:val="18"/>
          <w:szCs w:val="18"/>
          <w:b w:val="1"/>
          <w:bCs w:val="1"/>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Rex S. Schuette, Executive Vice President and Chief Financial Officer of United Community Banks, Inc. (the “registrant”), certify that:</w:t>
      </w:r>
    </w:p>
    <w:p>
      <w:pPr>
        <w:spacing w:after="0" w:line="117"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0" w:firstLine="8"/>
        <w:spacing w:after="0" w:line="264"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60" w:right="100" w:firstLine="4"/>
        <w:spacing w:after="0" w:line="308" w:lineRule="auto"/>
        <w:tabs>
          <w:tab w:leader="none" w:pos="655"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right="640" w:firstLine="8"/>
        <w:spacing w:after="0" w:line="277"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460" w:firstLine="4"/>
        <w:spacing w:after="0" w:line="277" w:lineRule="auto"/>
        <w:tabs>
          <w:tab w:leader="none" w:pos="645"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40" w:firstLine="4"/>
        <w:spacing w:after="0" w:line="277" w:lineRule="auto"/>
        <w:tabs>
          <w:tab w:leader="none" w:pos="655"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-130810</wp:posOffset>
            </wp:positionV>
            <wp:extent cx="25984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Date: May 9, 2007</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958" w:right="239" w:bottom="1440" w:gutter="0" w:footer="0" w:header="0"/>
        </w:sectPr>
      </w:pPr>
    </w:p>
    <w:bookmarkStart w:id="32" w:name="page33"/>
    <w:bookmarkEnd w:id="32"/>
    <w:p>
      <w:pPr>
        <w:jc w:val="center"/>
        <w:ind w:right="-159"/>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March 31, 2007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79" w:lineRule="exact"/>
        <w:rPr>
          <w:sz w:val="20"/>
          <w:szCs w:val="20"/>
          <w:color w:val="auto"/>
        </w:rPr>
      </w:pPr>
    </w:p>
    <w:p>
      <w:pPr>
        <w:ind w:left="1120" w:hanging="437"/>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United.</w:t>
      </w:r>
    </w:p>
    <w:p>
      <w:pPr>
        <w:spacing w:after="0" w:line="200" w:lineRule="exact"/>
        <w:rPr>
          <w:sz w:val="20"/>
          <w:szCs w:val="20"/>
          <w:color w:val="auto"/>
        </w:rPr>
      </w:pPr>
    </w:p>
    <w:p>
      <w:pPr>
        <w:spacing w:after="0" w:line="26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-130810</wp:posOffset>
            </wp:positionV>
            <wp:extent cx="25984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-130810</wp:posOffset>
            </wp:positionV>
            <wp:extent cx="25984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Date: May 9, 2007</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sectPr>
      <w:pgSz w:w="11900" w:h="16838" w:orient="portrait"/>
      <w:cols w:equalWidth="0" w:num="1">
        <w:col w:w="11260"/>
      </w:cols>
      <w:pgMar w:left="240" w:top="95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2019-12-13T18:44:19Z</dcterms:created>
  <dcterms:modified xsi:type="dcterms:W3CDTF">2019-12-13T18:44:19Z</dcterms:modified>
</cp:coreProperties>
</file>