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804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91"/>
              </w:rPr>
              <w:t>Georgia</w:t>
            </w:r>
          </w:p>
        </w:tc>
        <w:tc>
          <w:tcPr>
            <w:tcW w:w="150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58-1807304</w:t>
            </w:r>
          </w:p>
        </w:tc>
        <w:tc>
          <w:tcPr>
            <w:tcW w:w="0" w:type="dxa"/>
            <w:vAlign w:val="bottom"/>
          </w:tcPr>
          <w:p>
            <w:pPr>
              <w:spacing w:after="0"/>
              <w:rPr>
                <w:sz w:val="1"/>
                <w:szCs w:val="1"/>
                <w:color w:val="auto"/>
              </w:rPr>
            </w:pPr>
          </w:p>
        </w:tc>
      </w:tr>
      <w:tr>
        <w:trPr>
          <w:trHeight w:val="149"/>
        </w:trPr>
        <w:tc>
          <w:tcPr>
            <w:tcW w:w="8040" w:type="dxa"/>
            <w:vAlign w:val="bottom"/>
            <w:gridSpan w:val="3"/>
          </w:tcPr>
          <w:p>
            <w:pPr>
              <w:jc w:val="center"/>
              <w:ind w:right="22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gridSpan w:val="4"/>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8040" w:type="dxa"/>
            <w:vAlign w:val="bottom"/>
            <w:gridSpan w:val="3"/>
          </w:tcPr>
          <w:p>
            <w:pPr>
              <w:jc w:val="center"/>
              <w:ind w:right="2240"/>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0"/>
        </w:trPr>
        <w:tc>
          <w:tcPr>
            <w:tcW w:w="804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89"/>
              </w:rPr>
              <w:t>125 Highway 515 East, Blairsville, Georgia</w:t>
            </w:r>
          </w:p>
        </w:tc>
        <w:tc>
          <w:tcPr>
            <w:tcW w:w="280" w:type="dxa"/>
            <w:vAlign w:val="bottom"/>
          </w:tcPr>
          <w:p>
            <w:pPr>
              <w:spacing w:after="0"/>
              <w:rPr>
                <w:sz w:val="24"/>
                <w:szCs w:val="2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30512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4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8320" w:type="dxa"/>
            <w:vAlign w:val="bottom"/>
            <w:gridSpan w:val="4"/>
          </w:tcPr>
          <w:p>
            <w:pPr>
              <w:jc w:val="center"/>
              <w:ind w:left="3038"/>
              <w:spacing w:after="0"/>
              <w:rPr>
                <w:sz w:val="20"/>
                <w:szCs w:val="20"/>
                <w:color w:val="auto"/>
              </w:rPr>
            </w:pPr>
            <w:r>
              <w:rPr>
                <w:rFonts w:ascii="Arial" w:cs="Arial" w:eastAsia="Arial" w:hAnsi="Arial"/>
                <w:sz w:val="18"/>
                <w:szCs w:val="18"/>
                <w:b w:val="1"/>
                <w:bCs w:val="1"/>
                <w:color w:val="auto"/>
                <w:w w:val="87"/>
              </w:rPr>
              <w:t>Registrant’s telephone number, including area code: (706) 781-2265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gridSpan w:val="4"/>
          </w:tcPr>
          <w:p>
            <w:pPr>
              <w:jc w:val="center"/>
              <w:ind w:left="3018"/>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40" w:type="dxa"/>
            <w:vAlign w:val="bottom"/>
            <w:gridSpan w:val="3"/>
          </w:tcPr>
          <w:p>
            <w:pPr>
              <w:jc w:val="center"/>
              <w:ind w:left="3298"/>
              <w:spacing w:after="0"/>
              <w:rPr>
                <w:sz w:val="20"/>
                <w:szCs w:val="20"/>
                <w:color w:val="auto"/>
              </w:rPr>
            </w:pPr>
            <w:r>
              <w:rPr>
                <w:rFonts w:ascii="Arial" w:cs="Arial" w:eastAsia="Arial" w:hAnsi="Arial"/>
                <w:sz w:val="18"/>
                <w:szCs w:val="18"/>
                <w:b w:val="1"/>
                <w:bCs w:val="1"/>
                <w:color w:val="auto"/>
                <w:w w:val="86"/>
              </w:rPr>
              <w:t>Name of exchange on which registered: Nasdaq Global Select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04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7"/>
              </w:rPr>
              <w:t>Common Stock, $1.00 par value</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vMerge w:val="restart"/>
          </w:tcPr>
          <w:p>
            <w:pPr>
              <w:ind w:left="10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390"/>
        </w:trPr>
        <w:tc>
          <w:tcPr>
            <w:tcW w:w="83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380" w:type="dxa"/>
            <w:vAlign w:val="bottom"/>
          </w:tcPr>
          <w:p>
            <w:pPr>
              <w:ind w:left="80"/>
              <w:spacing w:after="0"/>
              <w:rPr>
                <w:sz w:val="20"/>
                <w:szCs w:val="20"/>
                <w:color w:val="auto"/>
              </w:rPr>
            </w:pPr>
            <w:r>
              <w:rPr>
                <w:rFonts w:ascii="Arial" w:cs="Arial" w:eastAsia="Arial" w:hAnsi="Arial"/>
                <w:sz w:val="18"/>
                <w:szCs w:val="18"/>
                <w:color w:val="auto"/>
                <w:w w:val="90"/>
              </w:rPr>
              <w:t>Yes</w:t>
            </w:r>
          </w:p>
        </w:tc>
        <w:tc>
          <w:tcPr>
            <w:tcW w:w="30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4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Sections 13 or 15(d) of the Act.</w:t>
            </w:r>
          </w:p>
        </w:tc>
        <w:tc>
          <w:tcPr>
            <w:tcW w:w="280" w:type="dxa"/>
            <w:vAlign w:val="bottom"/>
          </w:tcPr>
          <w:p>
            <w:pPr>
              <w:ind w:left="20"/>
              <w:spacing w:after="0"/>
              <w:rPr>
                <w:sz w:val="20"/>
                <w:szCs w:val="20"/>
                <w:color w:val="auto"/>
              </w:rPr>
            </w:pPr>
            <w:r>
              <w:rPr>
                <w:rFonts w:ascii="Arial" w:cs="Arial" w:eastAsia="Arial" w:hAnsi="Arial"/>
                <w:sz w:val="18"/>
                <w:szCs w:val="18"/>
                <w:color w:val="auto"/>
                <w:w w:val="77"/>
              </w:rPr>
              <w:t>Yes</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No</w:t>
            </w:r>
          </w:p>
        </w:tc>
        <w:tc>
          <w:tcPr>
            <w:tcW w:w="5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1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26"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120" w:space="720"/>
            <w:col w:w="1780" w:space="720"/>
            <w:col w:w="160"/>
          </w:cols>
          <w:pgMar w:left="240" w:top="230" w:right="239" w:bottom="2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120" w:space="720"/>
            <w:col w:w="2020" w:space="480"/>
            <w:col w:w="160"/>
          </w:cols>
          <w:pgMar w:left="240" w:top="230" w:right="239" w:bottom="2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26" w:gutter="0" w:footer="0" w:header="0"/>
          <w:type w:val="continuous"/>
        </w:sectPr>
      </w:pPr>
    </w:p>
    <w:p>
      <w:pPr>
        <w:jc w:val="both"/>
        <w:ind w:right="340"/>
        <w:spacing w:after="0" w:line="335"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$483,964,000 (based on shares held by non-affiliates at $8.57 per share, the closing stock price on the Nasdaq stock market on June 30, 2012).</w:t>
      </w:r>
    </w:p>
    <w:p>
      <w:pPr>
        <w:spacing w:after="0" w:line="88"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As of January 31, 2013, 57,752,268 shares of common stock were issued and outstanding including 42,435,474 voting shares and 15,316,794 non-voting shares. Also outstanding were presently exercisable options to acquire 461,708 shares, presently exercisable warrants to acquire 3,312,470 shares and 131,420 shares issuable under United Community Banks, Inc.’s deferred compensation plan.</w:t>
      </w:r>
    </w:p>
    <w:p>
      <w:pPr>
        <w:spacing w:after="0" w:line="13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the 2013 Annual Meeting of Shareholders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20" w:type="dxa"/>
            <w:vAlign w:val="bottom"/>
            <w:gridSpan w:val="8"/>
          </w:tcPr>
          <w:p>
            <w:pPr>
              <w:ind w:left="74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1200" w:type="dxa"/>
            <w:vAlign w:val="bottom"/>
            <w:gridSpan w:val="6"/>
          </w:tcPr>
          <w:p>
            <w:pPr>
              <w:ind w:left="440"/>
              <w:spacing w:after="0"/>
              <w:rPr>
                <w:sz w:val="20"/>
                <w:szCs w:val="20"/>
                <w:color w:val="auto"/>
              </w:rPr>
            </w:pPr>
            <w:r>
              <w:rPr>
                <w:rFonts w:ascii="Arial" w:cs="Arial" w:eastAsia="Arial" w:hAnsi="Arial"/>
                <w:sz w:val="18"/>
                <w:szCs w:val="18"/>
                <w:b w:val="1"/>
                <w:bCs w:val="1"/>
                <w:color w:val="auto"/>
              </w:rPr>
              <w:t>Item 1.</w:t>
            </w:r>
          </w:p>
        </w:tc>
        <w:tc>
          <w:tcPr>
            <w:tcW w:w="902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1A.</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Risk Factors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1B.</w:t>
            </w:r>
          </w:p>
        </w:tc>
        <w:tc>
          <w:tcPr>
            <w:tcW w:w="21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Unresolved Staff Comments</w:t>
              </w:r>
            </w:hyperlink>
          </w:p>
        </w:tc>
        <w:tc>
          <w:tcPr>
            <w:tcW w:w="692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2.</w:t>
            </w:r>
          </w:p>
        </w:tc>
        <w:tc>
          <w:tcPr>
            <w:tcW w:w="7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5"/>
              </w:rPr>
            </w:pPr>
            <w:hyperlink w:anchor="page24">
              <w:r>
                <w:rPr>
                  <w:rFonts w:ascii="Arial" w:cs="Arial" w:eastAsia="Arial" w:hAnsi="Arial"/>
                  <w:sz w:val="18"/>
                  <w:szCs w:val="18"/>
                  <w:b w:val="1"/>
                  <w:bCs w:val="1"/>
                  <w:color w:val="0000EE"/>
                  <w:w w:val="85"/>
                </w:rPr>
                <w:t>Properties</w:t>
              </w:r>
            </w:hyperlink>
          </w:p>
        </w:tc>
        <w:tc>
          <w:tcPr>
            <w:tcW w:w="824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3.</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Legal Proceedings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4.</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Mine Safety Disclosures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304"/>
        </w:trPr>
        <w:tc>
          <w:tcPr>
            <w:tcW w:w="1200" w:type="dxa"/>
            <w:vAlign w:val="bottom"/>
            <w:gridSpan w:val="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200" w:type="dxa"/>
            <w:vAlign w:val="bottom"/>
            <w:gridSpan w:val="6"/>
          </w:tcPr>
          <w:p>
            <w:pPr>
              <w:ind w:left="440"/>
              <w:spacing w:after="0"/>
              <w:rPr>
                <w:sz w:val="20"/>
                <w:szCs w:val="20"/>
                <w:color w:val="auto"/>
              </w:rPr>
            </w:pPr>
            <w:r>
              <w:rPr>
                <w:rFonts w:ascii="Arial" w:cs="Arial" w:eastAsia="Arial" w:hAnsi="Arial"/>
                <w:sz w:val="18"/>
                <w:szCs w:val="18"/>
                <w:b w:val="1"/>
                <w:bCs w:val="1"/>
                <w:color w:val="auto"/>
              </w:rPr>
              <w:t>Item 5.</w:t>
            </w:r>
          </w:p>
        </w:tc>
        <w:tc>
          <w:tcPr>
            <w:tcW w:w="8180" w:type="dxa"/>
            <w:vAlign w:val="bottom"/>
            <w:tcBorders>
              <w:bottom w:val="single" w:sz="8" w:color="0000EE"/>
            </w:tcBorders>
            <w:gridSpan w:val="20"/>
          </w:tcPr>
          <w:p>
            <w:pPr>
              <w:spacing w:after="0"/>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Market for United’s Common Equity, Related Stockholder Matters and Issuer Purchases of Equity Securities</w:t>
              </w:r>
            </w:hyperlink>
          </w:p>
        </w:tc>
        <w:tc>
          <w:tcPr>
            <w:tcW w:w="8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6.</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Financial Data</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7.</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7A.</w:t>
            </w:r>
          </w:p>
        </w:tc>
        <w:tc>
          <w:tcPr>
            <w:tcW w:w="66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Quantitative and Qualitative Disclosures About Market Risk</w:t>
              </w:r>
            </w:hyperlink>
          </w:p>
        </w:tc>
        <w:tc>
          <w:tcPr>
            <w:tcW w:w="236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8.</w:t>
            </w:r>
          </w:p>
        </w:tc>
        <w:tc>
          <w:tcPr>
            <w:tcW w:w="3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63">
              <w:r>
                <w:rPr>
                  <w:rFonts w:ascii="Arial" w:cs="Arial" w:eastAsia="Arial" w:hAnsi="Arial"/>
                  <w:sz w:val="18"/>
                  <w:szCs w:val="18"/>
                  <w:b w:val="1"/>
                  <w:bCs w:val="1"/>
                  <w:color w:val="0000EE"/>
                  <w:w w:val="87"/>
                </w:rPr>
                <w:t>Financial Statements and Supplementary Data</w:t>
              </w:r>
            </w:hyperlink>
          </w:p>
        </w:tc>
        <w:tc>
          <w:tcPr>
            <w:tcW w:w="1040" w:type="dxa"/>
            <w:vAlign w:val="bottom"/>
            <w:tcBorders>
              <w:top w:val="single" w:sz="8" w:color="0000EE"/>
            </w:tcBorders>
            <w:gridSpan w:val="2"/>
          </w:tcPr>
          <w:p>
            <w:pPr>
              <w:spacing w:after="0"/>
              <w:rPr>
                <w:sz w:val="17"/>
                <w:szCs w:val="17"/>
                <w:color w:val="auto"/>
              </w:rPr>
            </w:pPr>
          </w:p>
        </w:tc>
        <w:tc>
          <w:tcPr>
            <w:tcW w:w="448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62</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9.</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Changes in and Disagreements with Accountants on Accounting and Financial Disclosure</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116</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9A.</w:t>
            </w:r>
          </w:p>
        </w:tc>
        <w:tc>
          <w:tcPr>
            <w:tcW w:w="1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6"/>
              </w:rPr>
            </w:pPr>
            <w:hyperlink w:anchor="page117">
              <w:r>
                <w:rPr>
                  <w:rFonts w:ascii="Arial" w:cs="Arial" w:eastAsia="Arial" w:hAnsi="Arial"/>
                  <w:sz w:val="18"/>
                  <w:szCs w:val="18"/>
                  <w:b w:val="1"/>
                  <w:bCs w:val="1"/>
                  <w:color w:val="0000EE"/>
                  <w:w w:val="86"/>
                </w:rPr>
                <w:t>Controls and Procedures</w:t>
              </w:r>
            </w:hyperlink>
          </w:p>
        </w:tc>
        <w:tc>
          <w:tcPr>
            <w:tcW w:w="4800" w:type="dxa"/>
            <w:vAlign w:val="bottom"/>
            <w:tcBorders>
              <w:top w:val="single" w:sz="8" w:color="0000EE"/>
            </w:tcBorders>
            <w:gridSpan w:val="9"/>
          </w:tcPr>
          <w:p>
            <w:pPr>
              <w:spacing w:after="0"/>
              <w:rPr>
                <w:sz w:val="17"/>
                <w:szCs w:val="17"/>
                <w:color w:val="auto"/>
              </w:rPr>
            </w:pPr>
          </w:p>
        </w:tc>
        <w:tc>
          <w:tcPr>
            <w:tcW w:w="234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116</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9B.</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Other Information</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116</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4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1200" w:type="dxa"/>
            <w:vAlign w:val="bottom"/>
            <w:gridSpan w:val="6"/>
          </w:tcPr>
          <w:p>
            <w:pPr>
              <w:ind w:left="440"/>
              <w:spacing w:after="0"/>
              <w:rPr>
                <w:sz w:val="20"/>
                <w:szCs w:val="20"/>
                <w:color w:val="auto"/>
              </w:rPr>
            </w:pPr>
            <w:r>
              <w:rPr>
                <w:rFonts w:ascii="Arial" w:cs="Arial" w:eastAsia="Arial" w:hAnsi="Arial"/>
                <w:sz w:val="18"/>
                <w:szCs w:val="18"/>
                <w:b w:val="1"/>
                <w:bCs w:val="1"/>
                <w:color w:val="auto"/>
              </w:rPr>
              <w:t>Item 10.</w:t>
            </w:r>
          </w:p>
        </w:tc>
        <w:tc>
          <w:tcPr>
            <w:tcW w:w="9020" w:type="dxa"/>
            <w:vAlign w:val="bottom"/>
            <w:gridSpan w:val="21"/>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Directors, Executive Officers and Corporate Governance</w:t>
              </w:r>
            </w:hyperlink>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11.</w:t>
            </w: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85"/>
              </w:rPr>
            </w:pPr>
            <w:hyperlink w:anchor="page118">
              <w:r>
                <w:rPr>
                  <w:rFonts w:ascii="Arial" w:cs="Arial" w:eastAsia="Arial" w:hAnsi="Arial"/>
                  <w:sz w:val="18"/>
                  <w:szCs w:val="18"/>
                  <w:b w:val="1"/>
                  <w:bCs w:val="1"/>
                  <w:color w:val="0000EE"/>
                  <w:w w:val="85"/>
                </w:rPr>
                <w:t>Executive Compensation</w:t>
              </w:r>
            </w:hyperlink>
          </w:p>
        </w:tc>
        <w:tc>
          <w:tcPr>
            <w:tcW w:w="2400" w:type="dxa"/>
            <w:vAlign w:val="bottom"/>
            <w:tcBorders>
              <w:top w:val="single" w:sz="8" w:color="0000EE"/>
            </w:tcBorders>
            <w:gridSpan w:val="6"/>
          </w:tcPr>
          <w:p>
            <w:pPr>
              <w:spacing w:after="0"/>
              <w:rPr>
                <w:sz w:val="17"/>
                <w:szCs w:val="17"/>
                <w:color w:val="auto"/>
              </w:rPr>
            </w:pPr>
          </w:p>
        </w:tc>
        <w:tc>
          <w:tcPr>
            <w:tcW w:w="476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117</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12.</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Security Ownership of Certain Beneficial Owners and Management and Related Stockholder Matters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117</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13.</w:t>
            </w:r>
          </w:p>
        </w:tc>
        <w:tc>
          <w:tcPr>
            <w:tcW w:w="57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87"/>
              </w:rPr>
            </w:pPr>
            <w:hyperlink w:anchor="page118">
              <w:r>
                <w:rPr>
                  <w:rFonts w:ascii="Arial" w:cs="Arial" w:eastAsia="Arial" w:hAnsi="Arial"/>
                  <w:sz w:val="18"/>
                  <w:szCs w:val="18"/>
                  <w:b w:val="1"/>
                  <w:bCs w:val="1"/>
                  <w:color w:val="0000EE"/>
                  <w:w w:val="87"/>
                </w:rPr>
                <w:t>Certain Relationships and Related Transactions, and Director Independence</w:t>
              </w:r>
            </w:hyperlink>
          </w:p>
        </w:tc>
        <w:tc>
          <w:tcPr>
            <w:tcW w:w="1880" w:type="dxa"/>
            <w:vAlign w:val="bottom"/>
            <w:tcBorders>
              <w:top w:val="single" w:sz="8" w:color="0000EE"/>
            </w:tcBorders>
            <w:gridSpan w:val="3"/>
          </w:tcPr>
          <w:p>
            <w:pPr>
              <w:spacing w:after="0"/>
              <w:rPr>
                <w:sz w:val="17"/>
                <w:szCs w:val="17"/>
                <w:color w:val="auto"/>
              </w:rPr>
            </w:pPr>
          </w:p>
        </w:tc>
        <w:tc>
          <w:tcPr>
            <w:tcW w:w="142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117</w:t>
            </w:r>
          </w:p>
        </w:tc>
      </w:tr>
      <w:tr>
        <w:trPr>
          <w:trHeight w:val="196"/>
        </w:trPr>
        <w:tc>
          <w:tcPr>
            <w:tcW w:w="1200" w:type="dxa"/>
            <w:vAlign w:val="bottom"/>
            <w:gridSpan w:val="6"/>
          </w:tcPr>
          <w:p>
            <w:pPr>
              <w:ind w:left="440"/>
              <w:spacing w:after="0" w:line="196" w:lineRule="exact"/>
              <w:rPr>
                <w:sz w:val="20"/>
                <w:szCs w:val="20"/>
                <w:color w:val="auto"/>
              </w:rPr>
            </w:pPr>
            <w:r>
              <w:rPr>
                <w:rFonts w:ascii="Arial" w:cs="Arial" w:eastAsia="Arial" w:hAnsi="Arial"/>
                <w:sz w:val="18"/>
                <w:szCs w:val="18"/>
                <w:b w:val="1"/>
                <w:bCs w:val="1"/>
                <w:color w:val="auto"/>
              </w:rPr>
              <w:t>Item 14.</w:t>
            </w: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Principal Accountant Fees and Services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117</w:t>
            </w:r>
          </w:p>
        </w:tc>
      </w:tr>
      <w:tr>
        <w:trPr>
          <w:trHeight w:val="304"/>
        </w:trPr>
        <w:tc>
          <w:tcPr>
            <w:tcW w:w="1200" w:type="dxa"/>
            <w:vAlign w:val="bottom"/>
            <w:gridSpan w:val="6"/>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200" w:type="dxa"/>
            <w:vAlign w:val="bottom"/>
            <w:gridSpan w:val="6"/>
          </w:tcPr>
          <w:p>
            <w:pPr>
              <w:ind w:left="440"/>
              <w:spacing w:after="0"/>
              <w:rPr>
                <w:sz w:val="20"/>
                <w:szCs w:val="20"/>
                <w:color w:val="auto"/>
              </w:rPr>
            </w:pPr>
            <w:r>
              <w:rPr>
                <w:rFonts w:ascii="Arial" w:cs="Arial" w:eastAsia="Arial" w:hAnsi="Arial"/>
                <w:sz w:val="18"/>
                <w:szCs w:val="18"/>
                <w:b w:val="1"/>
                <w:bCs w:val="1"/>
                <w:color w:val="auto"/>
              </w:rPr>
              <w:t>Item 15.</w:t>
            </w:r>
          </w:p>
        </w:tc>
        <w:tc>
          <w:tcPr>
            <w:tcW w:w="9020" w:type="dxa"/>
            <w:vAlign w:val="bottom"/>
            <w:gridSpan w:val="21"/>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Exhibits, Financial Statement Schedules</w:t>
              </w:r>
            </w:hyperlink>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304"/>
        </w:trPr>
        <w:tc>
          <w:tcPr>
            <w:tcW w:w="1200" w:type="dxa"/>
            <w:vAlign w:val="bottom"/>
            <w:gridSpan w:val="6"/>
          </w:tcPr>
          <w:p>
            <w:pPr>
              <w:spacing w:after="0"/>
              <w:rPr>
                <w:rFonts w:ascii="Arial" w:cs="Arial" w:eastAsia="Arial" w:hAnsi="Arial"/>
                <w:sz w:val="18"/>
                <w:szCs w:val="18"/>
                <w:b w:val="1"/>
                <w:bCs w:val="1"/>
                <w:color w:val="0000EE"/>
                <w:w w:val="99"/>
              </w:rPr>
            </w:pPr>
            <w:hyperlink w:anchor="page125">
              <w:r>
                <w:rPr>
                  <w:rFonts w:ascii="Arial" w:cs="Arial" w:eastAsia="Arial" w:hAnsi="Arial"/>
                  <w:sz w:val="18"/>
                  <w:szCs w:val="18"/>
                  <w:b w:val="1"/>
                  <w:bCs w:val="1"/>
                  <w:color w:val="0000EE"/>
                  <w:w w:val="99"/>
                </w:rPr>
                <w:t>SIGNATURES</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3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16"/>
          </w:tcPr>
          <w:p>
            <w:pPr>
              <w:ind w:left="448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as amended (the “BHC Act”), was incorporated under the laws of Georgia in 1987 and commenced operations in 1988 by acquiring 100% of the outstanding shares of Union County Bank, Blairsville, Georgia, now known as United Community Bank, Blairsville, Georgia (the “Bank”).</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their contribution has primarily been to provide United access to new markets with attractive organic growth potential. Organic growth in assets includes growth through existing offices as well as growth at de novo locations and post-acquisition growth at acquired banking offices.</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 emphasize its commitment to community banking, United conducts substantially all of its operations through a community-focused operating model of separate “community banks”, which as of December 31, 2012, operated at 105 locations throughout north Georgia, the Atlanta, Georgia MSA, the Gainesville, Georgia MSA, coastal Georgia, western North Carolina, east Tennessee and the Greenville-Mauldin-Easley, South Carolina MSA. In 2012, United expanded into Greenville, South Carolina by opening a loan production office.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Bank, through its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2012, the Bank originated $370 million of residential mortgage loans throughout its footprint in Georgia, North Carolina and Tennessee for the purchase of homes and to refinance existing mortgage debt. Substantially all of these mortgages were sold into the secondary market without recourse to the Bank, other than for breaches of warranties.</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Acquired in 2000, Brintech, Inc. (“Brintech”), a former subsidiary of the Bank, was a consulting firm for the financial services industry. United sold Brintech on March 31, 2010 and has excluded its results of operations from loss from continuing operations in the consolidated statement of operations.</w:t>
      </w:r>
    </w:p>
    <w:p>
      <w:pPr>
        <w:spacing w:after="0" w:line="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which is a subsidiary of the Bank. United also owns a captive insurance subsidiary, United Community Risk Management Services, Inc. (“UCRMSI”) that provides risk management services for United and its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United provides retail brokerage services through an affiliation with a third party broker/dealer.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This Form 10-K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5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were to continue to deteriorate;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United States Department of the Treasury (“Treasury”) may change the terms of our fixed rate cumulative perpetual preferred stock, Series B (the “Series B preferred stock”);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special assessment that may be imposed by the FDIC on all FDIC-insured institutions in the future, similar to the assessment in 2009 that decreased our earnings;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formal investigation by the Securities and Exchange Commission (the “SEC”) or any penalty, sanction or further restatement of our previously issued financial statements that may result from such investigation;</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 and</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spacing w:after="0" w:line="13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 United cautions that the foregoing list of factors is not exclusive, and do not place undue reliance on forward-looking statements. United does not intend to update any forward-looking statement, whether written or oral, relating to the matters discussed in this Form 10-K.</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Board of Governors of the Federal Reserve System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market for banking and bank-related services is highly competitive. United actively competes in its market areas, which include north Georgia, the Atlanta, Georgia MSA, the Gainesville, Georgia MSA, coastal Georgia, western North Carolina, east Tennessee and the Greenville-Mauldin-Easley, South Carolina MSA, with other providers of deposit and credit services. These competitors include other commercial banks, savings banks, savings and loan associations, credit unions, mortgage companies, and brokerage firms.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table on the following page displays the respective percentage of total bank and thrift deposits for the last five years in each county where the Bank has deposit operations. The table also indicates the Bank’s ranking by deposit size in each county. All information in the table was obtained from the Federal Deposit Insurance Corporation Summary of Deposits as of June 30 of each year. The following information only shows market share in deposit gathering, which may not be indicative of market presence in other areas.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 Local Deposit Markets by County—Banks and Savings Institutions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Market Share</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Rank in Market</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3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260" w:type="dxa"/>
            <w:vAlign w:val="bottom"/>
          </w:tcPr>
          <w:p>
            <w:pPr>
              <w:spacing w:after="0"/>
              <w:rPr>
                <w:sz w:val="12"/>
                <w:szCs w:val="12"/>
                <w:color w:val="auto"/>
              </w:rPr>
            </w:pPr>
          </w:p>
        </w:tc>
        <w:tc>
          <w:tcPr>
            <w:tcW w:w="740" w:type="dxa"/>
            <w:vAlign w:val="bottom"/>
            <w:gridSpan w:val="3"/>
          </w:tcPr>
          <w:p>
            <w:pPr>
              <w:jc w:val="right"/>
              <w:ind w:right="360"/>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w w:val="83"/>
              </w:rPr>
              <w:t>2009</w:t>
            </w:r>
          </w:p>
        </w:tc>
        <w:tc>
          <w:tcPr>
            <w:tcW w:w="3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w w:val="76"/>
              </w:rPr>
              <w:t>2008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w w:val="76"/>
              </w:rPr>
              <w:t>2012</w:t>
            </w: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14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w w:val="76"/>
              </w:rPr>
              <w:t>2009</w:t>
            </w:r>
          </w:p>
        </w:tc>
        <w:tc>
          <w:tcPr>
            <w:tcW w:w="2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w w:val="76"/>
              </w:rPr>
              <w:t>2008</w:t>
            </w:r>
          </w:p>
        </w:tc>
        <w:tc>
          <w:tcPr>
            <w:tcW w:w="100" w:type="dxa"/>
            <w:vAlign w:val="bottom"/>
          </w:tcPr>
          <w:p>
            <w:pPr>
              <w:spacing w:after="0"/>
              <w:rPr>
                <w:sz w:val="12"/>
                <w:szCs w:val="12"/>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Atlanta, Georgia MSA</w:t>
            </w: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Bartow</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12%</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Carroll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Cherokee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Cobb</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Coweta</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Dawson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DeKalb</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Douglas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Fayette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Forsyth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Fulton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Gwinnett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Henry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Newton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Paulding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Pickens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Rockdale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Walton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Gainesville, Georgia MSA</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Hall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North Georgia</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Chattooga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Fannin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49</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Floyd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Gilmer</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Habersham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Jackson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Lumpkin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Rabun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Towns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Union</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86</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White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Blount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Bradley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Knox</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Loudon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McMinn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Monroe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Roane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Coastal Georgia</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Chatham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Glynn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North Carolina</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Cherokee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Graham</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72</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Haywood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Henderson</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Jackson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Macon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Mitchell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Swain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Transylvania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Watauga</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Yancey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Bank makes both secured and unsecured loans to individuals, firms, and corporations. Secured loans include first and second real estate mortgage loans and commercial loans secured by non-real estate assets. The Bank also makes direct installment loans to consumers on both a secured and unsecured basis. At December 31, 2012, commercial (secured by real estate), commercial (commercial and industrial), commercial construction, residential mortgage, residential construction, and consumer installment loans represented approximately 43%, 11%, 4%, 29%, 9% and 4%, respectively, of United’s total loan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ectPr>
          <w:pgSz w:w="11900" w:h="16838" w:orient="portrait"/>
          <w:cols w:equalWidth="0" w:num="1">
            <w:col w:w="11380"/>
          </w:cols>
          <w:pgMar w:left="240" w:top="459" w:right="27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Type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Commercial (secured by real estate)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Risk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225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Loan portfolio concentrations; declines in general economic conditions and occupancy rates; business failure and lack of a suitable alternative use for property; environmental contamination.</w:t>
      </w:r>
    </w:p>
    <w:p>
      <w:pPr>
        <w:spacing w:after="0" w:line="78"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spacing w:after="0"/>
        <w:tabs>
          <w:tab w:leader="none" w:pos="3640" w:val="left"/>
        </w:tabs>
        <w:rPr>
          <w:sz w:val="20"/>
          <w:szCs w:val="20"/>
          <w:color w:val="auto"/>
        </w:rPr>
      </w:pPr>
      <w:r>
        <w:rPr>
          <w:rFonts w:ascii="Arial" w:cs="Arial" w:eastAsia="Arial" w:hAnsi="Arial"/>
          <w:sz w:val="18"/>
          <w:szCs w:val="18"/>
          <w:color w:val="auto"/>
        </w:rPr>
        <w:t>Commercial (commercial and industrial)</w:t>
      </w:r>
      <w:r>
        <w:rPr>
          <w:sz w:val="20"/>
          <w:szCs w:val="20"/>
          <w:color w:val="auto"/>
        </w:rPr>
        <w:tab/>
      </w:r>
      <w:r>
        <w:rPr>
          <w:rFonts w:ascii="Arial" w:cs="Arial" w:eastAsia="Arial" w:hAnsi="Arial"/>
          <w:sz w:val="16"/>
          <w:szCs w:val="16"/>
          <w:color w:val="auto"/>
        </w:rPr>
        <w:t>Industry concentrations; inability to monitor the condition of collateral (inventory, accounts receivable and</w:t>
      </w:r>
    </w:p>
    <w:p>
      <w:pPr>
        <w:spacing w:after="0" w:line="15" w:lineRule="exact"/>
        <w:rPr>
          <w:sz w:val="20"/>
          <w:szCs w:val="20"/>
          <w:color w:val="auto"/>
        </w:rPr>
      </w:pPr>
    </w:p>
    <w:p>
      <w:pPr>
        <w:ind w:left="3660" w:right="320"/>
        <w:spacing w:after="0" w:line="323" w:lineRule="auto"/>
        <w:rPr>
          <w:sz w:val="20"/>
          <w:szCs w:val="20"/>
          <w:color w:val="auto"/>
        </w:rPr>
      </w:pPr>
      <w:r>
        <w:rPr>
          <w:rFonts w:ascii="Arial" w:cs="Arial" w:eastAsia="Arial" w:hAnsi="Arial"/>
          <w:sz w:val="16"/>
          <w:szCs w:val="16"/>
          <w:color w:val="auto"/>
        </w:rPr>
        <w:t>other non-real estate assets); use of specialized or obsolete equipment as collateral; insufficient cash flow from operations to service debt payments; declines in general economic conditions.</w:t>
      </w:r>
    </w:p>
    <w:p>
      <w:pPr>
        <w:spacing w:after="0" w:line="39"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Commercial construction</w:t>
      </w:r>
      <w:r>
        <w:rPr>
          <w:sz w:val="20"/>
          <w:szCs w:val="20"/>
          <w:color w:val="auto"/>
        </w:rPr>
        <w:tab/>
      </w:r>
      <w:r>
        <w:rPr>
          <w:rFonts w:ascii="Arial" w:cs="Arial" w:eastAsia="Arial" w:hAnsi="Arial"/>
          <w:sz w:val="15"/>
          <w:szCs w:val="15"/>
          <w:color w:val="auto"/>
        </w:rPr>
        <w:t>Loan portfolio concentrations; inadequate long-term financing arrangements; cost overruns, changes in</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market demand for property.</w:t>
      </w:r>
    </w:p>
    <w:p>
      <w:pPr>
        <w:spacing w:after="0" w:line="111"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Residential mortgage</w:t>
      </w:r>
      <w:r>
        <w:rPr>
          <w:sz w:val="20"/>
          <w:szCs w:val="20"/>
          <w:color w:val="auto"/>
        </w:rPr>
        <w:tab/>
      </w:r>
      <w:r>
        <w:rPr>
          <w:rFonts w:ascii="Arial" w:cs="Arial" w:eastAsia="Arial" w:hAnsi="Arial"/>
          <w:sz w:val="16"/>
          <w:szCs w:val="16"/>
          <w:color w:val="auto"/>
        </w:rPr>
        <w:t>Loan portfolio concentrations; changes in general economic conditions or in the local economy; loss of</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borrower’s employment; insufficient collateral value due to decline in property value.</w:t>
      </w:r>
    </w:p>
    <w:p>
      <w:pPr>
        <w:spacing w:after="0" w:line="111"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Residential construction</w:t>
      </w:r>
      <w:r>
        <w:rPr>
          <w:sz w:val="20"/>
          <w:szCs w:val="20"/>
          <w:color w:val="auto"/>
        </w:rPr>
        <w:tab/>
      </w:r>
      <w:r>
        <w:rPr>
          <w:rFonts w:ascii="Arial" w:cs="Arial" w:eastAsia="Arial" w:hAnsi="Arial"/>
          <w:sz w:val="15"/>
          <w:szCs w:val="15"/>
          <w:color w:val="auto"/>
        </w:rPr>
        <w:t>Loan portfolio concentrations; inadequate long-term financing arrangements; cost overruns, changes in</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market demand for property.</w:t>
      </w:r>
    </w:p>
    <w:p>
      <w:pPr>
        <w:spacing w:after="0" w:line="111"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Consumer installment</w:t>
      </w:r>
      <w:r>
        <w:rPr>
          <w:sz w:val="20"/>
          <w:szCs w:val="20"/>
          <w:color w:val="auto"/>
        </w:rPr>
        <w:tab/>
      </w:r>
      <w:r>
        <w:rPr>
          <w:rFonts w:ascii="Arial" w:cs="Arial" w:eastAsia="Arial" w:hAnsi="Arial"/>
          <w:sz w:val="16"/>
          <w:szCs w:val="16"/>
          <w:color w:val="auto"/>
        </w:rPr>
        <w:t>Loss of borrower’s employment; changes in local economy; the inability to monitor collateral.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Policy</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Bank makes loans primarily to persons or businesses that reside, work, own property, or operate in its primary market areas. Unsecured loans are generally made only to persons who qualify for such credit based on net worth, income and liquidity. Secured loans are made to persons who are well established and have net worth, collateral, and cash flow to support the loan. Exceptions to the Bank’s policies are permitted on a case-by-case basis. Major policy exceptions require the approving officer to document the reason for the exception. Loans exceeding the lending officer’s credit limit must be approved through the credit approval process involving Regional Credit Managers.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At December 31, 2012, the Bank’s legal lending limit was $162 million; however, the Board of Directors has established an internal lending limit of $20 million. All loans to borrowers for any individual real estate project that exceeds $12 million or whose total aggregate borrowing relationship exceed $15 million require the approval of two Bank directors and must be reported quarterly to the Bank’s Board of Directors for ratification.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Credit Managers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United utilizes its Regional Credit Managers to provide credit administration support to the Bank as needed. The Regional Credit Managers have joint lending approval authority with the Community Bank Presidents within varying limits set by Credit Administration based on characteristics of each market. The Regional Credit Managers also provide credit underwriting support as needed by the community banks they serve.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420" w:type="dxa"/>
            <w:vAlign w:val="bottom"/>
          </w:tcPr>
          <w:p>
            <w:pPr>
              <w:ind w:left="20"/>
              <w:spacing w:after="0"/>
              <w:rPr>
                <w:sz w:val="20"/>
                <w:szCs w:val="20"/>
                <w:color w:val="auto"/>
              </w:rPr>
            </w:pPr>
            <w:r>
              <w:rPr>
                <w:rFonts w:ascii="Arial" w:cs="Arial" w:eastAsia="Arial" w:hAnsi="Arial"/>
                <w:sz w:val="18"/>
                <w:szCs w:val="18"/>
                <w:color w:val="auto"/>
              </w:rPr>
              <w:t>(Watch)</w:t>
            </w:r>
          </w:p>
        </w:tc>
        <w:tc>
          <w:tcPr>
            <w:tcW w:w="9840" w:type="dxa"/>
            <w:vAlign w:val="bottom"/>
          </w:tcPr>
          <w:p>
            <w:pPr>
              <w:ind w:left="420"/>
              <w:spacing w:after="0"/>
              <w:rPr>
                <w:sz w:val="20"/>
                <w:szCs w:val="20"/>
                <w:color w:val="auto"/>
              </w:rPr>
            </w:pPr>
            <w:r>
              <w:rPr>
                <w:rFonts w:ascii="Arial" w:cs="Arial" w:eastAsia="Arial" w:hAnsi="Arial"/>
                <w:sz w:val="18"/>
                <w:szCs w:val="18"/>
                <w:color w:val="auto"/>
                <w:w w:val="91"/>
              </w:rPr>
              <w:t>Loans in this category are presently protected from apparent loss; however weaknesses exist that could cause future impairment,</w:t>
            </w:r>
          </w:p>
        </w:tc>
      </w:tr>
      <w:tr>
        <w:trPr>
          <w:trHeight w:val="216"/>
        </w:trPr>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90"/>
              </w:rPr>
              <w:t>including the deterioration of financial ratios, past-due status and questionable management capabilities. These loans require more</w:t>
            </w:r>
          </w:p>
        </w:tc>
      </w:tr>
      <w:tr>
        <w:trPr>
          <w:trHeight w:val="216"/>
        </w:trPr>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96"/>
              </w:rPr>
              <w:t>than the ordinary amount of supervision. Collateral values generally afford adequate coverage, but may not be immediately</w:t>
            </w:r>
          </w:p>
        </w:tc>
      </w:tr>
      <w:tr>
        <w:trPr>
          <w:trHeight w:val="222"/>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marketable.</w:t>
            </w:r>
          </w:p>
        </w:tc>
      </w:tr>
      <w:tr>
        <w:trPr>
          <w:trHeight w:val="318"/>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42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840" w:type="dxa"/>
            <w:vAlign w:val="bottom"/>
          </w:tcPr>
          <w:p>
            <w:pPr>
              <w:ind w:left="420"/>
              <w:spacing w:after="0"/>
              <w:rPr>
                <w:sz w:val="20"/>
                <w:szCs w:val="20"/>
                <w:color w:val="auto"/>
              </w:rPr>
            </w:pPr>
            <w:r>
              <w:rPr>
                <w:rFonts w:ascii="Arial" w:cs="Arial" w:eastAsia="Arial" w:hAnsi="Arial"/>
                <w:sz w:val="18"/>
                <w:szCs w:val="18"/>
                <w:color w:val="auto"/>
                <w:w w:val="93"/>
              </w:rPr>
              <w:t>These loans are inadequately protected by the current net worth and paying capacity of the obligor or by the collateral pledged.</w:t>
            </w:r>
          </w:p>
        </w:tc>
      </w:tr>
      <w:tr>
        <w:trPr>
          <w:trHeight w:val="216"/>
        </w:trPr>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88"/>
              </w:rPr>
              <w:t>Specific and well-defined weaknesses exist that may include poor liquidity and deterioration of financial ratios. The loan may be past-</w:t>
            </w:r>
          </w:p>
        </w:tc>
      </w:tr>
      <w:tr>
        <w:trPr>
          <w:trHeight w:val="216"/>
        </w:trPr>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94"/>
              </w:rPr>
              <w:t>due and related deposit accounts experiencing overdrafts. There is the distinct possibility that United will sustain some loss if</w:t>
            </w:r>
          </w:p>
        </w:tc>
      </w:tr>
      <w:tr>
        <w:trPr>
          <w:trHeight w:val="222"/>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deficiencies are not corrected. If possible, immediate corrective action is taken.</w:t>
            </w:r>
          </w:p>
        </w:tc>
      </w:tr>
      <w:tr>
        <w:trPr>
          <w:trHeight w:val="318"/>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420" w:type="dxa"/>
            <w:vAlign w:val="bottom"/>
          </w:tcPr>
          <w:p>
            <w:pPr>
              <w:ind w:left="20"/>
              <w:spacing w:after="0"/>
              <w:rPr>
                <w:sz w:val="20"/>
                <w:szCs w:val="20"/>
                <w:color w:val="auto"/>
              </w:rPr>
            </w:pPr>
            <w:r>
              <w:rPr>
                <w:rFonts w:ascii="Arial" w:cs="Arial" w:eastAsia="Arial" w:hAnsi="Arial"/>
                <w:sz w:val="18"/>
                <w:szCs w:val="18"/>
                <w:color w:val="auto"/>
              </w:rPr>
              <w:t>(Doubtful)</w:t>
            </w:r>
          </w:p>
        </w:tc>
        <w:tc>
          <w:tcPr>
            <w:tcW w:w="9840" w:type="dxa"/>
            <w:vAlign w:val="bottom"/>
          </w:tcPr>
          <w:p>
            <w:pPr>
              <w:ind w:left="420"/>
              <w:spacing w:after="0"/>
              <w:rPr>
                <w:sz w:val="20"/>
                <w:szCs w:val="20"/>
                <w:color w:val="auto"/>
              </w:rPr>
            </w:pPr>
            <w:r>
              <w:rPr>
                <w:rFonts w:ascii="Arial" w:cs="Arial" w:eastAsia="Arial" w:hAnsi="Arial"/>
                <w:sz w:val="18"/>
                <w:szCs w:val="18"/>
                <w:color w:val="auto"/>
                <w:w w:val="94"/>
              </w:rPr>
              <w:t>Specific weaknesses characterized as Substandard that are severe enough to make collection in full highly questionable and</w:t>
            </w:r>
          </w:p>
        </w:tc>
      </w:tr>
      <w:tr>
        <w:trPr>
          <w:trHeight w:val="222"/>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improbable. There is no reliable secondary source of full repayment.</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840" w:type="dxa"/>
            <w:vAlign w:val="bottom"/>
          </w:tcPr>
          <w:p>
            <w:pPr>
              <w:ind w:left="420"/>
              <w:spacing w:after="0"/>
              <w:rPr>
                <w:sz w:val="20"/>
                <w:szCs w:val="20"/>
                <w:color w:val="auto"/>
              </w:rPr>
            </w:pPr>
            <w:r>
              <w:rPr>
                <w:rFonts w:ascii="Arial" w:cs="Arial" w:eastAsia="Arial" w:hAnsi="Arial"/>
                <w:sz w:val="18"/>
                <w:szCs w:val="18"/>
                <w:color w:val="auto"/>
                <w:w w:val="88"/>
              </w:rPr>
              <w:t>Loans categorized as Loss have the same characteristics as Doubtful, however, probability of loss is certain. Loans classified as Loss</w:t>
            </w:r>
          </w:p>
        </w:tc>
      </w:tr>
      <w:tr>
        <w:trPr>
          <w:trHeight w:val="222"/>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are charged-off.</w:t>
            </w:r>
          </w:p>
        </w:tc>
      </w:tr>
    </w:tbl>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Credit Administration, with supervision and input from Accounting, prepares a quarterly analysis to determine the adequacy of the Allowance for Loan Losses (“ALL”). The ALL analysis starts with total loans and subtracts loans fully secured by deposit accounts at the Bank, which effectively have no risk of loss. Next, all loans that are considered impaired are individually reviewed and assigned a specific reserve if one is warranted. Most collateral dependent impaired loans with specific reserves are charged down to net realizable value. The remaining loan balance for each major loan category is then multiplied by its respective loss factor that is derived from the average historical loss rate for the preceding two year period, weighted toward the most recent quarters, and adjusted to reflect current economic conditions. Loss factors for these loans are determined based on historical loss experience by type of loan. The unallocated portion of the allowance is maintained due to imprecision in estimating loss factors and economic and other conditions that cannot be entirely quantified in the analysis.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Committee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United’s asset/liability committee (“ALCO”) is composed of executive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(Part II, Item 7) and</w:t>
      </w:r>
      <w:r>
        <w:rPr>
          <w:rFonts w:ascii="Arial" w:cs="Arial" w:eastAsia="Arial" w:hAnsi="Arial"/>
          <w:sz w:val="16"/>
          <w:szCs w:val="16"/>
          <w:i w:val="1"/>
          <w:iCs w:val="1"/>
          <w:color w:val="auto"/>
        </w:rPr>
        <w:t xml:space="preserve"> Quantitative and Qualitative Disclosures About Market Risk </w:t>
      </w:r>
      <w:r>
        <w:rPr>
          <w:rFonts w:ascii="Arial" w:cs="Arial" w:eastAsia="Arial" w:hAnsi="Arial"/>
          <w:sz w:val="16"/>
          <w:szCs w:val="16"/>
          <w:color w:val="auto"/>
        </w:rPr>
        <w:t>(Part II, Item 7A) sections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9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or a committee thereof.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of December 31, 2012, United and its subsidiaries had 1,553 full-time equivalent employees. Neither United nor any of its subsidiaries are a party to any collective bargaining agreement and management believes that employee relations are good.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United’s Internet website address is www.ucbi.com. United makes available free of charge through its website Annual Reports on Form 10-K, Quarterly Reports on Form 10-Q and Current Reports on Form 8-K, and amendments to those reports, as soon as reasonably practicable after they are filed with, or furnished to,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Federal Reserve under the Bank Holding Company Act of 1956,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“BHC Act”). United is required to file annual and quarterly financial information with the Federal Reserve and is subject to periodic examination by the Federal Reserve.</w:t>
      </w:r>
    </w:p>
    <w:p>
      <w:pPr>
        <w:spacing w:after="0" w:line="1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3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3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lending, exchanging, transferring, investing for others or safeguarding money or securities;</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financial, investment, or economic advisory services, including advising an investment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underwriting, dealing in or making a market in securities.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and Tennessee and a loan production office in South Carolina; neither the North Carolina Banking Commission (“NCBC”), the Tennessee Department of Financial Institutions (“TDFI”), nor the South Carolina Commissioner of Banking examines or directly regulates out-of-state holding companies.</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 (4) 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Bank and each of its subsidiaries are regularly examined by the FDIC. The Bank, as a state banking association organized under Georgia law, is subject to the supervision of, and is regularly examined by, the DBF. The Bank’s North Carolina branches are subject to examination by the NCBC. The Bank’s Tennessee branches are subject to examination by the TDFI. Both the FDIC and the DBF must grant prior approval of any merger, consolidation or other corporation reorganization involving the Bank.</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Payment of Dividends. </w:t>
      </w:r>
      <w:r>
        <w:rPr>
          <w:rFonts w:ascii="Arial" w:cs="Arial" w:eastAsia="Arial" w:hAnsi="Arial"/>
          <w:sz w:val="16"/>
          <w:szCs w:val="16"/>
          <w:color w:val="auto"/>
        </w:rPr>
        <w:t>United is a legal entity separate and distinct from the Bank. Most of the revenue of United results from dividends paid to it by the Bank.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 are statutory and regulatory requirements applicable to the payment of dividends by the Bank, as well as by United to its shareholders.</w:t>
      </w:r>
    </w:p>
    <w:p>
      <w:pPr>
        <w:spacing w:after="0" w:line="16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Under the regulations of the DBF, a state bank with negative retained earnings may declare dividends by first obtaining the written permission of the DBF. If a state bank has positive retained earnings, it may declare a dividend without DBF approval if it meets all the following requirements:</w:t>
      </w:r>
    </w:p>
    <w:p>
      <w:pPr>
        <w:spacing w:after="0" w:line="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2011, United entered into an informal memorandum of understanding with the Federal Reserve Bank of Atlanta and the DBF (the “Holding Company MOU”). The Holding Company MOU provides, among other things, that United may not incur additional indebtedness, pay cash dividends, make payments on our trust preferred securities or subordinated indebtedness or repurchase outstanding stock without prior approval of the Federal Reserve Bank of Atlanta and the DBF. Additionally, the Holding Company MOU requires that United ensures the Bank functions in a safe and sound manner. United believes it is in compliance with all requirements of the Holding Company MOU.</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Bank is currently subject to an informal memorandum of understanding with the FDIC and the DBF (the “Bank MOU”). The Bank MOU requires, among other things, that the Bank maintain a Tier 1 leverage ratio of at least 8% and a total risk-based capital ratio of at least 10% while the Bank MOU is in place. Additionally, the Bank MOU requires that prior to declaring or paying any cash dividends to United, the Bank must obtain the written consent of its regulators. The Bank believes it is in compliance with all requirements of the Bank MOU.</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5, 2008, United entered into a Letter Agreement and Securities Purchase Agreement (the “TARP Purchase Agreement”) with Treasury under the TARP Capital Purchase Program discussed below, pursuant to which United sold (i) 180,000 shares of United’s Series B Preferred Stock and (ii) a warrant (the “Warrant”) to purchase 426,540 shares (219,909 shares, as adjusted for subsequent stock dividends and a 50% reduction following United’s stock offering in September 2009) of United’s common stock for an aggregate purchase price of $180 million in cash. Pursuant to the terms of the Purchase Agreement, the ability of United to declare or pay dividends or distributions on its common stock is subject to restrictions, including a restriction against increasing dividends from the last quarterly cash dividend per share of ($.45) declared on the common stock prior to December 5, 2008, as adjusted for subsequent stock dividends and other similar actions.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Under rules adopted by the Federal Reserve in November 2011, known as the Comprehensive Capital Analysis and Review (“CCAR”) Rules, bank holding companies with $50 billion or more of total assets are required to submit annual capital plans to the Federal Reserve and generally may pay dividends and repurchase stock only under a capital plan as to which the Federal Reserve has not objected. The CCAR rules will not apply to United for so long as our total consolidated assets remain below $50 billion. However, it is anticipated that United capital ratios will be important factors considered by the Federal Reserve in evaluating whether proposed payments of dividends or stock repurchases may be an unsafe or unsound practices.</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Due to our accumulated deficit (negative retained earnings), the Bank does not have the ability to pay cash dividends to the parent company in 2013 without the approval of the DBF. United did not pay cash dividends on its common stock in 2012, 2011 or 2010.</w:t>
      </w:r>
    </w:p>
    <w:p>
      <w:pPr>
        <w:spacing w:after="0" w:line="126"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 xml:space="preserve">Capital Adequacy. </w:t>
      </w:r>
      <w:r>
        <w:rPr>
          <w:rFonts w:ascii="Arial" w:cs="Arial" w:eastAsia="Arial" w:hAnsi="Arial"/>
          <w:sz w:val="15"/>
          <w:szCs w:val="15"/>
          <w:color w:val="auto"/>
        </w:rPr>
        <w:t>Banks and bank holding companies are subject to various regulatory capital requirements administered by state and federal banking agencies.</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8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Banks and bank holding companies are required to have (1) a minimum level of Total Capital to risk-weighted assets of 8%; and (2) a minimum ratio of Tier 1 Capital to risk-weighted assets of 4%. In addition, the Federal Reserve and the FDIC have established a minimum 3% leverage ratio of Tier 1 Capital to quarterly average total assets for the most highly-rated banks and bank holding companies.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preferred stock and related surplus not meeting the Tier 1 Capital definition, qualifying mandatorily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greater than 4% if it is experiencing or anticipating significant growth or is operating with less than well-diversified risks in the opinion of the Federal Reserve. The FDIC, the Office of the Comptroller of the Currency (the “OCC”) and the Federal Reserve consider interest rate risk in the overall determination of a bank’s capital ratio, requiring banks with greater risk to maintain adequate capital for the risk. For example, regulators frequently require financial institutions with high levels of classified assets to maintain a leverage ratio of at least 8%.</w:t>
      </w:r>
    </w:p>
    <w:p>
      <w:pPr>
        <w:spacing w:after="0" w:line="12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ratio of tangible equity to total assets reaches 2%. Better capitalized institutions are generally subject to less onerous regulation and supervision than banks with lesser amounts of capital.</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1 risk-based ratio of at least 6% and a leverage ratio of at least 5%; (2) an “adequately capitalized” institution has a Total risk-based capital ratio of at least 8%, a Tier 1 risk-based ratio of at least 4% and a leverage ratio of at least 4%; (3) an “undercapitalized” institution has a Total risk-based capital ratio of under 8%, a Tier 1 risk-based ratio of under 4% or a leverage ratio of under 4%; (4) a “significantly undercapitalized” institution has a Total risk-based capital ratio of under 6%, a Tier 1 risk-based ratio of under 3% or a leverage ratio of under 3%; and (5) a “critically undercapitalized” institution has a ratio of tangible equity to total assets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1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Although as of December 31, 2012, the FDIC categorized the Bank as “well-capitalized” under current regulations, regulators expect banks to maintain capital well above the minimum levels. In addition, the Bank MOU requires that the Bank must maintain its Tier I leverage ratio at not less than 8% and its total risk-based capital ratio at not less than 10%.</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federal regulatory authorities’ risk-based capital guidelines parallel the 1988 Capital Accord of the Basel Committee on Banking Supervision (the “Basel Committee”). The Basel Committee is a committee of central banks and bank supervisors/regulators from the major industrialized countries that develops broad policy guidelines for use by each country’s supervisors in determining the supervisory policies they apply. On December 17, 2009, the Basel Committee issued a set of proposals (the “Capital Proposals”) that would significantly revise the definitions of Tier 1 Capital and Tier 2 Capital, with the most significant changes being to Tier 1 Capital. Most notably, the Capital Proposals would disqualify certain structured capital instruments, such as trust preferred securities, from Tier 1 Capital status. The Capital Proposals would also re-emphasize that common equity is the predominant component of Tier 1 Capital by adding a minimum common equity to risk-weighted assets ratio and requiring that goodwill, general intangibles and certain other items that currently must be deducted from Tier 1 Capital instead be deducted from common equity as a component of Tier 1 Capital. The Capital Proposals also leave open the possibility that the Basel Committee will recommend changes to the minimum Tier 1 Capital and Total Capital ratios of 4.0% and 8.0%, respectively.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Concurrently with the release of the Capital Proposals, the Basel Committee also released a set of proposals related to liquidity risk exposure (the “Liquidity Proposals,” and together with the Capital Proposals, the “Basel III Proposals”). The Liquidity Proposals have three key elements, including the implementation of</w:t>
      </w:r>
    </w:p>
    <w:p>
      <w:pPr>
        <w:ind w:right="20" w:firstLine="8"/>
        <w:spacing w:after="0" w:line="253"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“liquidity coverage ratio” designed to ensure that a bank maintains an adequate level of unencumbered, high quality assets sufficient to meet the bank’s liquidity needs over a 30-day time horizon under an acute liquidity stress scenario, (ii) a “net stable funding ratio” designed to promote more medium and long-term funding of the assets and activities of banks over a one-year time horizon, and (iii) a set of monitoring tools that the Basel Committee indicates should be considered as the minimum types of information that banks should report to supervisors and that supervisors should use in monitoring the liquidity risk profiles of supervised entities.</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June 7, 2012, the federal regulatory authorities issued a series of proposed rules that would revise their risk-based and leverage capital requirements and their method for calculating risk-weighted assets to make them consistent with Basel III Proposals and certain provisions of the Dodd-Frank Frank Wall Street Reform and Consumer Protection Act of 2010 (the “Dodd-Frank Act”). The proposed rules would apply to all depository institutions and savings and loan holding companies and all bank holding companies with total consolidated assets of $500 million or more (“banking organizations”). When fully phased in, the proposed rules will require more capital with a greater emphasis on common equity. Specifically, among other things, the proposed rules:</w:t>
      </w:r>
    </w:p>
    <w:p>
      <w:pPr>
        <w:spacing w:after="0" w:line="35" w:lineRule="exact"/>
        <w:rPr>
          <w:sz w:val="20"/>
          <w:szCs w:val="20"/>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new common equity tier 1 minimum capital requirement of 4.5%, a higher minimum tier 1 capital to risk-weighted assets requirement of 6.0% and a higher total capital to risk-weighted assets of 8.0% that would be phased in and fully effective in 2015;</w:t>
      </w:r>
    </w:p>
    <w:p>
      <w:pPr>
        <w:spacing w:after="0" w:line="5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to be considered “well-capitalized”, a new common equity tier 1 capital requirement of 6.5%, a higher tier 1capital to risk-weighted assets requirement of 8.0% and a higher total capital to risk-weighted assets of 10.0% that would be phased in and fully effective in 2015;</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stratifies risk-weighting of mortgage loans from 35-200% and adds 20% risk-weighting for short term unused loan commitments;</w:t>
      </w:r>
    </w:p>
    <w:p>
      <w:pPr>
        <w:spacing w:after="0" w:line="9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assigns higher risk-weightings (150%) to credit exposures that are more than 90 days past due or are on nonaccrual status and certain “high volatility commercial real estate loans” that finance the acquisition, development or construction of real property;</w:t>
      </w:r>
    </w:p>
    <w:p>
      <w:pPr>
        <w:spacing w:after="0" w:line="5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contemplates that, for banking organizations with less than $15 billion in assets, the ability to treat trust preferred securities as tier 1 capital would be phased out over a ten-year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requires that unrealized gains and losses on certain securities holdings be included for purposes of calculating regulatory capital requirements; and</w:t>
      </w:r>
    </w:p>
    <w:p>
      <w:pPr>
        <w:spacing w:after="0" w:line="113"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a banking organization’s capital distributions and certain discretionary bonus payments if the banking organization does not hold a “capital conservation buffer” consisting of an additional 2.5% of common equity tier 1 capital in addition to the amount necessary to meet its minimum risk-based capital requirements that would be phased in and fully effective in 2019.</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 new 4.5% common equity tier 1 capital requirement and 2.5% capital conservation buffer are added, the Basel III proposal would effectively result in a minimum ratio of common equity tier 1 capital to risk-weighted assets of 7%. The proposed rules indicated that the final rule would become effective on January 1, 2013, and the changes set forth in the final rules will be phased in from January 1, 2013 through January 1, 2019; however, the agencies have recently stated that, due to the volume of public comments received, the final rule would not be in effect on January 1, 2013. The timing of the final rule is uncertain at this time.</w:t>
      </w:r>
    </w:p>
    <w:p>
      <w:pPr>
        <w:spacing w:after="0" w:line="1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Dodd-Frank Wall Street Reform and Consumer Protection Act of 2010. </w:t>
      </w:r>
      <w:r>
        <w:rPr>
          <w:rFonts w:ascii="Arial" w:cs="Arial" w:eastAsia="Arial" w:hAnsi="Arial"/>
          <w:sz w:val="18"/>
          <w:szCs w:val="18"/>
          <w:color w:val="auto"/>
        </w:rPr>
        <w:t>The Dodd-Frank Act was enacted on July 21, 2010. The Dodd-Frank Act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sweeping changes in the regulation of financial institutions aimed at strengthening the sound operation of the financial services sector. Among other things, the Dodd-Frank Act includes the following provisions:</w:t>
      </w:r>
    </w:p>
    <w:p>
      <w:pPr>
        <w:spacing w:after="0" w:line="57" w:lineRule="exact"/>
        <w:rPr>
          <w:sz w:val="20"/>
          <w:szCs w:val="20"/>
          <w:color w:val="auto"/>
        </w:rPr>
      </w:pPr>
    </w:p>
    <w:p>
      <w:pPr>
        <w:ind w:left="460" w:right="1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Created a new Consumer Financial Protection Bureau with power to promulgate and enforce consumer protection laws. Depository institutions are subject to the Consumer Financial Protection Bureau’s rule-writing authority, and existing depository institution regulatory agencies retain examination and enforcement authority for such institutions.</w:t>
      </w:r>
    </w:p>
    <w:p>
      <w:pPr>
        <w:spacing w:after="0" w:line="59" w:lineRule="exact"/>
        <w:rPr>
          <w:rFonts w:ascii="Arial" w:cs="Arial" w:eastAsia="Arial" w:hAnsi="Arial"/>
          <w:sz w:val="18"/>
          <w:szCs w:val="18"/>
          <w:color w:val="auto"/>
        </w:rPr>
      </w:pPr>
    </w:p>
    <w:p>
      <w:pPr>
        <w:ind w:left="460" w:right="40" w:hanging="452"/>
        <w:spacing w:after="0" w:line="289"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Established a Financial Stability Oversight Council chaired by the Secretary of the Treasury with authority to identify institutions and practices that might pose a systemic risk. In December 2011, the Federal Reserve Board issued for public comment a notice of proposed rulemaking establishing enhanced prudential standards responsive to these provisions for (1) risk-based capital requirements and leverage limits, (2) stress testing of capital, (3) liquidity requirements, (4) overall risk management requirements, (5) resolution plan and credit exposure reporting, and (6) concentration/credit exposure limits. Most of these proposed rules will not apply to United for so long as its total consolidated assets remain below $50 billion. However, the proposed rules will apply requirements for annual stress testing of capital under one base and two stress scenarios and certain corporate governance provisions requiring, among other things, that each bank holding company establish a risk committee of its board of directors and that that committee include a “risk expert”— apply to bank holding companies with total consolidated assets of $10 billion or more, a size United could grow to through organic growth or acquisitions.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Implemented corporate governance revisions, including with regard to executive compensation and proxy access by shareholders, that apply to all companies whose securities are registered with the SEC, not just financial institutions.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Changed the assessment base for federal deposit insurance from the amount of insured deposits to consolidated assets less tangible capital.</w:t>
      </w:r>
    </w:p>
    <w:p>
      <w:pPr>
        <w:spacing w:after="0" w:line="113"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Provided that interchange fees for debit cards will be set by the Federal Reserve under a restrictive “reasonable and proportional cost” per transaction standard. This provision is known as the “Durbin Amendment.” In June 2011, the Federal Reserve adopted regulations for banks with total assets exceeding $10 billion, setting the maximum permissible interchange fee as the sum of 21 cents per transaction and 5 basis points multiplied by the value of the transaction, with an additional adjustment of up to one cent per transaction if the issuer implements certain fraud-prevention standards. Because United’s total assets fall below $10 billion, this new fee structure had little impact on United.</w:t>
      </w:r>
    </w:p>
    <w:p>
      <w:pPr>
        <w:spacing w:after="0" w:line="34" w:lineRule="exact"/>
        <w:rPr>
          <w:rFonts w:ascii="Arial" w:cs="Arial" w:eastAsia="Arial" w:hAnsi="Arial"/>
          <w:sz w:val="16"/>
          <w:szCs w:val="16"/>
          <w:color w:val="auto"/>
        </w:rPr>
      </w:pPr>
    </w:p>
    <w:p>
      <w:pPr>
        <w:ind w:left="460" w:right="22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Applied the same leverage and risk-based capital requirements that apply to insured depository institutions to most bank holding companies and required the FDIC and Federal Reserve to seek to make their respective capital requirements for state nonmember banks and bank holding companies countercyclical so that capital requirements increase in times of economic expansion and decrease in times of economic contraction.</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Made permanent the $250,000 limit for federal deposit insurance.</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Repealed the federal prohibitions on the payment of interest on demand deposits, thereby permitting depository institutions to pay interest on business transaction and other accounts.</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Required the regulatory agencies to adopt rules that prohibit banks and their affiliates from engaging in proprietary trading and investing in and sponsoring certain unregistered investment companies (defined as hedge funds and private equity funds), with implementation starting as early as July 2012. The statutory provision is commonly called the “Volcker Rule”. In October 2011, regulators proposed rules to implement the Volcker Rule that included an extensive request for comments on the proposal. The proposed rules are highly complex, and many aspects of their application remain uncertain. Their implementation has been delayed into 2013. Based on the proposed rules, United does not currently anticipate that the Volcker Rule will have a material effect on its or the Bank’s operations because neither entity engages in the businesses prohibited by the Volcker Rule.</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Many aspects of the Dodd-Frank Act remain subject to rulemaking and will take effect over several years, making it difficult to anticipate the overall financial impact on us, our customers or the financial industry more generally.</w:t>
      </w:r>
    </w:p>
    <w:p>
      <w:pPr>
        <w:spacing w:after="0" w:line="12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 xml:space="preserve">Troubled Asset Relief Program. </w:t>
      </w:r>
      <w:r>
        <w:rPr>
          <w:rFonts w:ascii="Arial" w:cs="Arial" w:eastAsia="Arial" w:hAnsi="Arial"/>
          <w:sz w:val="16"/>
          <w:szCs w:val="16"/>
          <w:color w:val="auto"/>
        </w:rPr>
        <w:t>On October 3, 2008, the Emergency Economic Stabilization Act of 2008 (“EESA”) was enacted establishing the Troubled</w:t>
      </w:r>
      <w:r>
        <w:rPr>
          <w:rFonts w:ascii="Arial" w:cs="Arial" w:eastAsia="Arial" w:hAnsi="Arial"/>
          <w:sz w:val="16"/>
          <w:szCs w:val="16"/>
          <w:b w:val="1"/>
          <w:bCs w:val="1"/>
          <w:color w:val="auto"/>
        </w:rPr>
        <w:t xml:space="preserve"> </w:t>
      </w:r>
      <w:r>
        <w:rPr>
          <w:rFonts w:ascii="Arial" w:cs="Arial" w:eastAsia="Arial" w:hAnsi="Arial"/>
          <w:sz w:val="16"/>
          <w:szCs w:val="16"/>
          <w:color w:val="auto"/>
        </w:rPr>
        <w:t>Asset Relief Program (“TARP”). On October 14, 2008, Treasury announced its intention to inject capital into U.S. financial institutions under the TARP Capital Purchase Program (“CPP”) and since has injected capital into many financial institutions, including United. On December 5, 2008, United entered into the Purchase Agreement with Treasury under the CPP pursuant to which United sold 180,000 shares of Series B Preferred Stock and the Warrant for an aggregate purchase price of $180 million in cash. In the Purchase Agreement, United is subject to restrictions on its ability to pay dividends on its common stock and make certain repurchases of equity securities, including its common stock, without Treasury’s consent. In addition, United agreed that, until such time as Treasury ceases to own any securities of United acquired pursuant to the Purchase Agreement, United will take all necessary actions to ensure that its benefit plans with respect to its senior executive officers comply with Section 111(b) of EESA as implemented by any guidance or regulation under the EESA and has agreed to not adopt any benefit plans with respect to, or which covers, its senior executive officers that do not comply with the EESA, and the applicable executives have consented to the foregoing. Finally, the Purchase Agreement provides that Treasury may unilaterally amend any provision of the Purchase Agreement to the extent required to comply with any changes in applicable federal law.</w:t>
      </w:r>
    </w:p>
    <w:p>
      <w:pPr>
        <w:spacing w:after="0" w:line="1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Special Inspector General for the Troubled Asset Relief Program (“SIGTARP”), was established pursuant to Section 121 of EESA, and has the duty, among other things, to conduct, supervise, and coordinate audits and investigations of the purchase, management and sale of assets by the Treasury under TARP and the CPP, including the shares of non-voting preferred shares purchased from United.</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American Recovery and Reinvestment Act of 2009. </w:t>
      </w:r>
      <w:r>
        <w:rPr>
          <w:rFonts w:ascii="Arial" w:cs="Arial" w:eastAsia="Arial" w:hAnsi="Arial"/>
          <w:sz w:val="16"/>
          <w:szCs w:val="16"/>
          <w:color w:val="auto"/>
        </w:rPr>
        <w:t>On February 17, 2009, the American Recovery and Reinvestment Act of 2009 (“ARRA”) was enacted.</w:t>
      </w:r>
      <w:r>
        <w:rPr>
          <w:rFonts w:ascii="Arial" w:cs="Arial" w:eastAsia="Arial" w:hAnsi="Arial"/>
          <w:sz w:val="16"/>
          <w:szCs w:val="16"/>
          <w:b w:val="1"/>
          <w:bCs w:val="1"/>
          <w:color w:val="auto"/>
        </w:rPr>
        <w:t xml:space="preserve"> </w:t>
      </w:r>
      <w:r>
        <w:rPr>
          <w:rFonts w:ascii="Arial" w:cs="Arial" w:eastAsia="Arial" w:hAnsi="Arial"/>
          <w:sz w:val="16"/>
          <w:szCs w:val="16"/>
          <w:color w:val="auto"/>
        </w:rPr>
        <w:t>The ARRA, commonly known as the economic stimulus or economic recovery package, includes a wide variety of programs intended to stimulate the economy and provide for extensive infrastructure, energy, health, and education needs. In addition, ARRA imposes additional executive compensation and corporate expenditure limits on all current and future TARP recipients, including United, until the institution has repaid Treasury. This repayment is now permitted under ARRA without penalty and without the need to raise new capital, subject to Treasury’s consultation with the recipient’s appropriate regulatory agency. The executive compensation standards include (i) prohibitions on bonuses, retention awards and other incentive compensation, other than restricted stock grants up to one-third of the executive’s total annual compensation, which do not fully vest during the TARP period, (ii) prohibitions on severance payments for departure from a company, (iii) an expanded clawback of bonuses, retention awards, and incentive compensation if payment is based on materially inaccurate statements of earnings, revenues, gains or other criteria, (iv) prohibitions on compensation plans that encourage manipulation of reported earnings, (v) required establishment of a company-wide policy regarding “excessive or luxury expenditures”, and (vi) inclusion in a participant’s proxy statements for annual shareholder meetings of a nonbinding “say on pay” shareholder vote on the compensation of executives.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Incentive Compensation. </w:t>
      </w:r>
      <w:r>
        <w:rPr>
          <w:rFonts w:ascii="Arial" w:cs="Arial" w:eastAsia="Arial" w:hAnsi="Arial"/>
          <w:sz w:val="16"/>
          <w:szCs w:val="16"/>
          <w:color w:val="auto"/>
        </w:rPr>
        <w:t>In 2010, the federal banking agencies issued guidance on incentive compensation policies (the “Incentive Compensation Guidance”)</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w:t>
      </w:r>
    </w:p>
    <w:p>
      <w:pPr>
        <w:spacing w:after="0" w:line="3" w:lineRule="exact"/>
        <w:rPr>
          <w:sz w:val="20"/>
          <w:szCs w:val="20"/>
          <w:color w:val="auto"/>
        </w:rPr>
      </w:pPr>
    </w:p>
    <w:p>
      <w:pPr>
        <w:ind w:firstLine="8"/>
        <w:spacing w:after="0" w:line="255"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banking agencies have proposed rule-making implementing provisions of the Dodd-Frank Act to prohibit incentive-based compensation plans that expose “covered financial institutions” to inappropriate risks. Covered financial institutions are institutions that have over $1 billion in assets and offer incentive-based compensation programs. The proposed rules would:</w:t>
      </w:r>
    </w:p>
    <w:p>
      <w:pPr>
        <w:spacing w:after="0" w:line="5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incentives that do not encourage risk-taking beyond the organization’s ability to effectively identify and manage risks,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compatible with effective internal controls and risk management, and</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organization’s board of directors and appropriate policies, procedures and monitoring.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scope and content of banking regulators’ policies on executive compensation are continuing to develop and are likely to continue evolving in the near future.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 cannot be determined at this time whether compliance with such policies will adversely affect United’s ability to hire, retain and motivate its key employees.</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Commercial Real Estate. </w:t>
      </w:r>
      <w:r>
        <w:rPr>
          <w:rFonts w:ascii="Arial" w:cs="Arial" w:eastAsia="Arial" w:hAnsi="Arial"/>
          <w:sz w:val="16"/>
          <w:szCs w:val="16"/>
          <w:color w:val="auto"/>
        </w:rPr>
        <w:t>The federal banking agencies, including the FDIC, restrict concentrations in commercial real estate lending and have noted that recent</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16"/>
          <w:szCs w:val="16"/>
          <w:color w:val="auto"/>
        </w:rPr>
        <w:t>United’s impaired loans and foreclosed assets may be measured and carried at “fair value”, the determination of which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estimates and judgments. When a loan is considered impaired, a specific valuation allowance is allocated or a partial charge-off is taken, if necessary, so that the loan is reported net, at the present value of estimated future cash flows using the loan’s existing rate or at the fair value of collateral if repayment is expected solely from the collateral. In addition, foreclosed assets are carried at the lower of cost or “fair value”, less cost to sell, following foreclosure. “Fair value” is defined by accounting principles generally accepted in the United States of America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and allow United to arrive at a fair value, the processes require management judgment and assumptions and the value of such assets at the time they are revalued or divested may be significantly different from management’s determination of fair value. Because of this increased subjectivity in fair value determinations, there is greater than usual grounds for differences in opinions, which may result in increased disagreements between management and the Bank’s regulators, disagreements which could impair the relationship between the Bank and its regulators.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Source of Strength Doctrine. </w:t>
      </w:r>
      <w:r>
        <w:rPr>
          <w:rFonts w:ascii="Arial" w:cs="Arial" w:eastAsia="Arial" w:hAnsi="Arial"/>
          <w:sz w:val="18"/>
          <w:szCs w:val="18"/>
          <w:color w:val="auto"/>
        </w:rPr>
        <w:t>Federal Reserve regulations and policy requires bank holding companies to act as a source of financial and managerial strength 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subsidiary banks. Under this policy, United is expected to commit resources to support the Bank.</w:t>
      </w:r>
    </w:p>
    <w:p>
      <w:pPr>
        <w:spacing w:after="0" w:line="120"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Loans. </w:t>
      </w:r>
      <w:r>
        <w:rPr>
          <w:rFonts w:ascii="Arial" w:cs="Arial" w:eastAsia="Arial" w:hAnsi="Arial"/>
          <w:sz w:val="16"/>
          <w:szCs w:val="16"/>
          <w:color w:val="auto"/>
        </w:rPr>
        <w:t>Inter-agency guidelines adopted by federal bank regulators mandate that financial institutions establish real estate lending policies with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allowable real estate loan-to-value limits, subject to an allowable amount of non-conforming loans as a percentage of capital.</w:t>
      </w:r>
    </w:p>
    <w:p>
      <w:pPr>
        <w:spacing w:after="0" w:line="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Transactions with Affiliates. </w:t>
      </w:r>
      <w:r>
        <w:rPr>
          <w:rFonts w:ascii="Arial" w:cs="Arial" w:eastAsia="Arial" w:hAnsi="Arial"/>
          <w:sz w:val="16"/>
          <w:szCs w:val="16"/>
          <w:color w:val="auto"/>
        </w:rPr>
        <w:t>Under federal law, all transactions between and among a state nonmember bank and its affiliates, which include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Financial Privacy. </w:t>
      </w:r>
      <w:r>
        <w:rPr>
          <w:rFonts w:ascii="Arial" w:cs="Arial" w:eastAsia="Arial" w:hAnsi="Arial"/>
          <w:sz w:val="16"/>
          <w:szCs w:val="16"/>
          <w:color w:val="auto"/>
        </w:rPr>
        <w:t>In accordance with the GLB Act, federal banking regulators adopted rules that limit the ability of banks and other financial institutions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0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Anti-Money Laundering Initiatives and the USA Patriot Act. </w:t>
      </w:r>
      <w:r>
        <w:rPr>
          <w:rFonts w:ascii="Arial" w:cs="Arial" w:eastAsia="Arial" w:hAnsi="Arial"/>
          <w:sz w:val="16"/>
          <w:szCs w:val="16"/>
          <w:color w:val="auto"/>
        </w:rPr>
        <w:t>A major focus of governmental policy on financial institutions in recent years has been aimed at</w:t>
      </w:r>
      <w:r>
        <w:rPr>
          <w:rFonts w:ascii="Arial" w:cs="Arial" w:eastAsia="Arial" w:hAnsi="Arial"/>
          <w:sz w:val="16"/>
          <w:szCs w:val="16"/>
          <w:b w:val="1"/>
          <w:bCs w:val="1"/>
          <w:color w:val="auto"/>
        </w:rPr>
        <w:t xml:space="preserve"> </w:t>
      </w:r>
      <w:r>
        <w:rPr>
          <w:rFonts w:ascii="Arial" w:cs="Arial" w:eastAsia="Arial" w:hAnsi="Arial"/>
          <w:sz w:val="16"/>
          <w:szCs w:val="16"/>
          <w:color w:val="auto"/>
        </w:rPr>
        <w:t>combating 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Future Legislation. </w:t>
      </w:r>
      <w:r>
        <w:rPr>
          <w:rFonts w:ascii="Arial" w:cs="Arial" w:eastAsia="Arial" w:hAnsi="Arial"/>
          <w:sz w:val="18"/>
          <w:szCs w:val="18"/>
          <w:color w:val="auto"/>
        </w:rPr>
        <w:t>Various legislation affecting financial institutions and the financial industry is from time to time introduced in Congress. Such legislation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very unpredictable at this time.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2013,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gridSpan w:val="2"/>
          </w:tcPr>
          <w:p>
            <w:pPr>
              <w:spacing w:after="0"/>
              <w:rPr>
                <w:sz w:val="20"/>
                <w:szCs w:val="20"/>
                <w:color w:val="auto"/>
              </w:rPr>
            </w:pPr>
            <w:r>
              <w:rPr>
                <w:rFonts w:ascii="Arial" w:cs="Arial" w:eastAsia="Arial" w:hAnsi="Arial"/>
                <w:sz w:val="14"/>
                <w:szCs w:val="14"/>
                <w:color w:val="auto"/>
              </w:rPr>
              <w:t>Name (age)</w:t>
            </w:r>
          </w:p>
        </w:tc>
        <w:tc>
          <w:tcPr>
            <w:tcW w:w="800" w:type="dxa"/>
            <w:vAlign w:val="bottom"/>
          </w:tcPr>
          <w:p>
            <w:pPr>
              <w:spacing w:after="0"/>
              <w:rPr>
                <w:sz w:val="15"/>
                <w:szCs w:val="15"/>
                <w:color w:val="auto"/>
              </w:rPr>
            </w:pPr>
          </w:p>
        </w:tc>
        <w:tc>
          <w:tcPr>
            <w:tcW w:w="7000" w:type="dxa"/>
            <w:vAlign w:val="bottom"/>
            <w:gridSpan w:val="2"/>
          </w:tcPr>
          <w:p>
            <w:pPr>
              <w:ind w:left="2580"/>
              <w:spacing w:after="0"/>
              <w:rPr>
                <w:sz w:val="20"/>
                <w:szCs w:val="20"/>
                <w:color w:val="auto"/>
              </w:rPr>
            </w:pPr>
            <w:r>
              <w:rPr>
                <w:rFonts w:ascii="Arial" w:cs="Arial" w:eastAsia="Arial" w:hAnsi="Arial"/>
                <w:sz w:val="14"/>
                <w:szCs w:val="14"/>
                <w:color w:val="auto"/>
              </w:rPr>
              <w:t>Position with United</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Officer of United Since</w:t>
            </w:r>
          </w:p>
        </w:tc>
      </w:tr>
      <w:tr>
        <w:trPr>
          <w:trHeight w:val="209"/>
        </w:trPr>
        <w:tc>
          <w:tcPr>
            <w:tcW w:w="6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5"/>
              </w:rPr>
              <w:t>Jimmy C.</w:t>
            </w:r>
          </w:p>
        </w:tc>
        <w:tc>
          <w:tcPr>
            <w:tcW w:w="1700" w:type="dxa"/>
            <w:vAlign w:val="bottom"/>
          </w:tcPr>
          <w:p>
            <w:pPr>
              <w:ind w:left="80"/>
              <w:spacing w:after="0" w:line="188" w:lineRule="exact"/>
              <w:rPr>
                <w:sz w:val="20"/>
                <w:szCs w:val="20"/>
                <w:color w:val="auto"/>
              </w:rPr>
            </w:pPr>
            <w:r>
              <w:rPr>
                <w:rFonts w:ascii="Arial" w:cs="Arial" w:eastAsia="Arial" w:hAnsi="Arial"/>
                <w:sz w:val="18"/>
                <w:szCs w:val="18"/>
                <w:color w:val="auto"/>
              </w:rPr>
              <w:t>Tallent (60)</w:t>
            </w:r>
          </w:p>
        </w:tc>
        <w:tc>
          <w:tcPr>
            <w:tcW w:w="80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c>
          <w:tcPr>
            <w:tcW w:w="7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1988</w:t>
            </w:r>
          </w:p>
        </w:tc>
      </w:tr>
      <w:tr>
        <w:trPr>
          <w:trHeight w:val="309"/>
        </w:trPr>
        <w:tc>
          <w:tcPr>
            <w:tcW w:w="2360" w:type="dxa"/>
            <w:vAlign w:val="bottom"/>
            <w:gridSpan w:val="2"/>
          </w:tcPr>
          <w:p>
            <w:pPr>
              <w:spacing w:after="0"/>
              <w:rPr>
                <w:sz w:val="20"/>
                <w:szCs w:val="20"/>
                <w:color w:val="auto"/>
              </w:rPr>
            </w:pPr>
            <w:r>
              <w:rPr>
                <w:rFonts w:ascii="Arial" w:cs="Arial" w:eastAsia="Arial" w:hAnsi="Arial"/>
                <w:sz w:val="18"/>
                <w:szCs w:val="18"/>
                <w:color w:val="auto"/>
              </w:rPr>
              <w:t>H. Lynn Harton (51)</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Chief Operating Officer since September 2012; prior to joining United was Executive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Vice President and Special Assistant to the Chief Executive Officer of Toronto-</w:t>
            </w:r>
          </w:p>
        </w:tc>
        <w:tc>
          <w:tcPr>
            <w:tcW w:w="12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Dominion Bank (2010—2012); President and Chief Executive Officer of South</w:t>
            </w:r>
          </w:p>
        </w:tc>
        <w:tc>
          <w:tcPr>
            <w:tcW w:w="12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Financial Group (2009—2010); Chief Risk and Chief Credit Officer of South Financial</w:t>
            </w:r>
          </w:p>
        </w:tc>
        <w:tc>
          <w:tcPr>
            <w:tcW w:w="12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Group (2007—2009); Chief Credit Officer of Regions Financial Corporation (2004—</w:t>
            </w:r>
          </w:p>
        </w:tc>
        <w:tc>
          <w:tcPr>
            <w:tcW w:w="126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060" w:type="dxa"/>
            <w:vAlign w:val="bottom"/>
            <w:gridSpan w:val="2"/>
          </w:tcPr>
          <w:p>
            <w:pPr>
              <w:ind w:left="800"/>
              <w:spacing w:after="0"/>
              <w:rPr>
                <w:sz w:val="20"/>
                <w:szCs w:val="20"/>
                <w:color w:val="auto"/>
              </w:rPr>
            </w:pPr>
            <w:r>
              <w:rPr>
                <w:rFonts w:ascii="Arial" w:cs="Arial" w:eastAsia="Arial" w:hAnsi="Arial"/>
                <w:sz w:val="18"/>
                <w:szCs w:val="18"/>
                <w:color w:val="auto"/>
              </w:rPr>
              <w:t>2007)</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Rex S. Schuette (63)</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Executive Vice President and Chief Financial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2001</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David Shearrow (53)</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Executive Vice President and Chief Risk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color w:val="auto"/>
              </w:rPr>
              <w:t>Bill M. Gilbert (60)</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Director of Banking since January 2013; Regional President of North Georgia and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22"/>
        </w:trPr>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Coastal Georgia (2011—2013); Senior Vice President of Retail Banking (2003—2011)</w:t>
            </w:r>
          </w:p>
        </w:tc>
        <w:tc>
          <w:tcPr>
            <w:tcW w:w="1260" w:type="dxa"/>
            <w:vAlign w:val="bottom"/>
          </w:tcPr>
          <w:p>
            <w:pPr>
              <w:spacing w:after="0"/>
              <w:rPr>
                <w:sz w:val="19"/>
                <w:szCs w:val="19"/>
                <w:color w:val="auto"/>
              </w:rPr>
            </w:pP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color w:val="auto"/>
              </w:rPr>
              <w:t>Tim Schools (43)</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Chief Strategy Officer since January 2013; Regional President of North Carolina and</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Tennessee (November 2011 through 2012); prior to joining United was President (2008</w:t>
            </w:r>
          </w:p>
        </w:tc>
        <w:tc>
          <w:tcPr>
            <w:tcW w:w="126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—2010) and Chief Operating Officer (2007 – 2008) of American Savings Bank, F.S.B.</w:t>
            </w:r>
          </w:p>
        </w:tc>
        <w:tc>
          <w:tcPr>
            <w:tcW w:w="1260" w:type="dxa"/>
            <w:vAlign w:val="bottom"/>
          </w:tcPr>
          <w:p>
            <w:pPr>
              <w:spacing w:after="0"/>
              <w:rPr>
                <w:sz w:val="19"/>
                <w:szCs w:val="19"/>
                <w:color w:val="auto"/>
              </w:rPr>
            </w:pP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color w:val="auto"/>
              </w:rPr>
              <w:t>Ray Skinner (48)</w:t>
            </w: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Senior Vice President, Retail Banking since September 2012; prior to joining United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was Executive Vice President and Chief Banking Officer of Community &amp; Southern</w:t>
            </w:r>
          </w:p>
        </w:tc>
        <w:tc>
          <w:tcPr>
            <w:tcW w:w="12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w w:val="99"/>
              </w:rPr>
              <w:t>Bank (2011—2012), Executive Vice President, Consumer Banking of American Savings</w:t>
            </w:r>
          </w:p>
        </w:tc>
        <w:tc>
          <w:tcPr>
            <w:tcW w:w="126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0" w:type="dxa"/>
            <w:vAlign w:val="bottom"/>
            <w:gridSpan w:val="3"/>
          </w:tcPr>
          <w:p>
            <w:pPr>
              <w:ind w:left="800"/>
              <w:spacing w:after="0"/>
              <w:rPr>
                <w:sz w:val="20"/>
                <w:szCs w:val="20"/>
                <w:color w:val="auto"/>
              </w:rPr>
            </w:pPr>
            <w:r>
              <w:rPr>
                <w:rFonts w:ascii="Arial" w:cs="Arial" w:eastAsia="Arial" w:hAnsi="Arial"/>
                <w:sz w:val="18"/>
                <w:szCs w:val="18"/>
                <w:color w:val="auto"/>
              </w:rPr>
              <w:t>Bank, F.S.B (2008—2011)</w:t>
            </w:r>
          </w:p>
        </w:tc>
        <w:tc>
          <w:tcPr>
            <w:tcW w:w="1260" w:type="dxa"/>
            <w:vAlign w:val="bottom"/>
          </w:tcPr>
          <w:p>
            <w:pPr>
              <w:spacing w:after="0"/>
              <w:rPr>
                <w:sz w:val="19"/>
                <w:szCs w:val="19"/>
                <w:color w:val="auto"/>
              </w:rPr>
            </w:pPr>
          </w:p>
        </w:tc>
      </w:tr>
    </w:tbl>
    <w:p>
      <w:pPr>
        <w:spacing w:after="0" w:line="15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13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Enforcement actions could have a material negative effect on our business, operations, financial condition, results of operations or the value of our common stock.</w:t>
      </w:r>
    </w:p>
    <w:p>
      <w:pPr>
        <w:spacing w:after="0" w:line="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the Holding Company MOU, United has agreed to not incur additional indebtedness, pay cash dividends, make payments on our trust preferred securities or subordinated indebtedness or repurchase outstanding stock without prior regulatory approval. Additionally, the Holding Company MOU requires, among other things, that United ensures that the Bank functions in a safe and sound manner. The Bank MOU requires, among other things, that the Bank maintain a Tier 1 leverage ratio of at least 8% and a total risk-based capital ratio of at least 10% while the Bank MOU is in place and that, prior to declaring or paying any cash dividends to United, the Bank must obtain the written consent of its regulators.</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we are unable to comply with the Holding Company MOU or Bank MOU, then we could become subject to additional, heightened regulatory enforcement actions and orders, possibly including cease and desist or consent orders or written agreements. If we fail to comply with the Holding Company MOU or Bank MOU or any such additional enforcement actions, then we could, among other things, become subject to significant restrictions on our ability to develop any new business, as well as restrictions on our existing business, and we could be required to raise additional capital, dispose of certain assets and liabilities within a prescribed period of time, or both. The terms of any such enforcement action could have a material adverse effect on our business, operations, financial condition, results of operations or the value of our common stock. Further, as long as either memorandum of understanding is in place, it is unlikely that United or the Bank could participate in negotiated purchases, mergers or FDIC-assisted transactions.</w:t>
      </w:r>
    </w:p>
    <w:p>
      <w:pPr>
        <w:spacing w:after="0" w:line="11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Continued weakness or adverse changes in business and economic conditions generally or specifically in the markets in which we operate could adversely impact our business, including causing one or more of the following negative developments:</w:t>
      </w:r>
    </w:p>
    <w:p>
      <w:pPr>
        <w:spacing w:after="0" w:line="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value of our loans secured by residential or commercial real estate;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permanent impairment of our assets, such as our deferred tax assets; or</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For example, if we are unable to continue to generate sufficient taxable income in the future, then we may not be able to fully realize the benefits of our deferred tax assets.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101"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results of our most recent internal credit stress test may not accurately predict the impact on our financial condition if the economy were to continue to deteriorate.</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regularly perform an internal analysis of our capital position. Our analysis is based on the tests that were administered to the nation’s nineteen largest banks by Treasury in connection with its Supervisory Capital Assessment Program (“SCAP”). Under the stress test, we apply many of the same methodologies, but less severe loss assumptions than Treasury applies in its program, to estimate our loan losses (loan charge-offs), resources available to absorb those losses and any necessary additions to capital that would be required under the “more adverse” stress test scenario. As a result, our estimates for loan losses are lower than those suggested by the SCAP assumptions.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also calculated our loss estimates based on the SCAP test, and while we believe we have appropriately applied Treasury’s assumptions in performing this internal stress test, results of this test may not be comparable to the results of stress tests performed and publicly released by Treasury, and the results of this test may not be the same as if the test had been performed by Treasury.</w:t>
      </w:r>
    </w:p>
    <w:p>
      <w:pPr>
        <w:spacing w:after="0" w:line="14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results of these stress tests involve many assumptions about the economy and future loan losses and default rates, and may not accurately reflect the impact on our financial condition if the economy does not improve or continues to deteriorate. Any continued deterioration of the economy could result in credit losses significantly higher, with a corresponding impact on our financial condition and capital, than those predicted by our internal stress test.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industry and business have been adversely affected by conditions in the financial markets and economic conditions generally and recent efforts to address difficult market and economic conditions may not be effective.</w:t>
      </w:r>
    </w:p>
    <w:p>
      <w:pPr>
        <w:spacing w:after="0" w:line="4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Since mid-2007, the financial markets and economic conditions generally have been materially and adversely affected by significant declines in the values of nearly all asset classes and by a serious lack of liquidity. This was initially triggered by declines in home prices and the values of subprime mortgages, but spread to all residential construction, particularly in metro Atlanta and north and coastal Georgia, and residential mortgages as property prices declined rapidly and affected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These declines have caused many financial institutions to seek additional capital, to reduce or eliminate dividends, to merge with other financial institutions and, in some cases, to fail. In addition, customer delinquencies, foreclosures and unemployment have also increased significantly.</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current economic pressure on consumers and businesses and lack of confidence in the financial markets has adversely affected our business, financial condition and results of operations and may continue to result in credit losses and write-downs in the future. The failure of government programs and other efforts to help stabilize the banking system and financial markets and a continuation or worsening of current economic conditions could materially and adversely affect our business, financial condition, results of operations, access to credit or the trading price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additional capital could be limited and could affect our liquidity and could be dilutive to existing shareholders.</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may be required or choose to raise additional capital, including for strategic, regulatory or other reasons. Current conditions in the capital markets are such that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101" w:lineRule="exact"/>
        <w:rPr>
          <w:sz w:val="20"/>
          <w:szCs w:val="20"/>
          <w:color w:val="auto"/>
        </w:rPr>
      </w:pPr>
    </w:p>
    <w:p>
      <w:pPr>
        <w:jc w:val="both"/>
        <w:ind w:right="220"/>
        <w:spacing w:after="0" w:line="275" w:lineRule="auto"/>
        <w:rPr>
          <w:sz w:val="20"/>
          <w:szCs w:val="20"/>
          <w:color w:val="auto"/>
        </w:rPr>
      </w:pPr>
      <w:r>
        <w:rPr>
          <w:rFonts w:ascii="Arial" w:cs="Arial" w:eastAsia="Arial" w:hAnsi="Arial"/>
          <w:sz w:val="18"/>
          <w:szCs w:val="18"/>
          <w:b w:val="1"/>
          <w:bCs w:val="1"/>
          <w:color w:val="auto"/>
        </w:rPr>
        <w:t>Capital resources and liquidity are essential to our businesses and could be negatively impacted by disruptions in our ability to access other sources of funding.</w:t>
      </w:r>
    </w:p>
    <w:p>
      <w:pPr>
        <w:spacing w:after="0" w:line="4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Capital resources and liquidity are essential to the Bank.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repurchase agreements and Federal Home Loan Bank advances. We also raise funds from time to time in the form of either short-or long-term borrowings or equity issuances.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capital resources and liquidity could be negatively impacted by disruptions in our ability to access these sources of funding. With increased concerns about bank failures, traditional deposit customers are increasingly concerned about the extent to which their deposits are insured by the FDIC. Customers may withdraw deposits from our subsidiary bank in an effort to ensure that the amount that they have on deposit is fully insured. In addition,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other sources of funds. Other financial institutions may be unwilling to extend credit to banks because of concerns about the banking industry and the economy generally and, given recent downturns in the economy,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and preferred stock and trust preferred securities, and our ability to make acquisitions, and we would not be able to accept brokered deposits without prior FDIC approval. To be “well-capitalized,” a bank must generally maintain a leverage capital ratio of at least 5%, a Tier 1 risk-based capital ratio of at least 6%, and a total risk-based capital ratio of at least 10%. In addition, our regulators require us to maintain higher capital levels. For example, regulators frequently require financial institutions with high levels of classified assets to maintain a leverage ratio of at least 8% and our Bank MOU currently requires us to maintain an 8% leverage ratio. If the Basel III Proposals are fully adopted, these ratios will go even higher. Our failure to remain “well-capitalized” or to maintain any higher capital requirements imposed on us could negatively affect our business,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are unable to raise funding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United is a legal entity separate and distinct from the Bank and depends on subsidiary service fees and dividends from the Bank to fund its payment of dividends to its common and preferred shareholders and of interest and principal on its outstanding debt and trust preferred securities. The Bank is also subject to other laws that authorize regulatory authorities to prohibit or reduce the flow of funds from the Bank to United and the Bank MOU, as well as its negative retained earnings position, requires written consent of the Bank’s regulators before it can pay a dividend. Any inability of United to pay its obligations, or need to defer the payment of any such obligations, could have a material adverse effect on our business, operations, financial condition, and the value of our common stock.</w:t>
      </w:r>
    </w:p>
    <w:p>
      <w:pPr>
        <w:spacing w:after="0" w:line="13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enforcement actions,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success of the local economies and real estate markets in which we operate.</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Since mid-2007, the financial markets and economic conditions generally have experienced a variety of difficulties. If market and economic conditions continue to deteriorate or remain at their current level of deterioration for a sustained period of time, such conditions may lead to additional valuation adjustments as we continue to reassess the market value of our loan portfolio, greater losses on defaulted loans and on the sale of other real estate owned. Additionally, such adverse economic conditions in our market areas, specifically decreases in real estate property values due to the nature of our loan portfolio, more than 85%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concentration of residential construction and development loans is subject to unique risks that could adversely affect our results of operations and financial condition.</w:t>
      </w:r>
    </w:p>
    <w:p>
      <w:pPr>
        <w:spacing w:after="0" w:line="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residential construction and development loan portfolio was $382 million at December 31, 2012, comprising 9% of total loans. Residential construction and development loans are often riskier than home equity loans or residential mortgage loans to individuals. Poor economic conditions have resulted in decreased demand for residential housing, which, in turn, has adversely affected the development and construction efforts of residential real estate developer borrowers. Consequently, economic downturns like the current one impacting our market areas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Because of the general economic slowdown we are currently experiencing, these loans represent higher risk due to slower sales and reduced cash flow that affect the borrowers’ ability to repay on a timely basis and could result in a sharp increase in our total net-charge offs and could require us to significantly increase our allowance for loan losses, which could have a material adverse effect on our financial condition or results of operations.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concentration of commercial real estate loans is subject to risks that could adversely affect our results of operations and financial condition.</w:t>
      </w:r>
    </w:p>
    <w:p>
      <w:pPr>
        <w:spacing w:after="0" w:line="11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commercial real estate loan portfolio was $1.81 billion at December 31, 2012, comprising 43% of total loans. Commercial real estate loans typically involve larger loan balances than compared to residential mortgage loans. The repayment of loans secured by commercial real estate is dependent upon both the successful operation of the commercial project and the business operated out of that commercial real estate site, as over half of the commercial real estate loans are for owner-occupied properties.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deterioration in income producing commercial real estate is likely to worsen as vacancy rates continue to rise and absorption rates of existing square footage and/or units continue to decline. Because of the general economic slowdown we are currently experiencing, these loans represent higher risk and could result in an increase in our total net-charge offs and could require us to increase our allowance for loan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our assets.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prevailing interest rates may negatively affect the level of net interest revenue, the primary component of our net income. Federal Reserve Board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13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United’s accounting and reporting policies are fundamental to the methods by which it records and reports its financial condition and results of operations. United’s management must make significant assumptions and estimates and exercise significant judgment in selecting and applying many of these accounting and reporting policies so they comply with GAAP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Certain accounting policies are critical to presenting United’s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or, significantly increase or decrease accrued taxes and the value of our deferred tax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allowance for loan losses is not sufficient to cover actual loan losses, earnings would decrease.</w:t>
      </w:r>
    </w:p>
    <w:p>
      <w:pPr>
        <w:spacing w:after="0" w:line="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loan losses in an attempt to cover any loan losses inherent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loan losses. For the year ended December 31, 2012, we recorded a provision for loan losses of $62.5 million compared to $251 million and $223 million for the years ended December 31, 2011 and 2010, respectively. If those assumptions are incorrect, the allowance may not be sufficient to cover future loan losses and adjustments may be necessary to allow for different economic conditions or adverse developments in the loan portfolio.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losses due to fraudulent and negligent conduct of our loan customers, third party service providers and employees.</w:t>
      </w:r>
    </w:p>
    <w:p>
      <w:pPr>
        <w:spacing w:after="0" w:line="11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terms governing the issuance of the preferred stock to Treasury may be changed, the effect of which may have an adverse effect on our operations.</w:t>
      </w:r>
    </w:p>
    <w:p>
      <w:pPr>
        <w:spacing w:after="0" w:line="1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terms of the Purchase Agreement provide that Treasury may unilaterally amend any provision of the Purchase Agreement to the extent required to comply with any changes in applicable federal law that may occur in the future. We have no control over any change in the terms of the transaction that may occur in the future. Such changes may place restrictions on our business or results of operation, which may adversely affect the market price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risks with respect to future expansion and acquisitions.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may engage in de novo branch expansion and, if the appropriate business opportunity becomes available, we may seek to acquire other financial institutions or parts of those institutions, including in FDIC-assisted transactions. These involve a number of risks, including:</w:t>
      </w:r>
    </w:p>
    <w:p>
      <w:pPr>
        <w:spacing w:after="0" w:line="51" w:lineRule="exact"/>
        <w:rPr>
          <w:sz w:val="20"/>
          <w:szCs w:val="20"/>
          <w:color w:val="auto"/>
        </w:rPr>
      </w:pPr>
    </w:p>
    <w:p>
      <w:pPr>
        <w:ind w:left="460" w:right="5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incurrence and possible impairment of goodwill associated with an acquisition and possible adverse effects on results of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key employees and customers of an acquired branch or institution;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or failure to successfully integrate the acquired financial institution or portion of the institution;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temporary disruption of our business or the business of the acquired institution.</w:t>
      </w:r>
    </w:p>
    <w:p>
      <w:pPr>
        <w:spacing w:after="0" w:line="165"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4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While we cannot predict the regulatory changes that may be borne out of the current economic crisis, and we cannot predict whether we will become subject to increased regulatory scrutiny by any of these regulatory agencies,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Federal and state regulators have the ability to impose or request that we consent to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and related regulations may adversely affect our business, financial condition, liquidity or results of operations.</w:t>
      </w:r>
    </w:p>
    <w:p>
      <w:pPr>
        <w:spacing w:after="0" w:line="9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Dodd-Frank Act was enacted on July 21, 2010. The Dodd-Frank Act created a new Consumer Financial Protection Bureau with the power to promulgate and enforce consumer protection laws. Depository institutions are subject to the Consumer Financial Protection Bureau’s rule-writing authority, and existing depository institution regulatory agencies retain examination and enforcement authority for such institutions. The Dodd-Frank Act also established a Financial Stability Oversight Council chaired by the Secretary of the Treasury with authority to identify institutions and practices that might pose a systemic risk, made permanent the $250,000 limit for federal deposit insurance, provided unlimited federal deposit insurance until December 31, 2012 for non-interest bearing transaction accounts at all insured depository institutions and repealed the federal prohibitions on the payment of interest on demand deposits. The expiration of the unlimited insurance on demand deposits could result in some deposit balance attrition to other financial institutions, as deposit customers restructure their deposits to manage their deposit insurance coverage. Among other things, the Dodd-Frank Act includes provisions affecting (1) corporate governance and executive compensation of all companies whose securities are registered with the Securities and Exchange Commission, (2) FDIC insurance assessments,</w:t>
      </w:r>
    </w:p>
    <w:p>
      <w:pPr>
        <w:spacing w:after="0" w:line="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interchange fees for debit cards, which are set by the Federal Reserve under a restrictive “reasonable and proportional cost” per transaction standard,</w:t>
      </w:r>
    </w:p>
    <w:p>
      <w:pPr>
        <w:spacing w:after="0" w:line="32" w:lineRule="exact"/>
        <w:rPr>
          <w:rFonts w:ascii="Arial" w:cs="Arial" w:eastAsia="Arial" w:hAnsi="Arial"/>
          <w:sz w:val="16"/>
          <w:szCs w:val="16"/>
          <w:color w:val="auto"/>
        </w:rPr>
      </w:pPr>
    </w:p>
    <w:p>
      <w:pPr>
        <w:ind w:right="40" w:firstLine="8"/>
        <w:spacing w:after="0" w:line="261"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capital levels for bank holding companies, subject to a grandfather clause for financial institutions with less than $15 billion in assets, (5) derivative and proprietary trading by financial institutions, and (6) the resolution of large financial institutions.</w:t>
      </w:r>
    </w:p>
    <w:p>
      <w:pPr>
        <w:spacing w:after="0" w:line="138"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Compliance with these new laws and regulations may increase our costs, limit our ability to pursue attractive business opportunities, cause us to modify our strategies and business operations and increase our capital requirements and constraints, any of which may have a material adverse impact on our business, financial condition, liquidity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short-term and long-term impact of the changing regulatory capital requirements is uncertain.</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June 7, 2012, the federal regulatory authorities proposed rules, the Basel III Proposals, that would substantially amend the regulatory risk-based capital rules applicable to United and the Bank. The proposed rules implement the Basel III regulatory capital reforms and changes required by the Dodd-Frank Act. The proposed rules were subject to a public comment period that has expired and there is no date set for the adoption of final rules.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Basel III Proposals include new minimum risk-based capital and leverage ratios, which would be phased in during through 2015, and would modify capital and asset definitions for purposes of calculating those ratios. Among other things, the proposals establish a new common equity tier 1 minimum capital requirement of 4.5%, a higher minimum tier 1capital to risk-weighted assets requirement of 6.0% and a higher total capital to risk-weighted assets of 8.0% that would be phased in and fully effective in 2015. In addition, the proposals provide, to be considered “well-capitalized”, a new common equity tier 1 capital requirement of 6.5%, a higher tier 1capital to risk-weighted assets requirement of 8.0% and a higher total capital to risk-weighted assets of 10.0% that would be phased in and fully effective in 2015. Moreover, the proposals would limit a banking organization’s capital distributions and certain discretionary bonus payments if the banking organization does not hold a “capital conservation buffer” consisting of an additional 2.5% of common equity tier 1 capital in addition to the 4.5% minimum common equity tier 1 requirement and the other amounts necessary to the minimum risk-based capital requirements that would be phased in and fully effective in 2019. The proposals also seek to eliminate trust preferred securities from Tier 1 capital over a ten-year period.</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the Basel III Proposals and other regulatory capital requirements will likely result in generally higher regulatory capital standards with an increased focus on common equity, it is difficult at this time to predict when or how any new standards will ultimately be applied to United and the Bank. The application of more stringent capital requirements for United and the Bank could, among other things, result in lower returns on invested capital, require the raising of additional capital, and result in additional regulatory actions if we were to be unable to comply with such requirements. Furthermore, the imposition of liquidity requirements in connection with the implementation of Basel III could result in our having to lengthen the term of our funding, restructure our business models, and/or increase our holdings of liquid assets. Implementation of changes to asset risk weightings for risk based capital calculations, items included or deducted in calculating regulatory capital and/or additional capital conservation buffers could result in us modifying our business strategy and could limit our ability to make dividends.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fully utilize deferred tax assets could be impaired.</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established a full valuation allowance against our net deferred tax asset of $270 million as of December 31, 2012, which includes approximately $221 million of deferred tax benefits related to federal and state operating loss carry-forwards. Our ability to use such assets, including the reversal or partial release of the valuation allowance, is dependent on our ability to generate future earnings within the operating loss carry-forward periods, which are generally 20 years. If we do not realize taxable earnings within the carry-forward periods, our deferred tax asset would be permanently impaired. Additionally, our ability to use such assets to offset future tax liabilities could be permanently impaired if cumulative common stock transactions over a rolling three-year period resulted in an ownership change under Section 382 of the Internal Revenue Code. There is no guarantee that the Plan will prevent United from experiencing an ownership change under Section 382. Our inability to utilize these deferred tax assets (benefits) would have a material adverse effect on our financial condition and results of operations.</w:t>
      </w:r>
    </w:p>
    <w:p>
      <w:pPr>
        <w:spacing w:after="0" w:line="13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and other potential losses.</w:t>
      </w:r>
    </w:p>
    <w:p>
      <w:pPr>
        <w:spacing w:after="0" w:line="4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rely heavily on communications and information systems to conduct our business. The computer systems and network infrastructure we use could be vulnerable to unforeseen hardware and cybersecurity issues.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financial condition and results of operations. In addition, our operations are dependent upon our ability to protect the computer systems and network infrastructure we use, including our Internet banking activities, against damage from physical break-ins, cybersecurity breaches and other disruptive problems caused by the Internet or users. Such problems could jeopardize the security of our customers personal information and other information stored in and transmitted through our computer systems and network infrastructure, which may result in significant liability to us, subject us to additional regulatory scrutiny, damage our reputation, result in a loss of customers, or inhibit current and potential customers from our Internet banking services, any of all of which could have a material adverse effect on our results of operations and financial condition. Although we have security measures designed to mitigate the possibility of break-ins, breaches and other disruptive problems, including firewalls and penetration testing, there can be no assurance that such security measures will be effective in preventing such problems.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lack of geographic diversification increases our risk profile.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operations are located principally in Georgia, western North Carolina and east Tennessee. As a result of this geographic concentration, our results depend largely upon economic and business conditions in this area. Deterioration in economic and business conditions in our service area could have a material adverse impact on the quality of our loan portfolio and the demand for our products and services, which in turn may have a material adverse effect on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interest-only home equity lines of credit expose us to increased lending risk.</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December 31, 2012, we had $385 million of home equity line of credit loans, which represented 9% of our loan portfolio as of that date. Historically, United’s home equity lines of credit generally had a 35 month or 10 year draw period with interest-only payment requirements for the term of the loan, a balloon payment requirement at the end of the draw period and a maximum 80% combined loan to value ratio. Since June, 2012 new home equity lines of credit generally have a 10 year interest only draw period followed by a 15 year amortized repayment period for any outstanding balance at the 10 year conversion date. United continues to offer a home equity line of credit with a 35 month draw period with interest-only payment requirements for the term of the loan with a balloon payment requirement at the end of the draw period. All home equity line of credit products, historically and currently available, have a maximum 80% combined loan to value ratio. These loans are also secured by a first or second lien on the underlying home.</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case of interest-only loans, a borrower’s monthly payment is subject to change when the loan converts to fully-amortizing status. Since the borrower’s monthly payment may increase by a substantial amount even without an increase in prevailing market interest rates, the borrower might not be able to afford the increased monthly payment. In addition, interest-only loans have a large, balloon payment at the end of the loan term, which the borrower may be unable to pay. Also, real estate values may decline, dramatically reducing or even eliminating the borrower’s equity, and credit standards may tighten in concert with the higher payment requirement, making it difficult for borrowers to sell their homes or refinance their loans to pay off their mortgage obligations. The risks can be magnified by United’s limited ability to monitor the delinquency status of the first lien on the collateral. For these reasons, home equity lines of credit are considered to have an increased risk of delinquency, default and foreclosure than conforming loans and may result in higher levels of losses.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are no unresolved comments from the Securities and Exchange Commission staff regarding United’s periodic or current reports under the Exchange Act.</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executive offices of United are located at 125 Highway 515 East, Blairsville, Georgia. United owns this property. The Bank conducts business from facilities primarily owned by the Bank or its subsidiaries, all of which are in a good state of repair and appropriately designed for use as banking facilities. The Bank provides services or performs operational functions at 125 locations, of which 104 are owned and 21 are leased under operating leases. Note 9 to United’s consolidated financial statements includes additional information regarding amounts invested in premises and equipment.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ordinary course of operations, United and the Bank are defendants in various legal proceedings. Additionally, in the ordinary course of business, United and the Bank are subject to regulatory examinations and investigations. Based on our knowledge and advice of counsel, in the opinion of management, there is no such pending or threatened legal matter in which an adverse decision will result in a material adverse change in the consolidated financial condition or results of operations of United. No material proceedings terminated in the fourth quarter of 2012.</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1040" w:right="2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39"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 xml:space="preserve">Stock. </w:t>
      </w:r>
      <w:r>
        <w:rPr>
          <w:rFonts w:ascii="Arial" w:cs="Arial" w:eastAsia="Arial" w:hAnsi="Arial"/>
          <w:sz w:val="16"/>
          <w:szCs w:val="16"/>
          <w:color w:val="auto"/>
        </w:rPr>
        <w:t>United’s common stock trades on the Nasdaq Global Select Market under the symbol “UCBI”. The closing price for the period ended December 31, 2012</w:t>
      </w:r>
      <w:r>
        <w:rPr>
          <w:rFonts w:ascii="Arial" w:cs="Arial" w:eastAsia="Arial" w:hAnsi="Arial"/>
          <w:sz w:val="16"/>
          <w:szCs w:val="16"/>
          <w:b w:val="1"/>
          <w:bCs w:val="1"/>
          <w:color w:val="auto"/>
        </w:rPr>
        <w:t xml:space="preserve"> </w:t>
      </w:r>
      <w:r>
        <w:rPr>
          <w:rFonts w:ascii="Arial" w:cs="Arial" w:eastAsia="Arial" w:hAnsi="Arial"/>
          <w:sz w:val="16"/>
          <w:szCs w:val="16"/>
          <w:color w:val="auto"/>
        </w:rPr>
        <w:t>was $9.44. Below is a schedule of high, low and closing stock prices and average daily volume for all quarters in 2012 and 2011.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Avg Daily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Avg Daily</w:t>
            </w:r>
          </w:p>
        </w:tc>
        <w:tc>
          <w:tcPr>
            <w:tcW w:w="100" w:type="dxa"/>
            <w:vAlign w:val="bottom"/>
          </w:tcPr>
          <w:p>
            <w:pPr>
              <w:spacing w:after="0"/>
              <w:rPr>
                <w:sz w:val="11"/>
                <w:szCs w:val="11"/>
                <w:color w:val="auto"/>
              </w:rPr>
            </w:pPr>
          </w:p>
        </w:tc>
      </w:tr>
      <w:tr>
        <w:trPr>
          <w:trHeight w:val="161"/>
        </w:trPr>
        <w:tc>
          <w:tcPr>
            <w:tcW w:w="59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Close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Volume</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Close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Volume</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$9.75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142,987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145,132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139,741</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329,475</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214,303</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202,871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stock price information shown above has been adjusted to reflect United’s 1 for 5 reverse stock split as though it had occurred at the beginning of the earliest reported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2013, there were approximately 6,700 record shareholders and 15,000 beneficial shareholders of United’s common stock.</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No cash or stock dividends were declared on United’s common stock during 2012 or 2011. Federal and state laws and regulations impose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ability of United and the Bank to pay dividends, and the Holding Company MOU provides that United may not incur additional indebtedness, pay cash dividends, make payments on our trust preferred securities or repurchase outstanding stock without prior approval of the Federal Reserve and DBF. We were not given permission to pay interest on our trust preferred securities and dividends on our preferred stock during the first quarter of 2011. Effective April 15, 2011, United received approval to make payments for currently payable and previously deferred dividends and interest on its preferred stock and trust preferred securities. Since then, United has continued to receive quarterly approvals of all payments.</w:t>
      </w:r>
    </w:p>
    <w:p>
      <w:pPr>
        <w:spacing w:after="0" w:line="11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addition, pursuant to the terms of the Purchase Agreement entered into with Treasury under the CPP, the ability of United to declare or pay dividends or distributions on its common stock is subject to restrictions, including a restriction against increasing dividends from the last quarterly cash dividend per share of ($.45) declared on the common stock prior to December 5, 2008, as adjusted for subsequent stock dividends and other similar actions. Additional information regarding this item is included in Note 21 to the consolidated financial statements, under the heading of “Supervision and Regulation” in Part I of this report and in “Management’s Discussion and Analysis of Financial Condition and Results of Operations – Capital Resources and Dividends.”</w:t>
      </w:r>
    </w:p>
    <w:p>
      <w:pPr>
        <w:spacing w:after="0" w:line="11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Except as described below under “Sales of Unregistered Securities,” no shares were repurchased during 2012 or 2011. United’s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No shares were delivered to exercise stock options in 2012 or 2011.</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Sales of Unregistered Securities. </w:t>
      </w:r>
      <w:r>
        <w:rPr>
          <w:rFonts w:ascii="Arial" w:cs="Arial" w:eastAsia="Arial" w:hAnsi="Arial"/>
          <w:sz w:val="16"/>
          <w:szCs w:val="16"/>
          <w:color w:val="auto"/>
        </w:rPr>
        <w:t>On February 22, 2011, United entered into a share exchange agreement (the “Share Exchange Agreement”) with Elm Ridge</w:t>
      </w:r>
      <w:r>
        <w:rPr>
          <w:rFonts w:ascii="Arial" w:cs="Arial" w:eastAsia="Arial" w:hAnsi="Arial"/>
          <w:sz w:val="16"/>
          <w:szCs w:val="16"/>
          <w:b w:val="1"/>
          <w:bCs w:val="1"/>
          <w:color w:val="auto"/>
        </w:rPr>
        <w:t xml:space="preserve"> </w:t>
      </w:r>
      <w:r>
        <w:rPr>
          <w:rFonts w:ascii="Arial" w:cs="Arial" w:eastAsia="Arial" w:hAnsi="Arial"/>
          <w:sz w:val="16"/>
          <w:szCs w:val="16"/>
          <w:color w:val="auto"/>
        </w:rPr>
        <w:t>Offshore Master Fund, Ltd. (the “Master Fund”) and Elm Ridge Value Partners, L.P. (“Value Partners” and, together with the Master Fund, collectively, the “Elm Ridge Parties”). Under the Share Exchange Agreement, the Elm Ridge Parties agreed to transfer to the Company 1,551,126 shares of United’s common stock, in exchange for 16,613 Series D Preferred Shares and warrants to purchase 1,551,126 shares of common stock pursuant to an exemption provided by Section 4(2) of the Securities Act of 1933. The warrants may be exercised at any time or from time to time prior to August 22, 2013.</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2007 and ending on December 31, 2012.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YEAR CUMULATIVE TOTAL RETURNS*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 (U.S.)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BANK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135890</wp:posOffset>
            </wp:positionV>
            <wp:extent cx="5514340" cy="3756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434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Cumulative Total Return *</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4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Community Banks, Inc.</w:t>
            </w:r>
          </w:p>
        </w:tc>
        <w:tc>
          <w:tcPr>
            <w:tcW w:w="2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322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88</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Nasdaq Bank Index</w:t>
            </w:r>
          </w:p>
        </w:tc>
        <w:tc>
          <w:tcPr>
            <w:tcW w:w="3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220" w:right="400" w:hanging="212"/>
        <w:spacing w:after="0" w:line="332"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Assumes $100 invested on December 31, 2007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SELECTED FINANCIAL DATA.</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4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i w:val="1"/>
                <w:iCs w:val="1"/>
                <w:color w:val="auto"/>
                <w:w w:val="91"/>
              </w:rPr>
              <w:t>taxable equivalent)</w:t>
            </w: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ind w:right="92"/>
              <w:spacing w:after="0" w:line="15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line="159"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72"/>
              <w:spacing w:after="0" w:line="159"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ind w:right="92"/>
              <w:spacing w:after="0" w:line="15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940" w:type="dxa"/>
            <w:vAlign w:val="bottom"/>
            <w:tcBorders>
              <w:top w:val="single" w:sz="8" w:color="CCEEFF"/>
            </w:tcBorders>
            <w:gridSpan w:val="3"/>
            <w:shd w:val="clear" w:color="auto" w:fill="CCEEFF"/>
          </w:tcPr>
          <w:p>
            <w:pPr>
              <w:ind w:left="440"/>
              <w:spacing w:after="0" w:line="122" w:lineRule="exact"/>
              <w:rPr>
                <w:sz w:val="20"/>
                <w:szCs w:val="20"/>
                <w:color w:val="auto"/>
              </w:rPr>
            </w:pPr>
            <w:r>
              <w:rPr>
                <w:rFonts w:ascii="Arial" w:cs="Arial" w:eastAsia="Arial" w:hAnsi="Arial"/>
                <w:sz w:val="14"/>
                <w:szCs w:val="14"/>
                <w:b w:val="1"/>
                <w:bCs w:val="1"/>
                <w:color w:val="auto"/>
              </w:rPr>
              <w:t>INCOME SUMMARY</w:t>
            </w: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color w:val="auto"/>
              </w:rPr>
              <w:t>Net interest revenue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2"/>
              </w:rPr>
              <w:t>229,099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233,669</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243,052</w:t>
            </w:r>
          </w:p>
        </w:tc>
        <w:tc>
          <w:tcPr>
            <w:tcW w:w="2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245,227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238,704</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color w:val="auto"/>
              </w:rPr>
              <w:t xml:space="preserve">Operating provision for loan losses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62,500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251,000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234,750</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310,000</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184,000</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1"/>
                <w:szCs w:val="11"/>
                <w:color w:val="auto"/>
              </w:rPr>
              <w:t xml:space="preserve">Operating fee revenue </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7"/>
              </w:rPr>
              <w:t>56,771</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49,908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48,548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50,964</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46,081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1"/>
                <w:szCs w:val="11"/>
                <w:b w:val="1"/>
                <w:bCs w:val="1"/>
                <w:color w:val="auto"/>
              </w:rPr>
              <w:t xml:space="preserve">Total operating revenue </w:t>
            </w:r>
            <w:r>
              <w:rPr>
                <w:rFonts w:ascii="Arial" w:cs="Arial" w:eastAsia="Arial" w:hAnsi="Arial"/>
                <w:sz w:val="17"/>
                <w:szCs w:val="17"/>
                <w:color w:val="auto"/>
                <w:vertAlign w:val="superscript"/>
              </w:rPr>
              <w:t>(1)(2)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2"/>
              </w:rPr>
              <w:t>223,370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56,850</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(13,809)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100,785</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1"/>
                <w:szCs w:val="11"/>
                <w:color w:val="auto"/>
              </w:rPr>
              <w:t xml:space="preserve">Operating expenses </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2"/>
              </w:rPr>
              <w:t>186,774</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261,599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242,952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217,050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200,335</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on sale of nonperforming assets</w:t>
            </w: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45,349</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Operating income (loss) from continuing operations before taxes</w:t>
            </w:r>
          </w:p>
        </w:tc>
        <w:tc>
          <w:tcPr>
            <w:tcW w:w="8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7"/>
              </w:rPr>
              <w:t>36,596</w:t>
            </w:r>
          </w:p>
        </w:tc>
        <w:tc>
          <w:tcPr>
            <w:tcW w:w="6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6"/>
              </w:rPr>
              <w:t>(229,022)</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3"/>
              </w:rPr>
              <w:t>(231,451)</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86"/>
              </w:rPr>
              <w:t>(230,859)</w:t>
            </w: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9"/>
              </w:rPr>
              <w:t>(99,550)</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(2,276)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73,218</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(91,754)</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(35,651)</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Net operating income (loss) from continuing operations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7"/>
              </w:rPr>
              <w:t>33,856</w:t>
            </w:r>
          </w:p>
        </w:tc>
        <w:tc>
          <w:tcPr>
            <w:tcW w:w="6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6"/>
              </w:rPr>
              <w:t>(226,746)</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3"/>
              </w:rPr>
              <w:t>(304,669)</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86"/>
              </w:rPr>
              <w:t>(139,105)</w:t>
            </w: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9"/>
              </w:rPr>
              <w:t>(63,899)</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Gain from acquisition, net of tax</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7,062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color w:val="auto"/>
              </w:rPr>
              <w:t>Noncash goodwill impairment charges</w:t>
            </w:r>
          </w:p>
        </w:tc>
        <w:tc>
          <w:tcPr>
            <w:tcW w:w="80" w:type="dxa"/>
            <w:vAlign w:val="bottom"/>
          </w:tcPr>
          <w:p>
            <w:pPr>
              <w:spacing w:after="0"/>
              <w:rPr>
                <w:sz w:val="12"/>
                <w:szCs w:val="12"/>
                <w:color w:val="auto"/>
              </w:rPr>
            </w:pP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3"/>
              </w:rPr>
              <w:t>(210,590)</w:t>
            </w:r>
          </w:p>
        </w:tc>
        <w:tc>
          <w:tcPr>
            <w:tcW w:w="18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(95,000)</w:t>
            </w:r>
          </w:p>
        </w:tc>
        <w:tc>
          <w:tcPr>
            <w:tcW w:w="6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Severance cost, net of tax benefit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(1,797)</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color w:val="auto"/>
              </w:rPr>
              <w:t>Fraud loss provision and subsequent recovery, net of tax benefit</w:t>
            </w:r>
          </w:p>
        </w:tc>
        <w:tc>
          <w:tcPr>
            <w:tcW w:w="80" w:type="dxa"/>
            <w:vAlign w:val="bottom"/>
          </w:tcPr>
          <w:p>
            <w:pPr>
              <w:spacing w:after="0"/>
              <w:rPr>
                <w:sz w:val="12"/>
                <w:szCs w:val="12"/>
                <w:color w:val="auto"/>
              </w:rPr>
            </w:pP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11,750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 (loss) from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56"/>
        </w:trPr>
        <w:tc>
          <w:tcPr>
            <w:tcW w:w="6940" w:type="dxa"/>
            <w:vAlign w:val="bottom"/>
            <w:gridSpan w:val="3"/>
          </w:tcPr>
          <w:p>
            <w:pPr>
              <w:spacing w:after="0" w:line="149" w:lineRule="exact"/>
              <w:rPr>
                <w:sz w:val="20"/>
                <w:szCs w:val="20"/>
                <w:color w:val="auto"/>
              </w:rPr>
            </w:pPr>
            <w:r>
              <w:rPr>
                <w:rFonts w:ascii="Arial" w:cs="Arial" w:eastAsia="Arial" w:hAnsi="Arial"/>
                <w:sz w:val="14"/>
                <w:szCs w:val="14"/>
                <w:color w:val="auto"/>
              </w:rPr>
              <w:t>Gain from sale of subsidiary, net of income taxes and selling costs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Net income (loss)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33,856</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(226,746)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(502,344)</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(228,327)</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(63,450)</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color w:val="auto"/>
              </w:rPr>
              <w:t>Preferred dividends and discount accretion</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7"/>
              </w:rPr>
              <w:t>12,148</w:t>
            </w:r>
          </w:p>
        </w:tc>
        <w:tc>
          <w:tcPr>
            <w:tcW w:w="6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11,838</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10,316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10,242</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Net income (loss) available to common shareholders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21,708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(238,584)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(512,660)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(238,569)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(64,174)</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Diluted operating earnings (loss) from continuing operations </w:t>
            </w:r>
            <w:r>
              <w:rPr>
                <w:rFonts w:ascii="Arial" w:cs="Arial" w:eastAsia="Arial" w:hAnsi="Arial"/>
                <w:sz w:val="17"/>
                <w:szCs w:val="17"/>
                <w:color w:val="auto"/>
                <w:vertAlign w:val="superscript"/>
              </w:rPr>
              <w:t>(1)(2)(3)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(12.37)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from continuing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(27.15)</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(19.80)</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Diluted earnings (loss)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(5.97)</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(27.09)</w:t>
            </w:r>
          </w:p>
        </w:tc>
        <w:tc>
          <w:tcPr>
            <w:tcW w:w="18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(19.76)</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(rounded)</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Stock dividends declared </w:t>
            </w:r>
            <w:r>
              <w:rPr>
                <w:rFonts w:ascii="Arial" w:cs="Arial" w:eastAsia="Arial" w:hAnsi="Arial"/>
                <w:sz w:val="17"/>
                <w:szCs w:val="17"/>
                <w:color w:val="auto"/>
                <w:vertAlign w:val="superscript"/>
              </w:rPr>
              <w:t>(6)</w:t>
            </w:r>
          </w:p>
        </w:tc>
        <w:tc>
          <w:tcPr>
            <w:tcW w:w="80" w:type="dxa"/>
            <w:vAlign w:val="bottom"/>
          </w:tcPr>
          <w:p>
            <w:pPr>
              <w:spacing w:after="0"/>
              <w:rPr>
                <w:sz w:val="12"/>
                <w:szCs w:val="12"/>
                <w:color w:val="auto"/>
              </w:rPr>
            </w:pP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6"/>
              </w:rPr>
              <w:t>3 for 130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2 for 130</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6.67</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41.78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Tangible book value </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30.09</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Key performance ratios: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Return on equity </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5.43%</w:t>
            </w: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(93.57)%</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(85.08)%</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(34.40)%</w:t>
            </w: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(6.61)</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3.50</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3.29</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Operating efficiency ratio from continuing operations </w:t>
            </w:r>
            <w:r>
              <w:rPr>
                <w:rFonts w:ascii="Arial" w:cs="Arial" w:eastAsia="Arial" w:hAnsi="Arial"/>
                <w:sz w:val="17"/>
                <w:szCs w:val="17"/>
                <w:color w:val="auto"/>
                <w:vertAlign w:val="superscript"/>
              </w:rPr>
              <w:t>(2)(3)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65.43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98.98</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73.97</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Equity to assets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8.47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10.77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11.12</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Tangible equity to assets </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8.33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Tangible common equity to assets </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5.54</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6.15</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Tangible common equity to risk-weighted assets </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10.39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QUALITY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Non-performing loans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2"/>
              </w:rPr>
              <w:t>109,894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127,479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179,094</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264,092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190,723</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Foreclosed properties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7"/>
              </w:rPr>
              <w:t>18,264</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32,859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142,208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120,770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59,768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non-performing assets (NPAs)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2"/>
              </w:rPr>
              <w:t>128,158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160,338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321,302</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384,862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250,491</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2"/>
              </w:rPr>
              <w:t>107,137</w:t>
            </w:r>
          </w:p>
        </w:tc>
        <w:tc>
          <w:tcPr>
            <w:tcW w:w="6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4"/>
              </w:rPr>
              <w:t>114,468</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174,695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155,602</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122,271</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Operating net charge-offs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69,831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4"/>
              </w:rPr>
              <w:t>311,227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215,657</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276,669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151,152</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Allowance for loan losses to loans</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2.79%</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3.79%</w:t>
            </w: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3.02%</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Operating net charge-offs to average loans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NPAs to loans and foreclosed properties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3.06</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7.30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NPAs to total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4.81</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6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 millions)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Loans</w:t>
            </w:r>
          </w:p>
        </w:tc>
        <w:tc>
          <w:tcPr>
            <w:tcW w:w="22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4,961</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5,891</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2,089</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1,656</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6,547</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6,822</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7,465</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6,865</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7,189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7,605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8,269</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8,319</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5,885</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6,373</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6,713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6,524</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582</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920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Common shares—Basic </w:t>
            </w: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57,857</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39,943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12,075</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 xml:space="preserve">Common shares—Diluted </w:t>
            </w:r>
            <w:r>
              <w:rPr>
                <w:rFonts w:ascii="Arial" w:cs="Arial" w:eastAsia="Arial" w:hAnsi="Arial"/>
                <w:sz w:val="14"/>
                <w:szCs w:val="14"/>
                <w:i w:val="1"/>
                <w:iCs w:val="1"/>
                <w:color w:val="auto"/>
              </w:rPr>
              <w:t>(thousands)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7"/>
              </w:rPr>
              <w:t>57,857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39,943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18,925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12,075</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YEAR END </w:t>
            </w:r>
            <w:r>
              <w:rPr>
                <w:rFonts w:ascii="Arial" w:cs="Arial" w:eastAsia="Arial" w:hAnsi="Arial"/>
                <w:sz w:val="14"/>
                <w:szCs w:val="14"/>
                <w:color w:val="auto"/>
              </w:rPr>
              <w:t>(</w:t>
            </w:r>
            <w:r>
              <w:rPr>
                <w:rFonts w:ascii="Arial" w:cs="Arial" w:eastAsia="Arial" w:hAnsi="Arial"/>
                <w:sz w:val="14"/>
                <w:szCs w:val="14"/>
                <w:i w:val="1"/>
                <w:iCs w:val="1"/>
                <w:color w:val="auto"/>
              </w:rPr>
              <w:t>$ in millions)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ind w:left="440"/>
              <w:spacing w:after="0" w:line="149" w:lineRule="exact"/>
              <w:rPr>
                <w:sz w:val="20"/>
                <w:szCs w:val="20"/>
                <w:color w:val="auto"/>
              </w:rPr>
            </w:pPr>
            <w:r>
              <w:rPr>
                <w:rFonts w:ascii="Arial" w:cs="Arial" w:eastAsia="Arial" w:hAnsi="Arial"/>
                <w:sz w:val="14"/>
                <w:szCs w:val="14"/>
                <w:color w:val="auto"/>
                <w:w w:val="88"/>
              </w:rPr>
              <w:t>Loans *</w:t>
            </w:r>
          </w:p>
        </w:tc>
        <w:tc>
          <w:tcPr>
            <w:tcW w:w="2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4,604</w:t>
            </w:r>
          </w:p>
        </w:tc>
        <w:tc>
          <w:tcPr>
            <w:tcW w:w="2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2,079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1,530</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1,617</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6,802</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6,983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7,276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8,592</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5,952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6,469</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6,628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7,004</w:t>
            </w:r>
          </w:p>
        </w:tc>
        <w:tc>
          <w:tcPr>
            <w:tcW w:w="0" w:type="dxa"/>
            <w:vAlign w:val="bottom"/>
          </w:tcPr>
          <w:p>
            <w:pPr>
              <w:spacing w:after="0"/>
              <w:rPr>
                <w:sz w:val="1"/>
                <w:szCs w:val="1"/>
                <w:color w:val="auto"/>
              </w:rPr>
            </w:pPr>
          </w:p>
        </w:tc>
      </w:tr>
      <w:tr>
        <w:trPr>
          <w:trHeight w:val="149"/>
        </w:trPr>
        <w:tc>
          <w:tcPr>
            <w:tcW w:w="69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581</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962</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49"/>
        </w:trPr>
        <w:tc>
          <w:tcPr>
            <w:tcW w:w="69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Common shares outstanding </w:t>
            </w: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57,741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57,561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18,937</w:t>
            </w: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18,809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0" w:hanging="452"/>
        <w:spacing w:after="0" w:line="262"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 xml:space="preserve">Excludes the recovery of $11.8 million in previously recognized fraud-related loan losses in 2010. </w:t>
      </w:r>
      <w:r>
        <w:rPr>
          <w:rFonts w:ascii="Arial" w:cs="Arial" w:eastAsia="Arial" w:hAnsi="Arial"/>
          <w:sz w:val="10"/>
          <w:szCs w:val="10"/>
          <w:color w:val="auto"/>
        </w:rPr>
        <w:t>(2)</w:t>
      </w:r>
      <w:r>
        <w:rPr>
          <w:rFonts w:ascii="Arial" w:cs="Arial" w:eastAsia="Arial" w:hAnsi="Arial"/>
          <w:sz w:val="16"/>
          <w:szCs w:val="16"/>
          <w:color w:val="auto"/>
        </w:rPr>
        <w:t xml:space="preserve"> Excludes the gain from acquisition of $11.4 million, net of income tax expense of $4.3 million in 2009. </w:t>
      </w:r>
      <w:r>
        <w:rPr>
          <w:rFonts w:ascii="Arial" w:cs="Arial" w:eastAsia="Arial" w:hAnsi="Arial"/>
          <w:sz w:val="10"/>
          <w:szCs w:val="10"/>
          <w:color w:val="auto"/>
        </w:rPr>
        <w:t>(3)</w:t>
      </w:r>
      <w:r>
        <w:rPr>
          <w:rFonts w:ascii="Arial" w:cs="Arial" w:eastAsia="Arial" w:hAnsi="Arial"/>
          <w:sz w:val="16"/>
          <w:szCs w:val="16"/>
          <w:color w:val="auto"/>
        </w:rPr>
        <w:t xml:space="preserve"> Excludes the goodwill impairment charges of $211 million and $95 million in 2010 and 2009, respectively, and severance costs of $2.9 million, net of income tax benefit of $1.1 million in 2009. </w:t>
      </w:r>
      <w:r>
        <w:rPr>
          <w:rFonts w:ascii="Arial" w:cs="Arial" w:eastAsia="Arial" w:hAnsi="Arial"/>
          <w:sz w:val="10"/>
          <w:szCs w:val="10"/>
          <w:color w:val="auto"/>
        </w:rPr>
        <w:t>(4)</w:t>
      </w:r>
      <w:r>
        <w:rPr>
          <w:rFonts w:ascii="Arial" w:cs="Arial" w:eastAsia="Arial" w:hAnsi="Arial"/>
          <w:sz w:val="16"/>
          <w:szCs w:val="16"/>
          <w:color w:val="auto"/>
        </w:rPr>
        <w:t xml:space="preserve"> Net income (loss) available to common shareholders,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is net of preferred stock dividends, divided by average realized common equity, which excludes accumulated other comprehensive income (loss).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(5) </w:t>
      </w:r>
      <w:r>
        <w:rPr>
          <w:rFonts w:ascii="Arial" w:cs="Arial" w:eastAsia="Arial" w:hAnsi="Arial"/>
          <w:sz w:val="17"/>
          <w:szCs w:val="17"/>
          <w:color w:val="auto"/>
        </w:rPr>
        <w:t>Excludes effect of acquisition related intangibles and associated amortization.</w:t>
      </w:r>
      <w:r>
        <w:rPr>
          <w:rFonts w:ascii="Arial" w:cs="Arial" w:eastAsia="Arial" w:hAnsi="Arial"/>
          <w:sz w:val="11"/>
          <w:szCs w:val="11"/>
          <w:color w:val="auto"/>
        </w:rPr>
        <w:t xml:space="preserve"> (6) </w:t>
      </w:r>
      <w:r>
        <w:rPr>
          <w:rFonts w:ascii="Arial" w:cs="Arial" w:eastAsia="Arial" w:hAnsi="Arial"/>
          <w:sz w:val="17"/>
          <w:szCs w:val="17"/>
          <w:color w:val="auto"/>
        </w:rPr>
        <w:t>Number of new shares issued for shares currently held.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Excludes loans and foreclosed properties covered by loss sharing agreements with the FDIC.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320" w:type="dxa"/>
            <w:vAlign w:val="bottom"/>
            <w:gridSpan w:val="2"/>
            <w:vMerge w:val="continue"/>
          </w:tcPr>
          <w:p>
            <w:pPr>
              <w:spacing w:after="0"/>
              <w:rPr>
                <w:sz w:val="11"/>
                <w:szCs w:val="11"/>
                <w:color w:val="auto"/>
              </w:rPr>
            </w:pPr>
          </w:p>
        </w:tc>
        <w:tc>
          <w:tcPr>
            <w:tcW w:w="680" w:type="dxa"/>
            <w:vAlign w:val="bottom"/>
            <w:gridSpan w:val="3"/>
          </w:tcPr>
          <w:p>
            <w:pPr>
              <w:jc w:val="right"/>
              <w:ind w:right="220"/>
              <w:spacing w:after="0" w:line="131" w:lineRule="exact"/>
              <w:rPr>
                <w:sz w:val="20"/>
                <w:szCs w:val="20"/>
                <w:color w:val="auto"/>
              </w:rPr>
            </w:pPr>
            <w:r>
              <w:rPr>
                <w:rFonts w:ascii="Arial" w:cs="Arial" w:eastAsia="Arial" w:hAnsi="Arial"/>
                <w:sz w:val="14"/>
                <w:szCs w:val="14"/>
                <w:b w:val="1"/>
                <w:bCs w:val="1"/>
                <w:color w:val="auto"/>
                <w:w w:val="99"/>
              </w:rPr>
              <w:t>Fourth</w:t>
            </w:r>
          </w:p>
        </w:tc>
        <w:tc>
          <w:tcPr>
            <w:tcW w:w="140" w:type="dxa"/>
            <w:vAlign w:val="bottom"/>
          </w:tcPr>
          <w:p>
            <w:pPr>
              <w:spacing w:after="0"/>
              <w:rPr>
                <w:sz w:val="11"/>
                <w:szCs w:val="11"/>
                <w:color w:val="auto"/>
              </w:rPr>
            </w:pPr>
          </w:p>
        </w:tc>
        <w:tc>
          <w:tcPr>
            <w:tcW w:w="680" w:type="dxa"/>
            <w:vAlign w:val="bottom"/>
            <w:gridSpan w:val="2"/>
          </w:tcPr>
          <w:p>
            <w:pPr>
              <w:jc w:val="right"/>
              <w:ind w:right="320"/>
              <w:spacing w:after="0" w:line="131"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20"/>
              <w:spacing w:after="0" w:line="131" w:lineRule="exact"/>
              <w:rPr>
                <w:sz w:val="20"/>
                <w:szCs w:val="20"/>
                <w:color w:val="auto"/>
              </w:rPr>
            </w:pPr>
            <w:r>
              <w:rPr>
                <w:rFonts w:ascii="Arial" w:cs="Arial" w:eastAsia="Arial" w:hAnsi="Arial"/>
                <w:sz w:val="14"/>
                <w:szCs w:val="14"/>
                <w:b w:val="1"/>
                <w:bCs w:val="1"/>
                <w:color w:val="auto"/>
                <w:w w:val="90"/>
              </w:rPr>
              <w:t>Second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2"/>
              <w:spacing w:after="0" w:line="131"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1"/>
                <w:szCs w:val="11"/>
                <w:color w:val="auto"/>
              </w:rPr>
            </w:pPr>
          </w:p>
        </w:tc>
        <w:tc>
          <w:tcPr>
            <w:tcW w:w="700" w:type="dxa"/>
            <w:vAlign w:val="bottom"/>
            <w:gridSpan w:val="3"/>
          </w:tcPr>
          <w:p>
            <w:pPr>
              <w:jc w:val="right"/>
              <w:ind w:right="240"/>
              <w:spacing w:after="0" w:line="131" w:lineRule="exact"/>
              <w:rPr>
                <w:sz w:val="20"/>
                <w:szCs w:val="20"/>
                <w:color w:val="auto"/>
              </w:rPr>
            </w:pPr>
            <w:r>
              <w:rPr>
                <w:rFonts w:ascii="Arial" w:cs="Arial" w:eastAsia="Arial" w:hAnsi="Arial"/>
                <w:sz w:val="14"/>
                <w:szCs w:val="14"/>
                <w:b w:val="1"/>
                <w:bCs w:val="1"/>
                <w:color w:val="auto"/>
                <w:w w:val="99"/>
              </w:rPr>
              <w:t>Fourth</w:t>
            </w:r>
          </w:p>
        </w:tc>
        <w:tc>
          <w:tcPr>
            <w:tcW w:w="120" w:type="dxa"/>
            <w:vAlign w:val="bottom"/>
          </w:tcPr>
          <w:p>
            <w:pPr>
              <w:spacing w:after="0"/>
              <w:rPr>
                <w:sz w:val="11"/>
                <w:szCs w:val="11"/>
                <w:color w:val="auto"/>
              </w:rPr>
            </w:pPr>
          </w:p>
        </w:tc>
        <w:tc>
          <w:tcPr>
            <w:tcW w:w="740" w:type="dxa"/>
            <w:vAlign w:val="bottom"/>
            <w:gridSpan w:val="2"/>
          </w:tcPr>
          <w:p>
            <w:pPr>
              <w:jc w:val="right"/>
              <w:ind w:right="380"/>
              <w:spacing w:after="0" w:line="131"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20"/>
              <w:spacing w:after="0" w:line="131" w:lineRule="exact"/>
              <w:rPr>
                <w:sz w:val="20"/>
                <w:szCs w:val="20"/>
                <w:color w:val="auto"/>
              </w:rPr>
            </w:pPr>
            <w:r>
              <w:rPr>
                <w:rFonts w:ascii="Arial" w:cs="Arial" w:eastAsia="Arial" w:hAnsi="Arial"/>
                <w:sz w:val="14"/>
                <w:szCs w:val="14"/>
                <w:b w:val="1"/>
                <w:bCs w:val="1"/>
                <w:color w:val="auto"/>
                <w:w w:val="90"/>
              </w:rPr>
              <w:t>Second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72"/>
              <w:spacing w:after="0" w:line="131"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4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w w:val="94"/>
              </w:rPr>
              <w:t>data; taxable equivalent)</w:t>
            </w:r>
          </w:p>
        </w:tc>
        <w:tc>
          <w:tcPr>
            <w:tcW w:w="3860" w:type="dxa"/>
            <w:vAlign w:val="bottom"/>
          </w:tcPr>
          <w:p>
            <w:pPr>
              <w:spacing w:after="0"/>
              <w:rPr>
                <w:sz w:val="15"/>
                <w:szCs w:val="15"/>
                <w:color w:val="auto"/>
              </w:rPr>
            </w:pPr>
          </w:p>
        </w:tc>
        <w:tc>
          <w:tcPr>
            <w:tcW w:w="6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b w:val="1"/>
                <w:bCs w:val="1"/>
                <w:color w:val="auto"/>
                <w:w w:val="79"/>
              </w:rPr>
              <w:t>Quarter</w:t>
            </w:r>
          </w:p>
        </w:tc>
        <w:tc>
          <w:tcPr>
            <w:tcW w:w="700" w:type="dxa"/>
            <w:vAlign w:val="bottom"/>
            <w:gridSpan w:val="3"/>
          </w:tcPr>
          <w:p>
            <w:pPr>
              <w:jc w:val="right"/>
              <w:ind w:right="200"/>
              <w:spacing w:after="0" w:line="159" w:lineRule="exact"/>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760" w:type="dxa"/>
            <w:vAlign w:val="bottom"/>
            <w:gridSpan w:val="3"/>
          </w:tcPr>
          <w:p>
            <w:pPr>
              <w:jc w:val="right"/>
              <w:ind w:right="260"/>
              <w:spacing w:after="0" w:line="159" w:lineRule="exact"/>
              <w:rPr>
                <w:sz w:val="20"/>
                <w:szCs w:val="20"/>
                <w:color w:val="auto"/>
              </w:rPr>
            </w:pPr>
            <w:r>
              <w:rPr>
                <w:rFonts w:ascii="Arial" w:cs="Arial" w:eastAsia="Arial" w:hAnsi="Arial"/>
                <w:sz w:val="14"/>
                <w:szCs w:val="14"/>
                <w:b w:val="1"/>
                <w:bCs w:val="1"/>
                <w:color w:val="auto"/>
                <w:w w:val="94"/>
              </w:rPr>
              <w:t>Quarter</w:t>
            </w:r>
          </w:p>
        </w:tc>
        <w:tc>
          <w:tcPr>
            <w:tcW w:w="700" w:type="dxa"/>
            <w:vAlign w:val="bottom"/>
            <w:gridSpan w:val="3"/>
          </w:tcPr>
          <w:p>
            <w:pPr>
              <w:jc w:val="right"/>
              <w:ind w:right="200"/>
              <w:spacing w:after="0" w:line="159" w:lineRule="exact"/>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5"/>
                <w:szCs w:val="15"/>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w w:val="79"/>
              </w:rPr>
              <w:t>Quarter</w:t>
            </w:r>
          </w:p>
        </w:tc>
        <w:tc>
          <w:tcPr>
            <w:tcW w:w="700" w:type="dxa"/>
            <w:vAlign w:val="bottom"/>
            <w:gridSpan w:val="3"/>
          </w:tcPr>
          <w:p>
            <w:pPr>
              <w:jc w:val="right"/>
              <w:ind w:right="200"/>
              <w:spacing w:after="0" w:line="159" w:lineRule="exact"/>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760" w:type="dxa"/>
            <w:vAlign w:val="bottom"/>
            <w:gridSpan w:val="3"/>
          </w:tcPr>
          <w:p>
            <w:pPr>
              <w:jc w:val="right"/>
              <w:ind w:right="240"/>
              <w:spacing w:after="0" w:line="15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22"/>
        </w:trPr>
        <w:tc>
          <w:tcPr>
            <w:tcW w:w="53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INCOME SUMMARY</w:t>
            </w: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64,450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65,978</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66,780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70,221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71,905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74,543</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76,931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75,965</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8,422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11,357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12,855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17,985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19,573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880"/>
              <w:spacing w:after="0"/>
              <w:rPr>
                <w:sz w:val="20"/>
                <w:szCs w:val="20"/>
                <w:color w:val="auto"/>
              </w:rPr>
            </w:pPr>
            <w:r>
              <w:rPr>
                <w:rFonts w:ascii="Arial" w:cs="Arial" w:eastAsia="Arial" w:hAnsi="Arial"/>
                <w:sz w:val="14"/>
                <w:szCs w:val="14"/>
                <w:color w:val="auto"/>
              </w:rPr>
              <w:t>Net interest revenue</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56,028</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57,371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56,836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58,864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59,050</w:t>
            </w: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59,281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58,946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56,392</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15,500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18,000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14,000</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11,000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190,000</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Fee revenue</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14,761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13,764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15,379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12,667</w:t>
            </w:r>
          </w:p>
        </w:tc>
        <w:tc>
          <w:tcPr>
            <w:tcW w:w="1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11,498</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13,905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11,838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Total revenue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56,789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55,635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51,703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59,243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57,717</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34,779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61,851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(121,770)</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50,726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44,783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44,310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46,955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51,080</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46,520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48,728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115,271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gridSpan w:val="2"/>
            <w:shd w:val="clear" w:color="auto" w:fill="CCEEFF"/>
          </w:tcPr>
          <w:p>
            <w:pPr>
              <w:ind w:left="1300"/>
              <w:spacing w:after="0" w:line="149" w:lineRule="exact"/>
              <w:rPr>
                <w:sz w:val="20"/>
                <w:szCs w:val="20"/>
                <w:color w:val="auto"/>
              </w:rPr>
            </w:pPr>
            <w:r>
              <w:rPr>
                <w:rFonts w:ascii="Arial" w:cs="Arial" w:eastAsia="Arial" w:hAnsi="Arial"/>
                <w:sz w:val="14"/>
                <w:szCs w:val="14"/>
                <w:color w:val="auto"/>
              </w:rPr>
              <w:t>Income (loss) before income taxes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6,063</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10,852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12,288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6,637</w:t>
            </w: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(11,741)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13,123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(237,041)</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(3,264)</w:t>
            </w: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(402)</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Net income (loss)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5,261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10,568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11,528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9,901</w:t>
            </w: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(11,339)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12,028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(237,336)</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Preferred dividends and discount accretion</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3,025</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Net income (loss) available to common shareholders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2,216</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6,876</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(14,358)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9,012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(240,114)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MEASURES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Per common share:</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Diluted income (loss)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Book value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6.62</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1"/>
                <w:szCs w:val="11"/>
                <w:color w:val="auto"/>
              </w:rPr>
              <w:t xml:space="preserve">Tangible book value </w:t>
            </w:r>
            <w:r>
              <w:rPr>
                <w:rFonts w:ascii="Arial" w:cs="Arial" w:eastAsia="Arial" w:hAnsi="Arial"/>
                <w:sz w:val="17"/>
                <w:szCs w:val="17"/>
                <w:color w:val="auto"/>
                <w:vertAlign w:val="superscript"/>
              </w:rPr>
              <w:t>(2)</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Key performance ratios: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1"/>
                <w:szCs w:val="11"/>
                <w:color w:val="auto"/>
              </w:rPr>
              <w:t xml:space="preserve">Return on equity </w:t>
            </w:r>
            <w:r>
              <w:rPr>
                <w:rFonts w:ascii="Arial" w:cs="Arial" w:eastAsia="Arial" w:hAnsi="Arial"/>
                <w:sz w:val="17"/>
                <w:szCs w:val="17"/>
                <w:color w:val="auto"/>
                <w:vertAlign w:val="superscript"/>
              </w:rPr>
              <w:t>(1)(3)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7.43%</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(15.06)%</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(526.54)%</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1"/>
                <w:szCs w:val="11"/>
                <w:color w:val="auto"/>
              </w:rPr>
              <w:t xml:space="preserve">Return on assets </w:t>
            </w:r>
            <w:r>
              <w:rPr>
                <w:rFonts w:ascii="Arial" w:cs="Arial" w:eastAsia="Arial" w:hAnsi="Arial"/>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w:t>
            </w: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(3)</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3.44</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Efficiency ratio</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71.69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71.23</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169.08</w:t>
            </w: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Equity to assets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8.63</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8.28</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1"/>
                <w:szCs w:val="11"/>
                <w:color w:val="auto"/>
              </w:rPr>
              <w:t xml:space="preserve">Tangible equity to assets </w:t>
            </w:r>
            <w:r>
              <w:rPr>
                <w:rFonts w:ascii="Arial" w:cs="Arial" w:eastAsia="Arial" w:hAnsi="Arial"/>
                <w:sz w:val="17"/>
                <w:szCs w:val="17"/>
                <w:color w:val="auto"/>
                <w:vertAlign w:val="superscript"/>
              </w:rPr>
              <w:t>(2)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8.16</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5320" w:type="dxa"/>
            <w:vAlign w:val="bottom"/>
            <w:gridSpan w:val="2"/>
          </w:tcPr>
          <w:p>
            <w:pPr>
              <w:ind w:left="880"/>
              <w:spacing w:after="0" w:line="149" w:lineRule="exact"/>
              <w:rPr>
                <w:sz w:val="20"/>
                <w:szCs w:val="20"/>
                <w:color w:val="auto"/>
              </w:rPr>
            </w:pPr>
            <w:r>
              <w:rPr>
                <w:rFonts w:ascii="Arial" w:cs="Arial" w:eastAsia="Arial" w:hAnsi="Arial"/>
                <w:sz w:val="11"/>
                <w:szCs w:val="11"/>
                <w:color w:val="auto"/>
              </w:rPr>
              <w:t xml:space="preserve">Tangible common equity to assets </w:t>
            </w:r>
            <w:r>
              <w:rPr>
                <w:rFonts w:ascii="Arial" w:cs="Arial" w:eastAsia="Arial" w:hAnsi="Arial"/>
                <w:sz w:val="17"/>
                <w:szCs w:val="17"/>
                <w:color w:val="auto"/>
                <w:vertAlign w:val="superscript"/>
              </w:rPr>
              <w:t>(2)</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5.38</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1"/>
                <w:szCs w:val="11"/>
                <w:color w:val="auto"/>
              </w:rPr>
              <w:t xml:space="preserve">Tangible common equity to risk-weighted assets </w:t>
            </w:r>
            <w:r>
              <w:rPr>
                <w:rFonts w:ascii="Arial" w:cs="Arial" w:eastAsia="Arial" w:hAnsi="Arial"/>
                <w:sz w:val="17"/>
                <w:szCs w:val="17"/>
                <w:color w:val="auto"/>
                <w:vertAlign w:val="superscript"/>
              </w:rPr>
              <w:t>(2)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 QUALITY *</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Non-performing loans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109,894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2"/>
              </w:rPr>
              <w:t>115,001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115,340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129,704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127,479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144,484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71,065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83,769</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Foreclosed properties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18,264</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26,958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30,421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31,887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32,859</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44,263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47,584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54,378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non-performing assets (NPAs)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128,158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141,959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145,761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161,591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160,338</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188,747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118,649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138,147</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Allowance for loan losses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107,137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107,642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112,705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2"/>
              </w:rPr>
              <w:t>113,601</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114,468</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146,092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127,638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133,121</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charge-offs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14,505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20,563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18,896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15,867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45,624</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16,483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231,574</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Allowance for loan losses to loans</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Net charge-offs to average loans </w:t>
            </w:r>
            <w:r>
              <w:rPr>
                <w:rFonts w:ascii="Arial" w:cs="Arial" w:eastAsia="Arial" w:hAnsi="Arial"/>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4.39</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NPAs to loans and foreclosed properties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NPAs to total assets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 millions)</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Loans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4,191</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4,156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4,175</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2,141</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2,150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Earning assets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6,482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6,688</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6,778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7,019</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7,379</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Deposits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5,873</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6,115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6,560</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Shareholders’ equity</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581</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Common shares—basic </w:t>
            </w:r>
            <w:r>
              <w:rPr>
                <w:rFonts w:ascii="Arial" w:cs="Arial" w:eastAsia="Arial" w:hAnsi="Arial"/>
                <w:sz w:val="14"/>
                <w:szCs w:val="14"/>
                <w:i w:val="1"/>
                <w:iCs w:val="1"/>
                <w:color w:val="auto"/>
              </w:rPr>
              <w:t>(thousands)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57,971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57,880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57,840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57,764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57,646</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25,427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18,466</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xml:space="preserve">Common shares—diluted </w:t>
            </w:r>
            <w:r>
              <w:rPr>
                <w:rFonts w:ascii="Arial" w:cs="Arial" w:eastAsia="Arial" w:hAnsi="Arial"/>
                <w:sz w:val="14"/>
                <w:szCs w:val="14"/>
                <w:i w:val="1"/>
                <w:iCs w:val="1"/>
                <w:color w:val="auto"/>
              </w:rPr>
              <w:t>(thousands)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57,971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57,880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57,840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57,764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57,646</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57,599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57,543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18,466</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Loans *</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4,138</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4,128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4,163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2,120</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6,802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6,983</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6,894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7,709</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Deposits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5,952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6,098</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149"/>
        </w:trPr>
        <w:tc>
          <w:tcPr>
            <w:tcW w:w="53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Shareholders’ equity</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575</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Common shares outstanding </w:t>
            </w:r>
            <w:r>
              <w:rPr>
                <w:rFonts w:ascii="Arial" w:cs="Arial" w:eastAsia="Arial" w:hAnsi="Arial"/>
                <w:sz w:val="14"/>
                <w:szCs w:val="14"/>
                <w:i w:val="1"/>
                <w:iCs w:val="1"/>
                <w:color w:val="auto"/>
              </w:rPr>
              <w:t>(thousands)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57,741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57,710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57,641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57,603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57,561</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57,469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20,903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60" w:hanging="452"/>
        <w:spacing w:after="0" w:line="269" w:lineRule="auto"/>
        <w:tabs>
          <w:tab w:leader="none" w:pos="4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 xml:space="preserve">Net loss available to common shareholders, which is net of preferred stock dividends, divided by average realized common equity, which excludes accumulated other comprehensive income (loss). </w:t>
      </w:r>
      <w:r>
        <w:rPr>
          <w:rFonts w:ascii="Arial" w:cs="Arial" w:eastAsia="Arial" w:hAnsi="Arial"/>
          <w:sz w:val="10"/>
          <w:szCs w:val="10"/>
          <w:color w:val="auto"/>
        </w:rPr>
        <w:t>(2)</w:t>
      </w:r>
      <w:r>
        <w:rPr>
          <w:rFonts w:ascii="Arial" w:cs="Arial" w:eastAsia="Arial" w:hAnsi="Arial"/>
          <w:sz w:val="15"/>
          <w:szCs w:val="15"/>
          <w:color w:val="auto"/>
        </w:rPr>
        <w:t xml:space="preserve"> Excludes effect of acquisition related intangibles and associated amortization. </w:t>
      </w:r>
      <w:r>
        <w:rPr>
          <w:rFonts w:ascii="Arial" w:cs="Arial" w:eastAsia="Arial" w:hAnsi="Arial"/>
          <w:sz w:val="10"/>
          <w:szCs w:val="10"/>
          <w:color w:val="auto"/>
        </w:rPr>
        <w:t>(3)</w:t>
      </w:r>
      <w:r>
        <w:rPr>
          <w:rFonts w:ascii="Arial" w:cs="Arial" w:eastAsia="Arial" w:hAnsi="Arial"/>
          <w:sz w:val="15"/>
          <w:szCs w:val="15"/>
          <w:color w:val="auto"/>
        </w:rPr>
        <w:t xml:space="preserve"> Annualized.</w:t>
      </w:r>
    </w:p>
    <w:p>
      <w:pPr>
        <w:ind w:left="5620" w:right="4440" w:hanging="5612"/>
        <w:spacing w:after="0" w:line="517" w:lineRule="auto"/>
        <w:tabs>
          <w:tab w:leader="none" w:pos="4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loans and foreclosed properties covered by loss sharing agreements with the FDIC. 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4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earnings (loss) and operating earnings (loss) per diluted share are non-GAAP performance measures. United’s management believes that operating performance measures are useful in analyzing the Company’s financial performance trends since they exclude items that are non-recurring in nature and therefore most of the discussion in this section will refer to operating performance measures. A reconciliation of these operating performance measures to GAAP performance measures is included in the table on pages 34 and 35.</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United continues to experience challenges in its loan portfolio caused by the weakened housing and commercial real estate markets, the Company’s financial condition improved considerably in 2012. United was able to experience loan growth, despite the fragile economic conditions in its markets and intense competition for quality loans. United reported net income of $33.9 million in 2012 compared to a net loss of $227 million in 2011, which primarily reflected the credit losses taken in the first quarter associated with the execution of a plan to sell approximately $293 million in substandard and nonperforming loans, and to accelerate the disposition of approximately $142 million in foreclosed properties (the “Problem Asset Disposition Plan”). Diluted earnings per common share was $.38 for the year ended December 31, 2012, compared with a diluted loss per common share of $5.97 for 2011.</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United’s approach to managing through the challenging economic cycle has been to aggressively deal with credit problems and dispose of troubled assets quickly, taking losses as necessary. United’s provision for loan losses was $62.5 million in 2012 compared with $251 million in 2011, reflecting the improvement in the credit quality of United’s loan portfolio. Net charge-offs for 2012 were $69.8 million compared with $311 million in 2011. During the second quarter of 2011, in conjunction with a bulk sale transaction (the “Bulk Loan Sale”), performing substandard loans with a carrying amount of $166 million and nonperforming loans with a carrying amount of $101 million were sold for $87.9 million.</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execution of the Problem Asset Disposition Plan in the first quarter of 2011, United’s allowance for loan losses analysis has indicated a lower allowance requirement each quarter than the previous quarter, resulting in provisions for loan losses being below the amount of net charge-offs. The only exception was the third quarter of 2011, due to the classification of United’s largest lending relationship. As United’s historical loss experience and other credit measures have improved, the amount of estimated losses inherent in the loan portfolio, as measured by United’s quarterly analysis of the allowance for loan losses, has decreased accordingly.</w:t>
      </w:r>
    </w:p>
    <w:p>
      <w:pPr>
        <w:spacing w:after="0" w:line="14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As of December 31, 2012, United’s allowance for loan losses was $107 million, or 2.57% of loans compared to $114 million, or 2.79% of loans at the end of 2011. Nonperforming assets of $128 million, which excludes assets that are covered by loss sharing agreements with the FDIC, were 1.88% of total assets at December 31, 2012, compared to 2.30% as of December 31, 2011.</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Taxable equivalent net interest revenue was $229 million for 2012, compared to $234 million in 2011. The $4.57 million, or 2% decrease in net interest revenue, was primarily the result of lower yields on the loan and securities portfolios, which were due to loan pricing competition and the reinvestment of maturing and called securities proceeds at record low interest rates. The decrease in net interest revenue was substantially offset by lower deposit costs.</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interest margin increased 6 basis points from 3.44% in 2011 to 3.50% in 2012 due primarily to the smaller balance of interest earning assets. During the financial crisis, United maintained levels of liquidity well in excess of the level carried during periods of more stable economic conditions. The higher levels of liquidity inflated the balance sheet at a slightly negative spread. Beginning in 2011 and continuing throughout 2012, United has removed much of the excess liquidity from its balance sheet as credit concerns and economic conditions began to stabilize. Also contributing to the 2012 margin improvement was a higher average balance of non-interest bearing demand deposits.</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Fee revenue of $56.8 million was up $6.86 million, or 14%, from 2011. Overdraft fees declined $944,000, or 7%, as a result of regulatory changes requiring customer consent before using overdraft services. This decline was more than offset by a $1.03 million increase in ATM and debit card fee revenue. In addition, beginning January 1, 2012, United began assessing service fees on low balance demand deposit accounts which increased other deposit service charges by $2.48 million over 2011. Mortgage loan and related fees increased $5.06 million compared to the prior year, due to higher origination volumes that were driven by record low mortgage rates. Hedge ineffectiveness gains recognized in 2012 were $659,000 compared with $5.00 million in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2012, operating expenses of $187 million were down $74.8 million, or 29%, from the same period in the prior year. Lower salary and employee benefits expense accounted for $4.07 million of the decrease, due to the reduction in staff levels. At December 31, 2012, United had 1,590 staff compared with 1,754 at December 31, 2011, a reduction of 164 staff. Foreclosed property costs were $64.9 million lower in 2012, due to the Problem Asset Disposition that drove up foreclosed property costs in 2011. United’s focus on reducing costs and improving operational efficiency resulted in the reduction of most expense categories in 2012.</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December 31, 2012, United established litigation reserves of $4.00 million by recording a charge to other operating expenses. The litigation reserves are described in more detail below in “Transaction with Fletcher International – Legal Disputes”.</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Loans at December 31, 2012 were $4.18 billion, up $65 million from the end of 2011. This was the first year over year loan growth since 2008. Much of the loan growth resulted from United’s focus on owner-occupied commercial real estate and small business lending. United has also been running a successful home equity line of credit promotion that added $100 million in new loans in the second half of the year. In addition, United purchased $40 million of indirect auto loans during 2012. Totaling $382 million, residential construction loans at December 31, 2012 represented 9% of outstanding loans, down from 11% at the end of 2011, a decrease of $66.7 million. Deposits were down $146 million to $5.95 billion, as United focused on reducing interest expense by allowing attrition in higher rate certificates of deposit by not aggressively competing with rates. United’s focus was to increase low cost core transaction deposits which grew $311 million in 2012, excluding public funds deposits. At the end of 2012, total equity capital was $581 million, up $6 million from December 31, 2011, reflecting the company’s return to profitability in 2012. At December 31, 2012, all of United’s regulatory capital ratios were above well capitalized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United’s accounting for the allowance for loan losses, fair value measurements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considers the following accounting policies to be 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allowance for loan losses consists of an allocated component and an unallocated component. The components of the allowance for loan losses represent an estimate. The allocated component of the allowance for loan losses reflects losses inherent in the loan portfolio and is based on analyses developed through specific credit allocations for individual loans and historical loss experience for each loan category. The specific credit allocations are based on impairment analyses of all nonaccrual loans over $500,000, accruing substandard loans in relationships over $2 million and Troubled Debt Restructured loans (“TDRs”), which are all considered impaired loans. These analyses involve judgment in estimating the amount of loss associated with specific loans, including estimating the amount and timing of future cash flows and collateral values. The historical loss element is determined using the weighted average of actual losses incurred over the prior eight quarters for each type of loan, updated quarterly. The weighted average is weighted toward the most recent quarters’ loss experience.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 The allocated component of the allowance for loan losses also includes consideration of concentrations of credit and changes in portfolio mix.</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unallocated portion of the allowance reflects management’s estimate of probable inherent but undetectable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losses inherent in the portfolio.</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There are many factors affecting the allowance for loan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United’s impaired loans and foreclosed assets may be measured and carried at fair value, the determination of which requires management to make assumptions, estimates and judgments. At December 31, 2012, the percentage of total assets measured at fair value was 30%. See Note 23 “Fair Value” in the consolidated financial statements herein for additional disclosures regarding the fair value of our assets and liabilities.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a loan is considered impaired, a specific valuation allowance is allocated, if necessary, so that the loan is reported net, at the present value of estimated future cash flows using the loan’s existing rate or at the fair value of collateral if repayment is expected solely from the collateral. In addition, foreclosed assets are carried at the lower of cost, fair value, less cost to sell, or listed selling price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and allow United to arrive at a fair value, the processes require management judgment and assumptions and the value of such assets at the time they are revalued or divested may be significantly different from management’s determination of fair value. In addition, because of this increased subjectivity in fair value determinations, there is greater than usual grounds for differences in opinions, which may result in increased disagreements between management and the Bank’s regulators, disagreements which could cause the Bank to change its judgments about fair value.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fair values for available for sale and held to maturity securities are generally based upon quoted market prices or observable market prices for similar instruments. United utilizes a third-party pricing service to assist with determining the fair value of its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As of December 31, 2012, United had $350,000 of available for sale securities valued using unobservable inputs. This amount represents less than .01% of total assets. United periodically reviews available for sale securities that are in an unrealized loss position to determine whether other-than-temporary impairment exists. An unrealized loss exists when the current fair value of an individual security is less than its amortized cost-basis. The primary factors United considers in determining whether impairment is other-than-temporary are long term expectations and recent experience regarding principal and interest payments, and United’s ability and intent to hold the security until the amortized cost basis is recovered.</w:t>
      </w:r>
    </w:p>
    <w:p>
      <w:pPr>
        <w:spacing w:after="0" w:line="12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United uses derivatives primarily to manage interest rate risk. The fair values of derivative financial instruments are determined based on quoted market prices, dealer quotes and internal pricing models that are primarily sensitive to market observable data. United mitigates the credit risk by subjecting counterparties to credit reviews and approvals similar to those used in making loans and other extensions of credit. In addition, certain counterparties are required to provide collateral to United when their unsecured loss positions exceed certain negotiated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Income tax liabilities or assets are established for the amount of taxes payable or refundable for the current year.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At December 31, 2012, United reported no net deferred tax asset, due to a full valuation allowance of $270 million. 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In making such judgments, significant weight is given to evidence that can be objectively verified. Because of the significant weight given to recent losses, management determined that a full valuation allowance was necessary.</w:t>
      </w:r>
    </w:p>
    <w:p>
      <w:pPr>
        <w:spacing w:after="0" w:line="14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Regulatory risk-based capital rules limit the amount of deferred tax assets that a bank or bank holding company can include in Tier 1 capital. Generally, deferred tax assets that are dependent upon future taxable income are limited to the lesser of: (i) the amount of such deferred tax assets that the bank expects to realize within one year of the calendar quarter-end date, based on its projected future taxable income for that year or (ii) 10% of the amount of the bank’s Tier 1 capital.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United selectively engages in the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United will continue to evaluate potential transactions as they are presented, including acquisitions of failed banks to the extent we are permitted to bid on them.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Effective March 31, 2010, United sold its Brintech subsidiary. As a result, the operations of Brintech are being accounted for as a discontinued operation. All revenue, including the gain from the sale, expenses and income taxes relating to Brintech have been deconsolidated from the consolidated statement of operations and are presented on one line titled “(Loss) income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Form 10-K contains non-GAAP financial measures determined by methods other than in accordance with GAAP. Such non-GAAP financial measures include, among others, the following: taxable equivalent interest revenue, taxable equivalent net interest revenue, operating provision for loan losses, operating fee revenue, total operating revenue, operating expense, operating income (loss), operating earnings (loss) per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34 and 35.</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2010, United recorded a non-cash goodwill impairment charge of $211 million in the third quarter. Also in 2010, United received a partial recovery of $11.8 million, net of recovery costs, in the fourth quarter resulting from fraud losses incurred in 2007 relating to two failed real estate developments near Spruce Pine, North Carolina. In 2009, United recorded non-cash goodwill impairment charges of $25 million and $70 million during the third and first quarters, respectively. In addition, United recorded severance costs of $2.9 million during the first quarter of 2009 and a bargain purchase gain on the acquisition of Southern Community Bank in the amount of $11.4 million during the second quarter of 2009.</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Net operating income (loss) excludes the effect of the goodwill impairment charge of $211 million and the $11.8 million fraud loss partial recovery in 2010; the goodwill impairment charges of $95 million, the $11.4 million bargain purchase gain on acquisition, and the $2.9 million in severance costs in 2009, because management believes that the circumstances leading to those items were isolated, non-recurring events and do not reflect overall trends in United’s earnings and financial performance. Management believes this non-GAAP net operating loss provides users of United’s financial information with a meaningful measure for assessing United’s financial results and credit trends, as well as comparison to financial results for prior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pages contain a reconciliation of net operating income to GAAP net income.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1—Operating Earnings to GAAP Earnings Reconciliation—Annual Selected Financial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Twelve Months Ended</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i w:val="1"/>
                <w:iCs w:val="1"/>
                <w:color w:val="auto"/>
                <w:w w:val="94"/>
              </w:rPr>
              <w:t>data; taxable equivalent)</w:t>
            </w: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 revenue reconciliation</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Interest revenue—taxable equivalent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267,429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299,344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343,123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404,961</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466,969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Interest revenue (GAAP)</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265,739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297,637</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341,122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402,829</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464,708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Net interest revenue—taxable equivalent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229,099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233,669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243,052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245,227</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238,704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interest revenue (GAAP)</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227,409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231,962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241,051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243,095</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236,443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provision for loan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62,500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251,000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234,750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310,000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184,000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Partial recovery of special fraud-related loan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40"/>
              <w:spacing w:after="0"/>
              <w:rPr>
                <w:sz w:val="20"/>
                <w:szCs w:val="20"/>
                <w:color w:val="auto"/>
              </w:rPr>
            </w:pPr>
            <w:r>
              <w:rPr>
                <w:rFonts w:ascii="Arial" w:cs="Arial" w:eastAsia="Arial" w:hAnsi="Arial"/>
                <w:sz w:val="18"/>
                <w:szCs w:val="18"/>
                <w:color w:val="auto"/>
              </w:rPr>
              <w:t>Provision for loan losses (GAAP)</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62,500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251,000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223,000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310,000</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184,000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Fee revenue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fee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56,771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49,908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48,548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50,964</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46,081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Fee revenue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56,771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49,908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48,548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62,354</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46,081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223,370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56,850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(13,809)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100,785</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Partial recovery of special fraud-related loan loss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Total revenue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221,680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30,870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66,599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(4,551)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98,524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186,774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261,599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288,301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217,050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200,335</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210,590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expense (GAAP)</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186,774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261,599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498,891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314,948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200,335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taxes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36,596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(229,022)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(231,451)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(230,859)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(99,550)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(210,590)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Partial recovery of special fraud-related loan loss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(loss) before taxes (GAAP)</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34,906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(230,729)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(432,292)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(319,499)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(101,811)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expense (benefit)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 tax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Severance costs, tax benefit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expense (benefit) (GAAP)</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Diluted earnings (loss) from continuing operations per common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Diluted operating earnings (loss) from continuing operations per common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Partial recovery of special fraud-related loan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40" w:type="dxa"/>
            <w:vAlign w:val="bottom"/>
            <w:gridSpan w:val="2"/>
          </w:tcPr>
          <w:p>
            <w:pPr>
              <w:ind w:left="440"/>
              <w:spacing w:after="0"/>
              <w:rPr>
                <w:sz w:val="20"/>
                <w:szCs w:val="20"/>
                <w:color w:val="auto"/>
              </w:rPr>
            </w:pPr>
            <w:r>
              <w:rPr>
                <w:rFonts w:ascii="Arial" w:cs="Arial" w:eastAsia="Arial" w:hAnsi="Arial"/>
                <w:sz w:val="18"/>
                <w:szCs w:val="18"/>
                <w:color w:val="auto"/>
                <w:w w:val="92"/>
              </w:rPr>
              <w:t>Diluted earnings (loss) from continuing operations per common share</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660"/>
              <w:spacing w:after="0"/>
              <w:rPr>
                <w:sz w:val="20"/>
                <w:szCs w:val="20"/>
                <w:color w:val="auto"/>
              </w:rPr>
            </w:pPr>
            <w:r>
              <w:rPr>
                <w:rFonts w:ascii="Arial" w:cs="Arial" w:eastAsia="Arial" w:hAnsi="Arial"/>
                <w:sz w:val="18"/>
                <w:szCs w:val="18"/>
                <w:color w:val="auto"/>
              </w:rPr>
              <w:t>(GAAP)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(27.15)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30.09</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40"/>
              <w:spacing w:after="0"/>
              <w:rPr>
                <w:sz w:val="20"/>
                <w:szCs w:val="20"/>
                <w:color w:val="auto"/>
              </w:rPr>
            </w:pPr>
            <w:r>
              <w:rPr>
                <w:rFonts w:ascii="Arial" w:cs="Arial" w:eastAsia="Arial" w:hAnsi="Arial"/>
                <w:sz w:val="18"/>
                <w:szCs w:val="18"/>
                <w:color w:val="auto"/>
              </w:rPr>
              <w:t>Book value per common share (GAAP)</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41.78</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Efficiency ratio from continuing operations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efficiency ratio from continuing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92.27%</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Efficiency ratio from continuing operations (GAAP)</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92.27%</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171.27%</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40"/>
              <w:spacing w:after="0"/>
              <w:rPr>
                <w:sz w:val="20"/>
                <w:szCs w:val="20"/>
                <w:color w:val="auto"/>
              </w:rPr>
            </w:pPr>
            <w:r>
              <w:rPr>
                <w:rFonts w:ascii="Arial" w:cs="Arial" w:eastAsia="Arial" w:hAnsi="Arial"/>
                <w:sz w:val="18"/>
                <w:szCs w:val="18"/>
                <w:color w:val="auto"/>
              </w:rPr>
              <w:t>Tangible equity to assets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tcBorders>
              <w:bottom w:val="single" w:sz="8" w:color="CCEEFF"/>
            </w:tcBorders>
            <w:gridSpan w:val="2"/>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8.38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7.62</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8.88</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Equity to assets (GAAP)</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7.75%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Tangible common equity to risk-weighted assets reconciliation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8.25%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trust preferred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Tier I capital ratio (Regulatory)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13.69%</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reconciliation</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net charge-offs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69,831</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$ 311,227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$ 215,657</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$ 276,669</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$ 151,152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Subsequent partial recovery of fraud-related charge-off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(11,750)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charge-offs (GAAP)</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69,831</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$ 311,227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$ 203,907</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$ 276,669</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$ 151,152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to average loans reconciliation</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net charge-offs to average loans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Subsequent partial recovery of fraud-related charge-off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charge-offs to average loans (GAAP)</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(Continued)—Operating Earnings to GAAP Earnings Reconciliation—Quarterly Selected Financial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40"/>
              <w:spacing w:after="0" w:line="131" w:lineRule="exact"/>
              <w:rPr>
                <w:sz w:val="20"/>
                <w:szCs w:val="20"/>
                <w:color w:val="auto"/>
              </w:rPr>
            </w:pPr>
            <w:r>
              <w:rPr>
                <w:rFonts w:ascii="Arial" w:cs="Arial" w:eastAsia="Arial" w:hAnsi="Arial"/>
                <w:sz w:val="14"/>
                <w:szCs w:val="14"/>
                <w:b w:val="1"/>
                <w:bCs w:val="1"/>
                <w:color w:val="auto"/>
                <w:w w:val="85"/>
              </w:rPr>
              <w:t>Fourth</w:t>
            </w:r>
          </w:p>
        </w:tc>
        <w:tc>
          <w:tcPr>
            <w:tcW w:w="100" w:type="dxa"/>
            <w:vAlign w:val="bottom"/>
          </w:tcPr>
          <w:p>
            <w:pPr>
              <w:spacing w:after="0"/>
              <w:rPr>
                <w:sz w:val="11"/>
                <w:szCs w:val="11"/>
                <w:color w:val="auto"/>
              </w:rPr>
            </w:pPr>
          </w:p>
        </w:tc>
        <w:tc>
          <w:tcPr>
            <w:tcW w:w="860" w:type="dxa"/>
            <w:vAlign w:val="bottom"/>
            <w:gridSpan w:val="2"/>
          </w:tcPr>
          <w:p>
            <w:pPr>
              <w:jc w:val="right"/>
              <w:ind w:right="500"/>
              <w:spacing w:after="0" w:line="131" w:lineRule="exact"/>
              <w:rPr>
                <w:sz w:val="20"/>
                <w:szCs w:val="20"/>
                <w:color w:val="auto"/>
              </w:rPr>
            </w:pPr>
            <w:r>
              <w:rPr>
                <w:rFonts w:ascii="Arial" w:cs="Arial" w:eastAsia="Arial" w:hAnsi="Arial"/>
                <w:sz w:val="14"/>
                <w:szCs w:val="14"/>
                <w:b w:val="1"/>
                <w:bCs w:val="1"/>
                <w:color w:val="auto"/>
                <w:w w:val="97"/>
              </w:rPr>
              <w:t>Third</w:t>
            </w:r>
          </w:p>
        </w:tc>
        <w:tc>
          <w:tcPr>
            <w:tcW w:w="940" w:type="dxa"/>
            <w:vAlign w:val="bottom"/>
            <w:gridSpan w:val="3"/>
          </w:tcPr>
          <w:p>
            <w:pPr>
              <w:jc w:val="right"/>
              <w:ind w:right="440"/>
              <w:spacing w:after="0" w:line="131"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1"/>
                <w:szCs w:val="11"/>
                <w:color w:val="auto"/>
              </w:rPr>
            </w:pPr>
          </w:p>
        </w:tc>
        <w:tc>
          <w:tcPr>
            <w:tcW w:w="480" w:type="dxa"/>
            <w:vAlign w:val="bottom"/>
          </w:tcPr>
          <w:p>
            <w:pPr>
              <w:jc w:val="right"/>
              <w:ind w:right="73"/>
              <w:spacing w:after="0" w:line="131"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40"/>
              <w:spacing w:after="0" w:line="131" w:lineRule="exact"/>
              <w:rPr>
                <w:sz w:val="20"/>
                <w:szCs w:val="20"/>
                <w:color w:val="auto"/>
              </w:rPr>
            </w:pPr>
            <w:r>
              <w:rPr>
                <w:rFonts w:ascii="Arial" w:cs="Arial" w:eastAsia="Arial" w:hAnsi="Arial"/>
                <w:sz w:val="14"/>
                <w:szCs w:val="14"/>
                <w:b w:val="1"/>
                <w:bCs w:val="1"/>
                <w:color w:val="auto"/>
                <w:w w:val="85"/>
              </w:rPr>
              <w:t>Fourth</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520"/>
              <w:spacing w:after="0" w:line="131" w:lineRule="exact"/>
              <w:rPr>
                <w:sz w:val="20"/>
                <w:szCs w:val="20"/>
                <w:color w:val="auto"/>
              </w:rPr>
            </w:pPr>
            <w:r>
              <w:rPr>
                <w:rFonts w:ascii="Arial" w:cs="Arial" w:eastAsia="Arial" w:hAnsi="Arial"/>
                <w:sz w:val="14"/>
                <w:szCs w:val="14"/>
                <w:b w:val="1"/>
                <w:bCs w:val="1"/>
                <w:color w:val="auto"/>
              </w:rPr>
              <w:t>Third</w:t>
            </w:r>
          </w:p>
        </w:tc>
        <w:tc>
          <w:tcPr>
            <w:tcW w:w="840" w:type="dxa"/>
            <w:vAlign w:val="bottom"/>
            <w:gridSpan w:val="3"/>
          </w:tcPr>
          <w:p>
            <w:pPr>
              <w:jc w:val="right"/>
              <w:ind w:right="340"/>
              <w:spacing w:after="0" w:line="131"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4"/>
              <w:spacing w:after="0" w:line="131"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4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w w:val="94"/>
              </w:rPr>
              <w:t>data; taxable equivalent)</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420"/>
              <w:spacing w:after="0" w:line="159" w:lineRule="exact"/>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3"/>
          </w:tcPr>
          <w:p>
            <w:pPr>
              <w:jc w:val="right"/>
              <w:ind w:right="420"/>
              <w:spacing w:after="0" w:line="159" w:lineRule="exact"/>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jc w:val="right"/>
              <w:ind w:right="420"/>
              <w:spacing w:after="0" w:line="159" w:lineRule="exact"/>
              <w:rPr>
                <w:sz w:val="20"/>
                <w:szCs w:val="20"/>
                <w:color w:val="auto"/>
              </w:rPr>
            </w:pPr>
            <w:r>
              <w:rPr>
                <w:rFonts w:ascii="Arial" w:cs="Arial" w:eastAsia="Arial" w:hAnsi="Arial"/>
                <w:sz w:val="14"/>
                <w:szCs w:val="14"/>
                <w:b w:val="1"/>
                <w:bCs w:val="1"/>
                <w:color w:val="auto"/>
                <w:w w:val="98"/>
              </w:rPr>
              <w:t>Quarter</w:t>
            </w:r>
          </w:p>
        </w:tc>
        <w:tc>
          <w:tcPr>
            <w:tcW w:w="840" w:type="dxa"/>
            <w:vAlign w:val="bottom"/>
            <w:gridSpan w:val="3"/>
          </w:tcPr>
          <w:p>
            <w:pPr>
              <w:jc w:val="right"/>
              <w:ind w:right="320"/>
              <w:spacing w:after="0" w:line="159"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840" w:type="dxa"/>
            <w:vAlign w:val="bottom"/>
            <w:gridSpan w:val="3"/>
          </w:tcPr>
          <w:p>
            <w:pPr>
              <w:jc w:val="right"/>
              <w:ind w:right="300"/>
              <w:spacing w:after="0" w:line="159"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40"/>
              <w:spacing w:after="0" w:line="159" w:lineRule="exact"/>
              <w:rPr>
                <w:sz w:val="20"/>
                <w:szCs w:val="20"/>
                <w:color w:val="auto"/>
              </w:rPr>
            </w:pPr>
            <w:r>
              <w:rPr>
                <w:rFonts w:ascii="Arial" w:cs="Arial" w:eastAsia="Arial" w:hAnsi="Arial"/>
                <w:sz w:val="14"/>
                <w:szCs w:val="14"/>
                <w:b w:val="1"/>
                <w:bCs w:val="1"/>
                <w:color w:val="auto"/>
                <w:w w:val="90"/>
              </w:rPr>
              <w:t>Quarter</w:t>
            </w:r>
          </w:p>
        </w:tc>
        <w:tc>
          <w:tcPr>
            <w:tcW w:w="840" w:type="dxa"/>
            <w:vAlign w:val="bottom"/>
            <w:gridSpan w:val="3"/>
          </w:tcPr>
          <w:p>
            <w:pPr>
              <w:jc w:val="right"/>
              <w:ind w:right="320"/>
              <w:spacing w:after="0" w:line="159"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40"/>
              <w:spacing w:after="0" w:line="159"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90"/>
        </w:trPr>
        <w:tc>
          <w:tcPr>
            <w:tcW w:w="3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 revenue reconciliation</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Interest revenue—taxable equivalent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64,450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65,978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66,780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70,221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71,905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74,543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76,931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75,965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Interest revenue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64,069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65,559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66,336</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69,775</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71,482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74,123</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76,502</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75,530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Net interest revenue—taxable equivalent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56,028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57,371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56,836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58,864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59,050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59,281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58,946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56,392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interest revenue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55,647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56,952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56,392</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58,418</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58,627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58,861</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58,517</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55,957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56,789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55,635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51,703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59,243</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57,717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34,779</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61,851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(121,770)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revenue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56,408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55,216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51,259</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58,797</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57,294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34,359</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61,422</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(122,205)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10,852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7,393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12,288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6,637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13,123</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(237,041)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5"/>
        </w:trPr>
        <w:tc>
          <w:tcPr>
            <w:tcW w:w="3700" w:type="dxa"/>
            <w:vAlign w:val="bottom"/>
            <w:gridSpan w:val="2"/>
          </w:tcPr>
          <w:p>
            <w:pPr>
              <w:ind w:left="440"/>
              <w:spacing w:after="0"/>
              <w:rPr>
                <w:sz w:val="20"/>
                <w:szCs w:val="20"/>
                <w:color w:val="auto"/>
              </w:rPr>
            </w:pPr>
            <w:r>
              <w:rPr>
                <w:rFonts w:ascii="Arial" w:cs="Arial" w:eastAsia="Arial" w:hAnsi="Arial"/>
                <w:sz w:val="18"/>
                <w:szCs w:val="18"/>
                <w:color w:val="auto"/>
                <w:w w:val="99"/>
              </w:rPr>
              <w:t>Income (loss) from continuing operations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660"/>
              <w:spacing w:after="0"/>
              <w:rPr>
                <w:sz w:val="20"/>
                <w:szCs w:val="20"/>
                <w:color w:val="auto"/>
              </w:rPr>
            </w:pPr>
            <w:r>
              <w:rPr>
                <w:rFonts w:ascii="Arial" w:cs="Arial" w:eastAsia="Arial" w:hAnsi="Arial"/>
                <w:sz w:val="18"/>
                <w:szCs w:val="18"/>
                <w:color w:val="auto"/>
              </w:rPr>
              <w:t>before taxes (GAAP)</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5,682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6,949</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11,842</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6,214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(12,161)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12,694</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(237,476)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Income tax expense (benefit)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 tax expense (benefit)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(3,264)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tax expense (benefit)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(3,687)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Book value per common share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Book value per common share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6.61</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6.77</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Tangible equity to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to assets (GAAP)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88"/>
              </w:rPr>
              <w:t>Tangible common equity to risk-weighted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w w:val="95"/>
              </w:rPr>
              <w:t>Tangible common equity to risk-weighted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40"/>
              <w:spacing w:after="0"/>
              <w:rPr>
                <w:sz w:val="20"/>
                <w:szCs w:val="20"/>
                <w:color w:val="auto"/>
              </w:rPr>
            </w:pPr>
            <w:r>
              <w:rPr>
                <w:rFonts w:ascii="Arial" w:cs="Arial" w:eastAsia="Arial" w:hAnsi="Arial"/>
                <w:sz w:val="18"/>
                <w:szCs w:val="18"/>
                <w:color w:val="auto"/>
              </w:rPr>
              <w:t>Tier I capital ratio (Regulatory)</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April 1, 2010, the Bank entered into an asset purchase and sale agreement (the “Asset Purchase Agreement”) with Fletcher Inc. and five separate limited liability companies (“LLCs”) that are affiliates of Fletcher Inc. for the purpose of acquiring nonperforming assets under the Asset Purchase Agreement. United has no ownership interest in the LLCs. The asset sale transaction was completed on April 30, 2010 with the Bank selling nonperforming commercial and residential construction loans and foreclosed properties having a carrying value of $103 million in exchange for cash of $20.6 million and notes receivable for $82.5 million.</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loans made to the LLCs in connection with their respective purchases have the same terms for all six loans. The loans have an initial term of five years and principal and interest payments are based on a 20-year amortization schedule. The assets in the LLCs are cross-pledged as collateral on all six loans. Correspondingly, prepayments on the loans are required as properties are sold in order for the collateral to be released upon sale. The interest rate during the loan term is fixed at 3.50% for all loans and, accordingly, each loan was recorded at a discount as the interest rate was considered below market. At the time the LLCs were formed, they were capitalized with sufficient cash to make the required 20% down payment on the purchase and 17.5% of the purchase price in cash and securities to cover the first three years of required cash flows. These funds are held in escrow as additional collateral on the loans and cannot be removed by Fletcher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 Cash flow from expected sales of underlying assets (loans/foreclosed real estate) is expected to be sufficient to service the loans for another five to six quarters. While recent news articles and other sources have questioned the financial health of Fletcher and its affiliates, the loans to the LLCs have performed according to their contractual terms since inception. However, during the third quarter of 2011, United determined that the ultimate repayment of the $76.6 million loan relationship through the sale of the underlying collateral is unlikely due to the lack of sales activity and further decline in real estate values. As a result, United recorded a loan loss provision of $25.0 million during the third quarter of 2011 and recorded a partial charge-off in the same amount during the fourth quarter.</w:t>
      </w:r>
    </w:p>
    <w:p>
      <w:pPr>
        <w:sectPr>
          <w:pgSz w:w="11900" w:h="16838" w:orient="portrait"/>
          <w:cols w:equalWidth="0" w:num="1">
            <w:col w:w="11420"/>
          </w:cols>
          <w:pgMar w:left="240" w:top="459" w:right="239" w:bottom="292"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292"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As part of the transaction, United and Fletcher entered into a servicing agreement whereby United will act as servicer of the nonperforming assets for Fletcher in exchange for a servicing fee of 20 basis points. Because the servicing arrangement is considered a normal servicing arrangement and the fee is appropriate for the services provided, United did not recognize a servicing asset or liability related to the servicing agreement.</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Also on April 1, 2010, United and Fletcher International Ltd. (“Fletcher Ltd.”, together with Fletcher Inc. and their affiliates, “Fletcher”), entered into a securities purchase agreement (the “Securities Purchase Agreement”) pursuant to which Fletcher Ltd. agreed to purchase from United 65,000 shares of United’s Series C convertible preferred stock, par value $1.00 per share (the “Convertible Preferred Stock”), at a purchase price of $1,000 per share, for an aggregate purchase price of $65 million, subject to certain conditions precedent.</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Concurrently with the payment of the $10 million deposit under the Asset Purchase Agreement by Fletcher, United also granted a $30 million warrant to Fletcher to purchase non-voting Common Stock Equivalent Junior Preferred Stock (“Junior Preferred Stock”). The warrant may only be exercised by net share settlement (cashless exercise) and is exercisable for nine years from May 26, 2010, subject to limited extensions upon certain events and certain conditions precedent. The Junior Preferred Stock could be convertible into 1,411,765 common shares exercisable at a price equivalent to $21.25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Asset Purchase Agreement and the Securities Purchase Agreement were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14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amounts).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Fair Value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tcPr>
          <w:p>
            <w:pPr>
              <w:ind w:left="360"/>
              <w:spacing w:after="0"/>
              <w:rPr>
                <w:sz w:val="20"/>
                <w:szCs w:val="20"/>
                <w:color w:val="auto"/>
              </w:rPr>
            </w:pPr>
            <w:r>
              <w:rPr>
                <w:rFonts w:ascii="Arial" w:cs="Arial" w:eastAsia="Arial" w:hAnsi="Arial"/>
                <w:sz w:val="14"/>
                <w:szCs w:val="14"/>
                <w:b w:val="1"/>
                <w:bCs w:val="1"/>
                <w:color w:val="auto"/>
              </w:rPr>
              <w:t>Valuation Approach</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Heirarchy</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Warrants Issued / Assets Transferred to Fletcher at Fair Value:</w:t>
            </w:r>
          </w:p>
        </w:tc>
        <w:tc>
          <w:tcPr>
            <w:tcW w:w="1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w w:val="92"/>
              </w:rPr>
              <w:t>Warrant to purchase $30 million in common stock at $21.25 per share</w:t>
            </w: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Black-Scholes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17,577</w:t>
            </w:r>
            <w:r>
              <w:rPr>
                <w:rFonts w:ascii="Arial" w:cs="Arial" w:eastAsia="Arial" w:hAnsi="Arial"/>
                <w:sz w:val="11"/>
                <w:szCs w:val="11"/>
                <w:color w:val="auto"/>
              </w:rPr>
              <w:t>(1)</w:t>
            </w: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 to purchase convertible preferred stock and warrant</w:t>
            </w: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Monte-Carlo Simulation</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Level 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22,236</w:t>
            </w:r>
            <w:r>
              <w:rPr>
                <w:rFonts w:ascii="Arial" w:cs="Arial" w:eastAsia="Arial" w:hAnsi="Arial"/>
                <w:sz w:val="11"/>
                <w:szCs w:val="11"/>
                <w:color w:val="auto"/>
              </w:rPr>
              <w:t>(2)</w:t>
            </w:r>
          </w:p>
        </w:tc>
      </w:tr>
      <w:tr>
        <w:trPr>
          <w:trHeight w:val="230"/>
        </w:trPr>
        <w:tc>
          <w:tcPr>
            <w:tcW w:w="5620" w:type="dxa"/>
            <w:vAlign w:val="bottom"/>
          </w:tcPr>
          <w:p>
            <w:pPr>
              <w:ind w:left="880"/>
              <w:spacing w:after="0"/>
              <w:rPr>
                <w:sz w:val="20"/>
                <w:szCs w:val="20"/>
                <w:color w:val="auto"/>
              </w:rPr>
            </w:pPr>
            <w:r>
              <w:rPr>
                <w:rFonts w:ascii="Arial" w:cs="Arial" w:eastAsia="Arial" w:hAnsi="Arial"/>
                <w:sz w:val="18"/>
                <w:szCs w:val="18"/>
                <w:b w:val="1"/>
                <w:bCs w:val="1"/>
                <w:color w:val="auto"/>
                <w:w w:val="89"/>
              </w:rPr>
              <w:t>Fair value of equity instruments recognized in capital surplus</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180" w:type="dxa"/>
            <w:vAlign w:val="bottom"/>
          </w:tcPr>
          <w:p>
            <w:pPr>
              <w:spacing w:after="0"/>
              <w:rPr>
                <w:sz w:val="20"/>
                <w:szCs w:val="20"/>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Foreclosed properties transferred under Asset Purchase Agreement</w:t>
            </w: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Appraised Value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Level 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33,434</w:t>
            </w:r>
            <w:r>
              <w:rPr>
                <w:rFonts w:ascii="Arial" w:cs="Arial" w:eastAsia="Arial" w:hAnsi="Arial"/>
                <w:sz w:val="11"/>
                <w:szCs w:val="11"/>
                <w:color w:val="auto"/>
              </w:rPr>
              <w:t>(3)</w:t>
            </w:r>
          </w:p>
        </w:tc>
      </w:tr>
      <w:tr>
        <w:trPr>
          <w:trHeight w:val="223"/>
        </w:trPr>
        <w:tc>
          <w:tcPr>
            <w:tcW w:w="5620" w:type="dxa"/>
            <w:vAlign w:val="bottom"/>
          </w:tcPr>
          <w:p>
            <w:pPr>
              <w:ind w:left="440"/>
              <w:spacing w:after="0"/>
              <w:rPr>
                <w:sz w:val="20"/>
                <w:szCs w:val="20"/>
                <w:color w:val="auto"/>
              </w:rPr>
            </w:pPr>
            <w:r>
              <w:rPr>
                <w:rFonts w:ascii="Arial" w:cs="Arial" w:eastAsia="Arial" w:hAnsi="Arial"/>
                <w:sz w:val="18"/>
                <w:szCs w:val="18"/>
                <w:color w:val="auto"/>
                <w:w w:val="96"/>
              </w:rPr>
              <w:t>Nonperforming loans transferred under Asset Purchase Agreement</w:t>
            </w: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w w:val="96"/>
              </w:rPr>
              <w:t>Collateral Appraised Value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2</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69,655</w:t>
            </w:r>
            <w:r>
              <w:rPr>
                <w:rFonts w:ascii="Arial" w:cs="Arial" w:eastAsia="Arial" w:hAnsi="Arial"/>
                <w:sz w:val="11"/>
                <w:szCs w:val="11"/>
                <w:color w:val="auto"/>
              </w:rPr>
              <w:t>(3)</w:t>
            </w:r>
          </w:p>
        </w:tc>
      </w:tr>
      <w:tr>
        <w:trPr>
          <w:trHeight w:val="216"/>
        </w:trPr>
        <w:tc>
          <w:tcPr>
            <w:tcW w:w="5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nonperforming assets transferred</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103,089</w:t>
            </w:r>
          </w:p>
        </w:tc>
        <w:tc>
          <w:tcPr>
            <w:tcW w:w="180" w:type="dxa"/>
            <w:vAlign w:val="bottom"/>
            <w:shd w:val="clear" w:color="auto" w:fill="CCEEFF"/>
          </w:tcPr>
          <w:p>
            <w:pPr>
              <w:spacing w:after="0"/>
              <w:rPr>
                <w:sz w:val="18"/>
                <w:szCs w:val="18"/>
                <w:color w:val="auto"/>
              </w:rPr>
            </w:pPr>
          </w:p>
        </w:tc>
      </w:tr>
      <w:tr>
        <w:trPr>
          <w:trHeight w:val="230"/>
        </w:trPr>
        <w:tc>
          <w:tcPr>
            <w:tcW w:w="5620" w:type="dxa"/>
            <w:vAlign w:val="bottom"/>
          </w:tcPr>
          <w:p>
            <w:pPr>
              <w:ind w:left="1300"/>
              <w:spacing w:after="0"/>
              <w:rPr>
                <w:sz w:val="20"/>
                <w:szCs w:val="20"/>
                <w:color w:val="auto"/>
              </w:rPr>
            </w:pPr>
            <w:r>
              <w:rPr>
                <w:rFonts w:ascii="Arial" w:cs="Arial" w:eastAsia="Arial" w:hAnsi="Arial"/>
                <w:sz w:val="18"/>
                <w:szCs w:val="18"/>
                <w:color w:val="auto"/>
                <w:w w:val="97"/>
              </w:rPr>
              <w:t>Total value of assets and equity instruments transferred</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142,902</w:t>
            </w:r>
          </w:p>
        </w:tc>
        <w:tc>
          <w:tcPr>
            <w:tcW w:w="18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Notes Receivable Received in Exchange at Fair Value:</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Cash down payment received from asset sale</w:t>
            </w: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20,618</w:t>
            </w: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receivable (par value $82,471, net of $4,531 discount)</w:t>
            </w: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Discounted Cash Flows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Level 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77,940</w:t>
            </w:r>
            <w:r>
              <w:rPr>
                <w:rFonts w:ascii="Arial" w:cs="Arial" w:eastAsia="Arial" w:hAnsi="Arial"/>
                <w:sz w:val="11"/>
                <w:szCs w:val="11"/>
                <w:color w:val="auto"/>
              </w:rPr>
              <w:t>(4)</w:t>
            </w:r>
          </w:p>
        </w:tc>
      </w:tr>
      <w:tr>
        <w:trPr>
          <w:trHeight w:val="230"/>
        </w:trPr>
        <w:tc>
          <w:tcPr>
            <w:tcW w:w="5620" w:type="dxa"/>
            <w:vAlign w:val="bottom"/>
          </w:tcPr>
          <w:p>
            <w:pPr>
              <w:ind w:left="1300"/>
              <w:spacing w:after="0"/>
              <w:rPr>
                <w:sz w:val="20"/>
                <w:szCs w:val="20"/>
                <w:color w:val="auto"/>
              </w:rPr>
            </w:pPr>
            <w:r>
              <w:rPr>
                <w:rFonts w:ascii="Arial" w:cs="Arial" w:eastAsia="Arial" w:hAnsi="Arial"/>
                <w:sz w:val="18"/>
                <w:szCs w:val="18"/>
                <w:color w:val="auto"/>
              </w:rPr>
              <w:t>Total value of cash and notes receivable received</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80" w:type="dxa"/>
            <w:vAlign w:val="bottom"/>
          </w:tcPr>
          <w:p>
            <w:pPr>
              <w:spacing w:after="0"/>
              <w:rPr>
                <w:sz w:val="20"/>
                <w:szCs w:val="20"/>
                <w:color w:val="auto"/>
              </w:rPr>
            </w:pPr>
          </w:p>
        </w:tc>
      </w:tr>
      <w:tr>
        <w:trPr>
          <w:trHeight w:val="20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1"/>
              </w:rPr>
              <w:t>Fair value of assets and equity instruments transferred in excess of cash and</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received</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1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Transaction fees</w:t>
            </w: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Loss recognized on Fletcher transaction</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45,349</w:t>
            </w:r>
          </w:p>
        </w:tc>
        <w:tc>
          <w:tcPr>
            <w:tcW w:w="18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Disputes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disclosed on February 22, 2013, United and FILB Co-Investments LLC (“FILB-Co”) agreed to settle all outstanding claims and counterclaims in connection with the previously disclosed lawsuit between United and FILB-Co. FILB-Co filed a lawsuit against United with respect to purported contractual rights under the Securities Purchase Agreement that FILB-Co claimed were assigned to it by Fletcher. Fletcher made the purported assignment to FILB-Co in response to redemption requests to Fletcher by several investors in one of Fletcher’s funds (“Leveraged”). Fletcher then transferred its interests in FILB-Co to those investors, who challenged Fletcher’s attempted redemption as commercially worthless in liquidation proceedings commenced in the Grand Court of the Cayman Islands. As the result of those proceedings, the Cayman court ordered the liquidation of Leveraged, and a court-appointed liquidator was appointed to manage FILB-Co. Subsequently, Fletcher filed for bankruptcy protection in the U.S. Bankruptcy Court for the Southern District of New York.</w:t>
      </w:r>
    </w:p>
    <w:p>
      <w:pPr>
        <w:spacing w:after="0" w:line="11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Fletcher has stated that it did not assign the Warrant or its right to an alleged “registration failure” penalty under the Securities Purchase Agreement (apart from a claim for a portion thereof) to FILB-Co, and United has received purported partial warrant exercise notices from Fletcher that include incorrect calculations of the number of settlement shares Fletcher would receive upon exercise and demands for the payment of such a penalty. United believes that any current exercise of the Warrant would not result in the issuance of any settlement shares because, among other things, the Warrant may only be exercised for net shares via a cashless exercise formula, and, following United’s 2011 reclassification of its common stock in the form of 1-for-5 reverse stock split, or recombination, the reverse stock split-adjusted market price component of that formula does not exceed the exercise price to yield any net shares. United also believes that no registration failure penalty is due. As a result, United has responded to Fletcher with United’s calculations related to the Warrant and denied any liability for any such penalty.</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connection with the FILB-Co settlement, United recorded $4 million in litigation charges which includes the establishment of litigation reserves associated with claims that may be made against United by Fletcher.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settlement with FILB-Co is expected to be completed promptly following completion of a definitive agreement and the receipt of necessary court approvals.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remainder of this financial discussion focuses on operating earnings, which excludes the goodwill impairment charge and partial fraud loss recovery in 2010, the goodwill impairment charges, and the gain on acquisition and severance costs in 2009, except for the discussion of income taxes. Operating and GAAP earnings were the same in 2012, 2011 and 2008. For additional information on operating earnings measures, refer to the preceding section on “Non-GAAP Financial Measures.”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There are a few large items included in operating earnings that are generally nonrecurring in nature that affect comparability between periods. Although credit losses in all periods were elevated, reflecting the weak economic cycle of the past four years, in 2011, United’s credit losses reflected the execution of the Problem Asset Disposition Plan. That plan included the Bulk Loan Sale which removed United’s most challenging problem assets and resulted in a significant decrease in the level of problem assets. As a result, the Problem Asset Disposition Plan accelerated United’s return to profitability following the first quarter of 2011 capital transaction. In addition, operating earnings in 2010 included a $45.3 million charge to operating expense resulting from the Fletcher transaction, which increased the net loss per share by $2.40, and the $157 million income tax expense related to establishment of a full deferred tax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United reported net earnings of $33.9 million for the year ended December 31, 2012. This compared to a net loss of $227 million for the same period in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common share for 2012 was $.38. This compared to diluted loss per share for 2011 of $5.97.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other liabilities) is the single largest component of United’s revenue. United actively manages this revenue source to provide optimal levels of revenue while balancing interest rate, credit, and liquidity risks. Taxable equivalent net interest revenue totaled $229 million in 2012, a decrease of $4.57 million, or 2%, from 2011. Taxable equivalent net interest revenue for 2011 decreased $9.38 million, or 4%, from 2010. The decrease in net interest revenue in 2012 compared to 2011 was primarily due to lower yields on the securities and loan portfolios and smaller balances of interest-earning assets. The decrease in net interest revenue in 2011 compared to 2010 was due primarily to lower levels of average loan balances which were substantially offset by lower rates on deposits and a more favorable deposit mix. United continued its focus on loan and deposit pricing, in an effort to maintain a steady level of net interest revenue.</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average yield on loans for 2012 decreased 33 basis points from 2011, reflecting the continuing effect of the low interest rate environment and competition for a limited number of quality lending opportunities. Average loans decreased $142 million in 2012, or 3%, from 2011. The decrease in the loan portfolio has begun to stabilize; however, there is a high level of competition for quality lending relationships, which continues to put pressure on loan pricing. Loan charge-offs, foreclosure activity and management’s efforts to rebalance the loan portfolio by reducing the concentration of residential construction loans have contributed to declining loan balances. While loan balances have declined, United continues to make new loans and in 2012, United experienced the first positive year-over-year growth in loan balances since 2008. The increase in residential real estate loans is primarily the result of the promotion of a new home equity line product in mid-2012.</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Average interest-earning assets for the year decreased $238 million, or 4%, from 2011 due primarily to the decrease in average loans mentioned above and management’s efforts to more effectively manage liquidity. During the financial crisis, management maintained liquidity above normal levels. Beginning in 2011 and through 2012, management reduced excess liquidity as the economic environment began to stabilize and credit quality and earnings performance began to improve. Average investment securities for 2012 increased $89.6 million from a year ago, however the average yield decreased 69 basis points as management was unable to reinvest the cash proceeds of maturing securities at yields comparable to those of the securities they replaced. The combined effect of lower loan and investment securities yields drove the average yield on interest-earning assets for 2012 to 4.08%, down 33 basis points from 4.41% in 2011. Abnormally high prepayment activity on mortgage-backed securities also suppressed the securities portfolio yield in 2012 by accelerating the amortization of bond purchase premiums, and the yields at which the proceeds were reinvested fell short of the yields on the bonds they replaced. Partially offsetting the lower loan and securities yields was a higher average yield on other interest-earning assets, due primarily to the use of reverse repurchase agreements including collateral swap transactions where United enters into a repurchase agreement and reverse repurchase agreement simultaneously with the same counterparty subject to a master netting agreement. In these transactions, the offsetting balances are netted on the balance sheet.</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Average interest bearing liabilities in 2012 decreased $573 million, or 10%, from the prior year due to the rolling off of higher-cost brokered deposits and certificates of deposit, as noninterest bearing demand deposits increased $227 million and overall funding needs decreased. The average cost of interest bearing liabilities for 2012 was ..76% compared to 1.16% for 2011, reflecting United’s concerted efforts to reduce deposit pricing. Also contributing to the overall lower rate on interest bearing liabilities was a shift in the mix of deposits away from more expensive time deposits toward lower-rate transaction deposits.</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banking industry uses two key ratios to measure relative profitability of net interest revenue—the net interest spread and the net interest margin. The net interest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 earning assets, which includes the positive effect of funding a portion of interest earning assets with customers’ non-interest bearing deposits and with shareholders’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For 2012, 2011 and 2010, United’s net interest spread was 3.32%, 3.25%, and 3.35%, respectively, while the net interest margin was 3.50%, 3.44%, and 3.56%, respectively. The improvement in both ratios in 2012 compared to 2011 was primarily due to United shrinking the balance sheet by reducing some of the excess liquidity that had built up during the financial crisis and by lower rates paid on certificates of deposit and brokered deposits. In 2011, interest reversals on performing loans classified as held for sale as part of the Bulk Loan Sale reduced net interest margin by three basis points.</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2—Average Consolidated Balance Sheet and Net Interest Margin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8"/>
              </w:rPr>
              <w:t>Avg.</w:t>
            </w:r>
          </w:p>
        </w:tc>
        <w:tc>
          <w:tcPr>
            <w:tcW w:w="240" w:type="dxa"/>
            <w:vAlign w:val="bottom"/>
          </w:tcPr>
          <w:p>
            <w:pPr>
              <w:spacing w:after="0"/>
              <w:rPr>
                <w:sz w:val="11"/>
                <w:szCs w:val="11"/>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Avg.</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Avg.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Rate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Balance</w:t>
            </w: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Rate</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Interest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5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Interest-earning assets:</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7"/>
                <w:szCs w:val="17"/>
                <w:color w:val="auto"/>
                <w:vertAlign w:val="subscript"/>
              </w:rPr>
              <w:t>Loans</w:t>
            </w:r>
            <w:r>
              <w:rPr>
                <w:rFonts w:ascii="Arial" w:cs="Arial" w:eastAsia="Arial" w:hAnsi="Arial"/>
                <w:sz w:val="9"/>
                <w:szCs w:val="9"/>
                <w:color w:val="auto"/>
              </w:rPr>
              <w:t xml:space="preserve"> (1)(2)</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$4,165,520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217,467</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5.22%</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$4,307,111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239,195</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$4,960,805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278,149</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1"/>
                <w:szCs w:val="11"/>
                <w:color w:val="auto"/>
              </w:rPr>
              <w:t xml:space="preserve">Taxable securities </w:t>
            </w:r>
            <w:r>
              <w:rPr>
                <w:rFonts w:ascii="Arial" w:cs="Arial" w:eastAsia="Arial" w:hAnsi="Arial"/>
                <w:sz w:val="17"/>
                <w:szCs w:val="17"/>
                <w:color w:val="auto"/>
                <w:vertAlign w:val="superscript"/>
              </w:rPr>
              <w:t>(3)</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43,657</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2.11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1,973,678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55,251</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2.80</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1,425,322</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58,821</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1"/>
                <w:szCs w:val="11"/>
                <w:color w:val="auto"/>
              </w:rPr>
              <w:t xml:space="preserve">Tax-exempt securities </w:t>
            </w:r>
            <w:r>
              <w:rPr>
                <w:rFonts w:ascii="Arial" w:cs="Arial" w:eastAsia="Arial" w:hAnsi="Arial"/>
                <w:sz w:val="17"/>
                <w:szCs w:val="17"/>
                <w:color w:val="auto"/>
                <w:vertAlign w:val="superscript"/>
              </w:rPr>
              <w:t>(1)(3)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6.59</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6.43</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27,827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1,860</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4"/>
                <w:szCs w:val="14"/>
                <w:color w:val="auto"/>
              </w:rPr>
              <w:t>Federal funds sold and other interest-earning assets</w:t>
            </w: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292,857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4,740</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1.62</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478,403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3,247</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408,359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4,293</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6,547,298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267,429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4.08</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6,784,885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299,344</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6,822,313</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343,123</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Arial" w:cs="Arial" w:eastAsia="Arial" w:hAnsi="Arial"/>
                <w:sz w:val="14"/>
                <w:szCs w:val="14"/>
                <w:color w:val="auto"/>
              </w:rPr>
              <w:t>Non-interest-earning assets:</w:t>
            </w:r>
          </w:p>
        </w:tc>
        <w:tc>
          <w:tcPr>
            <w:tcW w:w="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Allowance for loan losses</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(114,647)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(145,656)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(190,227)</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4"/>
                <w:szCs w:val="14"/>
                <w:color w:val="auto"/>
              </w:rPr>
              <w:t>Cash and due from banks</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53,247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90,212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106,582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Premises and equipment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172,544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180,379</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1"/>
                <w:szCs w:val="11"/>
                <w:color w:val="auto"/>
              </w:rPr>
              <w:t xml:space="preserve">Other assets </w:t>
            </w:r>
            <w:r>
              <w:rPr>
                <w:rFonts w:ascii="Arial" w:cs="Arial" w:eastAsia="Arial" w:hAnsi="Arial"/>
                <w:sz w:val="17"/>
                <w:szCs w:val="17"/>
                <w:color w:val="auto"/>
                <w:vertAlign w:val="superscript"/>
              </w:rPr>
              <w:t>(3)</w:t>
            </w:r>
          </w:p>
        </w:tc>
        <w:tc>
          <w:tcPr>
            <w:tcW w:w="5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281,233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685,547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b w:val="1"/>
                <w:bCs w:val="1"/>
                <w:color w:val="auto"/>
              </w:rPr>
              <w:t>Total assets</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6,865,051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7,188,735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7,604,594</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Interest-bearing deposits:</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NOW</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$1,293,510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2,049</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$1,348,493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$1,360,729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6,966</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4"/>
                <w:szCs w:val="14"/>
                <w:color w:val="auto"/>
              </w:rPr>
              <w:t>Money market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1,140,354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993,871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5,456</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.55</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780,982</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7,552</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Savings deposits</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216,880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184,479</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4"/>
                <w:szCs w:val="14"/>
                <w:color w:val="auto"/>
              </w:rPr>
              <w:t>Time deposits less than $100,000</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1,170,202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9,788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1,471,596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18,648</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1,581,750</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30,260</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Time deposits greater than $100,000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766,411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8,027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1.05</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948,659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14,347</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1,084,967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23,114</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860"/>
              <w:spacing w:after="0" w:line="149" w:lineRule="exact"/>
              <w:rPr>
                <w:sz w:val="20"/>
                <w:szCs w:val="20"/>
                <w:color w:val="auto"/>
              </w:rPr>
            </w:pPr>
            <w:r>
              <w:rPr>
                <w:rFonts w:ascii="Arial" w:cs="Arial" w:eastAsia="Arial" w:hAnsi="Arial"/>
                <w:sz w:val="14"/>
                <w:szCs w:val="14"/>
                <w:color w:val="auto"/>
              </w:rPr>
              <w:t>Brokered deposits</w:t>
            </w: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155,902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1,703</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1.09</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401,393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6,156</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610,483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13,509</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interest-bearing deposits</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4,743,259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24,235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5,359,480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48,839</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5,603,390</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81,732</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4"/>
                <w:szCs w:val="14"/>
                <w:color w:val="auto"/>
                <w:w w:val="97"/>
              </w:rPr>
              <w:t>Federal funds purchased, repurchase agreeements, &amp; other short-term borrowings</w:t>
            </w: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w w:val="95"/>
              </w:rPr>
              <w:t>3.71</w:t>
            </w: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4.14</w:t>
            </w: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4.09</w:t>
            </w:r>
          </w:p>
        </w:tc>
        <w:tc>
          <w:tcPr>
            <w:tcW w:w="0" w:type="dxa"/>
            <w:vAlign w:val="bottom"/>
          </w:tcPr>
          <w:p>
            <w:pPr>
              <w:spacing w:after="0" w:line="20" w:lineRule="exact"/>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80,593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2,987</w:t>
            </w:r>
          </w:p>
        </w:tc>
        <w:tc>
          <w:tcPr>
            <w:tcW w:w="1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102,727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4,250</w:t>
            </w:r>
          </w:p>
        </w:tc>
        <w:tc>
          <w:tcPr>
            <w:tcW w:w="6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103,479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4,235</w:t>
            </w: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Federal Home Loan Bank advances</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124,771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4.32</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90,137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3,355</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127,623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10,201</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7.99</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10,544</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7.55</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150,107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10,749</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borrowed funds</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332,987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14,095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4.23</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289,613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16,836</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343,723</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18,339</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Total interest-bearing liabilities</w:t>
            </w: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1.16</w:t>
            </w: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5,076,246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38,330</w:t>
            </w: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5,649,093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65,675</w:t>
            </w:r>
          </w:p>
        </w:tc>
        <w:tc>
          <w:tcPr>
            <w:tcW w:w="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5,947,113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100,071</w:t>
            </w: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Non-interest-bearing liabilities:</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Non-interest-bearing deposits</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1,142,236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915,649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769,395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5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64,986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66,809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69,367</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ind w:left="1280"/>
              <w:spacing w:after="0" w:line="155" w:lineRule="exact"/>
              <w:rPr>
                <w:sz w:val="20"/>
                <w:szCs w:val="20"/>
                <w:color w:val="auto"/>
              </w:rPr>
            </w:pPr>
            <w:r>
              <w:rPr>
                <w:rFonts w:ascii="Arial" w:cs="Arial" w:eastAsia="Arial" w:hAnsi="Arial"/>
                <w:sz w:val="14"/>
                <w:szCs w:val="14"/>
                <w:color w:val="auto"/>
              </w:rPr>
              <w:t>Total liabilities</w:t>
            </w: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6,283,468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6,631,551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6,785,875</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5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557,184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818,719</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ind w:left="1280"/>
              <w:spacing w:after="0" w:line="155" w:lineRule="exact"/>
              <w:rPr>
                <w:sz w:val="20"/>
                <w:szCs w:val="20"/>
                <w:color w:val="auto"/>
              </w:rPr>
            </w:pPr>
            <w:r>
              <w:rPr>
                <w:rFonts w:ascii="Arial" w:cs="Arial" w:eastAsia="Arial" w:hAnsi="Arial"/>
                <w:sz w:val="14"/>
                <w:szCs w:val="14"/>
                <w:b w:val="1"/>
                <w:bCs w:val="1"/>
                <w:color w:val="auto"/>
              </w:rPr>
              <w:t>Total liabilities and shareholders’ equity</w:t>
            </w: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6,865,051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7,188,735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7,604,594</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Net interest revenue</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2"/>
              </w:rPr>
              <w:t>229,099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2"/>
              </w:rPr>
              <w:t>233,669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2"/>
              </w:rPr>
              <w:t>243,052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420"/>
              <w:spacing w:after="0"/>
              <w:rPr>
                <w:sz w:val="20"/>
                <w:szCs w:val="20"/>
                <w:color w:val="auto"/>
              </w:rPr>
            </w:pPr>
            <w:r>
              <w:rPr>
                <w:rFonts w:ascii="Arial" w:cs="Arial" w:eastAsia="Arial" w:hAnsi="Arial"/>
                <w:sz w:val="14"/>
                <w:szCs w:val="14"/>
                <w:color w:val="auto"/>
              </w:rPr>
              <w:t>Net interest-rate spread</w:t>
            </w: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5"/>
              </w:rPr>
              <w:t>3.32%</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5"/>
              </w:rPr>
              <w:t>3.35%</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2"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6"/>
                <w:szCs w:val="16"/>
                <w:color w:val="auto"/>
                <w:vertAlign w:val="superscript"/>
              </w:rPr>
              <w:t>(4)</w:t>
            </w: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5"/>
              </w:rPr>
              <w:t>3.50%</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3.44%</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5"/>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228"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Included in the average balance of loans outstanding are loans where the accrual of interest has been discontinued.</w:t>
      </w:r>
    </w:p>
    <w:p>
      <w:pPr>
        <w:spacing w:after="0" w:line="7" w:lineRule="exact"/>
        <w:rPr>
          <w:rFonts w:ascii="Arial" w:cs="Arial" w:eastAsia="Arial" w:hAnsi="Arial"/>
          <w:sz w:val="22"/>
          <w:szCs w:val="22"/>
          <w:color w:val="auto"/>
          <w:vertAlign w:val="superscript"/>
        </w:rPr>
      </w:pPr>
    </w:p>
    <w:p>
      <w:pPr>
        <w:ind w:left="460" w:right="60" w:hanging="452"/>
        <w:spacing w:after="0" w:line="221"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Securities available for sale are shown at amortized cost. Pretax unrealized gains of $23.6 million, $32.2 million and $43.2 million in 2012, 2011 and 2010, respectively are included in other assets for purposes of this presentation.</w:t>
      </w:r>
    </w:p>
    <w:p>
      <w:pPr>
        <w:ind w:left="460" w:hanging="452"/>
        <w:spacing w:after="0" w:line="205"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3—Change in Interest Revenue and Interest Expense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4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9"/>
              </w:rPr>
              <w:t>2012 Compared to 2011</w:t>
            </w:r>
          </w:p>
        </w:tc>
        <w:tc>
          <w:tcPr>
            <w:tcW w:w="80" w:type="dxa"/>
            <w:vAlign w:val="bottom"/>
          </w:tcPr>
          <w:p>
            <w:pPr>
              <w:spacing w:after="0"/>
              <w:rPr>
                <w:sz w:val="14"/>
                <w:szCs w:val="14"/>
                <w:color w:val="auto"/>
              </w:rPr>
            </w:pPr>
          </w:p>
        </w:tc>
        <w:tc>
          <w:tcPr>
            <w:tcW w:w="1900" w:type="dxa"/>
            <w:vAlign w:val="bottom"/>
            <w:gridSpan w:val="8"/>
          </w:tcPr>
          <w:p>
            <w:pPr>
              <w:jc w:val="center"/>
              <w:ind w:left="374"/>
              <w:spacing w:after="0"/>
              <w:rPr>
                <w:sz w:val="20"/>
                <w:szCs w:val="20"/>
                <w:color w:val="auto"/>
              </w:rPr>
            </w:pPr>
            <w:r>
              <w:rPr>
                <w:rFonts w:ascii="Arial" w:cs="Arial" w:eastAsia="Arial" w:hAnsi="Arial"/>
                <w:sz w:val="14"/>
                <w:szCs w:val="14"/>
                <w:b w:val="1"/>
                <w:bCs w:val="1"/>
                <w:color w:val="auto"/>
                <w:w w:val="86"/>
              </w:rPr>
              <w:t>2011 Compared to 2010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Increase (decrease)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Increase (decrease)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due to changes in</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3"/>
              </w:rPr>
              <w:t>due to changes in</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Volume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Rate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Interest-earning assets:</w:t>
            </w: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Loans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$(7,696)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(14,032)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(21,728)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(36,326)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(2,628)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(14,055)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(11,594)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18,665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(22,235)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Tax-exempt securities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interest-earning assets</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vMerge w:val="continue"/>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(7,003)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(24,912)</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(31,915)</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(17,149)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(26,630)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NOW</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Money Market</w:t>
            </w:r>
          </w:p>
        </w:tc>
        <w:tc>
          <w:tcPr>
            <w:tcW w:w="5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Savings deposits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Time deposits less than $100,000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(8,860)</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Time deposits greater than $100,000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Brokered deposits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(4,453)</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interest-bearing deposits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(16,390)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(24,604)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(26,051)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(32,893)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w w:val="93"/>
              </w:rPr>
              <w:t>Federal funds purchased, repurchase agreements &amp; other short-term borrowings</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2"/>
            <w:vMerge w:val="continue"/>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borrowed funds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vMerge w:val="continue"/>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(18,841)</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(27,345)</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(24,963)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(34,396)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Decrease in net interest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the end of each reporting period. The operating provision for loan losses was $62.5 million in 2012, compared with $251 million in 2011, and $235 million in 2010. As a percentage of average outstanding loans, the operating provision was 1.52%, 5.91% and 4.81%, respectively, in 2012, 2011 and 2010. The amount of provision recorded in each year was the amount required such that the total allowance for loan losses reflected the appropriate balance, in the estimation of management, and was sufficient to cover inherent losses in the loan portfolio. The 2012 provision for loan losses was $189 million lower than the 2011 provision, primarily due to the improvement in credit trends during 2012 as well as the elevated level of charge-offs in 2011 resulting from the execution of the Problem Asset Disposition Plan. In addition, during the third quarter of 2011, United recorded an additional loan loss provision of $25.0 million specifically related to the classification of its largest lending relationship. In 2011, the increase in the provision for loan losses compared to 2010 was primarily due to the increased level of charge-offs in the first quarter of 2011 recorded in conjunction with the Problem Asset Disposition Plan and transfer of loans to the held for sale category in anticipation of the Bulk Loan Sale. The ratio of net loan charge-offs to average outstanding loans for 2012 was 1.69% compared with 7.33% for 2011 and 4.42% for 2010, excluding the $11.8 million partial recovery.</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the residential construction and housing markets have struggled, it has been difficult for many builders and developers to produce cash flow needed to service debt from selling lots and houses. This deterioration that began in the residential construction and housing market was the primary factor that resulted in higher credit losses and an increase in nonperforming assets over the last four years. Although a majority of the loan charge-offs have been within the residential construction and development portion of the portfolio, credit quality deterioration migrated to other loan categories as pressure resulting from economic conditions has persisted and unemployment levels have remained high throughout United’s markets. Additional discussion on credit quality and the allowance for loan losses is included in the “Asset Quality and Risk Elements” and “Critical Accounting Polices” sections of this report, as well as Note 1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fee revenue from continuing operations was $56.8 million in 2012, compared with $49.9 million in 2011 and $48.5 million in 2010. Fee revenue from continuing operations excludes consulting fees earned by United’s Brintech subsidiary which was sold on March 31, 2010. All periods are presented on a continuing operations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4—Fee Revenue From Continuing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61"/>
        </w:trPr>
        <w:tc>
          <w:tcPr>
            <w:tcW w:w="456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2012-2011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Overdraft fees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$17,227</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2780" w:type="dxa"/>
            <w:vAlign w:val="bottom"/>
            <w:gridSpan w:val="3"/>
          </w:tcPr>
          <w:p>
            <w:pPr>
              <w:jc w:val="right"/>
              <w:ind w:right="260"/>
              <w:spacing w:after="0"/>
              <w:rPr>
                <w:sz w:val="20"/>
                <w:szCs w:val="20"/>
                <w:color w:val="auto"/>
              </w:rPr>
            </w:pPr>
            <w:r>
              <w:rPr>
                <w:rFonts w:ascii="Arial" w:cs="Arial" w:eastAsia="Arial" w:hAnsi="Arial"/>
                <w:sz w:val="18"/>
                <w:szCs w:val="18"/>
                <w:color w:val="auto"/>
              </w:rPr>
              <w:t>13,108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12,079</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10,001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2,785</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2,899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Service charges and fees</w:t>
            </w:r>
          </w:p>
        </w:tc>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31,670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29,110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30,127</w:t>
            </w: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10,483</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5,419</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7,019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Brokerage fees</w:t>
            </w:r>
          </w:p>
        </w:tc>
        <w:tc>
          <w:tcPr>
            <w:tcW w:w="2780" w:type="dxa"/>
            <w:vAlign w:val="bottom"/>
            <w:gridSpan w:val="3"/>
          </w:tcPr>
          <w:p>
            <w:pPr>
              <w:jc w:val="right"/>
              <w:ind w:right="260"/>
              <w:spacing w:after="0"/>
              <w:rPr>
                <w:sz w:val="20"/>
                <w:szCs w:val="20"/>
                <w:color w:val="auto"/>
              </w:rPr>
            </w:pPr>
            <w:r>
              <w:rPr>
                <w:rFonts w:ascii="Arial" w:cs="Arial" w:eastAsia="Arial" w:hAnsi="Arial"/>
                <w:sz w:val="18"/>
                <w:szCs w:val="18"/>
                <w:color w:val="auto"/>
              </w:rPr>
              <w:t>3,082</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2,986</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2,662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7,078</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842</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2,552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Losses on prepayment of borrowings</w:t>
            </w:r>
          </w:p>
        </w:tc>
        <w:tc>
          <w:tcPr>
            <w:tcW w:w="2780" w:type="dxa"/>
            <w:vAlign w:val="bottom"/>
            <w:gridSpan w:val="3"/>
          </w:tcPr>
          <w:p>
            <w:pPr>
              <w:jc w:val="right"/>
              <w:ind w:right="200"/>
              <w:spacing w:after="0"/>
              <w:rPr>
                <w:sz w:val="20"/>
                <w:szCs w:val="20"/>
                <w:color w:val="auto"/>
              </w:rPr>
            </w:pPr>
            <w:r>
              <w:rPr>
                <w:rFonts w:ascii="Arial" w:cs="Arial" w:eastAsia="Arial" w:hAnsi="Arial"/>
                <w:sz w:val="18"/>
                <w:szCs w:val="18"/>
                <w:color w:val="auto"/>
              </w:rPr>
              <w:t>(6,681)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(791)</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(2,233)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5,001</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1,585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10,480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7,341</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6,836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 revenue</w:t>
            </w:r>
          </w:p>
        </w:tc>
        <w:tc>
          <w:tcPr>
            <w:tcW w:w="1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56,771</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49,908</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48,548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Service charges and fees of $31.7 million were up $2.56 million, or 9%, from 2011. The increase was primarily due to new charges on low balance demand deposit accounts that more than offset a decline in overdraft fees resulting from the decline in the utilization of our courtesy overdraft services. ATM and debit card interchange fees were higher due to an increase in debit card transaction volumes.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Mortgage loan and related fees of $10.5 million were up $5.06 million, or 93%, from 2011. In 2012, United closed 2,339 mortgage loans totaling $370 million compared with 1,752 loans totaling $261 million in 2011. Origination volumes were driven by the changing interest rate environment which had a significant impact on refinancing activities. Substantially all of these originated residential mortgages were sold into the secondary market, including the right to service the loans.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Brokerage fees of $3.08 million increased $96,000, or 3%, from 2011. The increase in brokerage fees was due to improving market conditions from those in 2011. Additionally, a portion of United’s brokerage fee revenue is derived from the value of assets under management which increased with the overall improvement in the market, further contributing to the increased revenue.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United recognized net securities gains of $7.08 million and $842,000 during 2012 and 2011, respectively. United also recognized losses from the prepayment of FHLB advances and structured repurchase agreements totaling $6.68 million and $791,000 in 2012 and 2011, respectively. The losses were part of the same balance sheet management activities that resulted in the securities gains. The balance sheet management activities included the sale of $469 million in securities and the prepayment of $75.0 million in fixed rate borrowings, the effect of which was to reduce sensitivity to rising interest rates and to improve the net interest margin. The 2010 net gain was net of $950,000 in impairment charges in the first quarter of 2010, on trust preferred securities of a bank whose financial condition had deteriorated. The impairment charge was more than offset by realized gains from securities sales.</w:t>
      </w:r>
    </w:p>
    <w:p>
      <w:pPr>
        <w:spacing w:after="0" w:line="1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2012, United recognized $659,000 in revenue from hedge ineffectiveness compared with $5.00 million in 2011. Hedge ineffectiveness for 2012 is reported net of $449,000 in accelerated amortization of prepaid broker fees on brokered certificates of deposit that were called during the year. The brokered CDs were called at the same time the callable swaps that were hedging the brokered CDs were called. The accelerated amortization is presented as a component of hedge ineffectiveness as the broker fees were embedded in the swap contracts that were hedging the fair value of the brokered CDs and therefore resulted in an offsetting gain at the time the swaps were called. Much of the hedge ineffectiveness in 2011 and 2012 related to terminated cash flow hedges where the gains realized on the terminated positions are being deferred over the original term of the derivative instrument. The ineffectiveness, which is caused by a decrease in qualifying prime-based loans, resulted in the accelerated recognition of the deferred gains. In 2012, the hedge ineffectiveness gains and losses resulted primarily from ineffectiveness on fair value hedges of brokered deposits.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Other fee revenue of $10.5 million for 2012 was up $3.14 million, or 43%, from the prior year. Fees from customer swap transactions earned under United’s back-to-back customer swap program accounted for $524,000 of the increase. Also contributing to the increase were gains and losses on United’s deferred compensation plan assets. United reported gains of $478,000 for 2012 compared with losses of $72,000 for 2011. Gains and losses on deferred compensation plan assets are completely offset in salaries and employee benefit expense by losses and gains on United’s deferred compensation plan liability. Other fee revenue for 2012 also included $1.10 million in interest on a prior year tax refund that resulted from a net operating loss carry back claim.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presents the components of operating expenses. This table is presented to reflect Brintech as a discontinued operation, and accordingly, operating expenses associated with Brintech have been excluded from the table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5—Operating Expenses From Continuing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r>
      <w:tr>
        <w:trPr>
          <w:trHeight w:val="161"/>
        </w:trPr>
        <w:tc>
          <w:tcPr>
            <w:tcW w:w="6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2012-2011</w:t>
            </w:r>
          </w:p>
        </w:tc>
        <w:tc>
          <w:tcPr>
            <w:tcW w:w="26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$100,095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4,625</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9,727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9,254</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property—foreclosure and carrying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Foreclosed property—writedowns and losses from 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68,406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49,326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r>
      <w:tr>
        <w:trPr>
          <w:trHeight w:val="221"/>
        </w:trPr>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186,774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261,599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242,952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nonperforming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1"/>
        </w:trPr>
        <w:tc>
          <w:tcPr>
            <w:tcW w:w="6260" w:type="dxa"/>
            <w:vAlign w:val="bottom"/>
          </w:tcPr>
          <w:p>
            <w:pPr>
              <w:ind w:left="440"/>
              <w:spacing w:after="0"/>
              <w:rPr>
                <w:sz w:val="20"/>
                <w:szCs w:val="20"/>
                <w:color w:val="auto"/>
              </w:rPr>
            </w:pPr>
            <w:r>
              <w:rPr>
                <w:rFonts w:ascii="Arial" w:cs="Arial" w:eastAsia="Arial" w:hAnsi="Arial"/>
                <w:sz w:val="18"/>
                <w:szCs w:val="18"/>
                <w:color w:val="auto"/>
              </w:rPr>
              <w:t>Operating expenses, before nonrecurring items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186,774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261,599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288,301</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210,590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2"/>
        </w:trPr>
        <w:tc>
          <w:tcPr>
            <w:tcW w:w="62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186,774</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261,599</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498,891</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Operating expenses were $187 million in 2012 as compared to $262 million in 2011 and $243 million in 2010, excluding goodwill impairment charges and the loss on the sale of nonperforming assets to Fletcher. Higher foreclosed property losses incurred in connection with United’s Problem Asset Disposition Plan were reflected in the year ended December 31, 2011. In 2012, United recorded a $4.00 million charge in other expense to establish litigation reserves. Nonrecurring items in 2010 include a $211 million charge for goodwill impairment. The $45.3 million loss on the sale of nonperforming assets to Fletcher was incurred during the second quarter of 2010. Although the loss from the bulk sale of nonperforming assets in 2010 resulted from an isolated event, because disposition of nonperforming assets is considered an operating activity, it is not excluded from operating expenses as a nonrecurring item, but has been separated to make trend comparisons more meaningful. Including the loss on sale of nonperforming assets and those nonrecurring charges, operating expenses for 2010 were $499 million.</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Salaries and employee benefits expense for 2012 was $96.0 million, a decrease of $4.07 million, or 4%, from 2011. The decrease was due to a combination of reduced staffing, lower group medical insurance costs and a 50% reduction in the matching contribution on United’s 401(k) and profit sharing plan that became effective on April 1, 2012. Headcount totaled 1,590 at December 31, 2012 compared to 1,754 at December 31, 2011, a decrease of 164 positions. Both 2012 and 2011 included severance charges that affect comparability between periods. In 2012, United incurred $2.32 million in severance charges compared with $1.18 million in 2011. Additionally, in the fourth quarter of 2011, United reclassified $2.24 million of unamortized actuarial losses and prior service costs out of compensation expense to other comprehensive income which reduced compensation expense by that amount in 2011.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Occupancy expense of $14.3 million for 2012 was down $1.34 million, or 9%, compared to the same period in 2011. The decrease was across all subcategories of occupancy expense including building maintenance, insurance and depreciation reflecting management’s efforts to reduce costs and improve operating efficiency.</w:t>
      </w:r>
    </w:p>
    <w:p>
      <w:pPr>
        <w:spacing w:after="0" w:line="6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Advertising and public relations expense for 2012 was $3.86 million, a decrease of $436,000, or 10%, from 2011. The decrease was due to continued efforts to reduce discretionary spending, such as billboard advertising.</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Postage, printing and supplies expense for 2012 was $3.90 million, a decrease of $357,000, or 8%, from 2011. The decrease was primarily due to lower outside courier expenses reflecting further use of electronic statements and technology.</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Professional fees were $8.79 million for 2012, a decrease of $935,000, or 10%, from 2011. The decrease was primarily due to approximately $1 million in professional services costs associated with the Bulk Loan Sale in 2011.</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Foreclosed property expenses include foreclosure and carrying costs and realized losses and write-downs of foreclosed properties. Foreclosure and carrying costs for 2012 were $5.12 million, a decrease of $5.38 million from 2011. While these costs have remained elevated throughout the weak economic cycle, the decrease from 2011 is due to the lower level of foreclosed properties. The foreclosure and carrying costs category includes legal fees, property taxes, marketing costs, utility services, and maintenance and repair charges. Realized losses and write-downs on foreclosed property totaled $8.88 million for the year ended December 31, 2012, compared to $68.4 million for 2011. The decrease reflects higher writedowns in the first half of 2011 on foreclosed properties to expedite sales under the Problem Asset Disposition Plan.</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FDIC assessments and other regulatory charges expense for 2012 was $10.1 million, a decrease of $4.16 million, or 29%, from 2011. The FDIC’s change to an asset based formula effective April 1, 2011 was favorable to United which lowered the assessment going forward. United’s assessment rate was reduced further late in the second quarter of 2011.</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 expenses totaled $20.0 million for 2012, a increase of $1.68 million, or 9%, from 2011. The increase is primarily due to a $4.00 million charge in 2012 to establish litigation reserves that was partially offset by an elevated level of property taxes and other loan collateral costs incurred to prepare loans for the Bulk Loan Sale in the prior year. As part of the transaction, the purchaser required United to pay all unpaid property taxes on collateral supporting the sold loans.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 expense was $1.05 million in 2012, compared to income tax benefit of $3.98 million in 2011 and income tax expense of $71.2 million in 2010, respectively. The effective tax rates (as a percentage of pre-tax net income) were 3.01%, 1.73% and (16.5)%, for 2012, 2011, and 2010, respectively. The 2011 tax benefit included the reversal of previously established reserves for uncertain tax positions of $4.59 million as a result of the tax returns upon which the tax positions were claimed no longer being subject to audit as a result of statute expiration and due to the settlement of a state tax dispute. With the full valuation allowance on United’s net deferred tax asset, United’s tax expense on its pre-tax earnings mostly represents adjustments to its reserve for uncertain tax positions and amounts payable under the Federal Alternative Minimum Tax.</w:t>
      </w:r>
    </w:p>
    <w:p>
      <w:pPr>
        <w:spacing w:after="0" w:line="12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At December 31, 2012 and 2011, United reported no net deferred tax assets due to a full valuation allowance of $270 million and $273 million, respectively. Accounting Standards Codification Topic 740, </w:t>
      </w:r>
      <w:r>
        <w:rPr>
          <w:rFonts w:ascii="Arial" w:cs="Arial" w:eastAsia="Arial" w:hAnsi="Arial"/>
          <w:sz w:val="15"/>
          <w:szCs w:val="15"/>
          <w:i w:val="1"/>
          <w:iCs w:val="1"/>
          <w:color w:val="auto"/>
        </w:rPr>
        <w:t>Income Taxes</w:t>
      </w:r>
      <w:r>
        <w:rPr>
          <w:rFonts w:ascii="Arial" w:cs="Arial" w:eastAsia="Arial" w:hAnsi="Arial"/>
          <w:sz w:val="15"/>
          <w:szCs w:val="15"/>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The deferred tax assets are analyzed quarterly for changes affecting realizability.</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management has determined that the objective negative evidence outweighs the positive evidence, management has established a full valuation allowance against its net deferred tax assets. Currently, the significant positive evidence in our analysis includes stronger capital levels and a return to profitability for five consecutive quarterly periods that were driven by significant increases in fee revenue and lower operating expenses coupled with lower credit costs due to solid improvements in credit measures and asset quality ratios. The most significant negative evidence continues to be the historic losses resulting from the financial and economic crisis, including a cumulative three-year operating loss position. However, with continued positive trends and experience of our financial performance and credit quality during 2012, the reliability of the financial and credit projections may be given more weight in future periods if our current trends and performance continue. Management will continue to evaluate and weigh the positive and negative evidence going forward and, if the weight of evidence shifts such that in management’s estimation, the positive evidence outweighs the negative evidence, the valuation allowance will be adjusted or completely reversed as appropriate.</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of the Internal Revenue Code.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connection with the tax benefits preservation plan, on February 22, 2011, United entered into a share exchange agreement with the Elm Ridge Parties to transfer to the Company 1,551,126 shares of United’s common stock in exchange for 16,613 shares of the Company’s series D preferred shares and warrants to purchase 1,551,126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Discussion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Taxable equivalent net interest revenue for the fourth quarter of 2012 decreased $3.02 million, or 5%, to $56.0 million from the same period a year ago, primarily due to lower yields on our investment securities and loan portfolios, as well as the overlap of debt financing that resulted from the issuance of senior debt at the beginning of the fourth quarter 2012 to replace subordinated debt that matured late in the fourth quarter of 2012. The net interest margin decreased seven basis points from the fourth quarter of 2011 to 3.44% for the fourth quarter of 2012. The lower yield on the loan portfolio for the fourth quarter of 2012 reflected the ongoing pricing pressure on new and renewed loans, as well as a new home equity loan product offering with a low introductory rate that will reprice in 2013. Also impacting the margin was the reduction in investment interest revenue which resulted from the reinvestment of cash flows at record low rates.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fourth quarter of 2012 provision for loan losses was $14.0 million, the same as the fourth quarter of 2011. Nonperforming assets totaled $128 million, down $32.2 million from a year ago. Nonperforming assets as a percentage of total assets were 1.88% at December 31, 2012, compared with 2.30% at December 31,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 from continuing operations for the fourth quarters of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6—Quarterly Fee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6"/>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2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5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2,969</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440"/>
              <w:spacing w:after="0"/>
              <w:rPr>
                <w:sz w:val="20"/>
                <w:szCs w:val="20"/>
                <w:color w:val="auto"/>
              </w:rPr>
            </w:pPr>
            <w:r>
              <w:rPr>
                <w:rFonts w:ascii="Arial" w:cs="Arial" w:eastAsia="Arial" w:hAnsi="Arial"/>
                <w:sz w:val="18"/>
                <w:szCs w:val="18"/>
                <w:color w:val="auto"/>
              </w:rPr>
              <w:t>Service charges and fees</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7,248</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Brokerage fees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782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2,808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fee revenue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12,667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Fee revenue for the fourth quarter of 2012 of $14.8 million increased $2.09 million, or 17%, from $12.7 million for the fourth quarter of 2011. Service charges and fees on deposit accounts increased $1.13 million, or 16%, to $8.38 million. The increase was due to new service fees on low balance demand deposit accounts that began in 2012. Also, higher debit card transaction volume resulted in an increase in ATM and debit card interchange fees. Mortgage fees increased $1.44 million, or 79%, to $3.26 million due to an increase in refinancing activities due to record low interest rates. United closed $100 million in mortgage loans in the fourth quarter of 2012, compared to $78.8 million in the fourth quarter of 2011. Other fee revenue decreased $466,000, or 17%, from the fourth quarter of 2011. A decrease in hedge ineffectiveness gains accounted for $198,000 of the decrease. In addition, United recorded a gain of $728,000 from the sale of low income housing tax credits during the fourth quarter of 2011. In the fourth quarter of 2012, United recognized a gain of $200,000 from the sale of a closed branch facility and a $144,000 gain on an equity investment in a community bank that sold during the quarter.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fourth quarters of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7—Quarterly 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22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benefits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$23,586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$23,473</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3,320</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3,129</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3,972</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580" w:type="dxa"/>
            <w:vAlign w:val="bottom"/>
          </w:tcPr>
          <w:p>
            <w:pPr>
              <w:jc w:val="right"/>
              <w:spacing w:after="0"/>
              <w:rPr>
                <w:sz w:val="20"/>
                <w:szCs w:val="20"/>
                <w:color w:val="auto"/>
              </w:rPr>
            </w:pPr>
            <w:r>
              <w:rPr>
                <w:rFonts w:ascii="Arial" w:cs="Arial" w:eastAsia="Arial" w:hAnsi="Arial"/>
                <w:sz w:val="18"/>
                <w:szCs w:val="18"/>
                <w:color w:val="auto"/>
              </w:rPr>
              <w:t>987</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944</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2,685</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1,996</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property—foreclosure and carrying costs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2,369</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Foreclosed property—writedowns and losses from sales</w:t>
            </w: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6,933</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2,599</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8"/>
                <w:szCs w:val="18"/>
                <w:color w:val="auto"/>
              </w:rPr>
              <w:t>727</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746</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50,726</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51,080</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Operating expenses decreased $354,000 to $50.7 million, a 1% decrease from the fourth quarter of 2011, primarily due to lower foreclosed property costs. Salaries and employee benefit costs of $23.6 million were down $2.1 million from the fourth quarter of 2011, due primarily to a lower headcount after excluding a one-time credit adjustment in 2011. In the fourth quarter of 2011, United recorded a one-time credit adjustment of $2.24 million resulting from the reclassification of unamortized actuarial losses and prior service costs to other comprehensive income for United’s Modified Retirement Plan. Communications and equipment expenses were up $191,000, or 6%, to $3.32 million for the fourth quarter of 2012 compared to 2011 due to higher software depreciation and expense. Occupancy expense was down $517,000 for the fourth quarter of 2012 compared to 2011, due to lower real estate taxes, insurance and depreciation. Professional fees increased $689,000 to $2.69 million, due to higher legal fees. Foreclosed property—foreclosure and carrying costs of $1.42 million decreased $946,000 from $2.37 million for the fourth quarter of 2011, due to a lower number of foreclosed properties held following the execution of the Problem Asset Disposition Plan in early 2011. Write-downs and losses from sales of foreclosed property totaled $3.19 million for the fourth quarter of 2012, a decrease of $3.75 million, or 54%, also related to a lower volume of foreclosed property. FDIC assessments and other regulatory charges decreased from $2.60 million during the fourth quarter of 2011 to $2.51 million for the same period in 2012 due to a lower asset balance upon which the assessment was based. In the fourth quarter of 2012, United established a reserve of $4.00 million to settle pending litigation. The reserve was established by a charge to earnings and is the cause for the increase in other operating expense from the fourth quarter of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96"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Total assets at December 31, 2012 were $6.80 billion, a decrease of $181 million, or 3%, from December 31, 2011. On a daily average basis, total assets decreased $324 million, or 5%, from 2011 to 2012. Average interest earning assets for 2012 and 2011 were $6.55 billion and $6.78 billion,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and Tennessee, including customers who have a seasonal residence in United’s market areas. More than 85% of the loans are secured by real estate. Total loans averaged $4.17 billion in 2012, compared with $4.31 billion in 2011, a decrease of 3%. At December 31, 2012, total loans, excluding loans acquired from SCB that are covered by loss sharing agreements with the FDIC, were $4.18 billion, an increase of $65 million, or 2%, from December 31, 2011. The rate of loan growth began to decline in the first quarter of 2007, and the balances continued to decline through the subsequent years. The decrease in the loan portfolio began with deterioration in the residential construction and housing markets. The deterioration resulted in part from an oversupply of lot inventory, houses and land within United’s markets, which further slowed construction activities and acquisition and development projects. Despite the continued weak economy and intense competition for quality credits, United continued to pursue lending opportunities. The rate of decrease in the loan portfolio dropped significantly following the execution of the Problem Asset Disposition Plan in the first quarter of 2011 and has continued to stabilize, resulting in the modest growth in 2012. While period-end loans were up at December 31, 2012 from a year ago, the daily average balance of loans was down as noted above due to the loans included in the 2011 Bulk Loan Sale that increased 2011 average balances in the first quarter. The increase in residential mortgage loans reflects a successful home equity line promotion that has gained traction in United’s footprint. The increase in consumer installment loans reflects purchases of approximately $40 million in indirect auto loans during 2012.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8—Loans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Loans by Category</w:t>
            </w: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$1,813,365</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$1,821,414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$1,761,424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$1,779,398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$1,626,966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428,249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441,518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jc w:val="right"/>
              <w:spacing w:after="0"/>
              <w:rPr>
                <w:sz w:val="20"/>
                <w:szCs w:val="20"/>
                <w:color w:val="auto"/>
              </w:rPr>
            </w:pPr>
            <w:r>
              <w:rPr>
                <w:rFonts w:ascii="Arial" w:cs="Arial" w:eastAsia="Arial" w:hAnsi="Arial"/>
                <w:sz w:val="18"/>
                <w:szCs w:val="18"/>
                <w:color w:val="auto"/>
              </w:rPr>
              <w:t>154,769</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164,155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296,582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362,566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499,663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2,426,380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2,413,818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2,499,524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2,532,484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Residential mortgage</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1,214,203</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1,134,902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1,278,780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1,427,198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448,391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695,166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1,050,065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Consumer installment</w:t>
            </w:r>
          </w:p>
        </w:tc>
        <w:tc>
          <w:tcPr>
            <w:tcW w:w="800" w:type="dxa"/>
            <w:vAlign w:val="bottom"/>
          </w:tcPr>
          <w:p>
            <w:pPr>
              <w:jc w:val="right"/>
              <w:spacing w:after="0"/>
              <w:rPr>
                <w:sz w:val="20"/>
                <w:szCs w:val="20"/>
                <w:color w:val="auto"/>
              </w:rPr>
            </w:pPr>
            <w:r>
              <w:rPr>
                <w:rFonts w:ascii="Arial" w:cs="Arial" w:eastAsia="Arial" w:hAnsi="Arial"/>
                <w:sz w:val="18"/>
                <w:szCs w:val="18"/>
                <w:color w:val="auto"/>
              </w:rPr>
              <w:t>152,748</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112,503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130,656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141,729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4,175,008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4,109,614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4,604,126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5,151,476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5,704,861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tcPr>
          <w:p>
            <w:pPr>
              <w:spacing w:after="0"/>
              <w:rPr>
                <w:sz w:val="24"/>
                <w:szCs w:val="2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4"/>
                <w:szCs w:val="2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24"/>
                <w:szCs w:val="24"/>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24"/>
                <w:szCs w:val="2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Loans by Market</w:t>
            </w: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North Georgia</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$1,363,723</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$1,425,811</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$1,688,586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$1,883,880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$2,040,082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1,287,909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1,219,652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1,310,222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1,435,223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North Carolina</w:t>
            </w:r>
          </w:p>
        </w:tc>
        <w:tc>
          <w:tcPr>
            <w:tcW w:w="800" w:type="dxa"/>
            <w:vAlign w:val="bottom"/>
          </w:tcPr>
          <w:p>
            <w:pPr>
              <w:jc w:val="right"/>
              <w:spacing w:after="0"/>
              <w:rPr>
                <w:sz w:val="20"/>
                <w:szCs w:val="20"/>
                <w:color w:val="auto"/>
              </w:rPr>
            </w:pPr>
            <w:r>
              <w:rPr>
                <w:rFonts w:ascii="Arial" w:cs="Arial" w:eastAsia="Arial" w:hAnsi="Arial"/>
                <w:sz w:val="18"/>
                <w:szCs w:val="18"/>
                <w:color w:val="auto"/>
              </w:rPr>
              <w:t>579,085</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597,446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701,798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771,709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809,863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346,189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335,020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405,689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Gainesville MSA</w:t>
            </w:r>
          </w:p>
        </w:tc>
        <w:tc>
          <w:tcPr>
            <w:tcW w:w="800" w:type="dxa"/>
            <w:vAlign w:val="bottom"/>
          </w:tcPr>
          <w:p>
            <w:pPr>
              <w:jc w:val="right"/>
              <w:spacing w:after="0"/>
              <w:rPr>
                <w:sz w:val="20"/>
                <w:szCs w:val="20"/>
                <w:color w:val="auto"/>
              </w:rPr>
            </w:pPr>
            <w:r>
              <w:rPr>
                <w:rFonts w:ascii="Arial" w:cs="Arial" w:eastAsia="Arial" w:hAnsi="Arial"/>
                <w:sz w:val="18"/>
                <w:szCs w:val="18"/>
                <w:color w:val="auto"/>
              </w:rPr>
              <w:t>261,406</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264,567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312,049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389,766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420,169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282,863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255,949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256,451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Total loans</w:t>
            </w: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4,175,008</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4,109,614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4,604,126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5,151,476</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of December 31, 2012, United’s 25 largest credit relationships consisted of loans and loan commitments ranging from $9.90 million to $70.5 million, with an aggregate total credit exposure of $381 million, including $9.37 million in unfunded commitments, and $371 million in balances outstanding, excluding participations sold. United had only 4 lending relationships whose total credit exposure exceeded $20 million and only two relationships in excess of $25 million.</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9—Loan Portfolio Maturity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Rate Structure for Loans</w:t>
            </w:r>
          </w:p>
        </w:tc>
      </w:tr>
      <w:tr>
        <w:trPr>
          <w:trHeight w:val="161"/>
        </w:trPr>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ind w:left="460"/>
              <w:spacing w:after="0"/>
              <w:rPr>
                <w:sz w:val="20"/>
                <w:szCs w:val="20"/>
                <w:color w:val="auto"/>
              </w:rPr>
            </w:pPr>
            <w:r>
              <w:rPr>
                <w:rFonts w:ascii="Arial" w:cs="Arial" w:eastAsia="Arial" w:hAnsi="Arial"/>
                <w:sz w:val="14"/>
                <w:szCs w:val="14"/>
                <w:b w:val="1"/>
                <w:bCs w:val="1"/>
                <w:color w:val="auto"/>
                <w:w w:val="95"/>
              </w:rPr>
              <w:t>Maturity</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Maturing Over One Year</w:t>
            </w:r>
          </w:p>
        </w:tc>
      </w:tr>
      <w:tr>
        <w:trPr>
          <w:trHeight w:val="129"/>
        </w:trPr>
        <w:tc>
          <w:tcPr>
            <w:tcW w:w="570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One Year</w:t>
            </w: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One through</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Over Five</w:t>
            </w:r>
          </w:p>
        </w:tc>
        <w:tc>
          <w:tcPr>
            <w:tcW w:w="6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Fixed</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Floating</w:t>
            </w:r>
          </w:p>
        </w:tc>
        <w:tc>
          <w:tcPr>
            <w:tcW w:w="100" w:type="dxa"/>
            <w:vAlign w:val="bottom"/>
          </w:tcPr>
          <w:p>
            <w:pPr>
              <w:spacing w:after="0"/>
              <w:rPr>
                <w:sz w:val="11"/>
                <w:szCs w:val="11"/>
                <w:color w:val="auto"/>
              </w:rPr>
            </w:pPr>
          </w:p>
        </w:tc>
      </w:tr>
      <w:tr>
        <w:trPr>
          <w:trHeight w:val="161"/>
        </w:trPr>
        <w:tc>
          <w:tcPr>
            <w:tcW w:w="57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4"/>
                <w:szCs w:val="14"/>
                <w:b w:val="1"/>
                <w:bCs w:val="1"/>
                <w:color w:val="auto"/>
              </w:rPr>
              <w:t>or Less</w:t>
            </w:r>
          </w:p>
        </w:tc>
        <w:tc>
          <w:tcPr>
            <w:tcW w:w="3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Five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Rate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Rate</w:t>
            </w: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(commercial and industrial)</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$151,722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2"/>
              </w:rPr>
              <w:t>233,661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72,863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$458,246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$239,821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Construction (commercial and residential)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254,722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214,676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67,048</w:t>
            </w:r>
          </w:p>
        </w:tc>
        <w:tc>
          <w:tcPr>
            <w:tcW w:w="680" w:type="dxa"/>
            <w:vAlign w:val="bottom"/>
          </w:tcPr>
          <w:p>
            <w:pPr>
              <w:jc w:val="right"/>
              <w:spacing w:after="0"/>
              <w:rPr>
                <w:sz w:val="20"/>
                <w:szCs w:val="20"/>
                <w:color w:val="auto"/>
              </w:rPr>
            </w:pPr>
            <w:r>
              <w:rPr>
                <w:rFonts w:ascii="Arial" w:cs="Arial" w:eastAsia="Arial" w:hAnsi="Arial"/>
                <w:sz w:val="18"/>
                <w:szCs w:val="18"/>
                <w:color w:val="auto"/>
              </w:rPr>
              <w:t>536,446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89,199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192,525</w:t>
            </w:r>
          </w:p>
        </w:tc>
        <w:tc>
          <w:tcPr>
            <w:tcW w:w="100" w:type="dxa"/>
            <w:vAlign w:val="bottom"/>
          </w:tcPr>
          <w:p>
            <w:pPr>
              <w:spacing w:after="0"/>
              <w:rPr>
                <w:sz w:val="18"/>
                <w:szCs w:val="18"/>
                <w:color w:val="auto"/>
              </w:rPr>
            </w:pPr>
          </w:p>
        </w:tc>
      </w:tr>
      <w:tr>
        <w:trPr>
          <w:trHeight w:val="27"/>
        </w:trPr>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406,444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448,337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139,911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994,692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155,902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432,346</w:t>
            </w:r>
          </w:p>
        </w:tc>
        <w:tc>
          <w:tcPr>
            <w:tcW w:w="10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United’s credit administration function is included in Item 1 under the heading “Loan Review and Nonperforming Assets.”</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United’s home equity lines, which are a component of the residential mortgage portfolio, generally require the payment of interest only for a set period after origination. After this initial period, the outstanding balance begins amortizing and requires the payment of both principal and interest. At December 31, 2012 and 2011, home equity loans totaled $385 million and $300 million, respectively. Approximately 3% of the home equity loans at December 31, 2012 were amortizing and only a very small percentage will begin amortizing in the next twelve months. Of the $385 million in balances outstanding at December 31, 2012, $236 million, or 62%, were first liens. The balance at December 31, 2012 represents 58% of the total committed lines.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10—Performing Substandard Loans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Category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117,543</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143,058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156,765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123,740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16,767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18,510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90,745</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51,696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177,321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264,277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209,410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65,179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86,143</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79,741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158,770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196,908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2,957</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261,941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328,469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512,147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489,612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105,851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134,945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212,992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256,178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Atlanta MSA</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77,630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99,453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185,327</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141,205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42,335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Coastal Georgia</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29,223</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40,930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33,962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East Tennessee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11,446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8,308</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261,941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328,469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512,147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489,612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31, 2012, performing substandard loans totaled $262 million and decreased $66.5 million from December 31, 2011. Most of the decrease from a year ago occurred in United’s Atlanta, north Georgia and western North Carolina markets. Commercial (secured by real estate) and residential construction showed the most significant decreases.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regular basis and reported to management each quarter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leading to an expectation that charge-off levels will continue to decline.</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for each of the past five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11—Allocation of Allowance for Loan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27,847</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31,644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7,580</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6,892</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8,512</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37,325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35,051</w:t>
            </w: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36,476</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99,351</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99,446</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71,573</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26,642</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29,076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2,747</w:t>
            </w: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2,124</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2,545</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3,756</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Total allowance for loan losses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107,137</w:t>
            </w:r>
          </w:p>
        </w:tc>
        <w:tc>
          <w:tcPr>
            <w:tcW w:w="2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114,468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174,695</w:t>
            </w:r>
          </w:p>
        </w:tc>
        <w:tc>
          <w:tcPr>
            <w:tcW w:w="2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155,602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122,271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 balance in each category, expressed as a percentage of total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changes in the allowance for loan losses for each of the past five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12—Allowance for Loan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251,000</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59,468</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33,593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55,730</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9,993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53,707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118,916</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136,666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219,168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860"/>
              <w:spacing w:after="0"/>
              <w:rPr>
                <w:sz w:val="20"/>
                <w:szCs w:val="20"/>
                <w:color w:val="auto"/>
              </w:rPr>
            </w:pPr>
            <w:r>
              <w:rPr>
                <w:rFonts w:ascii="Arial" w:cs="Arial" w:eastAsia="Arial" w:hAnsi="Arial"/>
                <w:sz w:val="18"/>
                <w:szCs w:val="18"/>
                <w:color w:val="auto"/>
              </w:rPr>
              <w:t>Total loans charged-off</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74,633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316,305</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224,723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286,306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860"/>
              <w:spacing w:after="0"/>
              <w:rPr>
                <w:sz w:val="20"/>
                <w:szCs w:val="20"/>
                <w:color w:val="auto"/>
              </w:rPr>
            </w:pPr>
            <w:r>
              <w:rPr>
                <w:rFonts w:ascii="Arial" w:cs="Arial" w:eastAsia="Arial" w:hAnsi="Arial"/>
                <w:sz w:val="18"/>
                <w:szCs w:val="18"/>
                <w:color w:val="auto"/>
              </w:rPr>
              <w:t>Total recoveries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20,816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charge-offs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311,227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203,907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860"/>
              <w:spacing w:after="0"/>
              <w:rPr>
                <w:sz w:val="20"/>
                <w:szCs w:val="20"/>
                <w:color w:val="auto"/>
              </w:rPr>
            </w:pPr>
            <w:r>
              <w:rPr>
                <w:rFonts w:ascii="Arial" w:cs="Arial" w:eastAsia="Arial" w:hAnsi="Arial"/>
                <w:sz w:val="18"/>
                <w:szCs w:val="18"/>
                <w:color w:val="auto"/>
              </w:rPr>
              <w:t>Balance end of period</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107,137</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114,468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174,695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155,602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loans </w:t>
            </w:r>
            <w:r>
              <w:rPr>
                <w:rFonts w:ascii="Arial" w:cs="Arial" w:eastAsia="Arial" w:hAnsi="Arial"/>
                <w:sz w:val="11"/>
                <w:szCs w:val="11"/>
                <w:color w:val="auto"/>
              </w:rPr>
              <w:t>(1)</w:t>
            </w: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At year-end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4,175,008</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4,109,614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4,604,126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5,151,476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5,704,861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4,123,530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4,244,305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4,884,330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5,501,165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5,890,889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Allowance as a percentage of year-end loans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Net charge-offs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loan losses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Excludes loans acquired through the FDIC assisted acquisition of Southern Community Bank that are covered by loss sharing agreements.</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December 31, 2012, the allowance for loan losses was $107 million, or 2.57% of total loans, compared with $114 million, or 2.79% of loans at December 31, 2011. The decrease in the allowance for loan losses is consistent with the overall improving trends in credit quality of the loan portfolio. During the third quarter of 2011, United recorded a provision for loan losses of $25.0 million related to classifying its largest lending relationship to nonaccrual status and recorded a $25.0 million partial charge-off during the following quarter.</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Management believes that the allowance for loan losses at December 31, 2012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changes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Nonperforming loans totaled $110 million at December 31 2012, compared with $127 million at December 31, 2011. There were no accruing loans more than 90 days past due at December 31, 2012 and 2011. At December 31, 2012 and 2011, the ratio of nonperforming loans to total loans was 2.63% and 3.10%, respectively. Nonperforming loans have steadily decreased in dollar amount and as a percentage of total loans following the classification of United’s largest lending relationship in the third quarter of 2011. Nonperforming assets, which include nonperforming loans and foreclosed real estate, totaled $128 million at December 31, 2012, compared with $160 million at December 31, 2011. United sold $40.8 million and $108 million respectively, of foreclosed properties during 2012 and 2011, which helped to lower the balance of foreclosed properties by 44% compared to December 31, 2011.</w:t>
      </w:r>
    </w:p>
    <w:p>
      <w:pPr>
        <w:spacing w:after="0" w:line="12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placed on nonaccrual status, interest previously accrued but not collected is reversed against current interest revenue. Interest payments received on nonaccrual loans are applied to reduce outstanding principal.</w:t>
      </w:r>
    </w:p>
    <w:p>
      <w:pPr>
        <w:spacing w:after="0" w:line="143"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There were no commitments to lend additional funds to customers whose loans were on nonaccrual status at December 31, 2012, although in certain isolated cases, United executed forbearance agreements whereby United will continue to fund construction loans to completion as long as the borrower meets the conditions of the forbearance agreement. United may also fund other amounts necessary to protect the Bank’s collateral such as amounts to pay past due property taxes. The table below summarizes nonperforming assets at year-end for the last five years. It excludes assets acquired through the acquisition of SCB in 2009 that are covered by loss-sharing agreements with the FDIC. These assets have been excluded from the review of nonperforming assets, as the loss-sharing agreements with the FDIC and purchase price adjustments to reflect credit losses, effectively eliminate the likelihood of recognizing losses on the covered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13—Nonperforming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Nonaccrual loans (NPLs)</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$109,894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$127,479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$179,094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$264,092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$190,723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Foreclosed properties</w:t>
            </w:r>
          </w:p>
        </w:tc>
        <w:tc>
          <w:tcPr>
            <w:tcW w:w="1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18,264</w:t>
            </w:r>
          </w:p>
        </w:tc>
        <w:tc>
          <w:tcPr>
            <w:tcW w:w="680" w:type="dxa"/>
            <w:vAlign w:val="bottom"/>
          </w:tcPr>
          <w:p>
            <w:pPr>
              <w:jc w:val="right"/>
              <w:spacing w:after="0"/>
              <w:rPr>
                <w:sz w:val="20"/>
                <w:szCs w:val="20"/>
                <w:color w:val="auto"/>
              </w:rPr>
            </w:pPr>
            <w:r>
              <w:rPr>
                <w:rFonts w:ascii="Arial" w:cs="Arial" w:eastAsia="Arial" w:hAnsi="Arial"/>
                <w:sz w:val="18"/>
                <w:szCs w:val="18"/>
                <w:color w:val="auto"/>
              </w:rPr>
              <w:t>32,859</w:t>
            </w:r>
          </w:p>
        </w:tc>
        <w:tc>
          <w:tcPr>
            <w:tcW w:w="2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142,208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120,770</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59,768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nonperforming assets (NPAs)</w:t>
            </w:r>
          </w:p>
        </w:tc>
        <w:tc>
          <w:tcPr>
            <w:tcW w:w="2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128,158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160,338</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321,302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384,862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250,491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NPLs as a percentage of total loans</w:t>
            </w:r>
          </w:p>
        </w:tc>
        <w:tc>
          <w:tcPr>
            <w:tcW w:w="1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220" w:type="dxa"/>
            <w:vAlign w:val="bottom"/>
            <w:gridSpan w:val="3"/>
          </w:tcPr>
          <w:p>
            <w:pPr>
              <w:jc w:val="right"/>
              <w:ind w:right="240"/>
              <w:spacing w:after="0"/>
              <w:rPr>
                <w:sz w:val="20"/>
                <w:szCs w:val="20"/>
                <w:color w:val="auto"/>
              </w:rPr>
            </w:pPr>
            <w:r>
              <w:rPr>
                <w:rFonts w:ascii="Arial" w:cs="Arial" w:eastAsia="Arial" w:hAnsi="Arial"/>
                <w:sz w:val="18"/>
                <w:szCs w:val="18"/>
                <w:color w:val="auto"/>
              </w:rPr>
              <w:t>2.63%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3.89%</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5.13%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NPAs as a percentage of loans and foreclosed properties</w:t>
            </w:r>
          </w:p>
        </w:tc>
        <w:tc>
          <w:tcPr>
            <w:tcW w:w="2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NPAs as a percentage of total assets</w:t>
            </w:r>
          </w:p>
        </w:tc>
        <w:tc>
          <w:tcPr>
            <w:tcW w:w="2220" w:type="dxa"/>
            <w:vAlign w:val="bottom"/>
            <w:gridSpan w:val="3"/>
          </w:tcPr>
          <w:p>
            <w:pPr>
              <w:jc w:val="right"/>
              <w:ind w:right="400"/>
              <w:spacing w:after="0"/>
              <w:rPr>
                <w:sz w:val="20"/>
                <w:szCs w:val="20"/>
                <w:color w:val="auto"/>
              </w:rPr>
            </w:pPr>
            <w:r>
              <w:rPr>
                <w:rFonts w:ascii="Arial" w:cs="Arial" w:eastAsia="Arial" w:hAnsi="Arial"/>
                <w:sz w:val="18"/>
                <w:szCs w:val="18"/>
                <w:color w:val="auto"/>
              </w:rPr>
              <w:t>1.88</w:t>
            </w: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4.42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3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2012 and 2011 United had $161 million and $124 million, respectively, in loans with terms that have been modified in a TDR. Included therein were $38.0 million and $17.9 million, respectively, of TDRs that were not performing in accordance with their modified terms and were included in nonperforming loans. The remaining TDRs with an aggregate balance of $123 million and $106 million, respectively, were performing according to their modified terms and are therefore not considered to be nonperforming assets.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At December 31, 2012 and 2011, there were $253 million and $257 million, respectively, of loans classified as impaired under the definition outlined in the Accounting Standards Codification. Included in impaired loans at December 31, 2012 and 2011 were $157 million and $189 million, respectively, that did not require specific reserves or had previously been charged down to net realizable value. The balance of impaired loans at December 31, 2012 of $95.8 million had specific reserves that totaled $11.6 million and the balance of impaired loans at December 31, 2011 of $68.8 million had specific reserves that totaled $14.8 million. During the third quarter of 2011, United classified its largest lending relationship of $76.6 million as impaired and recorded a specific reserve of $25.0 million, which was charged off in the fourth quarter of 2011. The average recorded investment in impaired loans for 2012, 2011 and 2010 was $276 million, $127 million and $170 million, respectively. During 2012 and 2011, United recognized $9.53 million and $2.66 million in interest revenue on impaired loans. During 2010, there was no interest revenue recognized on loans while they were impaired.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 Impaired loans decreased 2% from 2011 to 2012, as the level of United’s nonaccrual and substandard accruing loans over $2 million began to subside. This decline was offset by an increased level of TDRs, which are considered impaired. Impaired loans increased from 2010 to 2011 due to the classification of United’s largest lending relationship and the increase in TDRs. In addition, United began including substandard accruing loans over $2 million in its impairment analysis in 2011.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summarizes nonperforming assets by category and market by quarter. Assets covered by the loss-sharing agreement with the FDIC related to the acquisition of SCB are not included in this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14—Nonperforming Assets by Quarter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 xml:space="preserve">December 31, 2012 </w:t>
            </w:r>
            <w:r>
              <w:rPr>
                <w:rFonts w:ascii="Arial" w:cs="Arial" w:eastAsia="Arial" w:hAnsi="Arial"/>
                <w:sz w:val="22"/>
                <w:szCs w:val="22"/>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 xml:space="preserve">September 30, 2012 </w:t>
            </w:r>
            <w:r>
              <w:rPr>
                <w:rFonts w:ascii="Arial" w:cs="Arial" w:eastAsia="Arial" w:hAnsi="Arial"/>
                <w:sz w:val="22"/>
                <w:szCs w:val="22"/>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 xml:space="preserve">June 30, 2012 </w:t>
            </w:r>
            <w:r>
              <w:rPr>
                <w:rFonts w:ascii="Arial" w:cs="Arial" w:eastAsia="Arial" w:hAnsi="Arial"/>
                <w:sz w:val="22"/>
                <w:szCs w:val="22"/>
                <w:b w:val="1"/>
                <w:bCs w:val="1"/>
                <w:color w:val="auto"/>
                <w:vertAlign w:val="superscript"/>
              </w:rPr>
              <w:t>(1)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 xml:space="preserve">March 31, 2012 </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Loans</w:t>
            </w:r>
          </w:p>
        </w:tc>
        <w:tc>
          <w:tcPr>
            <w:tcW w:w="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Loans</w:t>
            </w:r>
          </w:p>
        </w:tc>
        <w:tc>
          <w:tcPr>
            <w:tcW w:w="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Commercial (sec. by RE)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22,148</w:t>
            </w:r>
          </w:p>
        </w:tc>
        <w:tc>
          <w:tcPr>
            <w:tcW w:w="14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5,479</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27,627</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25,896</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8,767</w:t>
            </w:r>
          </w:p>
        </w:tc>
        <w:tc>
          <w:tcPr>
            <w:tcW w:w="1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34,663</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19,115</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10,586</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29,701</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26,081</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10,808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36,889</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31,817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31,817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32,678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32,678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34,982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36,314</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23,843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26,047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18,590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3,121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21,711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18,175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20,907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3,266</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26,585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77,808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85,491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89,052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85,590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85,714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14,074</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99,788</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12,589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17,342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13,996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6,031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20,027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16,631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22,222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18,741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5,882</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24,623</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18,702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24,530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31,974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37,042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24,341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11,931</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36,272</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128,158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115,001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26,958</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141,959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115,340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30,421</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145,761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129,704</w:t>
            </w: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31,887</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161,591</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0"/>
              </w:rPr>
              <w:t>Balance as a percentage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220"/>
              <w:spacing w:after="0"/>
              <w:rPr>
                <w:sz w:val="20"/>
                <w:szCs w:val="20"/>
                <w:color w:val="auto"/>
              </w:rPr>
            </w:pPr>
            <w:r>
              <w:rPr>
                <w:rFonts w:ascii="Arial" w:cs="Arial" w:eastAsia="Arial" w:hAnsi="Arial"/>
                <w:sz w:val="14"/>
                <w:szCs w:val="14"/>
                <w:b w:val="1"/>
                <w:bCs w:val="1"/>
                <w:color w:val="auto"/>
              </w:rPr>
              <w:t>unpaid principal</w:t>
            </w:r>
          </w:p>
        </w:tc>
        <w:tc>
          <w:tcPr>
            <w:tcW w:w="1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69.5%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62.8%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70.6%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69,950</w:t>
            </w:r>
          </w:p>
        </w:tc>
        <w:tc>
          <w:tcPr>
            <w:tcW w:w="14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8,219</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78,169</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72,211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14,582</w:t>
            </w:r>
          </w:p>
        </w:tc>
        <w:tc>
          <w:tcPr>
            <w:tcW w:w="1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86,793</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77,332</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13,546</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90,878</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81,117</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14,559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95,676</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18,556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21,998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27,275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17,593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26,244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22,321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7,647</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29,968</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11,014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13,593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2,771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12,393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13,944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15,765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4,650</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20,415</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1,268</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1,328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3,387</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5,597</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6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109,894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18,264</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128,158</w:t>
            </w:r>
          </w:p>
        </w:tc>
        <w:tc>
          <w:tcPr>
            <w:tcW w:w="16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115,001</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26,958</w:t>
            </w:r>
          </w:p>
        </w:tc>
        <w:tc>
          <w:tcPr>
            <w:tcW w:w="180" w:type="dxa"/>
            <w:vAlign w:val="bottom"/>
          </w:tcPr>
          <w:p>
            <w:pPr>
              <w:spacing w:after="0"/>
              <w:rPr>
                <w:sz w:val="13"/>
                <w:szCs w:val="13"/>
                <w:color w:val="auto"/>
              </w:rPr>
            </w:pPr>
          </w:p>
        </w:tc>
        <w:tc>
          <w:tcPr>
            <w:tcW w:w="12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141,959</w:t>
            </w: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115,340</w:t>
            </w:r>
          </w:p>
        </w:tc>
        <w:tc>
          <w:tcPr>
            <w:tcW w:w="2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30,421</w:t>
            </w:r>
          </w:p>
        </w:tc>
        <w:tc>
          <w:tcPr>
            <w:tcW w:w="14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145,761</w:t>
            </w:r>
          </w:p>
        </w:tc>
        <w:tc>
          <w:tcPr>
            <w:tcW w:w="2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129,704</w:t>
            </w:r>
          </w:p>
        </w:tc>
        <w:tc>
          <w:tcPr>
            <w:tcW w:w="2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31,887</w:t>
            </w:r>
          </w:p>
        </w:tc>
        <w:tc>
          <w:tcPr>
            <w:tcW w:w="1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161,591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 xml:space="preserve">December 31, 2011 </w:t>
            </w:r>
            <w:r>
              <w:rPr>
                <w:rFonts w:ascii="Arial" w:cs="Arial" w:eastAsia="Arial" w:hAnsi="Arial"/>
                <w:sz w:val="22"/>
                <w:szCs w:val="22"/>
                <w:b w:val="1"/>
                <w:bCs w:val="1"/>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 xml:space="preserve">September 30, 2011 </w:t>
            </w:r>
            <w:r>
              <w:rPr>
                <w:rFonts w:ascii="Arial" w:cs="Arial" w:eastAsia="Arial" w:hAnsi="Arial"/>
                <w:sz w:val="22"/>
                <w:szCs w:val="22"/>
                <w:b w:val="1"/>
                <w:bCs w:val="1"/>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 xml:space="preserve">June 30, 2011 </w:t>
            </w:r>
            <w:r>
              <w:rPr>
                <w:rFonts w:ascii="Arial" w:cs="Arial" w:eastAsia="Arial" w:hAnsi="Arial"/>
                <w:sz w:val="22"/>
                <w:szCs w:val="22"/>
                <w:b w:val="1"/>
                <w:bCs w:val="1"/>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 xml:space="preserve">March 31, 2011 </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Loans</w:t>
            </w:r>
          </w:p>
        </w:tc>
        <w:tc>
          <w:tcPr>
            <w:tcW w:w="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Loans</w:t>
            </w:r>
          </w:p>
        </w:tc>
        <w:tc>
          <w:tcPr>
            <w:tcW w:w="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Commercial (sec. by RE)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27,322</w:t>
            </w:r>
          </w:p>
        </w:tc>
        <w:tc>
          <w:tcPr>
            <w:tcW w:w="14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9,745</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37,067</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21,998</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8,880</w:t>
            </w:r>
          </w:p>
        </w:tc>
        <w:tc>
          <w:tcPr>
            <w:tcW w:w="1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30,878</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17,764</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6,796</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24,560</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20,648</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28,534</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34,613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34,613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53,009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16,655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19,991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11,370</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5,862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17,232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2,782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11,568</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15,269</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91,671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86,377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101,119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36,104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26,547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19,454</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22,358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29,285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22,671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7,960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30,631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24,809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33,865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23,711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9,117</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32,828</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25,523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38,374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56,033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24,968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47,611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32,038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25,807</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57,845</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127,479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160,338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144,484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44,263</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188,747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47,584</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118,649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83,769</w:t>
            </w: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54,378</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138,147</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0"/>
              </w:rPr>
              <w:t>Balance as a percentage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220"/>
              <w:spacing w:after="0"/>
              <w:rPr>
                <w:sz w:val="20"/>
                <w:szCs w:val="20"/>
                <w:color w:val="auto"/>
              </w:rPr>
            </w:pPr>
            <w:r>
              <w:rPr>
                <w:rFonts w:ascii="Arial" w:cs="Arial" w:eastAsia="Arial" w:hAnsi="Arial"/>
                <w:sz w:val="14"/>
                <w:szCs w:val="14"/>
                <w:b w:val="1"/>
                <w:bCs w:val="1"/>
                <w:color w:val="auto"/>
              </w:rPr>
              <w:t>unpaid principal</w:t>
            </w:r>
          </w:p>
        </w:tc>
        <w:tc>
          <w:tcPr>
            <w:tcW w:w="1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71.3%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77.8%</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33.4%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64.5%</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88,600</w:t>
            </w:r>
          </w:p>
        </w:tc>
        <w:tc>
          <w:tcPr>
            <w:tcW w:w="14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15,136</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103,736</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105,078</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17,467</w:t>
            </w:r>
          </w:p>
        </w:tc>
        <w:tc>
          <w:tcPr>
            <w:tcW w:w="1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122,545</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28,117</w:t>
            </w:r>
          </w:p>
        </w:tc>
        <w:tc>
          <w:tcPr>
            <w:tcW w:w="2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21,278</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49,395</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30,214</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23,094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53,308</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14,480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20,649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26,321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25,939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16,913</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38,414</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15,100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20,465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13,243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7,941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21,184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24,106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18,849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7,802</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26,651</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5,248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5,847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3,781</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9,628</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5,311</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7,806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7,679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2,157</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631</w:t>
            </w: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6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127,479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32,859</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160,338</w:t>
            </w:r>
          </w:p>
        </w:tc>
        <w:tc>
          <w:tcPr>
            <w:tcW w:w="16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144,484</w:t>
            </w:r>
          </w:p>
        </w:tc>
        <w:tc>
          <w:tcPr>
            <w:tcW w:w="2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44,263</w:t>
            </w:r>
          </w:p>
        </w:tc>
        <w:tc>
          <w:tcPr>
            <w:tcW w:w="180" w:type="dxa"/>
            <w:vAlign w:val="bottom"/>
          </w:tcPr>
          <w:p>
            <w:pPr>
              <w:spacing w:after="0"/>
              <w:rPr>
                <w:sz w:val="13"/>
                <w:szCs w:val="13"/>
                <w:color w:val="auto"/>
              </w:rPr>
            </w:pPr>
          </w:p>
        </w:tc>
        <w:tc>
          <w:tcPr>
            <w:tcW w:w="12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188,747</w:t>
            </w: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71,065</w:t>
            </w:r>
          </w:p>
        </w:tc>
        <w:tc>
          <w:tcPr>
            <w:tcW w:w="2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47,584</w:t>
            </w:r>
          </w:p>
        </w:tc>
        <w:tc>
          <w:tcPr>
            <w:tcW w:w="14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2"/>
              </w:rPr>
              <w:t>118,649</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83,769</w:t>
            </w:r>
          </w:p>
        </w:tc>
        <w:tc>
          <w:tcPr>
            <w:tcW w:w="2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54,378</w:t>
            </w:r>
          </w:p>
        </w:tc>
        <w:tc>
          <w:tcPr>
            <w:tcW w:w="1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138,147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228"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Excludes non-performing loans and foreclosed properties covered by the loss-sharing agreement with the FDIC, related to the acquisition of Southern Community Bank.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April 2011, United sold nonperforming loans in the Bulk Loan Sale with a carrying amount of $101 million and performing substandard loans with a carrying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amount of $166 million. At March 31, 2011, the loans were written down to the expected proceeds from the sale and transferred to the held for sale category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were not included in the table above at the end of the first quarter. Nonperforming assets in the residential construction category were $24.5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compared to $38.4 million at December 31, 2011, a decrease of $13.8 million, or 36%. Commercial nonperforming assets decreased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$91.7 million at December 31, 2011 to $85.5 million at December 31, 2012. Residential mortgage nonperforming assets of $17.3 million decreased $11.9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$29.3 million at December 31,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in nonperforming assets by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15—Activity in Nonperforming Assets by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22"/>
                <w:szCs w:val="22"/>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7"/>
                <w:szCs w:val="27"/>
                <w:b w:val="1"/>
                <w:bCs w:val="1"/>
                <w:color w:val="auto"/>
                <w:w w:val="91"/>
                <w:vertAlign w:val="subscript"/>
              </w:rPr>
              <w:t>2011</w:t>
            </w:r>
            <w:r>
              <w:rPr>
                <w:rFonts w:ascii="Arial" w:cs="Arial" w:eastAsia="Arial" w:hAnsi="Arial"/>
                <w:sz w:val="11"/>
                <w:szCs w:val="11"/>
                <w:b w:val="1"/>
                <w:bCs w:val="1"/>
                <w:color w:val="auto"/>
                <w:w w:val="91"/>
              </w:rPr>
              <w:t xml:space="preserve"> (1)(3)</w:t>
            </w: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86"/>
              </w:rPr>
              <w:t xml:space="preserve">2010 </w:t>
            </w:r>
            <w:r>
              <w:rPr>
                <w:rFonts w:ascii="Arial" w:cs="Arial" w:eastAsia="Arial" w:hAnsi="Arial"/>
                <w:sz w:val="22"/>
                <w:szCs w:val="22"/>
                <w:b w:val="1"/>
                <w:bCs w:val="1"/>
                <w:color w:val="auto"/>
                <w:w w:val="86"/>
                <w:vertAlign w:val="superscript"/>
              </w:rPr>
              <w:t>(1)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78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10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52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12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5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5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Loans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NPAs</w:t>
            </w:r>
          </w:p>
        </w:tc>
      </w:tr>
      <w:tr>
        <w:trPr>
          <w:trHeight w:val="142"/>
        </w:trPr>
        <w:tc>
          <w:tcPr>
            <w:tcW w:w="3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127,479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32,859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$160,338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179,094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142,208</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$ 321,302</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264,092</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120,770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$ 384,862</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1"/>
                <w:szCs w:val="11"/>
                <w:color w:val="auto"/>
              </w:rPr>
              <w:t xml:space="preserve">Loans placed on non-accrual </w:t>
            </w:r>
            <w:r>
              <w:rPr>
                <w:rFonts w:ascii="Arial" w:cs="Arial" w:eastAsia="Arial" w:hAnsi="Arial"/>
                <w:sz w:val="17"/>
                <w:szCs w:val="17"/>
                <w:color w:val="auto"/>
                <w:vertAlign w:val="superscript"/>
              </w:rPr>
              <w:t>(2)</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112,547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112,547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239,681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239,681</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494,843</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494,843</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received</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(17,131)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(36,641)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(36,641)</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(65,064)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(122,949)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(122,949)</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(222,150)</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(222,150)</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Foreclosures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33,992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(65,732)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65,732</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(237,503)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237,503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1,047</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1,249</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1,249</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1,396</w:t>
            </w:r>
          </w:p>
        </w:tc>
        <w:tc>
          <w:tcPr>
            <w:tcW w:w="1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1,396</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 property sales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(40,759)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(40,759)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(107,924)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(119,324)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(83,547)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(168,135)</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(251,682)</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Loans transferred to held for sale</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(74,084)</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 downs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(6,951)</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(57,368)</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(57,368)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(25,755)</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(25,755)</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Net losses on sales</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(1,924)</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(11,038)</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(11,038)</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(23,571)</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(23,571)</w:t>
            </w:r>
          </w:p>
        </w:tc>
      </w:tr>
      <w:tr>
        <w:trPr>
          <w:trHeight w:val="27"/>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3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18,264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128,158</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127,479</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32,859</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6"/>
              </w:rPr>
              <w:t>$ 160,338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179,094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142,208</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$ 321,302</w:t>
            </w: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21"/>
          <w:szCs w:val="21"/>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Includes $76.6 million from United’s largest loan relationship that was placed on nonaccrual in the third quarter of 2011.</w:t>
      </w:r>
    </w:p>
    <w:p>
      <w:pPr>
        <w:spacing w:after="0" w:line="8" w:lineRule="exact"/>
        <w:rPr>
          <w:rFonts w:ascii="Arial" w:cs="Arial" w:eastAsia="Arial" w:hAnsi="Arial"/>
          <w:sz w:val="22"/>
          <w:szCs w:val="22"/>
          <w:color w:val="auto"/>
          <w:vertAlign w:val="superscript"/>
        </w:rPr>
      </w:pPr>
    </w:p>
    <w:p>
      <w:pPr>
        <w:ind w:left="460" w:right="340" w:hanging="452"/>
        <w:spacing w:after="0" w:line="270" w:lineRule="auto"/>
        <w:tabs>
          <w:tab w:leader="none" w:pos="46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The NPA activity shown for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write them down to the expected proceeds from the sale.</w:t>
      </w:r>
    </w:p>
    <w:p>
      <w:pPr>
        <w:spacing w:after="0" w:line="13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2012, 2011 and 2010, United transferred $34.0 million, $65.7 million and $238 million, respectively, of loans into foreclosed property. During 2012 and 2011, proceeds from sales of foreclosed properties were $40.8 million and $108 million, respectively, which includes $9.40 million and $21.1 million, respectively, of sales that were financed by United. During the first quarter of 2011, United recorded $48.6 million in write-downs on foreclosed properties in order to expedite sales in the following quarters as part of its Problem Asset Disposition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December 31, 2012 decreased $41.5 million from a year ago.</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December 31, 2012 and December 31, 2011, United had securities held to maturity with a carrying value of $244 million and $330 million, respectively, and securities available for sale totaling $1.83 billion and $1.79 billion, respectively. At December 31, 2012 and 2011, the securities portfolio represented approximately 31% and 30% of total assets, respectively. At December 31, 2012, the effective duration of the investment portfolio based on expected maturities was 2.46 years compared with 1.95 years at December 31,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value of United’s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16—Carrying Value of Investment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2012</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Available for Sale</w:t>
            </w:r>
          </w:p>
        </w:tc>
        <w:tc>
          <w:tcPr>
            <w:tcW w:w="6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Held to Maturity</w:t>
            </w:r>
          </w:p>
        </w:tc>
        <w:tc>
          <w:tcPr>
            <w:tcW w:w="6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Total Securities</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 and political subdivisions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1,428,502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192,404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1,620,906</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163,662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163,662</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210,556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210,556</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color w:val="auto"/>
              </w:rPr>
              <w:t>Total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1,834,593</w:t>
            </w:r>
          </w:p>
        </w:tc>
        <w:tc>
          <w:tcPr>
            <w:tcW w:w="20" w:type="dxa"/>
            <w:vAlign w:val="bottom"/>
          </w:tcPr>
          <w:p>
            <w:pPr>
              <w:spacing w:after="0"/>
              <w:rPr>
                <w:sz w:val="19"/>
                <w:szCs w:val="19"/>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244,184</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2,078,777</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2011</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Available for Sale</w:t>
            </w:r>
          </w:p>
        </w:tc>
        <w:tc>
          <w:tcPr>
            <w:tcW w:w="6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Held to Maturity</w:t>
            </w:r>
          </w:p>
        </w:tc>
        <w:tc>
          <w:tcPr>
            <w:tcW w:w="6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Total Securities</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Government agencies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26,339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51,903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78,242</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1,609,909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1,883,209</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107,678</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color w:val="auto"/>
              </w:rPr>
              <w:t>Total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1,790,047</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330,203</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2,120,250</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2012, United had 78% of its total investment securities portfolio in mortgage backed securities, compared with 89% at December 31, 2011. Due to a lack of loan demand, United continued to purchase mortgage-backed securities in order to obtain a favorable yield with low risk. United did not have securities of any issuer in excess of 10% of equity at year-end 2012 or 2011, excluding U.S. Government issues. Approximately 2% of the securities portfolio is rated below “A” or unrated and 79% is rated “Aaa”. See Note 6 to the consolidated financial statements for further discussion of investment portfolio and related fair value and maturity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 United did not report any goodwill at December 31, 2012 or 2011.</w:t>
      </w:r>
    </w:p>
    <w:p>
      <w:pPr>
        <w:spacing w:after="0" w:line="13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Total average deposits for 2012 were $5.89 billion, a decrease of $390 million, or 6%, from 2011. Average non-interest bearing demand deposit accounts increased $227 million, or 25%, due to the success of core deposit programs. United pursues customer transaction deposits by emphasizing its high customer satisfaction scores. Also impacted by the programs were NOW, money market and savings accounts of $2.65 billion on average for 2012, which increased $113 million, or 4%, from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December 31, 2012, total deposits were $5.95 billion compared with $6.10 billion at the end of 2011, a decrease of $146 million, or 2%. Average time deposits for 2012, including brokered time deposits, were $2.09 billion, down from $2.82 billion in 2011. United continued to offer low rates on certificates of deposit, allowing the balances to decline as United’s funding needs declined due to weak loan demand and a shift to lower cost transaction account deposits.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scheduled maturities of time deposits of $100,000 and greater and brokered time deposits.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17—Maturities of Time Deposits of $100,000 and Greater and Brokered Time Deposits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$100,000 and greater: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Three months or less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141,911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180,847</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Three to six months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121,059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142,720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Six to twelve months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251,620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276,741</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Over one year</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190,968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246,844</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705,558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847,152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Three months or less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59,594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Three to six months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Six to twelve months</w:t>
            </w:r>
          </w:p>
        </w:tc>
        <w:tc>
          <w:tcPr>
            <w:tcW w:w="8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64,071</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Over one year</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154,641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154,889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178,647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Bank is a shareholder in the Federal Home Loan Bank (“FHLB”) of Atlanta. Through this affiliation, FHLB secured advances totaling $40.1 million and $40.6 million at December 31, 2012 and 2011, respectively. United anticipates continued use of this short and long-term source of funds. FHLB advances outstanding at December 31, 2012 had fixed interest rates of .19% or less. During 2012 and 2011, United prepaid $25 million and $14.5 million, respectively, of fixed-rate advances and incurred prepayment charges of $2.20 million and $791,000, respectively. United will prepay advances from time to time as funding needs change. Additional information regarding FHLB advances, including scheduled maturities, is provided in Note 12 to the consolidated financial statements.</w:t>
      </w:r>
    </w:p>
    <w:p>
      <w:pPr>
        <w:spacing w:after="0" w:line="1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December 31, 2012 and 2011, United had $52.6 million and $103 million in repurchase agreements and other short-term borrowings outstanding. During the second quarter of 2012, United prepaid $50 million in structured repurchase agreements and incurred prepayment charges of $4.48 million. United takes advantage of these additional sources of liquidity when rates are favorable compared to other forms of short-term borrowings, such as FHLB advances and brokered deposits.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of a bank to convert assets into cash or cash equivalents without significant loss and the ability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are limited by applicable law and the Bank MOU. United currently has internal capital resources to meet these obligations and based on the Bank’s 2012 earnings, the Bank is qualified to pay a dividend of up to $24 million to United subject to regulatory approval.</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At December 31, 2012, we had $161 million in such funds. Also, mortgage loans held for sale totaled $28.8 million at December 31, 2012, and typically turn over every 45 days as closed loans are sold to investors in the secondary market.</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liability section of the balance sheet provides liquidity primarily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are used as necessary to fund asset growth and meet other short-term liquidity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United’s short-term borrowings over the last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18—Short-Term 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84"/>
              </w:rPr>
              <w:t>Average</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5"/>
              </w:rPr>
              <w:t>Period end</w:t>
            </w: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2"/>
              </w:rPr>
              <w:t>Maximum</w:t>
            </w: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81"/>
              </w:rPr>
              <w:t>amounts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weighted-</w:t>
            </w: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88"/>
              </w:rPr>
              <w:t>outstanding</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outstanding</w:t>
            </w:r>
          </w:p>
        </w:tc>
        <w:tc>
          <w:tcPr>
            <w:tcW w:w="46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Period-end</w:t>
            </w:r>
          </w:p>
        </w:tc>
        <w:tc>
          <w:tcPr>
            <w:tcW w:w="4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2"/>
              </w:rPr>
              <w:t>average</w:t>
            </w: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at any</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during the</w:t>
            </w:r>
          </w:p>
        </w:tc>
        <w:tc>
          <w:tcPr>
            <w:tcW w:w="4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average rate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54"/>
              <w:spacing w:after="0" w:line="159" w:lineRule="exact"/>
              <w:rPr>
                <w:sz w:val="20"/>
                <w:szCs w:val="20"/>
                <w:color w:val="auto"/>
              </w:rPr>
            </w:pPr>
            <w:r>
              <w:rPr>
                <w:rFonts w:ascii="Arial" w:cs="Arial" w:eastAsia="Arial" w:hAnsi="Arial"/>
                <w:sz w:val="14"/>
                <w:szCs w:val="14"/>
                <w:color w:val="auto"/>
                <w:w w:val="85"/>
              </w:rPr>
              <w:t>balance</w:t>
            </w:r>
          </w:p>
        </w:tc>
        <w:tc>
          <w:tcPr>
            <w:tcW w:w="460" w:type="dxa"/>
            <w:vAlign w:val="bottom"/>
          </w:tcPr>
          <w:p>
            <w:pPr>
              <w:spacing w:after="0"/>
              <w:rPr>
                <w:sz w:val="13"/>
                <w:szCs w:val="13"/>
                <w:color w:val="auto"/>
              </w:rPr>
            </w:pPr>
          </w:p>
        </w:tc>
        <w:tc>
          <w:tcPr>
            <w:tcW w:w="11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w w:val="83"/>
              </w:rPr>
              <w:t>interest rate</w:t>
            </w:r>
          </w:p>
        </w:tc>
        <w:tc>
          <w:tcPr>
            <w:tcW w:w="1140" w:type="dxa"/>
            <w:vAlign w:val="bottom"/>
            <w:gridSpan w:val="3"/>
          </w:tcPr>
          <w:p>
            <w:pPr>
              <w:jc w:val="center"/>
              <w:ind w:right="440"/>
              <w:spacing w:after="0" w:line="159" w:lineRule="exact"/>
              <w:rPr>
                <w:sz w:val="20"/>
                <w:szCs w:val="20"/>
                <w:color w:val="auto"/>
              </w:rPr>
            </w:pPr>
            <w:r>
              <w:rPr>
                <w:rFonts w:ascii="Arial" w:cs="Arial" w:eastAsia="Arial" w:hAnsi="Arial"/>
                <w:sz w:val="14"/>
                <w:szCs w:val="14"/>
                <w:color w:val="auto"/>
                <w:w w:val="86"/>
              </w:rPr>
              <w:t>month-end</w:t>
            </w:r>
          </w:p>
        </w:tc>
        <w:tc>
          <w:tcPr>
            <w:tcW w:w="100" w:type="dxa"/>
            <w:vAlign w:val="bottom"/>
          </w:tcPr>
          <w:p>
            <w:pPr>
              <w:spacing w:after="0"/>
              <w:rPr>
                <w:sz w:val="13"/>
                <w:szCs w:val="13"/>
                <w:color w:val="auto"/>
              </w:rPr>
            </w:pPr>
          </w:p>
        </w:tc>
        <w:tc>
          <w:tcPr>
            <w:tcW w:w="580" w:type="dxa"/>
            <w:vAlign w:val="bottom"/>
          </w:tcPr>
          <w:p>
            <w:pPr>
              <w:jc w:val="center"/>
              <w:ind w:right="17"/>
              <w:spacing w:after="0" w:line="159" w:lineRule="exact"/>
              <w:rPr>
                <w:sz w:val="20"/>
                <w:szCs w:val="20"/>
                <w:color w:val="auto"/>
              </w:rPr>
            </w:pPr>
            <w:r>
              <w:rPr>
                <w:rFonts w:ascii="Arial" w:cs="Arial" w:eastAsia="Arial" w:hAnsi="Arial"/>
                <w:sz w:val="14"/>
                <w:szCs w:val="14"/>
                <w:color w:val="auto"/>
                <w:w w:val="87"/>
              </w:rPr>
              <w:t>year</w:t>
            </w:r>
          </w:p>
        </w:tc>
        <w:tc>
          <w:tcPr>
            <w:tcW w:w="460" w:type="dxa"/>
            <w:vAlign w:val="bottom"/>
          </w:tcPr>
          <w:p>
            <w:pPr>
              <w:spacing w:after="0"/>
              <w:rPr>
                <w:sz w:val="13"/>
                <w:szCs w:val="13"/>
                <w:color w:val="auto"/>
              </w:rPr>
            </w:pPr>
          </w:p>
        </w:tc>
        <w:tc>
          <w:tcPr>
            <w:tcW w:w="8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for the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103,551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75,593</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52,574</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80,593</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103,666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102,590</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102,577</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102,727</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101,067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104,127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102,990</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101,067</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103,479</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December 31, 2012, United had sufficient qualifying collateral to increase FHLB advances by $1.12 billion and Federal Reserve discount window capacity of $563 million. United also has the ability to raise substantial funds through brokered deposits. In addition to these wholesale sources, United has the ability to attract retail deposits at any time by competing more aggressively on pricing.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19—Contractual Obligations and Other Commitments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Maturity By Years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color w:val="auto"/>
                <w:w w:val="93"/>
              </w:rPr>
              <w:t>1 or Less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1 to 3</w:t>
            </w:r>
          </w:p>
        </w:tc>
        <w:tc>
          <w:tcPr>
            <w:tcW w:w="8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color w:val="auto"/>
                <w:w w:val="96"/>
              </w:rPr>
              <w:t>3 to 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color w:val="auto"/>
                <w:w w:val="99"/>
              </w:rPr>
              <w:t>Over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Contractual Cash Obligations</w:t>
            </w: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FHLB advances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40,125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124,805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contractual cash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171,646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42,591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Other Commitments</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Lines of credit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313,798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58,304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Commercial letters of credit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12,663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Uncertain tax positions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880"/>
              <w:spacing w:after="0"/>
              <w:rPr>
                <w:sz w:val="20"/>
                <w:szCs w:val="20"/>
                <w:color w:val="auto"/>
              </w:rPr>
            </w:pPr>
            <w:r>
              <w:rPr>
                <w:rFonts w:ascii="Arial" w:cs="Arial" w:eastAsia="Arial" w:hAnsi="Arial"/>
                <w:sz w:val="18"/>
                <w:szCs w:val="18"/>
                <w:color w:val="auto"/>
              </w:rPr>
              <w:t>Total other commitments</w:t>
            </w:r>
          </w:p>
        </w:tc>
        <w:tc>
          <w:tcPr>
            <w:tcW w:w="2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332,609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13,628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60,543</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44,056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80" w:type="dxa"/>
            <w:vAlign w:val="bottom"/>
            <w:vMerge w:val="restart"/>
          </w:tcPr>
          <w:p>
            <w:pPr>
              <w:jc w:val="right"/>
              <w:ind w:right="103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$183 million for the year ended December 31, 2012. Net income of $33.9 million for the year included non-cash expenses for provision for loan losses of $62.5 million, and losses and write downs on foreclosed property of $8.88 million. Other assets decreased $44.7 million primarily due to the receipt of a prior year tax refund resulting from a loss carryback claim and the reduction of the prepaid FDIC insurance assessment. Net cash used in investing activities of $102 million consisted primarily of $1.17 billion of purchases of securities, an increase in loans of $160 million, and purchases of premises and equipment of $4.12 million, that were offset by proceeds from sales of securities of $469 million, maturities and calls of investment securities of $713 million, and net proceeds from sales of other real estate of $31.4 million. Funds collected from the FDIC under loss sharing agreements were $14.3 million, providing another source of cash flows from investing activities. The $208 million of net cash used in financing activities consisted primarily of a net decrease in deposits of $146 million and a decrease in federal funds purchased and repurchase agreements of $54.5 million. United also repaid $30.5 million in long-term debt which was offset by the issuance of $35.0 million in senior notes. In the opinion of management, United’s liquidity position at December 31, 2012 was sufficient to meet its expected cash flow requirements.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20—Expected Maturity of Available for Sale and Held to Maturity Investment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w w:val="99"/>
              </w:rPr>
              <w:t>Maturity By Years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040" w:type="dxa"/>
            <w:vAlign w:val="bottom"/>
            <w:gridSpan w:val="3"/>
          </w:tcPr>
          <w:p>
            <w:pPr>
              <w:jc w:val="right"/>
              <w:ind w:right="500"/>
              <w:spacing w:after="0" w:line="142" w:lineRule="exact"/>
              <w:rPr>
                <w:sz w:val="20"/>
                <w:szCs w:val="20"/>
                <w:color w:val="auto"/>
              </w:rPr>
            </w:pPr>
            <w:r>
              <w:rPr>
                <w:rFonts w:ascii="Arial" w:cs="Arial" w:eastAsia="Arial" w:hAnsi="Arial"/>
                <w:sz w:val="14"/>
                <w:szCs w:val="14"/>
                <w:color w:val="auto"/>
                <w:w w:val="90"/>
              </w:rPr>
              <w:t>1 or Less</w:t>
            </w:r>
          </w:p>
        </w:tc>
        <w:tc>
          <w:tcPr>
            <w:tcW w:w="100" w:type="dxa"/>
            <w:vAlign w:val="bottom"/>
          </w:tcPr>
          <w:p>
            <w:pPr>
              <w:spacing w:after="0"/>
              <w:rPr>
                <w:sz w:val="12"/>
                <w:szCs w:val="12"/>
                <w:color w:val="auto"/>
              </w:rPr>
            </w:pPr>
          </w:p>
        </w:tc>
        <w:tc>
          <w:tcPr>
            <w:tcW w:w="9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1 to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w w:val="93"/>
              </w:rPr>
              <w:t>5 to 10</w:t>
            </w: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88"/>
              </w:rPr>
              <w:t>Over 10</w:t>
            </w: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15,962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6,823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115,504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50,071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140,724</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securities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82,630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327,186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1,431,323</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securities available for sale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29,768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1,101,209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345,681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357,935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1,834,593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51,780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Other securities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171,952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14,747</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192,404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securities available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181,036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40,801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244,184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11"/>
                <w:szCs w:val="11"/>
                <w:color w:val="auto"/>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Portfolio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25,046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32,877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80,832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115,504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50,071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140,724</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securities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1,169,025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97,377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332,891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1,623,727</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securities available for sale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29,768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1,282,245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386,482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380,282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2,078,777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Includes mortgage-backed securities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Based on amortized cost, taxable equivalent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for additional information on off-balance sheet arrangements.</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December 31, 2012 and 2011, United had $265 million and $60 million, respectively, in offsetting repurchase agreements / reverse repurchase agreements that were netted in the consolidated balance sheet. In addition, at December 31, 2012, United had $50 million in offsetting securities lending agreements that were netted in the consolidated balance sheet. United enters into these collateral swap arrangements from time to time as a source of additional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9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Shareholders’ equity at December 31, 2012 was $581 million, an increase of $5.92 million from December 31, 2011. Accumulated other comprehensive income, which includes unrealized gains and losses on securities available for 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increased $26.3 million, or 5%, from December 31, 2011.</w:t>
      </w:r>
    </w:p>
    <w:p>
      <w:pPr>
        <w:spacing w:after="0" w:line="9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United accrued $12.1 million in dividends, including accretion of discounts, on Series A, Series B and Series D preferred stock in 2012. United accrued $11.8 million in dividends, including discount accretion, on Series A and Series B preferred stock, for the year ended December 31, 2011.</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United granted a warrant to Fletcher to purchase common stock equivalent junior preferred stock that could be convertible into 1,411,765 common shares exercisable at a price equivalent to $21.25 per share. United has received purported partial warrant exercise notices from Fletcher with respect to its warrants that included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has responded to Fletcher with United’s calculations related to the warrant.</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November 2011, United entered into an informal memorandum of understanding with the Federal Reserve Bank of Atlanta and the Georgia Department of Banking and Finance that superseded the board resolution previously requested by the Federal Reserve. The Holding Company MOU provides, similar to the superseded resolution, that United may not incur additional indebtedness, pay cash dividends, make payments on our trust preferred securities or subordinated indebtedness or repurchase outstanding stock without prior approval of the Federal Reserve and DBF. Additionally, the Holding Company MOU requires, among other things, that United ensures that the Bank functions in a safe and sound manner. United believes it is in compliance with all requirements of the Holding Company MOU.</w:t>
      </w:r>
    </w:p>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Bank is currently subject to an informal memorandum of understanding with the Federal Deposit Insurance Corporation and the Georgia Department of Banking and Finance. The Bank MOU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 of Governors of 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Tier 1 Capital consists of shareholders’ equity, excluding accumulated other comprehensive income, intangible assets (goodwill and deposit-based intangibles), and disallowed deferred tax assets, plus qualifying capital securities. United’s Tier 1 capital totaled $653 million at December 31, 2012. Tier 2 capital components include supplemental capital such as the qualifying portion of the allowance for loan losses and qualifying subordinated debt. Tier 1 capital plus Tier 2 capital is referred to as Total risk-based capital and was $725 million at December 31, 2012. The ratios, as calculated under the guidelines, were 14.16% and 15.73% for Tier 1 and Total risk-based capital, respectively, at December 31, 2012.</w:t>
      </w:r>
    </w:p>
    <w:p>
      <w:pPr>
        <w:spacing w:after="0" w:line="1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Board requires a bank holding company to maintain a leverage ratio of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December 5, 2008, United participated in Treasury’s CPP by selling 180,000 shares of Series B Preferred Stock and a Warrant to purchase 426,540 shares (219,909 shares, as adjusted for subsequent stock dividends and a 50% reduction following United’s 2009 stock offering) of United’s common stock to Treasury. The proceeds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discount recorded on the Series B Preferred Stock that resulted from allocating a portion of the proceeds to the Warrant is being accreted directly to retained earnings over a five-year period applying a level yield. The exercise price of the Warrant is $63.30 per share ($61.40 per share, as adjusted for subsequent stock dividends) and is exercisable at any time on or before December 5, 2018.</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Series B Preferred Stock qualifies as Tier 1 capital under risk-based capital guidelines and will pay cumulative dividends at a rate of 5% per annum for the first five years and 9% per annum thereafter. The Series B Preferred Stock may be redeemed after December 5, 2011 at the stated amount of $1,000 per share plus any accrued and unpaid dividends. The Series B Preferred Stock is non-voting except for class voting rights on matters that would adversely affect the rights of the holders of the Series B Preferred Stock.</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United has outstanding junior subordinated debentures related to trust preferred securities totaling $54.8 million at December 31, 2012. The related trust preferred securities of $53.2 million (excluding common securities) qualify as Tier 1 capital under risk-based capital guidelines provided that total trust preferred securities do not exceed certain quantitative limits. At December 31, 2012, all of United’s trust preferred securities qualified as Tier 1 capital. Further information on United’s trust preferred securities is provided in Note 14 to the consolidated financial statements.</w:t>
      </w:r>
    </w:p>
    <w:p>
      <w:pPr>
        <w:spacing w:after="0" w:line="11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United has subordinated debentures outstanding that qualify as Tier 2 capital under the risk-based capital guidelines. The securities begin to lose their Tier 2 capital treatment as they approach maturity, losing 20% per year in each of the five years leading up to maturity. Of the $35.0 million in subordinated debt that United had outstanding at December 31, 2012, $14.0 million qualified as Tier 2 capital under risk based capital guidelines.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capital ratios, as calculated under regulatory guidelines, at December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21—Capital Ratios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Regulatory</w:t>
            </w: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United Community Banks, Inc.</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760" w:type="dxa"/>
            <w:vAlign w:val="bottom"/>
          </w:tcPr>
          <w:p>
            <w:pPr>
              <w:spacing w:after="0"/>
              <w:rPr>
                <w:sz w:val="14"/>
                <w:szCs w:val="14"/>
                <w:color w:val="auto"/>
              </w:rPr>
            </w:pPr>
          </w:p>
        </w:tc>
        <w:tc>
          <w:tcPr>
            <w:tcW w:w="21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Guidelines</w:t>
            </w:r>
          </w:p>
        </w:tc>
        <w:tc>
          <w:tcPr>
            <w:tcW w:w="144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85"/>
              </w:rPr>
              <w:t>(Consolidated)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United Community Bank</w:t>
            </w:r>
          </w:p>
        </w:tc>
      </w:tr>
      <w:tr>
        <w:trPr>
          <w:trHeight w:val="129"/>
        </w:trPr>
        <w:tc>
          <w:tcPr>
            <w:tcW w:w="47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Well</w:t>
            </w:r>
          </w:p>
        </w:tc>
        <w:tc>
          <w:tcPr>
            <w:tcW w:w="460" w:type="dxa"/>
            <w:vAlign w:val="bottom"/>
          </w:tcPr>
          <w:p>
            <w:pPr>
              <w:spacing w:after="0"/>
              <w:rPr>
                <w:sz w:val="11"/>
                <w:szCs w:val="11"/>
                <w:color w:val="auto"/>
              </w:rPr>
            </w:pPr>
          </w:p>
        </w:tc>
        <w:tc>
          <w:tcPr>
            <w:tcW w:w="20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As of December 31,</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Borders>
              <w:top w:val="single" w:sz="8" w:color="auto"/>
            </w:tcBorders>
            <w:gridSpan w:val="3"/>
          </w:tcPr>
          <w:p>
            <w:pPr>
              <w:jc w:val="right"/>
              <w:ind w:right="256"/>
              <w:spacing w:after="0" w:line="129" w:lineRule="exact"/>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1"/>
                <w:szCs w:val="11"/>
                <w:color w:val="auto"/>
              </w:rPr>
            </w:pPr>
          </w:p>
        </w:tc>
      </w:tr>
      <w:tr>
        <w:trPr>
          <w:trHeight w:val="161"/>
        </w:trPr>
        <w:tc>
          <w:tcPr>
            <w:tcW w:w="47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Minimum</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Capitalized</w:t>
            </w: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Risk-based ratios:</w:t>
            </w: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Tier 1 capital</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14.16%</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13.69%</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14.48%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13.60%</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15.41</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15.74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Leverage ratio</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3.0</w:t>
            </w:r>
          </w:p>
        </w:tc>
        <w:tc>
          <w:tcPr>
            <w:tcW w:w="4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760" w:type="dxa"/>
            <w:vAlign w:val="bottom"/>
          </w:tcPr>
          <w:p>
            <w:pPr>
              <w:jc w:val="right"/>
              <w:spacing w:after="0"/>
              <w:rPr>
                <w:sz w:val="20"/>
                <w:szCs w:val="20"/>
                <w:color w:val="auto"/>
              </w:rPr>
            </w:pPr>
            <w:r>
              <w:rPr>
                <w:rFonts w:ascii="Arial" w:cs="Arial" w:eastAsia="Arial" w:hAnsi="Arial"/>
                <w:sz w:val="18"/>
                <w:szCs w:val="18"/>
                <w:color w:val="auto"/>
              </w:rPr>
              <w:t>9.64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9.86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Tier 1 capital</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$ 652,692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618,695</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$666,585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$614,532</w:t>
            </w:r>
          </w:p>
        </w:tc>
      </w:tr>
      <w:tr>
        <w:trPr>
          <w:trHeight w:val="222"/>
        </w:trPr>
        <w:tc>
          <w:tcPr>
            <w:tcW w:w="4760" w:type="dxa"/>
            <w:vAlign w:val="bottom"/>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724,915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696,881</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724,738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671,718</w:t>
            </w:r>
          </w:p>
        </w:tc>
      </w:tr>
    </w:tbl>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Bank MOU requires the Bank to maintain a leverage ratio of at least 8% and a total risk-based capital ratio of at least 10% while the Bank MOU remains in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9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43"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policy scenarios focus on a twelve month time frame, longer time horizons are also modeled. All policy scenarios assume a static balance sheet.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December 31, 2012 and 2011 made use of the down scenarios problematic. The following table presents United’s interest sensitivity position at December 31, 2012 and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22—Interest Sensitivity</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Increase (Decrease) in Net Interest Revenue from Base Scenario at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4"/>
                <w:szCs w:val="14"/>
                <w:b w:val="1"/>
                <w:bCs w:val="1"/>
                <w:color w:val="auto"/>
                <w:w w:val="85"/>
              </w:rPr>
              <w:t>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1"/>
              </w:rPr>
              <w:t>Change in Rates</w:t>
            </w:r>
          </w:p>
        </w:tc>
        <w:tc>
          <w:tcPr>
            <w:tcW w:w="372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06"/>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tcBorders>
              <w:bottom w:val="single" w:sz="8" w:color="auto"/>
            </w:tcBorders>
            <w:vMerge w:val="continue"/>
          </w:tcPr>
          <w:p>
            <w:pPr>
              <w:spacing w:after="0"/>
              <w:rPr>
                <w:sz w:val="11"/>
                <w:szCs w:val="11"/>
                <w:color w:val="auto"/>
              </w:rPr>
            </w:pPr>
          </w:p>
        </w:tc>
        <w:tc>
          <w:tcPr>
            <w:tcW w:w="3720" w:type="dxa"/>
            <w:vAlign w:val="bottom"/>
            <w:vMerge w:val="continue"/>
          </w:tcPr>
          <w:p>
            <w:pPr>
              <w:spacing w:after="0"/>
              <w:rPr>
                <w:sz w:val="11"/>
                <w:szCs w:val="11"/>
                <w:color w:val="auto"/>
              </w:rPr>
            </w:pPr>
          </w:p>
        </w:tc>
        <w:tc>
          <w:tcPr>
            <w:tcW w:w="8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Shock</w:t>
            </w:r>
          </w:p>
        </w:tc>
        <w:tc>
          <w:tcPr>
            <w:tcW w:w="8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Ramp</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Borders>
              <w:top w:val="single" w:sz="8" w:color="auto"/>
            </w:tcBorders>
            <w:gridSpan w:val="2"/>
          </w:tcPr>
          <w:p>
            <w:pPr>
              <w:jc w:val="right"/>
              <w:ind w:right="1160"/>
              <w:spacing w:after="0" w:line="129" w:lineRule="exact"/>
              <w:rPr>
                <w:sz w:val="20"/>
                <w:szCs w:val="20"/>
                <w:color w:val="auto"/>
              </w:rPr>
            </w:pPr>
            <w:r>
              <w:rPr>
                <w:rFonts w:ascii="Arial" w:cs="Arial" w:eastAsia="Arial" w:hAnsi="Arial"/>
                <w:sz w:val="14"/>
                <w:szCs w:val="14"/>
                <w:b w:val="1"/>
                <w:bCs w:val="1"/>
                <w:color w:val="auto"/>
              </w:rPr>
              <w:t>Shock</w:t>
            </w:r>
          </w:p>
        </w:tc>
        <w:tc>
          <w:tcPr>
            <w:tcW w:w="66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Ramp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vMerge w:val="continue"/>
            <w:shd w:val="clear" w:color="auto" w:fill="CCEEFF"/>
          </w:tcPr>
          <w:p>
            <w:pPr>
              <w:spacing w:after="0"/>
              <w:rPr>
                <w:sz w:val="17"/>
                <w:szCs w:val="17"/>
                <w:color w:val="auto"/>
              </w:rPr>
            </w:pPr>
          </w:p>
        </w:tc>
        <w:tc>
          <w:tcPr>
            <w:tcW w:w="80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w w:val="97"/>
              </w:rPr>
              <w:t>6.7%</w:t>
            </w:r>
          </w:p>
        </w:tc>
        <w:tc>
          <w:tcPr>
            <w:tcW w:w="8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w w:val="87"/>
              </w:rPr>
              <w:t>3.6%</w:t>
            </w:r>
          </w:p>
        </w:tc>
        <w:tc>
          <w:tcPr>
            <w:tcW w:w="86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880"/>
              <w:spacing w:after="0" w:line="203" w:lineRule="exact"/>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25 basis point decrease</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14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outstanding derivative positions at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23—Derivative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Hedge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Trade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Effective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(N)</w:t>
            </w:r>
          </w:p>
        </w:tc>
      </w:t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Type of Instrument</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Designation</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Hedged Item</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Notional</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Date</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Pay Rate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Receive Rate</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Asset</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r>
      <w:tr>
        <w:trPr>
          <w:trHeight w:val="136"/>
        </w:trPr>
        <w:tc>
          <w:tcPr>
            <w:tcW w:w="20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97"/>
              </w:rPr>
              <w:t>Receive Fixed Cancellable Swap</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Fair Value</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Brokered CD</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15,000</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10/12/11</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4"/>
                <w:szCs w:val="14"/>
                <w:color w:val="auto"/>
                <w:w w:val="80"/>
              </w:rPr>
              <w:t>11/10/11</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4"/>
                <w:szCs w:val="14"/>
                <w:color w:val="auto"/>
                <w:w w:val="80"/>
              </w:rPr>
              <w:t>11/10/31</w:t>
            </w:r>
          </w:p>
        </w:tc>
        <w:tc>
          <w:tcPr>
            <w:tcW w:w="180" w:type="dxa"/>
            <w:vAlign w:val="bottom"/>
            <w:tcBorders>
              <w:top w:val="single" w:sz="8" w:color="CCEEFF"/>
            </w:tcBorders>
            <w:shd w:val="clear" w:color="auto" w:fill="CCEEFF"/>
          </w:tcPr>
          <w:p>
            <w:pPr>
              <w:spacing w:after="0"/>
              <w:rPr>
                <w:sz w:val="11"/>
                <w:szCs w:val="11"/>
                <w:color w:val="auto"/>
              </w:rPr>
            </w:pPr>
          </w:p>
        </w:tc>
        <w:tc>
          <w:tcPr>
            <w:tcW w:w="21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0"/>
              </w:rPr>
              <w:t>3 mo. LIBOR—60 bps</w:t>
            </w: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369</w:t>
            </w: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17,000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02/14/12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02/27/12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08/27/27</w:t>
            </w: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3 mo. LIBOR—45 bps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color w:val="auto"/>
                <w:w w:val="95"/>
              </w:rPr>
              <w:t>(B)</w:t>
            </w:r>
          </w:p>
        </w:tc>
        <w:tc>
          <w:tcPr>
            <w:tcW w:w="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15,500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03/05/12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03/23/12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09/23/27</w:t>
            </w:r>
          </w:p>
        </w:tc>
        <w:tc>
          <w:tcPr>
            <w:tcW w:w="2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3 mo. LIBOR—45 bps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(C)</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12,500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05/16/12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06/08/12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06/08/32</w:t>
            </w: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3 mo. LIBOR—43 bps</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2"/>
                <w:szCs w:val="12"/>
                <w:color w:val="auto"/>
              </w:rPr>
            </w:pPr>
          </w:p>
        </w:tc>
        <w:tc>
          <w:tcPr>
            <w:tcW w:w="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2"/>
                <w:szCs w:val="12"/>
                <w:color w:val="auto"/>
              </w:rPr>
            </w:pP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13,000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06/12/12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06/28/12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06/28/32</w:t>
            </w:r>
          </w:p>
        </w:tc>
        <w:tc>
          <w:tcPr>
            <w:tcW w:w="22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3 mo. LIBOR—38.5 bps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5"/>
              </w:rPr>
              <w:t>(E)</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2"/>
                <w:szCs w:val="12"/>
                <w:color w:val="auto"/>
              </w:rPr>
            </w:pP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12,500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07/03/12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07/27/12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07/27/32</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3 mo. LIBOR—38.5 bps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color w:val="auto"/>
                <w:w w:val="99"/>
              </w:rPr>
              <w:t>(F)</w:t>
            </w:r>
          </w:p>
        </w:tc>
        <w:tc>
          <w:tcPr>
            <w:tcW w:w="80" w:type="dxa"/>
            <w:vAlign w:val="bottom"/>
          </w:tcPr>
          <w:p>
            <w:pPr>
              <w:spacing w:after="0"/>
              <w:rPr>
                <w:sz w:val="12"/>
                <w:szCs w:val="12"/>
                <w:color w:val="auto"/>
              </w:rPr>
            </w:pPr>
          </w:p>
        </w:tc>
        <w:tc>
          <w:tcPr>
            <w:tcW w:w="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60" w:type="dxa"/>
            <w:vAlign w:val="bottom"/>
          </w:tcPr>
          <w:p>
            <w:pPr>
              <w:spacing w:after="0"/>
              <w:rPr>
                <w:sz w:val="12"/>
                <w:szCs w:val="12"/>
                <w:color w:val="auto"/>
              </w:rPr>
            </w:pP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12,000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08/01/12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08/23/12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08/23/32</w:t>
            </w:r>
          </w:p>
        </w:tc>
        <w:tc>
          <w:tcPr>
            <w:tcW w:w="2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3 mo. LIBOR—38.25 bps</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rPr>
              <w:t>(G)</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60" w:type="dxa"/>
            <w:vAlign w:val="bottom"/>
            <w:shd w:val="clear" w:color="auto" w:fill="CCEEFF"/>
          </w:tcPr>
          <w:p>
            <w:pPr>
              <w:spacing w:after="0"/>
              <w:rPr>
                <w:sz w:val="12"/>
                <w:szCs w:val="12"/>
                <w:color w:val="auto"/>
              </w:rPr>
            </w:pP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10,000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08/29/12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09/24/12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09/24/12</w:t>
            </w: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3 mo. LIBOR—38 bps</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color w:val="auto"/>
              </w:rPr>
              <w:t>(H)</w:t>
            </w:r>
          </w:p>
        </w:tc>
        <w:tc>
          <w:tcPr>
            <w:tcW w:w="80" w:type="dxa"/>
            <w:vAlign w:val="bottom"/>
          </w:tcPr>
          <w:p>
            <w:pPr>
              <w:spacing w:after="0"/>
              <w:rPr>
                <w:sz w:val="12"/>
                <w:szCs w:val="12"/>
                <w:color w:val="auto"/>
              </w:rPr>
            </w:pPr>
          </w:p>
        </w:tc>
        <w:tc>
          <w:tcPr>
            <w:tcW w:w="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2"/>
                <w:szCs w:val="12"/>
                <w:color w:val="auto"/>
              </w:rPr>
            </w:pP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12,000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10/05/12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10/19/12</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11/19/32</w:t>
            </w:r>
          </w:p>
        </w:tc>
        <w:tc>
          <w:tcPr>
            <w:tcW w:w="2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3 mo. LIBOR—38 bps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5"/>
              </w:rPr>
              <w:t>(I)</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60" w:type="dxa"/>
            <w:vAlign w:val="bottom"/>
            <w:shd w:val="clear" w:color="auto" w:fill="CCEEFF"/>
          </w:tcPr>
          <w:p>
            <w:pPr>
              <w:spacing w:after="0"/>
              <w:rPr>
                <w:sz w:val="12"/>
                <w:szCs w:val="12"/>
                <w:color w:val="auto"/>
              </w:rPr>
            </w:pP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12,000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10/15/12</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11/08/12</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11/08/32</w:t>
            </w: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3 mo. LIBOR—40 bps</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(J)</w:t>
            </w:r>
          </w:p>
        </w:tc>
        <w:tc>
          <w:tcPr>
            <w:tcW w:w="80" w:type="dxa"/>
            <w:vAlign w:val="bottom"/>
          </w:tcPr>
          <w:p>
            <w:pPr>
              <w:spacing w:after="0"/>
              <w:rPr>
                <w:sz w:val="12"/>
                <w:szCs w:val="12"/>
                <w:color w:val="auto"/>
              </w:rPr>
            </w:pPr>
          </w:p>
        </w:tc>
        <w:tc>
          <w:tcPr>
            <w:tcW w:w="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60" w:type="dxa"/>
            <w:vAlign w:val="bottom"/>
          </w:tcPr>
          <w:p>
            <w:pPr>
              <w:spacing w:after="0"/>
              <w:rPr>
                <w:sz w:val="12"/>
                <w:szCs w:val="12"/>
                <w:color w:val="auto"/>
              </w:rPr>
            </w:pP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12,500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11/14/12</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11/30/12</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11/30/32</w:t>
            </w:r>
          </w:p>
        </w:tc>
        <w:tc>
          <w:tcPr>
            <w:tcW w:w="2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3 mo. LIBOR—38 bps</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rPr>
              <w:t>(K)</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60" w:type="dxa"/>
            <w:vAlign w:val="bottom"/>
            <w:shd w:val="clear" w:color="auto" w:fill="CCEEFF"/>
          </w:tcPr>
          <w:p>
            <w:pPr>
              <w:spacing w:after="0"/>
              <w:rPr>
                <w:sz w:val="12"/>
                <w:szCs w:val="12"/>
                <w:color w:val="auto"/>
              </w:rPr>
            </w:pP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12,000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11/28/12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12/27/12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12/27/32</w:t>
            </w: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3 mo. LIBOR—38 bps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color w:val="auto"/>
              </w:rPr>
              <w:t>(L)</w:t>
            </w:r>
          </w:p>
        </w:tc>
        <w:tc>
          <w:tcPr>
            <w:tcW w:w="80" w:type="dxa"/>
            <w:vAlign w:val="bottom"/>
          </w:tcPr>
          <w:p>
            <w:pPr>
              <w:spacing w:after="0"/>
              <w:rPr>
                <w:sz w:val="12"/>
                <w:szCs w:val="12"/>
                <w:color w:val="auto"/>
              </w:rPr>
            </w:pPr>
          </w:p>
        </w:tc>
        <w:tc>
          <w:tcPr>
            <w:tcW w:w="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60" w:type="dxa"/>
            <w:vAlign w:val="bottom"/>
          </w:tcPr>
          <w:p>
            <w:pPr>
              <w:spacing w:after="0"/>
              <w:rPr>
                <w:sz w:val="12"/>
                <w:szCs w:val="12"/>
                <w:color w:val="auto"/>
              </w:rPr>
            </w:pPr>
          </w:p>
        </w:tc>
      </w:tr>
      <w:tr>
        <w:trPr>
          <w:trHeight w:val="149"/>
        </w:trPr>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Receive Fixed Cancellable Swap</w:t>
            </w:r>
          </w:p>
        </w:tc>
        <w:tc>
          <w:tcPr>
            <w:tcW w:w="114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Fair Value</w:t>
            </w: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Brokered CD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10,000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12/27/12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01/25/13</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12/25/28</w:t>
            </w:r>
          </w:p>
        </w:tc>
        <w:tc>
          <w:tcPr>
            <w:tcW w:w="22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3 mo. LIBOR—20.5 bps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spacing w:after="0"/>
              <w:rPr>
                <w:sz w:val="12"/>
                <w:szCs w:val="12"/>
                <w:color w:val="auto"/>
              </w:rPr>
            </w:pPr>
          </w:p>
        </w:tc>
      </w:tr>
      <w:tr>
        <w:trPr>
          <w:trHeight w:val="138"/>
        </w:trPr>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Pay Fixed Swap</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Short-Term,</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Cash Flow</w:t>
            </w:r>
          </w:p>
        </w:tc>
        <w:tc>
          <w:tcPr>
            <w:tcW w:w="112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6"/>
              </w:rPr>
              <w:t>Fixed Rate Debt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7"/>
              </w:rPr>
              <w:t>50,000</w:t>
            </w: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1"/>
              </w:rPr>
              <w:t>04/02/12</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04/07/14</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04/07/17</w:t>
            </w:r>
          </w:p>
        </w:tc>
        <w:tc>
          <w:tcPr>
            <w:tcW w:w="2160" w:type="dxa"/>
            <w:vAlign w:val="bottom"/>
          </w:tcPr>
          <w:p>
            <w:pPr>
              <w:jc w:val="center"/>
              <w:spacing w:after="0" w:line="159" w:lineRule="exact"/>
              <w:rPr>
                <w:sz w:val="20"/>
                <w:szCs w:val="20"/>
                <w:color w:val="auto"/>
              </w:rPr>
            </w:pPr>
            <w:r>
              <w:rPr>
                <w:rFonts w:ascii="Arial" w:cs="Arial" w:eastAsia="Arial" w:hAnsi="Arial"/>
                <w:sz w:val="14"/>
                <w:szCs w:val="14"/>
                <w:color w:val="auto"/>
                <w:w w:val="88"/>
              </w:rPr>
              <w:t>1.69500%</w:t>
            </w: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1"/>
              </w:rPr>
              <w:t>3 mo. LIBOR</w:t>
            </w:r>
          </w:p>
        </w:tc>
        <w:tc>
          <w:tcPr>
            <w:tcW w:w="80" w:type="dxa"/>
            <w:vAlign w:val="bottom"/>
          </w:tcPr>
          <w:p>
            <w:pPr>
              <w:spacing w:after="0"/>
              <w:rPr>
                <w:sz w:val="13"/>
                <w:szCs w:val="13"/>
                <w:color w:val="auto"/>
              </w:rPr>
            </w:pPr>
          </w:p>
        </w:tc>
        <w:tc>
          <w:tcPr>
            <w:tcW w:w="4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1,307</w:t>
            </w:r>
          </w:p>
        </w:tc>
        <w:tc>
          <w:tcPr>
            <w:tcW w:w="60" w:type="dxa"/>
            <w:vAlign w:val="bottom"/>
          </w:tcPr>
          <w:p>
            <w:pPr>
              <w:spacing w:after="0"/>
              <w:rPr>
                <w:sz w:val="13"/>
                <w:szCs w:val="13"/>
                <w:color w:val="auto"/>
              </w:rPr>
            </w:pPr>
          </w:p>
        </w:tc>
      </w:tr>
      <w:tr>
        <w:trPr>
          <w:trHeight w:val="138"/>
        </w:trPr>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Pay Fixed Swap</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Short-Term,</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1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Cash Flow</w:t>
            </w:r>
          </w:p>
        </w:tc>
        <w:tc>
          <w:tcPr>
            <w:tcW w:w="112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6"/>
              </w:rPr>
              <w:t>Fixed Rate Debt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7"/>
              </w:rPr>
              <w:t>50,000</w:t>
            </w: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1"/>
              </w:rPr>
              <w:t>04/02/12</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04/21/14</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04/21/17</w:t>
            </w:r>
          </w:p>
        </w:tc>
        <w:tc>
          <w:tcPr>
            <w:tcW w:w="2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1.72125%</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1"/>
              </w:rPr>
              <w:t>3 mo. LIBOR</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1,323</w:t>
            </w:r>
          </w:p>
        </w:tc>
        <w:tc>
          <w:tcPr>
            <w:tcW w:w="60" w:type="dxa"/>
            <w:vAlign w:val="bottom"/>
            <w:shd w:val="clear" w:color="auto" w:fill="CCEEFF"/>
          </w:tcPr>
          <w:p>
            <w:pPr>
              <w:spacing w:after="0"/>
              <w:rPr>
                <w:sz w:val="13"/>
                <w:szCs w:val="13"/>
                <w:color w:val="auto"/>
              </w:rPr>
            </w:pPr>
          </w:p>
        </w:tc>
      </w:tr>
      <w:tr>
        <w:trPr>
          <w:trHeight w:val="138"/>
        </w:trPr>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Pay Fixed Swap</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Short-Term,</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Cash Flow</w:t>
            </w:r>
          </w:p>
        </w:tc>
        <w:tc>
          <w:tcPr>
            <w:tcW w:w="112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6"/>
              </w:rPr>
              <w:t>Fixed Rate Debt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2"/>
              </w:rPr>
              <w:t>100,000</w:t>
            </w: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1"/>
              </w:rPr>
              <w:t>04/10/12</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03/03/14</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03/01/17</w:t>
            </w:r>
          </w:p>
        </w:tc>
        <w:tc>
          <w:tcPr>
            <w:tcW w:w="2160" w:type="dxa"/>
            <w:vAlign w:val="bottom"/>
          </w:tcPr>
          <w:p>
            <w:pPr>
              <w:jc w:val="center"/>
              <w:spacing w:after="0" w:line="159" w:lineRule="exact"/>
              <w:rPr>
                <w:sz w:val="20"/>
                <w:szCs w:val="20"/>
                <w:color w:val="auto"/>
              </w:rPr>
            </w:pPr>
            <w:r>
              <w:rPr>
                <w:rFonts w:ascii="Arial" w:cs="Arial" w:eastAsia="Arial" w:hAnsi="Arial"/>
                <w:sz w:val="14"/>
                <w:szCs w:val="14"/>
                <w:color w:val="auto"/>
                <w:w w:val="88"/>
              </w:rPr>
              <w:t>1.43750%</w:t>
            </w: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1"/>
              </w:rPr>
              <w:t>3 mo. LIBOR</w:t>
            </w:r>
          </w:p>
        </w:tc>
        <w:tc>
          <w:tcPr>
            <w:tcW w:w="80" w:type="dxa"/>
            <w:vAlign w:val="bottom"/>
          </w:tcPr>
          <w:p>
            <w:pPr>
              <w:spacing w:after="0"/>
              <w:rPr>
                <w:sz w:val="13"/>
                <w:szCs w:val="13"/>
                <w:color w:val="auto"/>
              </w:rPr>
            </w:pPr>
          </w:p>
        </w:tc>
        <w:tc>
          <w:tcPr>
            <w:tcW w:w="4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1,944</w:t>
            </w:r>
          </w:p>
        </w:tc>
        <w:tc>
          <w:tcPr>
            <w:tcW w:w="60" w:type="dxa"/>
            <w:vAlign w:val="bottom"/>
          </w:tcPr>
          <w:p>
            <w:pPr>
              <w:spacing w:after="0"/>
              <w:rPr>
                <w:sz w:val="13"/>
                <w:szCs w:val="13"/>
                <w:color w:val="auto"/>
              </w:rPr>
            </w:pPr>
          </w:p>
        </w:tc>
      </w:tr>
      <w:tr>
        <w:trPr>
          <w:trHeight w:val="138"/>
        </w:trPr>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Pay Fixed Swap</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Money Market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1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Cash Flow</w:t>
            </w:r>
          </w:p>
        </w:tc>
        <w:tc>
          <w:tcPr>
            <w:tcW w:w="112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5"/>
              </w:rPr>
              <w:t>Deposts</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2"/>
              </w:rPr>
              <w:t>100,000</w:t>
            </w: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1"/>
              </w:rPr>
              <w:t>05/02/12</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05/01/14</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05/01/19</w:t>
            </w:r>
          </w:p>
        </w:tc>
        <w:tc>
          <w:tcPr>
            <w:tcW w:w="2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1.88750%</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1"/>
              </w:rPr>
              <w:t>1 mo. LIBOR</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3,007</w:t>
            </w:r>
          </w:p>
        </w:tc>
        <w:tc>
          <w:tcPr>
            <w:tcW w:w="60" w:type="dxa"/>
            <w:vAlign w:val="bottom"/>
            <w:shd w:val="clear" w:color="auto" w:fill="CCEEFF"/>
          </w:tcPr>
          <w:p>
            <w:pPr>
              <w:spacing w:after="0"/>
              <w:rPr>
                <w:sz w:val="13"/>
                <w:szCs w:val="13"/>
                <w:color w:val="auto"/>
              </w:rPr>
            </w:pPr>
          </w:p>
        </w:tc>
      </w:tr>
      <w:tr>
        <w:trPr>
          <w:trHeight w:val="138"/>
        </w:trPr>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Pay Fixed Swap</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0"/>
              </w:rPr>
              <w:t>Money Market</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Cash Flow</w:t>
            </w:r>
          </w:p>
        </w:tc>
        <w:tc>
          <w:tcPr>
            <w:tcW w:w="112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5"/>
              </w:rPr>
              <w:t>Deposts</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2"/>
              </w:rPr>
              <w:t>100,000</w:t>
            </w: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1"/>
              </w:rPr>
              <w:t>05/31/12</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07/01/14</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07/01/18</w:t>
            </w:r>
          </w:p>
        </w:tc>
        <w:tc>
          <w:tcPr>
            <w:tcW w:w="2160" w:type="dxa"/>
            <w:vAlign w:val="bottom"/>
          </w:tcPr>
          <w:p>
            <w:pPr>
              <w:jc w:val="center"/>
              <w:spacing w:after="0" w:line="159" w:lineRule="exact"/>
              <w:rPr>
                <w:sz w:val="20"/>
                <w:szCs w:val="20"/>
                <w:color w:val="auto"/>
              </w:rPr>
            </w:pPr>
            <w:r>
              <w:rPr>
                <w:rFonts w:ascii="Arial" w:cs="Arial" w:eastAsia="Arial" w:hAnsi="Arial"/>
                <w:sz w:val="14"/>
                <w:szCs w:val="14"/>
                <w:color w:val="auto"/>
                <w:w w:val="88"/>
              </w:rPr>
              <w:t>1.39250%</w:t>
            </w: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1"/>
              </w:rPr>
              <w:t>1 mo. LIBOR</w:t>
            </w:r>
          </w:p>
        </w:tc>
        <w:tc>
          <w:tcPr>
            <w:tcW w:w="80" w:type="dxa"/>
            <w:vAlign w:val="bottom"/>
          </w:tcPr>
          <w:p>
            <w:pPr>
              <w:spacing w:after="0"/>
              <w:rPr>
                <w:sz w:val="13"/>
                <w:szCs w:val="13"/>
                <w:color w:val="auto"/>
              </w:rPr>
            </w:pPr>
          </w:p>
        </w:tc>
        <w:tc>
          <w:tcPr>
            <w:tcW w:w="4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1,158</w:t>
            </w:r>
          </w:p>
        </w:tc>
        <w:tc>
          <w:tcPr>
            <w:tcW w:w="60" w:type="dxa"/>
            <w:vAlign w:val="bottom"/>
          </w:tcPr>
          <w:p>
            <w:pPr>
              <w:spacing w:after="0"/>
              <w:rPr>
                <w:sz w:val="13"/>
                <w:szCs w:val="13"/>
                <w:color w:val="auto"/>
              </w:rPr>
            </w:pPr>
          </w:p>
        </w:tc>
      </w:tr>
      <w:tr>
        <w:trPr>
          <w:trHeight w:val="27"/>
        </w:trPr>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Hedging Positions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566,000</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11,900</w:t>
            </w:r>
          </w:p>
        </w:tc>
        <w:tc>
          <w:tcPr>
            <w:tcW w:w="60" w:type="dxa"/>
            <w:vAlign w:val="bottom"/>
            <w:shd w:val="clear" w:color="auto" w:fill="CCEEFF"/>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20" w:hanging="452"/>
        <w:spacing w:after="0" w:line="235"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Receive rate is fixed at 5.00% to November 10, 2012, then 4 * ((10-year Constant Maturity Swap rate—2-year Constant Maturity Swap rate)—50 basis points), capped at 5.00% and floored at 0.00%. Swap is callable by counterparty on November 10, 2012 and quarterly thereafter on the 10th with 15 calendar days notice.</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2/27/12 to 2/27/18: 2.00%; From 2/27/18 to 2/27/22: 2.50%; From 2/27/22 to 2/27/23:</w:t>
      </w:r>
    </w:p>
    <w:p>
      <w:pPr>
        <w:spacing w:after="0" w:line="8" w:lineRule="exact"/>
        <w:rPr>
          <w:rFonts w:ascii="Arial" w:cs="Arial" w:eastAsia="Arial" w:hAnsi="Arial"/>
          <w:sz w:val="20"/>
          <w:szCs w:val="20"/>
          <w:color w:val="auto"/>
          <w:vertAlign w:val="superscript"/>
        </w:rPr>
      </w:pPr>
    </w:p>
    <w:p>
      <w:pPr>
        <w:ind w:left="460" w:right="520"/>
        <w:spacing w:after="0" w:line="246" w:lineRule="auto"/>
        <w:rPr>
          <w:rFonts w:ascii="Arial" w:cs="Arial" w:eastAsia="Arial" w:hAnsi="Arial"/>
          <w:sz w:val="20"/>
          <w:szCs w:val="20"/>
          <w:color w:val="auto"/>
          <w:vertAlign w:val="superscript"/>
        </w:rPr>
      </w:pPr>
      <w:r>
        <w:rPr>
          <w:rFonts w:ascii="Arial" w:cs="Arial" w:eastAsia="Arial" w:hAnsi="Arial"/>
          <w:sz w:val="18"/>
          <w:szCs w:val="18"/>
          <w:color w:val="auto"/>
        </w:rPr>
        <w:t>3.00%; From 2/27/23 to 2/27/24: 4.00%; From 2/27/24 to 2/27/25: 7.00%; From 2/27/25 to 8/27/27: 10.00%. Swap is callable by counterparty semi-annually commencing on August 27, 2012 with 25 business days notice prior to the redemption date.</w:t>
      </w: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3/23/12 to 3/23/17: 2.25%; From 3/23/17 to 3/23/20: 2.38%; From 3/23/20 to 3/23/23:</w:t>
      </w:r>
    </w:p>
    <w:p>
      <w:pPr>
        <w:spacing w:after="0" w:line="8" w:lineRule="exact"/>
        <w:rPr>
          <w:rFonts w:ascii="Arial" w:cs="Arial" w:eastAsia="Arial" w:hAnsi="Arial"/>
          <w:sz w:val="20"/>
          <w:szCs w:val="20"/>
          <w:color w:val="auto"/>
          <w:vertAlign w:val="superscript"/>
        </w:rPr>
      </w:pPr>
    </w:p>
    <w:p>
      <w:pPr>
        <w:ind w:left="460" w:right="34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2.50%; From 3/23/23 to 3/23/24: 3.00%; From 3/23/24 to 3/23/25: 4.00%; From 3/23/25 to 3/23/26: 6.00%; From 3/23/26 to 9/23/27: 10.00%. Swap is callable by counterparty at any time commencing on September 24,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6/8/12 to 6/8/17: 2.25%; From 6/8/17 to 6/8/22: 2.70%; From 6/8/22 to 6/8/27: 3.20%;</w:t>
      </w:r>
    </w:p>
    <w:p>
      <w:pPr>
        <w:spacing w:after="0" w:line="8" w:lineRule="exact"/>
        <w:rPr>
          <w:rFonts w:ascii="Arial" w:cs="Arial" w:eastAsia="Arial" w:hAnsi="Arial"/>
          <w:sz w:val="20"/>
          <w:szCs w:val="20"/>
          <w:color w:val="auto"/>
          <w:vertAlign w:val="superscript"/>
        </w:rPr>
      </w:pPr>
    </w:p>
    <w:p>
      <w:pPr>
        <w:ind w:left="4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From 6/8/27 to 6/8/28: 4.00%; From 6/8/28 to 6/8/29: 5.00%; From 6/8/29 to 6/8/30: 6.00%; From 6/8/30 to 6/8/31: 8.00%; From 6/8/31 to 6/8/32: 10.00%. Swap is callable by counterparty at any time commencing on December 8,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6/28/12 to 6/28/17: 2.30%; From 6/28/17 to 6/28/22: 2.50%; From 6/28/22 to 6/28/27:</w:t>
      </w:r>
    </w:p>
    <w:p>
      <w:pPr>
        <w:spacing w:after="0" w:line="8"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3.00%; From 6/28/27 to 6/28/28: 4.00%; From 6/28/28 to 6/28/29: 5.00%; From 6/28/29 to 6/28/30: 6.00%; From 6/28/30 to 6/28/31: 8.00%; From 6/28/31</w:t>
      </w:r>
    </w:p>
    <w:p>
      <w:pPr>
        <w:spacing w:after="0" w:line="24" w:lineRule="exact"/>
        <w:rPr>
          <w:rFonts w:ascii="Arial" w:cs="Arial" w:eastAsia="Arial" w:hAnsi="Arial"/>
          <w:sz w:val="20"/>
          <w:szCs w:val="20"/>
          <w:color w:val="auto"/>
          <w:vertAlign w:val="superscript"/>
        </w:rPr>
      </w:pPr>
    </w:p>
    <w:p>
      <w:pPr>
        <w:ind w:left="460" w:right="10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to 6/28/32: 10.00%. Swap is callable by counterparty at any time commencing on December 28, 2012 with 15 calendar days notice prior to the redemption date.</w:t>
      </w: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7/27/12 to 7/27/17: 2.25%; From 7/27/17 to 7/27/22: 2.50%; From 7/27/22 to 7/27/27:</w:t>
      </w:r>
    </w:p>
    <w:p>
      <w:pPr>
        <w:spacing w:after="0" w:line="8"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3.00%; From 7/27/27 to 7/27/28: 4.00%; From 7/27/28 to 7/27/29: 5.00%; From 7/27/29 to 7/27/30: 6.00%; From 7/27/30 to 7/27/31: 8.00%; From 7/27/31</w:t>
      </w:r>
    </w:p>
    <w:p>
      <w:pPr>
        <w:spacing w:after="0" w:line="24" w:lineRule="exact"/>
        <w:rPr>
          <w:rFonts w:ascii="Arial" w:cs="Arial" w:eastAsia="Arial" w:hAnsi="Arial"/>
          <w:sz w:val="20"/>
          <w:szCs w:val="20"/>
          <w:color w:val="auto"/>
          <w:vertAlign w:val="superscript"/>
        </w:rPr>
      </w:pPr>
    </w:p>
    <w:p>
      <w:pPr>
        <w:ind w:left="460" w:right="28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to 7/27/32: 10.00%. Swap is callable by counterparty at any time commencing on January 27, 2013 with 20 calendar days notice prior to the redemption date.</w:t>
      </w: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8/23/12 to 8/23/17: 2.30%; From 8/23/17 to 8/23/22: 2.40%; From 8/23/22 to 8/23/27:</w:t>
      </w:r>
    </w:p>
    <w:p>
      <w:pPr>
        <w:spacing w:after="0" w:line="8" w:lineRule="exact"/>
        <w:rPr>
          <w:rFonts w:ascii="Arial" w:cs="Arial" w:eastAsia="Arial" w:hAnsi="Arial"/>
          <w:sz w:val="20"/>
          <w:szCs w:val="20"/>
          <w:color w:val="auto"/>
          <w:vertAlign w:val="superscript"/>
        </w:rPr>
      </w:pPr>
    </w:p>
    <w:p>
      <w:pPr>
        <w:ind w:left="460" w:right="3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2.50%; From 8/23/27 to 8/23/29: 2.75%; From 8/23/29 to 8/23/30: 5.00%; From 8/23/30 to 8/23/31: 8.00%; From 8/23/31 to 8/23/32: 11.00%. Swap is callable by counterparty at any time commencing on August 23, 2013 with 20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9/24/12 to 9/24/17: 2.40%; From 9/24/17 to 9/24/22: 2.50%; From 9/24/22 to 9/24/27:</w:t>
      </w:r>
    </w:p>
    <w:p>
      <w:pPr>
        <w:spacing w:after="0" w:line="8" w:lineRule="exact"/>
        <w:rPr>
          <w:rFonts w:ascii="Arial" w:cs="Arial" w:eastAsia="Arial" w:hAnsi="Arial"/>
          <w:sz w:val="20"/>
          <w:szCs w:val="20"/>
          <w:color w:val="auto"/>
          <w:vertAlign w:val="superscript"/>
        </w:rPr>
      </w:pPr>
    </w:p>
    <w:p>
      <w:pPr>
        <w:ind w:left="460" w:right="3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2.75%; From 9/24/27 to 9/24/29: 3.00%; From 9/24/29 to 9/24/30: 5.00%; From 9/24/30 to 9/24/31: 8.00%; From 9/24/31 to 9/24/32: 11.00%. Swap is callable by counterparty at any time commencing on August 23, 2013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10/19/12 to 10/19/17: 2.40%; From 10/19/17 to 10/19/22: 2.50%; From 10/19/22 to</w:t>
      </w:r>
    </w:p>
    <w:p>
      <w:pPr>
        <w:spacing w:after="0" w:line="8" w:lineRule="exact"/>
        <w:rPr>
          <w:rFonts w:ascii="Arial" w:cs="Arial" w:eastAsia="Arial" w:hAnsi="Arial"/>
          <w:sz w:val="20"/>
          <w:szCs w:val="20"/>
          <w:color w:val="auto"/>
          <w:vertAlign w:val="superscript"/>
        </w:rPr>
      </w:pPr>
    </w:p>
    <w:p>
      <w:pPr>
        <w:ind w:left="460" w:right="20"/>
        <w:spacing w:after="0" w:line="295" w:lineRule="auto"/>
        <w:rPr>
          <w:rFonts w:ascii="Arial" w:cs="Arial" w:eastAsia="Arial" w:hAnsi="Arial"/>
          <w:sz w:val="20"/>
          <w:szCs w:val="20"/>
          <w:color w:val="auto"/>
          <w:vertAlign w:val="superscript"/>
        </w:rPr>
      </w:pPr>
      <w:r>
        <w:rPr>
          <w:rFonts w:ascii="Arial" w:cs="Arial" w:eastAsia="Arial" w:hAnsi="Arial"/>
          <w:sz w:val="15"/>
          <w:szCs w:val="15"/>
          <w:color w:val="auto"/>
        </w:rPr>
        <w:t>10/19/27: 2.75%; From 10/19/27 to 10/19/29: 3.00%; From 10/19/29 to 10/19/30: 5.00%; From 10/19/30 to 10/19/31: 8.00%; From 10/19/31 to 10/19/32: 11.00%. Swap is callable by counterparty at quarterly intervals commencing on October 19, 2013 with 15 calendar days notice prior to the redemption date.</w:t>
      </w: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11/8/12 to 11/8/17: 2.30%; From 11/8/17 to 11/8/22: 2.40%; From 11/8/22 to 11/8/27:</w:t>
      </w:r>
    </w:p>
    <w:p>
      <w:pPr>
        <w:spacing w:after="0" w:line="8" w:lineRule="exact"/>
        <w:rPr>
          <w:rFonts w:ascii="Arial" w:cs="Arial" w:eastAsia="Arial" w:hAnsi="Arial"/>
          <w:sz w:val="20"/>
          <w:szCs w:val="20"/>
          <w:color w:val="auto"/>
          <w:vertAlign w:val="superscript"/>
        </w:rPr>
      </w:pPr>
    </w:p>
    <w:p>
      <w:pPr>
        <w:ind w:left="460" w:right="40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2.50%; From 11/8/27 to 11/8/29: 3.00%; From 11/8/29 to 11/8/30: 5.00%; From 11/8/30 to 11/8/31: 8.00%; From 11/8/31 to 11/8/32: 11.00%. Swap is callable by counterparty at quarterly intervals commencing on November 8, 2013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11/30/12 to 11/30/17: 2.20%; From 11/30/17 to 11/30/22: 2.30%; From 11/30/22 to</w:t>
      </w:r>
    </w:p>
    <w:p>
      <w:pPr>
        <w:spacing w:after="0" w:line="8" w:lineRule="exact"/>
        <w:rPr>
          <w:rFonts w:ascii="Arial" w:cs="Arial" w:eastAsia="Arial" w:hAnsi="Arial"/>
          <w:sz w:val="20"/>
          <w:szCs w:val="20"/>
          <w:color w:val="auto"/>
          <w:vertAlign w:val="superscript"/>
        </w:rPr>
      </w:pPr>
    </w:p>
    <w:p>
      <w:pPr>
        <w:jc w:val="both"/>
        <w:ind w:left="460" w:right="200"/>
        <w:spacing w:after="0" w:line="247" w:lineRule="auto"/>
        <w:rPr>
          <w:rFonts w:ascii="Arial" w:cs="Arial" w:eastAsia="Arial" w:hAnsi="Arial"/>
          <w:sz w:val="20"/>
          <w:szCs w:val="20"/>
          <w:color w:val="auto"/>
          <w:vertAlign w:val="superscript"/>
        </w:rPr>
      </w:pPr>
      <w:r>
        <w:rPr>
          <w:rFonts w:ascii="Arial" w:cs="Arial" w:eastAsia="Arial" w:hAnsi="Arial"/>
          <w:sz w:val="18"/>
          <w:szCs w:val="18"/>
          <w:color w:val="auto"/>
        </w:rPr>
        <w:t>11/30/27: 2.50%; From 11/30/27 to 11/30/29: 3.00%; From 11/30/29 to 11/30/30: 5.00%; From 11/30/30 to 11/30/31: 8.00%; From 11/30/31 to 11/30/32: 11.00%. Swap is callable by counterparty at quarterly intervals commencing on November 30, 2013 with 20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12/27/12 to 12/27/17: 2.25%; From 12/27/17 to 12/27/22: 2.35%; From 12/27/22 to</w:t>
      </w:r>
    </w:p>
    <w:p>
      <w:pPr>
        <w:spacing w:after="0" w:line="8" w:lineRule="exact"/>
        <w:rPr>
          <w:rFonts w:ascii="Arial" w:cs="Arial" w:eastAsia="Arial" w:hAnsi="Arial"/>
          <w:sz w:val="20"/>
          <w:szCs w:val="20"/>
          <w:color w:val="auto"/>
          <w:vertAlign w:val="superscript"/>
        </w:rPr>
      </w:pPr>
    </w:p>
    <w:p>
      <w:pPr>
        <w:ind w:left="460" w:right="140"/>
        <w:spacing w:after="0" w:line="247" w:lineRule="auto"/>
        <w:rPr>
          <w:rFonts w:ascii="Arial" w:cs="Arial" w:eastAsia="Arial" w:hAnsi="Arial"/>
          <w:sz w:val="20"/>
          <w:szCs w:val="20"/>
          <w:color w:val="auto"/>
          <w:vertAlign w:val="superscript"/>
        </w:rPr>
      </w:pPr>
      <w:r>
        <w:rPr>
          <w:rFonts w:ascii="Arial" w:cs="Arial" w:eastAsia="Arial" w:hAnsi="Arial"/>
          <w:sz w:val="18"/>
          <w:szCs w:val="18"/>
          <w:color w:val="auto"/>
        </w:rPr>
        <w:t>12/27/27: 2.50%; From 12/27/27 to 12/27/29: 3.00%; From 12/27/29 to 12/27/30: 5.00%; From 12/27/30 to 12/27/31: 8.00%; From 12/27/31 to 12/27/32: 11.00%. Swap is callable by counterparty at quarterly intervals commencing on December 27, 2013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1/25/13 to 1/25/18: 2.15%; From 1/25/18 to 1/25/23: 2.25%; From 1/25/23 to 1/25/25:</w:t>
      </w:r>
    </w:p>
    <w:p>
      <w:pPr>
        <w:spacing w:after="0" w:line="8" w:lineRule="exact"/>
        <w:rPr>
          <w:rFonts w:ascii="Arial" w:cs="Arial" w:eastAsia="Arial" w:hAnsi="Arial"/>
          <w:sz w:val="20"/>
          <w:szCs w:val="20"/>
          <w:color w:val="auto"/>
          <w:vertAlign w:val="superscript"/>
        </w:rPr>
      </w:pPr>
    </w:p>
    <w:p>
      <w:pPr>
        <w:ind w:left="460" w:right="200"/>
        <w:spacing w:after="0" w:line="246" w:lineRule="auto"/>
        <w:rPr>
          <w:rFonts w:ascii="Arial" w:cs="Arial" w:eastAsia="Arial" w:hAnsi="Arial"/>
          <w:sz w:val="20"/>
          <w:szCs w:val="20"/>
          <w:color w:val="auto"/>
          <w:vertAlign w:val="superscript"/>
        </w:rPr>
      </w:pPr>
      <w:r>
        <w:rPr>
          <w:rFonts w:ascii="Arial" w:cs="Arial" w:eastAsia="Arial" w:hAnsi="Arial"/>
          <w:sz w:val="18"/>
          <w:szCs w:val="18"/>
          <w:color w:val="auto"/>
        </w:rPr>
        <w:t>2.75%; From 1/25/25 to 1/25/26: 4.00%; From 1/25/26 to 1/25/27: 6.00%; From 1/25/27 to 1/25/28: 8.00%. Swap is callable by counterparty at quarterly intervals commencing on January 25, 2014 with 20 calendar days notice prior to the redemption date.</w:t>
      </w:r>
    </w:p>
    <w:p>
      <w:pPr>
        <w:ind w:left="460" w:hanging="452"/>
        <w:spacing w:after="0" w:line="205"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Fair value does not include accrued interest.</w:t>
      </w:r>
    </w:p>
    <w:p>
      <w:pPr>
        <w:sectPr>
          <w:pgSz w:w="11900" w:h="16838" w:orient="portrait"/>
          <w:cols w:equalWidth="0" w:num="1">
            <w:col w:w="11420"/>
          </w:cols>
          <w:pgMar w:left="240" w:top="459" w:right="239" w:bottom="184"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84"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contract, the resulting gain or loss is amortized over the remaining life of the original contract. At December 31, 2012, United had $904,000 in gains from terminated derivative positions included in other comprehensive income that will be amortized into earnings over the next twelve months.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United’s policy requires all non-customer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registrant and report of independent registered public accounting firm are included herein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77"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3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13"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assessed the effectiveness of the internal control over financial reporting as of December 31, 2012. In making this assessment, we used the criteria established in Internal Control – Integrated Framework issued by the Committee of Sponsoring Organizations of the Treadway Commission (COSO).</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assessment, we believe that as of December 31, 2012, United Community Banks, Inc.’s internal control over financial reporting is effective based on those criteria.</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independent registered public accountants have issued an audit report on the company’s internal control over financial reporting. This report appears on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252095</wp:posOffset>
            </wp:positionV>
            <wp:extent cx="1389380" cy="6343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9380" cy="63436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252095</wp:posOffset>
            </wp:positionV>
            <wp:extent cx="1560830" cy="685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608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C. Tallent</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Rex S. Schuette</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5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497205</wp:posOffset>
            </wp:positionV>
            <wp:extent cx="1586230" cy="934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623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We have audited the accompanying consolidated balance sheet of United Community Banks, Inc. and subsidiaries (the “Company”) as of December 31, 2012 and 2011, and the related consolidated statements of operations, comprehensive income (loss), changes in shareholders’ equity, and cash flows for each of the years in the three-year period ended December 31, 2012. We have also audited the Company’s internal control over financial reporting as of December 31, 2012, based on the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The Company’s management is responsible for these financial statements, for maintaining effective control over financial reporting and for its assessment of the effectiveness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xml:space="preserve">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xml:space="preserve">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xml:space="preserve">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 Peachtree Street NE | Suite 1800 | Atlanta, Georgia 30303 | Phone 404.588.4200 | Fax 404.588.4222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United Community Banks, Inc. and subsidiaries as of December 31, 2012 and 2011, and the results of their operations and their cash flows for each of the years in the three-year period ended December 31, 2012, in conformity with accounting principles generally accepted in the United States of America. Also, in our opinion, United Community Banks, Inc.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104140</wp:posOffset>
            </wp:positionV>
            <wp:extent cx="250444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044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revenue:</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217,140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239,056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Taxable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exempt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Deposits in banks and short-term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interest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265,739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297,637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341,122</w:t>
            </w: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NOW</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Savings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Total deposit interest expense</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24,235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48,839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81,732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Total interest expense</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65,675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100,071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interest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227,409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231,962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251,000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interest revenue after provision for loan losses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18,051</w:t>
            </w: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Mortgage loan and other related fees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Securities gains,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on prepayment of borrowings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fee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221,680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30,870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96,026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Communications and equipment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Advertising and public relations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Foreclosed property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78,905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Loss on sale of nonperforming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186,774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261,599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498,891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(loss) from continuing operations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(230,729)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(432,292)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income (loss) from continuing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(226,746)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(503,509)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subsidiary, net of income taxes and selling costs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60" w:type="dxa"/>
            <w:vAlign w:val="bottom"/>
          </w:tcPr>
          <w:p>
            <w:pPr>
              <w:ind w:left="640"/>
              <w:spacing w:after="0"/>
              <w:rPr>
                <w:sz w:val="20"/>
                <w:szCs w:val="20"/>
                <w:color w:val="auto"/>
              </w:rPr>
            </w:pPr>
            <w:r>
              <w:rPr>
                <w:rFonts w:ascii="Arial" w:cs="Arial" w:eastAsia="Arial" w:hAnsi="Arial"/>
                <w:sz w:val="18"/>
                <w:szCs w:val="18"/>
                <w:b w:val="1"/>
                <w:bCs w:val="1"/>
                <w:color w:val="auto"/>
              </w:rPr>
              <w:t>Net income (loss)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(226,746)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(502,344)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21,708</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(238,584)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(512,660)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per common share—basic / diluted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(loss) per common share—basic / diluted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 diluted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02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021"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Tax</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Tax</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Tax</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Before-tax</w:t>
            </w:r>
          </w:p>
        </w:tc>
        <w:tc>
          <w:tcPr>
            <w:tcW w:w="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(Expense)</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of Tax</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Before-tax</w:t>
            </w:r>
          </w:p>
        </w:tc>
        <w:tc>
          <w:tcPr>
            <w:tcW w:w="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2"/>
              </w:rPr>
              <w:t>Net of Tax</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Before-tax</w:t>
            </w:r>
          </w:p>
        </w:tc>
        <w:tc>
          <w:tcPr>
            <w:tcW w:w="6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Net of Tax</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Benefit</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Benefit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Benefit</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 from contnuing operations</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34,906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33,856</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(230,729)</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3,983</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 (226,746)</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(432,292)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(71,217)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(503,509)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sale of subsidiary</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(776)</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Unrealized (losses) gains on available for sale securities: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880"/>
              <w:spacing w:after="0" w:line="149" w:lineRule="exact"/>
              <w:rPr>
                <w:sz w:val="20"/>
                <w:szCs w:val="20"/>
                <w:color w:val="auto"/>
              </w:rPr>
            </w:pPr>
            <w:r>
              <w:rPr>
                <w:rFonts w:ascii="Arial" w:cs="Arial" w:eastAsia="Arial" w:hAnsi="Arial"/>
                <w:sz w:val="14"/>
                <w:szCs w:val="14"/>
                <w:color w:val="auto"/>
              </w:rPr>
              <w:t>Unrealized holding gains (losses) arising during period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361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(914)</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2,268</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(4,356)</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90"/>
              </w:rPr>
              <w:t>Reclassification adjustment for gains included in net income (loss)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993</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38"/>
        </w:trPr>
        <w:tc>
          <w:tcPr>
            <w:tcW w:w="4580" w:type="dxa"/>
            <w:vAlign w:val="bottom"/>
          </w:tcPr>
          <w:p>
            <w:pPr>
              <w:ind w:left="880"/>
              <w:spacing w:after="0" w:line="138" w:lineRule="exact"/>
              <w:rPr>
                <w:sz w:val="20"/>
                <w:szCs w:val="20"/>
                <w:color w:val="auto"/>
              </w:rPr>
            </w:pPr>
            <w:r>
              <w:rPr>
                <w:rFonts w:ascii="Arial" w:cs="Arial" w:eastAsia="Arial" w:hAnsi="Arial"/>
                <w:sz w:val="14"/>
                <w:szCs w:val="14"/>
                <w:color w:val="auto"/>
                <w:w w:val="91"/>
              </w:rPr>
              <w:t>Valuation allowance for the change in deferred taxes arising from</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80" w:type="dxa"/>
            <w:vAlign w:val="bottom"/>
          </w:tcPr>
          <w:p>
            <w:pPr>
              <w:ind w:left="1080"/>
              <w:spacing w:after="0" w:line="159" w:lineRule="exact"/>
              <w:rPr>
                <w:sz w:val="20"/>
                <w:szCs w:val="20"/>
                <w:color w:val="auto"/>
              </w:rPr>
            </w:pPr>
            <w:r>
              <w:rPr>
                <w:rFonts w:ascii="Arial" w:cs="Arial" w:eastAsia="Arial" w:hAnsi="Arial"/>
                <w:sz w:val="14"/>
                <w:szCs w:val="14"/>
                <w:color w:val="auto"/>
                <w:w w:val="95"/>
              </w:rPr>
              <w:t>unrealized gains and losses on available for sale securities</w:t>
            </w:r>
          </w:p>
        </w:tc>
        <w:tc>
          <w:tcPr>
            <w:tcW w:w="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(2,480)</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(2,480)</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(689)</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(689)</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(3,261)</w:t>
            </w:r>
          </w:p>
        </w:tc>
        <w:tc>
          <w:tcPr>
            <w:tcW w:w="7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unrealized losses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(6,330)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(2,117)</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38"/>
        </w:trPr>
        <w:tc>
          <w:tcPr>
            <w:tcW w:w="4580" w:type="dxa"/>
            <w:vAlign w:val="bottom"/>
          </w:tcPr>
          <w:p>
            <w:pPr>
              <w:ind w:left="440"/>
              <w:spacing w:after="0" w:line="138" w:lineRule="exact"/>
              <w:rPr>
                <w:sz w:val="20"/>
                <w:szCs w:val="20"/>
                <w:color w:val="auto"/>
              </w:rPr>
            </w:pPr>
            <w:r>
              <w:rPr>
                <w:rFonts w:ascii="Arial" w:cs="Arial" w:eastAsia="Arial" w:hAnsi="Arial"/>
                <w:sz w:val="14"/>
                <w:szCs w:val="14"/>
                <w:color w:val="auto"/>
                <w:w w:val="93"/>
              </w:rPr>
              <w:t>Amortization of gains included in net income (loss) on available for sale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80" w:type="dxa"/>
            <w:vAlign w:val="bottom"/>
          </w:tcPr>
          <w:p>
            <w:pPr>
              <w:ind w:left="660"/>
              <w:spacing w:after="0" w:line="159" w:lineRule="exact"/>
              <w:rPr>
                <w:sz w:val="20"/>
                <w:szCs w:val="20"/>
                <w:color w:val="auto"/>
              </w:rPr>
            </w:pPr>
            <w:r>
              <w:rPr>
                <w:rFonts w:ascii="Arial" w:cs="Arial" w:eastAsia="Arial" w:hAnsi="Arial"/>
                <w:sz w:val="14"/>
                <w:szCs w:val="14"/>
                <w:color w:val="auto"/>
              </w:rPr>
              <w:t>securities transferred to held to maturity</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773</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(1,215)</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(2,177)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846</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(1,331)</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594</w:t>
            </w:r>
          </w:p>
        </w:tc>
        <w:tc>
          <w:tcPr>
            <w:tcW w:w="7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38"/>
        </w:trPr>
        <w:tc>
          <w:tcPr>
            <w:tcW w:w="45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Valuation allowance for the change in deferred taxes arising from the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5"/>
              </w:rPr>
              <w:t>amortization of gains included in net income (loss) on available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sale securities transferred to held to maturity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(773)</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(846)</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(846)</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(594)</w:t>
            </w:r>
          </w:p>
        </w:tc>
        <w:tc>
          <w:tcPr>
            <w:tcW w:w="7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880"/>
              <w:spacing w:after="0"/>
              <w:rPr>
                <w:sz w:val="20"/>
                <w:szCs w:val="20"/>
                <w:color w:val="auto"/>
              </w:rPr>
            </w:pPr>
            <w:r>
              <w:rPr>
                <w:rFonts w:ascii="Arial" w:cs="Arial" w:eastAsia="Arial" w:hAnsi="Arial"/>
                <w:sz w:val="14"/>
                <w:szCs w:val="14"/>
                <w:color w:val="auto"/>
              </w:rPr>
              <w:t>Net unrealized losses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(1,988)</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(2,177)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(2,177)</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38"/>
        </w:trPr>
        <w:tc>
          <w:tcPr>
            <w:tcW w:w="45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Amortization of gains included in net income (loss) on derivative financial</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instruments accounted for as cash flow hedges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(3,712)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(2,268)</w:t>
            </w: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(15,116)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5,880</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(9,236)</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(16,081)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6,374</w:t>
            </w:r>
          </w:p>
        </w:tc>
        <w:tc>
          <w:tcPr>
            <w:tcW w:w="7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(9,707)</w:t>
            </w:r>
          </w:p>
        </w:tc>
        <w:tc>
          <w:tcPr>
            <w:tcW w:w="0" w:type="dxa"/>
            <w:vAlign w:val="bottom"/>
          </w:tcPr>
          <w:p>
            <w:pPr>
              <w:spacing w:after="0"/>
              <w:rPr>
                <w:sz w:val="1"/>
                <w:szCs w:val="1"/>
                <w:color w:val="auto"/>
              </w:rPr>
            </w:pPr>
          </w:p>
        </w:tc>
      </w:tr>
      <w:tr>
        <w:trPr>
          <w:trHeight w:val="138"/>
        </w:trPr>
        <w:tc>
          <w:tcPr>
            <w:tcW w:w="4580" w:type="dxa"/>
            <w:vAlign w:val="bottom"/>
          </w:tcPr>
          <w:p>
            <w:pPr>
              <w:ind w:left="440"/>
              <w:spacing w:after="0" w:line="138" w:lineRule="exact"/>
              <w:rPr>
                <w:sz w:val="20"/>
                <w:szCs w:val="20"/>
                <w:color w:val="auto"/>
              </w:rPr>
            </w:pPr>
            <w:r>
              <w:rPr>
                <w:rFonts w:ascii="Arial" w:cs="Arial" w:eastAsia="Arial" w:hAnsi="Arial"/>
                <w:sz w:val="14"/>
                <w:szCs w:val="14"/>
                <w:color w:val="auto"/>
                <w:w w:val="88"/>
              </w:rPr>
              <w:t>Unrealized losses on derivative financial instruments accounted for as cash</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80" w:type="dxa"/>
            <w:vAlign w:val="bottom"/>
          </w:tcPr>
          <w:p>
            <w:pPr>
              <w:ind w:left="660"/>
              <w:spacing w:after="0" w:line="159" w:lineRule="exact"/>
              <w:rPr>
                <w:sz w:val="20"/>
                <w:szCs w:val="20"/>
                <w:color w:val="auto"/>
              </w:rPr>
            </w:pPr>
            <w:r>
              <w:rPr>
                <w:rFonts w:ascii="Arial" w:cs="Arial" w:eastAsia="Arial" w:hAnsi="Arial"/>
                <w:sz w:val="14"/>
                <w:szCs w:val="14"/>
                <w:color w:val="auto"/>
              </w:rPr>
              <w:t>flow hedges</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(8,739)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3,400</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(5,339)</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5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Valuation allowance for the change in deferred taxes arising from</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1"/>
              </w:rPr>
              <w:t>unrealized gains and losses and amortization of gains included in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income (loss) on cash flow hedges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(4,844)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(4,844)</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(5,880)</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(5,880)</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(6,374)</w:t>
            </w:r>
          </w:p>
        </w:tc>
        <w:tc>
          <w:tcPr>
            <w:tcW w:w="7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(6,374)</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880"/>
              <w:spacing w:after="0"/>
              <w:rPr>
                <w:sz w:val="20"/>
                <w:szCs w:val="20"/>
                <w:color w:val="auto"/>
              </w:rPr>
            </w:pPr>
            <w:r>
              <w:rPr>
                <w:rFonts w:ascii="Arial" w:cs="Arial" w:eastAsia="Arial" w:hAnsi="Arial"/>
                <w:sz w:val="14"/>
                <w:szCs w:val="14"/>
                <w:color w:val="auto"/>
              </w:rPr>
              <w:t>Net unrealized losses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(12,451)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5"/>
              </w:rPr>
              <w:t>(12,451)</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(15,116)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(15,116)</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(16,081)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(16,081)</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5"/>
              </w:rPr>
              <w:t>Reclassification of unamortized prior service cost and actuarial losses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(2,902)</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tcPr>
          <w:p>
            <w:pPr>
              <w:ind w:left="440"/>
              <w:spacing w:after="0" w:line="149" w:lineRule="exact"/>
              <w:rPr>
                <w:sz w:val="20"/>
                <w:szCs w:val="20"/>
                <w:color w:val="auto"/>
              </w:rPr>
            </w:pPr>
            <w:r>
              <w:rPr>
                <w:rFonts w:ascii="Arial" w:cs="Arial" w:eastAsia="Arial" w:hAnsi="Arial"/>
                <w:sz w:val="14"/>
                <w:szCs w:val="14"/>
                <w:color w:val="auto"/>
              </w:rPr>
              <w:t>Net actuarial loss on defined benefit pension plan</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5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Amortization of prior service cost and actuarial losses included in net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periodic pension cost for defined benefit pension plan</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580" w:type="dxa"/>
            <w:vAlign w:val="bottom"/>
          </w:tcPr>
          <w:p>
            <w:pPr>
              <w:ind w:left="440"/>
              <w:spacing w:after="0" w:line="138" w:lineRule="exact"/>
              <w:rPr>
                <w:sz w:val="20"/>
                <w:szCs w:val="20"/>
                <w:color w:val="auto"/>
              </w:rPr>
            </w:pPr>
            <w:r>
              <w:rPr>
                <w:rFonts w:ascii="Arial" w:cs="Arial" w:eastAsia="Arial" w:hAnsi="Arial"/>
                <w:sz w:val="14"/>
                <w:szCs w:val="14"/>
                <w:color w:val="auto"/>
              </w:rPr>
              <w:t>Valuation allowance for the change in deferred taxes arising from</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660"/>
              <w:spacing w:after="0" w:line="149" w:lineRule="exact"/>
              <w:rPr>
                <w:sz w:val="20"/>
                <w:szCs w:val="20"/>
                <w:color w:val="auto"/>
              </w:rPr>
            </w:pPr>
            <w:r>
              <w:rPr>
                <w:rFonts w:ascii="Arial" w:cs="Arial" w:eastAsia="Arial" w:hAnsi="Arial"/>
                <w:sz w:val="14"/>
                <w:szCs w:val="14"/>
                <w:color w:val="auto"/>
                <w:w w:val="91"/>
              </w:rPr>
              <w:t>reclassification of unamortized prior service cost and actuarial losses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80" w:type="dxa"/>
            <w:vAlign w:val="bottom"/>
          </w:tcPr>
          <w:p>
            <w:pPr>
              <w:ind w:left="660"/>
              <w:spacing w:after="0" w:line="159" w:lineRule="exact"/>
              <w:rPr>
                <w:sz w:val="20"/>
                <w:szCs w:val="20"/>
                <w:color w:val="auto"/>
              </w:rPr>
            </w:pPr>
            <w:r>
              <w:rPr>
                <w:rFonts w:ascii="Arial" w:cs="Arial" w:eastAsia="Arial" w:hAnsi="Arial"/>
                <w:sz w:val="14"/>
                <w:szCs w:val="14"/>
                <w:color w:val="auto"/>
              </w:rPr>
              <w:t>and amortization of prior service cost and actuarial losses</w:t>
            </w:r>
          </w:p>
        </w:tc>
        <w:tc>
          <w:tcPr>
            <w:tcW w:w="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171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171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(1,848)</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(1,848)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defined benefit pension plan activity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438</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(4,750)</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1300"/>
              <w:spacing w:after="0"/>
              <w:rPr>
                <w:sz w:val="20"/>
                <w:szCs w:val="20"/>
                <w:color w:val="auto"/>
              </w:rPr>
            </w:pPr>
            <w:r>
              <w:rPr>
                <w:rFonts w:ascii="Arial" w:cs="Arial" w:eastAsia="Arial" w:hAnsi="Arial"/>
                <w:sz w:val="14"/>
                <w:szCs w:val="14"/>
                <w:color w:val="auto"/>
              </w:rPr>
              <w:t>Total other comprehensive loss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(20,331)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5"/>
              </w:rPr>
              <w:t>(20,331)</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(24,160)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(24,160)</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(26,784)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(26,784)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Comprehensive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 (254,889)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 (250,906)</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 (457,197)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(71,931)</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 (529,128)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5100" w:type="dxa"/>
            <w:vAlign w:val="bottom"/>
            <w:gridSpan w:val="2"/>
            <w:shd w:val="clear" w:color="auto" w:fill="CCEEFF"/>
          </w:tcPr>
          <w:p>
            <w:pPr>
              <w:jc w:val="center"/>
              <w:ind w:right="2380"/>
              <w:spacing w:after="0" w:line="196" w:lineRule="exact"/>
              <w:rPr>
                <w:sz w:val="20"/>
                <w:szCs w:val="20"/>
                <w:color w:val="auto"/>
              </w:rPr>
            </w:pPr>
            <w:r>
              <w:rPr>
                <w:rFonts w:ascii="Arial" w:cs="Arial" w:eastAsia="Arial" w:hAnsi="Arial"/>
                <w:sz w:val="18"/>
                <w:szCs w:val="18"/>
                <w:b w:val="1"/>
                <w:bCs w:val="1"/>
                <w:color w:val="auto"/>
                <w:w w:val="81"/>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66,536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124,613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251,149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1,834,593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held to maturity (fair value $261,131 and $343,531)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244,184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Mortgage loans held for sale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28,821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 of unearned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4,175,008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4,109,614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Less allowance for loan losses</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(107,137)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Loans, net</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4,067,871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3,995,146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47,467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168,920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Bank owned life insurance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81,867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5,510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6,802,259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6,983,420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gridSpan w:val="3"/>
            <w:vMerge w:val="restart"/>
          </w:tcPr>
          <w:p>
            <w:pPr>
              <w:jc w:val="center"/>
              <w:ind w:left="1812"/>
              <w:spacing w:after="0"/>
              <w:rPr>
                <w:sz w:val="20"/>
                <w:szCs w:val="20"/>
                <w:color w:val="auto"/>
              </w:rPr>
            </w:pPr>
            <w:r>
              <w:rPr>
                <w:rFonts w:ascii="Arial" w:cs="Arial" w:eastAsia="Arial" w:hAnsi="Arial"/>
                <w:sz w:val="18"/>
                <w:szCs w:val="18"/>
                <w:b w:val="1"/>
                <w:bCs w:val="1"/>
                <w:color w:val="auto"/>
                <w:w w:val="89"/>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1,252,605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NOW</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1,316,453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Money market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1,149,912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Savings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227,308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Time: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640"/>
              <w:spacing w:after="0"/>
              <w:rPr>
                <w:sz w:val="20"/>
                <w:szCs w:val="20"/>
                <w:color w:val="auto"/>
              </w:rPr>
            </w:pPr>
            <w:r>
              <w:rPr>
                <w:rFonts w:ascii="Arial" w:cs="Arial" w:eastAsia="Arial" w:hAnsi="Arial"/>
                <w:sz w:val="18"/>
                <w:szCs w:val="18"/>
                <w:color w:val="auto"/>
              </w:rPr>
              <w:t>Less than $100,000</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1,055,271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Greater than $100,000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705,558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Brokered</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245,033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5,952,140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6,097,983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52,574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124,805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Unsettled securities purchases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6,220,854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6,407,934</w:t>
            </w:r>
          </w:p>
        </w:tc>
        <w:tc>
          <w:tcPr>
            <w:tcW w:w="0" w:type="dxa"/>
            <w:vAlign w:val="bottom"/>
          </w:tcPr>
          <w:p>
            <w:pPr>
              <w:spacing w:after="0"/>
              <w:rPr>
                <w:sz w:val="1"/>
                <w:szCs w:val="1"/>
                <w:color w:val="auto"/>
              </w:rPr>
            </w:pPr>
          </w:p>
        </w:tc>
      </w:tr>
      <w:tr>
        <w:trPr>
          <w:trHeight w:val="221"/>
        </w:trPr>
        <w:tc>
          <w:tcPr>
            <w:tcW w:w="940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Series A, $10 stated value; 21,700 shares issued and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Series B, $1,000 stated value; 180,000 shares issued and outstanding</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178,557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Series D, $1,000 stated value; 16,613 shares issued and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Common stock, $1 par value; 100,000,000 shares authorized;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42,423,870 and 41,647,100 shares issued and outstanding</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42,424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Common stock, non-voting $1 par value; 30,000,000 shares authorized;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15,316,794 and 15,914,209 shares issued and outstanding</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15,317</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Common stock issuable; 133,238 and 93,681 shares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surplus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1,057,951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(709,153)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(730,861)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3"/>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581,405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6,802,259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6,983,420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Voting</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jc w:val="center"/>
              <w:ind w:right="560"/>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Series D</w:t>
            </w:r>
          </w:p>
        </w:tc>
        <w:tc>
          <w:tcPr>
            <w:tcW w:w="180" w:type="dxa"/>
            <w:vAlign w:val="bottom"/>
          </w:tcPr>
          <w:p>
            <w:pPr>
              <w:spacing w:after="0"/>
              <w:rPr>
                <w:sz w:val="12"/>
                <w:szCs w:val="12"/>
                <w:color w:val="auto"/>
              </w:rPr>
            </w:pPr>
          </w:p>
        </w:tc>
        <w:tc>
          <w:tcPr>
            <w:tcW w:w="6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8"/>
              </w:rPr>
              <w:t>Series F</w:t>
            </w: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Series 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Issuable</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Surplus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Deficit)</w:t>
            </w:r>
          </w:p>
        </w:tc>
        <w:tc>
          <w:tcPr>
            <w:tcW w:w="10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6"/>
              </w:rPr>
              <w:t>(Loss) Income</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2009</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$174,408</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18,809</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3,597</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697,271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20,384</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47,635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$ 962,321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(502,344)</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(26,784)</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Issuance of equity instruments in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private equity transaction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39,813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39,813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Common stock issued to Dividend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Reinvestment Plan and employee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7"/>
              </w:rPr>
              <w:t>benefit plans (121,777 shares)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8"/>
              </w:rPr>
              <w:t>Amortization of stock options and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2,459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Vesting of restricted stock awards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(2,113 common shares issued,</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2"/>
              </w:rPr>
              <w:t>8,304 common shares deferred)</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607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8"/>
              </w:rPr>
              <w:t>Deferred compensation plan, net,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w w:val="98"/>
              </w:rPr>
              <w:t>including dividend equivalents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295</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from deferred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plan (3,990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shares)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(605)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w w:val="91"/>
              </w:rPr>
              <w:t>Series B, including accretion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(10,303)</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175,711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18,937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3,894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741,244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(492,276)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20,851</w:t>
            </w: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(226,746)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(226,746)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(24,160)</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Penalty received on incomplete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private equity transaction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Preferred for common equity</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exchange related to tax benefits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preservation plan (1,551,126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shares)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16,613</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(1,551)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(15,062)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0"/>
              </w:rPr>
              <w:t>Common and preferred stock issued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(3,467,699 common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4"/>
              </w:rPr>
              <w:t>195,872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0"/>
              </w:rPr>
              <w:t>151,185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3,468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11,035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361,560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Conversion of Series F and Series G</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(20,618,156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voting and 15,914,209 non-</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voting common shares)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6"/>
              </w:rPr>
              <w:t>(195,872)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3"/>
              </w:rPr>
              <w:t>(151,185)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20,618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15,914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310,525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6"/>
              </w:rPr>
              <w:t>Common stock issued to Dividend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w w:val="87"/>
              </w:rPr>
              <w:t>Reinvestment Plan and employee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w w:val="93"/>
              </w:rPr>
              <w:t>benefit plans (156,816 common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156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Amortization of stock options and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7"/>
              </w:rPr>
              <w:t>Vesting of restricted stock awards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w w:val="92"/>
              </w:rPr>
              <w:t>(12,239 common shares issued,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w w:val="92"/>
              </w:rPr>
              <w:t>6,382 common shares deferred)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Deferred compensation plan, net,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including dividend equivalents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241</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Shares issued from deferred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compensation plan (6,266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(956)</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Tax on option exercise and restricted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vesting</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w w:val="91"/>
              </w:rPr>
              <w:t>Series B, including accretion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(10,401)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D</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2011</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217</w:t>
            </w:r>
          </w:p>
        </w:tc>
        <w:tc>
          <w:tcPr>
            <w:tcW w:w="180" w:type="dxa"/>
            <w:vAlign w:val="bottom"/>
          </w:tcPr>
          <w:p>
            <w:pPr>
              <w:spacing w:after="0"/>
              <w:rPr>
                <w:sz w:val="13"/>
                <w:szCs w:val="13"/>
                <w:color w:val="auto"/>
              </w:rPr>
            </w:pPr>
          </w:p>
        </w:tc>
        <w:tc>
          <w:tcPr>
            <w:tcW w:w="5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177,092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center"/>
              <w:spacing w:after="0" w:line="155" w:lineRule="exact"/>
              <w:rPr>
                <w:sz w:val="20"/>
                <w:szCs w:val="20"/>
                <w:color w:val="auto"/>
              </w:rPr>
            </w:pPr>
            <w:r>
              <w:rPr>
                <w:rFonts w:ascii="Arial" w:cs="Arial" w:eastAsia="Arial" w:hAnsi="Arial"/>
                <w:sz w:val="14"/>
                <w:szCs w:val="14"/>
                <w:color w:val="auto"/>
                <w:w w:val="83"/>
              </w:rPr>
              <w:t>16,613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41,647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15,914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3,233</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1,054,940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(730,861)</w:t>
            </w:r>
          </w:p>
        </w:tc>
        <w:tc>
          <w:tcPr>
            <w:tcW w:w="6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(3,309)</w:t>
            </w:r>
          </w:p>
        </w:tc>
        <w:tc>
          <w:tcPr>
            <w:tcW w:w="7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575,486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33,856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(20,331)</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(20,331)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Common stock issued to Dividend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Reinvestment Plan and employee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benefit plans (109,905 common</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5"/>
              </w:rPr>
              <w:t>Conversion of non-voting common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stock to voting common 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(597,415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597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(597)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Amortization of stock options and</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7"/>
              </w:rPr>
              <w:t>Vesting of restricted stock awards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w w:val="92"/>
              </w:rPr>
              <w:t>(64,839 common shares issued,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w w:val="88"/>
              </w:rPr>
              <w:t>36,673 common shares deferred)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Deferred compensation plan, net,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including dividend equivalents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201</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Shares issued from deferred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compensation plan (4,611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00"/>
              <w:spacing w:after="0" w:line="159" w:lineRule="exact"/>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(470)</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Series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Series B, including accretion</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(10,465)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Series 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178,557</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16,613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42,424</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1,057,951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(709,153)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(23,640)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$ 581,405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72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724"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33,856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(226,746)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Goodwill impairment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Losses on prepayment of borrowings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Losses and write downs on sales of other real estate owned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Gain from sale of subsidiary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sale of nonperforming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7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Mortgage loans held for sale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183,078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151,881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Proceeds from maturities and calls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(144,506)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Proceeds from 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469,167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128,217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Proceeds from maturities and calls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493,276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(1,166,653)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(1,184,013)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(872,513)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loans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loan 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99,298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collected from FDIC under loss sharing agreements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cash received from sale of subsidiary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received from sale of nonperforming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86,789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(363,972)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373,291</w:t>
            </w: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deposits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(145,843)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change in short-term borrowings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(54,483)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Federal Home Loan Bank advances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1,789,000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Settlement of Federal Home Loan Bank advances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(1,791,701)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of 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Proceeds from issuance of common stock for dividend reinvestment and employee benefit plans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361,560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penalty on incomplete private equity transaction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Cash dividends on Series A preferred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dividends on Series B preferred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Cash dividends on Series D preferred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(223,587)</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(127,267)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(271,041)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273,090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376,367</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251,149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378,416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649,457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112,171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Income taxes paid (refunds received)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02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021"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96"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At December 31, 2012, United was a bank holding company subject to the regulation of the Federal Reserve whose principal business was conducted by its wholly-owned commercial bank subsidiary, United Community Bank (the “Bank”). United is subject to regulation under the Bank Holding Company Act of 1956. The consolidated financial statements include the accounts of United Community Banks, Inc., the Bank and other wholly-owned subsidiaries. All significant intercompany accounts and transactions have been eliminated in consolidation.</w:t>
      </w:r>
    </w:p>
    <w:p>
      <w:pPr>
        <w:spacing w:after="0" w:line="31"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Bank is a Georgia state chartered commercial bank that serves markets throughout north Georgia, coastal Georgia, the Atlanta, Georgia MSA, the Gainesville, Georgia MSA, western North Carolina, the Greenville, South Carolina MSA and east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96"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96"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a number of community banks, those banks have similar economic characteristics and are therefore aggregated into one operating segment for purposes of segment reporting. Because United has only one operating segment, segment information is not provided separately from the consolidated financial statements.</w:t>
      </w:r>
    </w:p>
    <w:p>
      <w:pPr>
        <w:spacing w:after="0" w:line="1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6" w:lineRule="exact"/>
        <w:rPr>
          <w:rFonts w:ascii="Arial" w:cs="Arial" w:eastAsia="Arial" w:hAnsi="Arial"/>
          <w:sz w:val="18"/>
          <w:szCs w:val="18"/>
          <w:b w:val="1"/>
          <w:bCs w:val="1"/>
          <w:color w:val="auto"/>
        </w:rPr>
      </w:pPr>
    </w:p>
    <w:p>
      <w:pPr>
        <w:ind w:left="46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Effective March 31, 2010, United completed the sale if its consulting subsidiary, Brintech, Inc. (“Brintech”). The sales price was $2.9 million with United covering certain costs related to the sale transaction resulting in a net, pre-tax gain of $2.1 million. As a result of the sale, Brintech is presented in the consolidated statement of operations as a discontinued operation with all revenue and expenses related to the sold operations deconsolidated from the consolidated statement of operations for all periods presented. The results of operations from Brintech are reported on a separate line on the consolidated statement of operations titled “Loss from discontinued operations, net of income taxes.” The gain from the sale, net of income taxes and selling costs, is presented on a separate line titled “Gain from sale of subsidiary, net of income taxes and selling costs.”</w:t>
      </w:r>
    </w:p>
    <w:p>
      <w:pPr>
        <w:spacing w:after="0" w:line="19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Short-term Investments</w:t>
      </w:r>
    </w:p>
    <w:p>
      <w:pPr>
        <w:spacing w:after="0" w:line="96" w:lineRule="exact"/>
        <w:rPr>
          <w:rFonts w:ascii="Arial" w:cs="Arial" w:eastAsia="Arial" w:hAnsi="Arial"/>
          <w:sz w:val="18"/>
          <w:szCs w:val="18"/>
          <w:b w:val="1"/>
          <w:bCs w:val="1"/>
          <w:color w:val="auto"/>
        </w:rPr>
      </w:pPr>
    </w:p>
    <w:p>
      <w:pPr>
        <w:ind w:left="460" w:right="1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Short-term investments include overnight and term federal funds sold, commercial paper, reverse repurchase agreements and other temporary investments with maturities of less than 90 days. United uses a variety of short-term investment vehicles to temporarily invest funds.</w:t>
      </w:r>
    </w:p>
    <w:p>
      <w:pPr>
        <w:spacing w:after="0" w:line="16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96" w:lineRule="exact"/>
        <w:rPr>
          <w:rFonts w:ascii="Arial" w:cs="Arial" w:eastAsia="Arial" w:hAnsi="Arial"/>
          <w:sz w:val="18"/>
          <w:szCs w:val="18"/>
          <w:b w:val="1"/>
          <w:bCs w:val="1"/>
          <w:color w:val="auto"/>
        </w:rPr>
      </w:pPr>
    </w:p>
    <w:p>
      <w:pPr>
        <w:jc w:val="both"/>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96"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w:t>
      </w:r>
    </w:p>
    <w:p>
      <w:pPr>
        <w:spacing w:after="0" w:line="59" w:lineRule="exact"/>
        <w:rPr>
          <w:rFonts w:ascii="Arial" w:cs="Arial" w:eastAsia="Arial" w:hAnsi="Arial"/>
          <w:sz w:val="18"/>
          <w:szCs w:val="18"/>
          <w:b w:val="1"/>
          <w:bCs w:val="1"/>
          <w:color w:val="auto"/>
        </w:rPr>
      </w:pPr>
    </w:p>
    <w:p>
      <w:pPr>
        <w:ind w:left="460" w:right="2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 for sale to held to maturity are included in the balance of accumulated other comprehensive income in the consolidated balance sheet.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37" w:lineRule="exact"/>
        <w:rPr>
          <w:rFonts w:ascii="Arial" w:cs="Arial" w:eastAsia="Arial" w:hAnsi="Arial"/>
          <w:sz w:val="18"/>
          <w:szCs w:val="18"/>
          <w:b w:val="1"/>
          <w:bCs w:val="1"/>
          <w:color w:val="auto"/>
        </w:rPr>
      </w:pPr>
    </w:p>
    <w:p>
      <w:pPr>
        <w:ind w:left="46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investment securities for other than temporary impairment on a quarterly basis. A decline in the fair value of available for sale and held to 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63"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as there is no ready market for such investments.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 Held for Sale</w:t>
      </w:r>
    </w:p>
    <w:p>
      <w:pPr>
        <w:spacing w:after="0" w:line="96" w:lineRule="exact"/>
        <w:rPr>
          <w:rFonts w:ascii="Arial" w:cs="Arial" w:eastAsia="Arial" w:hAnsi="Arial"/>
          <w:sz w:val="18"/>
          <w:szCs w:val="18"/>
          <w:b w:val="1"/>
          <w:bCs w:val="1"/>
          <w:color w:val="auto"/>
        </w:rPr>
      </w:pPr>
    </w:p>
    <w:p>
      <w:pPr>
        <w:ind w:left="460" w:right="4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2012 or 2011 since those loans have market values that approximated the recorded basis.</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59" w:lineRule="exact"/>
        <w:rPr>
          <w:rFonts w:ascii="Arial" w:cs="Arial" w:eastAsia="Arial" w:hAnsi="Arial"/>
          <w:sz w:val="18"/>
          <w:szCs w:val="18"/>
          <w:b w:val="1"/>
          <w:bCs w:val="1"/>
          <w:color w:val="auto"/>
        </w:rPr>
      </w:pPr>
    </w:p>
    <w:p>
      <w:pPr>
        <w:ind w:left="46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and future payments are reasonably assured. Nonaccrual loans include both smaller balance homogeneous loans that are collectively evaluated for impairment and individually classified impaired loans.</w:t>
      </w:r>
    </w:p>
    <w:p>
      <w:pPr>
        <w:spacing w:after="0" w:line="66" w:lineRule="exact"/>
        <w:rPr>
          <w:rFonts w:ascii="Arial" w:cs="Arial" w:eastAsia="Arial" w:hAnsi="Arial"/>
          <w:sz w:val="18"/>
          <w:szCs w:val="18"/>
          <w:b w:val="1"/>
          <w:bCs w:val="1"/>
          <w:color w:val="auto"/>
        </w:rPr>
      </w:pPr>
    </w:p>
    <w:p>
      <w:pPr>
        <w:ind w:left="4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described above.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right="6840" w:hanging="452"/>
        <w:spacing w:after="0" w:line="369" w:lineRule="auto"/>
        <w:tabs>
          <w:tab w:leader="none" w:pos="44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Loans, continued</w:t>
      </w:r>
    </w:p>
    <w:p>
      <w:pPr>
        <w:spacing w:after="0" w:line="25" w:lineRule="exact"/>
        <w:rPr>
          <w:rFonts w:ascii="Arial" w:cs="Arial" w:eastAsia="Arial" w:hAnsi="Arial"/>
          <w:sz w:val="18"/>
          <w:szCs w:val="18"/>
          <w:b w:val="1"/>
          <w:bCs w:val="1"/>
          <w:color w:val="auto"/>
        </w:rPr>
      </w:pPr>
    </w:p>
    <w:p>
      <w:pPr>
        <w:ind w:left="460" w:right="2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More than 85% of United’s loan portfolio is secured by real estate and is therefore susceptible to changes in real estate valuations.</w:t>
      </w:r>
    </w:p>
    <w:p>
      <w:pPr>
        <w:spacing w:after="0" w:line="51" w:lineRule="exact"/>
        <w:rPr>
          <w:rFonts w:ascii="Arial" w:cs="Arial" w:eastAsia="Arial" w:hAnsi="Arial"/>
          <w:sz w:val="18"/>
          <w:szCs w:val="18"/>
          <w:b w:val="1"/>
          <w:bCs w:val="1"/>
          <w:color w:val="auto"/>
        </w:rPr>
      </w:pPr>
    </w:p>
    <w:p>
      <w:pPr>
        <w:ind w:left="460"/>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Certain Purchased Loans: </w:t>
      </w:r>
      <w:r>
        <w:rPr>
          <w:rFonts w:ascii="Arial" w:cs="Arial" w:eastAsia="Arial" w:hAnsi="Arial"/>
          <w:sz w:val="16"/>
          <w:szCs w:val="16"/>
          <w:color w:val="auto"/>
        </w:rPr>
        <w:t>United from time to time purchases loans, primarily through business combination transactions. Some of those purchased loans</w:t>
      </w:r>
      <w:r>
        <w:rPr>
          <w:rFonts w:ascii="Arial" w:cs="Arial" w:eastAsia="Arial" w:hAnsi="Arial"/>
          <w:sz w:val="16"/>
          <w:szCs w:val="16"/>
          <w:b w:val="1"/>
          <w:bCs w:val="1"/>
          <w:color w:val="auto"/>
        </w:rPr>
        <w:t xml:space="preserve"> </w:t>
      </w:r>
      <w:r>
        <w:rPr>
          <w:rFonts w:ascii="Arial" w:cs="Arial" w:eastAsia="Arial" w:hAnsi="Arial"/>
          <w:sz w:val="16"/>
          <w:szCs w:val="16"/>
          <w:color w:val="auto"/>
        </w:rPr>
        <w:t>show evidence of credit deterioration since origination. Purchased loans are recorded at their estimated fair value such that there is no carryover of the seller’s allowance for loan losses. After acquisition, further losses are recognized by an increase in the allowance for loan losses.</w:t>
      </w:r>
    </w:p>
    <w:p>
      <w:pPr>
        <w:spacing w:after="0" w:line="22"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Such purchased loans are accounted for individually or aggregated into pools of loans based on common risk characteristics such as the type of loan. United estimates the amount and timing of expected cash flows for each purchased loan or pool and the expected cash flows in excess of the amount paid is recorded as interest income over the remaining life of the loan or pool (accretable yield). The excess of the loan’s or pool’s contractual principal and interest over expected cash flows is not recorded (nonaccretable difference).</w:t>
      </w:r>
    </w:p>
    <w:p>
      <w:pPr>
        <w:spacing w:after="0" w:line="62" w:lineRule="exact"/>
        <w:rPr>
          <w:rFonts w:ascii="Arial" w:cs="Arial" w:eastAsia="Arial" w:hAnsi="Arial"/>
          <w:sz w:val="18"/>
          <w:szCs w:val="18"/>
          <w:b w:val="1"/>
          <w:bCs w:val="1"/>
          <w:color w:val="auto"/>
        </w:rPr>
      </w:pPr>
    </w:p>
    <w:p>
      <w:pPr>
        <w:ind w:left="4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Over the life of the loan or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1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Loan Losses</w:t>
      </w:r>
    </w:p>
    <w:p>
      <w:pPr>
        <w:spacing w:after="0" w:line="96"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allowance for loan losses is established through a provision for loan losses charged to income. Loans are charged against the allowance for loan losses when available information confirms that the collectability of the principal is unlikely. The allowance represents an amount, which, in management’s judgment, is adequate to absorb probable losses on existing loans as of the date of the balance sheet.</w:t>
      </w:r>
    </w:p>
    <w:p>
      <w:pPr>
        <w:spacing w:after="0" w:line="25" w:lineRule="exact"/>
        <w:rPr>
          <w:rFonts w:ascii="Arial" w:cs="Arial" w:eastAsia="Arial" w:hAnsi="Arial"/>
          <w:sz w:val="18"/>
          <w:szCs w:val="18"/>
          <w:b w:val="1"/>
          <w:bCs w:val="1"/>
          <w:color w:val="auto"/>
        </w:rPr>
      </w:pPr>
    </w:p>
    <w:p>
      <w:pPr>
        <w:ind w:left="460" w:right="1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allowance is composed of general reserves and specific reserves. General reserves are determined by applying loss percentages to the individual loan categories that are based on actual historical loss experience. United uses an eight-quarter weighted average historical loss rate for each major loan category, weighted toward the most recent quarters’ losses.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accruing relationships rated substandard that are greater than $2 million and all Troubled Debt Restructurings (“TDRs”).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38"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w:t>
      </w:r>
    </w:p>
    <w:p>
      <w:pPr>
        <w:spacing w:after="0" w:line="34"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purposes of determining general reserves, United segments the loan portfolio into broad categories with similar risk elements. Those categories and their specific risks are described below.</w:t>
      </w:r>
    </w:p>
    <w:p>
      <w:pPr>
        <w:spacing w:after="0" w:line="44" w:lineRule="exact"/>
        <w:rPr>
          <w:rFonts w:ascii="Arial" w:cs="Arial" w:eastAsia="Arial" w:hAnsi="Arial"/>
          <w:sz w:val="18"/>
          <w:szCs w:val="18"/>
          <w:b w:val="1"/>
          <w:bCs w:val="1"/>
          <w:color w:val="auto"/>
        </w:rPr>
      </w:pPr>
    </w:p>
    <w:p>
      <w:pPr>
        <w:ind w:left="460" w:right="10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(secured by real estate) </w:t>
      </w:r>
      <w:r>
        <w:rPr>
          <w:rFonts w:ascii="Arial" w:cs="Arial" w:eastAsia="Arial" w:hAnsi="Arial"/>
          <w:sz w:val="18"/>
          <w:szCs w:val="18"/>
          <w:color w:val="auto"/>
        </w:rPr>
        <w:t>– Loans in this category are susceptible to declines in general economic conditions, occupancy rates and declines in</w:t>
      </w:r>
      <w:r>
        <w:rPr>
          <w:rFonts w:ascii="Arial" w:cs="Arial" w:eastAsia="Arial" w:hAnsi="Arial"/>
          <w:sz w:val="18"/>
          <w:szCs w:val="18"/>
          <w:b w:val="1"/>
          <w:bCs w:val="1"/>
          <w:color w:val="auto"/>
        </w:rPr>
        <w:t xml:space="preserve"> </w:t>
      </w:r>
      <w:r>
        <w:rPr>
          <w:rFonts w:ascii="Arial" w:cs="Arial" w:eastAsia="Arial" w:hAnsi="Arial"/>
          <w:sz w:val="18"/>
          <w:szCs w:val="18"/>
          <w:color w:val="auto"/>
        </w:rPr>
        <w:t>real estate values. Business failure, lack of a suitable alternative use for the property and environmental contamination are also risks common to this segment of the loan portfolio.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right="6820" w:hanging="452"/>
        <w:spacing w:after="0" w:line="431" w:lineRule="auto"/>
        <w:tabs>
          <w:tab w:leader="none" w:pos="44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Allowance for Loan Losses, continued</w:t>
      </w:r>
    </w:p>
    <w:p>
      <w:pPr>
        <w:jc w:val="both"/>
        <w:ind w:left="460" w:right="220"/>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&amp; industrial </w:t>
      </w:r>
      <w:r>
        <w:rPr>
          <w:rFonts w:ascii="Arial" w:cs="Arial" w:eastAsia="Arial" w:hAnsi="Arial"/>
          <w:sz w:val="16"/>
          <w:szCs w:val="16"/>
          <w:color w:val="auto"/>
        </w:rPr>
        <w:t>– Risks to this loan category include industry concentrations and the inability to monitor the condition of the collateral which</w:t>
      </w:r>
      <w:r>
        <w:rPr>
          <w:rFonts w:ascii="Arial" w:cs="Arial" w:eastAsia="Arial" w:hAnsi="Arial"/>
          <w:sz w:val="16"/>
          <w:szCs w:val="16"/>
          <w:b w:val="1"/>
          <w:bCs w:val="1"/>
          <w:color w:val="auto"/>
        </w:rPr>
        <w:t xml:space="preserve"> </w:t>
      </w:r>
      <w:r>
        <w:rPr>
          <w:rFonts w:ascii="Arial" w:cs="Arial" w:eastAsia="Arial" w:hAnsi="Arial"/>
          <w:sz w:val="16"/>
          <w:szCs w:val="16"/>
          <w:color w:val="auto"/>
        </w:rPr>
        <w:t>often consists of inventory, accounts receivable and other non real estate assets. Equipment and inventory obsolescence can also pose a risk. Declines in general economic conditions and other events can cause cash flows to fall to levels insufficient to service debt.</w:t>
      </w:r>
    </w:p>
    <w:p>
      <w:pPr>
        <w:spacing w:after="0" w:line="16" w:lineRule="exact"/>
        <w:rPr>
          <w:rFonts w:ascii="Arial" w:cs="Arial" w:eastAsia="Arial" w:hAnsi="Arial"/>
          <w:sz w:val="16"/>
          <w:szCs w:val="16"/>
          <w:b w:val="1"/>
          <w:bCs w:val="1"/>
          <w:color w:val="auto"/>
        </w:rPr>
      </w:pPr>
    </w:p>
    <w:p>
      <w:pPr>
        <w:ind w:left="460" w:right="80"/>
        <w:spacing w:after="0" w:line="27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inadequate long-term financing arrangements and declines in real estate values.</w:t>
      </w:r>
    </w:p>
    <w:p>
      <w:pPr>
        <w:spacing w:after="0" w:line="38" w:lineRule="exact"/>
        <w:rPr>
          <w:rFonts w:ascii="Arial" w:cs="Arial" w:eastAsia="Arial" w:hAnsi="Arial"/>
          <w:sz w:val="16"/>
          <w:szCs w:val="16"/>
          <w:b w:val="1"/>
          <w:bCs w:val="1"/>
          <w:color w:val="auto"/>
        </w:rPr>
      </w:pPr>
    </w:p>
    <w:p>
      <w:pPr>
        <w:ind w:left="460" w:right="440"/>
        <w:spacing w:after="0" w:line="33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Residential mortgage </w:t>
      </w:r>
      <w:r>
        <w:rPr>
          <w:rFonts w:ascii="Arial" w:cs="Arial" w:eastAsia="Arial" w:hAnsi="Arial"/>
          <w:sz w:val="16"/>
          <w:szCs w:val="16"/>
          <w:color w:val="auto"/>
        </w:rPr>
        <w:t>– Residential mortgage loans are susceptible to weakening general economic conditions and increases in unemployment rates.</w:t>
      </w:r>
      <w:r>
        <w:rPr>
          <w:rFonts w:ascii="Arial" w:cs="Arial" w:eastAsia="Arial" w:hAnsi="Arial"/>
          <w:sz w:val="16"/>
          <w:szCs w:val="16"/>
          <w:b w:val="1"/>
          <w:bCs w:val="1"/>
          <w:color w:val="auto"/>
        </w:rPr>
        <w:t xml:space="preserve"> </w:t>
      </w:r>
      <w:r>
        <w:rPr>
          <w:rFonts w:ascii="Arial" w:cs="Arial" w:eastAsia="Arial" w:hAnsi="Arial"/>
          <w:sz w:val="16"/>
          <w:szCs w:val="16"/>
          <w:color w:val="auto"/>
        </w:rPr>
        <w:t>Declining real estate values can reduce or eliminate the borrower’s home equity which can be particularly troubling for home equity lines.</w:t>
      </w:r>
    </w:p>
    <w:p>
      <w:pPr>
        <w:spacing w:after="0" w:line="1" w:lineRule="exact"/>
        <w:rPr>
          <w:rFonts w:ascii="Arial" w:cs="Arial" w:eastAsia="Arial" w:hAnsi="Arial"/>
          <w:sz w:val="16"/>
          <w:szCs w:val="16"/>
          <w:b w:val="1"/>
          <w:bCs w:val="1"/>
          <w:color w:val="auto"/>
        </w:rPr>
      </w:pPr>
    </w:p>
    <w:p>
      <w:pPr>
        <w:ind w:left="460" w:right="120"/>
        <w:spacing w:after="0" w:line="27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Residential construction </w:t>
      </w:r>
      <w:r>
        <w:rPr>
          <w:rFonts w:ascii="Arial" w:cs="Arial" w:eastAsia="Arial" w:hAnsi="Arial"/>
          <w:sz w:val="18"/>
          <w:szCs w:val="18"/>
          <w:color w:val="auto"/>
        </w:rPr>
        <w:t>– Residential construction loans are susceptible to the same risks as commercial construction loans. Changes in market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property leads to longer marketing times resulting in higher carrying costs and declining values.</w:t>
      </w:r>
    </w:p>
    <w:p>
      <w:pPr>
        <w:spacing w:after="0" w:line="38" w:lineRule="exact"/>
        <w:rPr>
          <w:rFonts w:ascii="Arial" w:cs="Arial" w:eastAsia="Arial" w:hAnsi="Arial"/>
          <w:sz w:val="16"/>
          <w:szCs w:val="16"/>
          <w:b w:val="1"/>
          <w:bCs w:val="1"/>
          <w:color w:val="auto"/>
        </w:rPr>
      </w:pPr>
    </w:p>
    <w:p>
      <w:pPr>
        <w:ind w:left="460" w:right="80"/>
        <w:spacing w:after="0" w:line="27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Consumer installment </w:t>
      </w:r>
      <w:r>
        <w:rPr>
          <w:rFonts w:ascii="Arial" w:cs="Arial" w:eastAsia="Arial" w:hAnsi="Arial"/>
          <w:sz w:val="18"/>
          <w:szCs w:val="18"/>
          <w:color w:val="auto"/>
        </w:rPr>
        <w:t>– Risks common to consumer installment loans include regulatory risks, unemployment and changes in local economic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the inability to monitor collateral consisting of personal property.</w:t>
      </w:r>
    </w:p>
    <w:p>
      <w:pPr>
        <w:spacing w:after="0" w:line="44" w:lineRule="exact"/>
        <w:rPr>
          <w:rFonts w:ascii="Arial" w:cs="Arial" w:eastAsia="Arial" w:hAnsi="Arial"/>
          <w:sz w:val="16"/>
          <w:szCs w:val="16"/>
          <w:b w:val="1"/>
          <w:bCs w:val="1"/>
          <w:color w:val="auto"/>
        </w:rPr>
      </w:pPr>
    </w:p>
    <w:p>
      <w:pPr>
        <w:ind w:left="460" w:right="14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Management outsources loan review on a rotating basis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25" w:lineRule="exact"/>
        <w:rPr>
          <w:rFonts w:ascii="Arial" w:cs="Arial" w:eastAsia="Arial" w:hAnsi="Arial"/>
          <w:sz w:val="16"/>
          <w:szCs w:val="16"/>
          <w:b w:val="1"/>
          <w:bCs w:val="1"/>
          <w:color w:val="auto"/>
        </w:rPr>
      </w:pPr>
    </w:p>
    <w:p>
      <w:pPr>
        <w:ind w:left="46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Management believes the allowance for loan losses is appropriate at December 31, 2012.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18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Premises and Equipment</w:t>
      </w:r>
    </w:p>
    <w:p>
      <w:pPr>
        <w:spacing w:after="0" w:line="96" w:lineRule="exact"/>
        <w:rPr>
          <w:rFonts w:ascii="Arial" w:cs="Arial" w:eastAsia="Arial" w:hAnsi="Arial"/>
          <w:sz w:val="16"/>
          <w:szCs w:val="16"/>
          <w:b w:val="1"/>
          <w:bCs w:val="1"/>
          <w:color w:val="auto"/>
        </w:rPr>
      </w:pPr>
    </w:p>
    <w:p>
      <w:pPr>
        <w:ind w:left="460" w:right="3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8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Goodwill and Other Intangible Assets</w:t>
      </w:r>
    </w:p>
    <w:p>
      <w:pPr>
        <w:spacing w:after="0" w:line="96" w:lineRule="exact"/>
        <w:rPr>
          <w:rFonts w:ascii="Arial" w:cs="Arial" w:eastAsia="Arial" w:hAnsi="Arial"/>
          <w:sz w:val="16"/>
          <w:szCs w:val="16"/>
          <w:b w:val="1"/>
          <w:bCs w:val="1"/>
          <w:color w:val="auto"/>
        </w:rPr>
      </w:pPr>
    </w:p>
    <w:p>
      <w:pPr>
        <w:ind w:left="460" w:right="24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 Impairment tests may be performed more often if events or circumstances indicate impairment may exist.</w:t>
      </w:r>
    </w:p>
    <w:p>
      <w:pPr>
        <w:spacing w:after="0" w:line="25" w:lineRule="exact"/>
        <w:rPr>
          <w:rFonts w:ascii="Arial" w:cs="Arial" w:eastAsia="Arial" w:hAnsi="Arial"/>
          <w:sz w:val="16"/>
          <w:szCs w:val="16"/>
          <w:b w:val="1"/>
          <w:bCs w:val="1"/>
          <w:color w:val="auto"/>
        </w:rPr>
      </w:pPr>
    </w:p>
    <w:p>
      <w:pPr>
        <w:ind w:left="46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10 years. The remaining useful lives of core deposit intangibles are evaluated periodically to determine whether events and circumstances warrant a revision to the remaining period of amortization.</w:t>
      </w:r>
    </w:p>
    <w:p>
      <w:pPr>
        <w:spacing w:after="0" w:line="18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Foreclosed Properties</w:t>
      </w:r>
    </w:p>
    <w:p>
      <w:pPr>
        <w:spacing w:after="0" w:line="96" w:lineRule="exact"/>
        <w:rPr>
          <w:rFonts w:ascii="Arial" w:cs="Arial" w:eastAsia="Arial" w:hAnsi="Arial"/>
          <w:sz w:val="16"/>
          <w:szCs w:val="16"/>
          <w:b w:val="1"/>
          <w:bCs w:val="1"/>
          <w:color w:val="auto"/>
        </w:rPr>
      </w:pPr>
    </w:p>
    <w:p>
      <w:pPr>
        <w:ind w:left="460" w:right="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(“ASC 360-20”).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Financial Assets</w:t>
      </w:r>
    </w:p>
    <w:p>
      <w:pPr>
        <w:spacing w:after="0" w:line="96"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FHLB Stock</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Bank is a member of the FHLB system. Members are required to own a certain amount of stock based on the level of borrowings and other factors, and may invest in additional amounts. FHLB stock is carried at cost, classified as a restricted security, and periodically evaluated for impairment based on the ultimate recovery of par value. Both cash and stock dividends are reported as income. United’s FHLB stock is included in the balance of “other assets” in the consolidated balance sheet.</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Owned Life Insurance</w:t>
      </w:r>
    </w:p>
    <w:p>
      <w:pPr>
        <w:spacing w:after="0" w:line="96"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has purchased life insurance policies on certain key executives and members of management.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Commitments and Related Financial Instruments</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Short-term Borrowings</w:t>
      </w:r>
    </w:p>
    <w:p>
      <w:pPr>
        <w:spacing w:after="0" w:line="96" w:lineRule="exact"/>
        <w:rPr>
          <w:rFonts w:ascii="Arial" w:cs="Arial" w:eastAsia="Arial" w:hAnsi="Arial"/>
          <w:sz w:val="18"/>
          <w:szCs w:val="18"/>
          <w:b w:val="1"/>
          <w:bCs w:val="1"/>
          <w:color w:val="auto"/>
        </w:rPr>
      </w:pPr>
    </w:p>
    <w:p>
      <w:pPr>
        <w:ind w:left="460" w:right="6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United uses a number of short-term funding sources to meet its funding needs. Short-term borrowings generally consist of federal funds purchased, repurchase agreements and other short-term borrowings.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6"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61" w:lineRule="exact"/>
        <w:rPr>
          <w:rFonts w:ascii="Arial" w:cs="Arial" w:eastAsia="Arial" w:hAnsi="Arial"/>
          <w:sz w:val="18"/>
          <w:szCs w:val="18"/>
          <w:b w:val="1"/>
          <w:bCs w:val="1"/>
          <w:color w:val="auto"/>
        </w:rPr>
      </w:pPr>
    </w:p>
    <w:p>
      <w:pPr>
        <w:ind w:left="46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income tax benefit or expense is the total of the current year income tax due or refundable and the change in deferred tax assets and liabilities.</w:t>
      </w:r>
    </w:p>
    <w:p>
      <w:pPr>
        <w:spacing w:after="0" w:line="113"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United recognizes interest and / or penalties related to income tax matters in income tax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Banking Derivatives</w:t>
      </w:r>
    </w:p>
    <w:p>
      <w:pPr>
        <w:spacing w:after="0" w:line="96" w:lineRule="exact"/>
        <w:rPr>
          <w:rFonts w:ascii="Arial" w:cs="Arial" w:eastAsia="Arial" w:hAnsi="Arial"/>
          <w:sz w:val="18"/>
          <w:szCs w:val="18"/>
          <w:b w:val="1"/>
          <w:bCs w:val="1"/>
          <w:color w:val="auto"/>
        </w:rPr>
      </w:pPr>
    </w:p>
    <w:p>
      <w:pPr>
        <w:ind w:left="460" w:right="1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Commitments to fund mortgage loans (interest rate locks) to be sold into the secondary market and forward commitments for the future delivery of these mortgage loans are accounted for as free standing derivatives. Fair values of these mortgage derivatives are estimated based on changes in mortgage interest rates from the date the interest rate on the loan is locked. United enters into forward commitments for the future delivery of mortgage loans when interest rate locks are entered into in order to hedge the change in interest rates resulting from its commitments to fund the loans. United’s forward commitments for the future delivery of mortgage loans are based on United’s “best efforts” and therefore United is not penalized if a loan is not delivered to the investor if the loan did not get originated. Changes in the fair values of these derivatives generally offset each other and are included in “mortgage loan and other related fees” in the consolidated statement of operations.</w:t>
      </w:r>
    </w:p>
    <w:p>
      <w:pPr>
        <w:spacing w:after="0" w:line="1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rFonts w:ascii="Arial" w:cs="Arial" w:eastAsia="Arial" w:hAnsi="Arial"/>
          <w:sz w:val="18"/>
          <w:szCs w:val="18"/>
          <w:b w:val="1"/>
          <w:bCs w:val="1"/>
          <w:color w:val="auto"/>
        </w:rPr>
      </w:pPr>
    </w:p>
    <w:p>
      <w:pPr>
        <w:ind w:left="4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31"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w:t>
      </w:r>
    </w:p>
    <w:p>
      <w:pPr>
        <w:spacing w:after="0" w:line="50"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Interest rate swaps generally involve the exchange of fixed- and variable-rate interest payments between two parties, based on a common notional principal amount and maturity date.</w:t>
      </w:r>
    </w:p>
    <w:p>
      <w:pPr>
        <w:spacing w:after="0" w:line="50" w:lineRule="exact"/>
        <w:rPr>
          <w:rFonts w:ascii="Arial" w:cs="Arial" w:eastAsia="Arial" w:hAnsi="Arial"/>
          <w:sz w:val="18"/>
          <w:szCs w:val="18"/>
          <w:b w:val="1"/>
          <w:bCs w:val="1"/>
          <w:color w:val="auto"/>
        </w:rPr>
      </w:pPr>
    </w:p>
    <w:p>
      <w:pPr>
        <w:jc w:val="both"/>
        <w:ind w:left="460" w:right="2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w:t>
      </w:r>
    </w:p>
    <w:p>
      <w:pPr>
        <w:spacing w:after="0" w:line="1" w:lineRule="exact"/>
        <w:rPr>
          <w:rFonts w:ascii="Arial" w:cs="Arial" w:eastAsia="Arial" w:hAnsi="Arial"/>
          <w:sz w:val="18"/>
          <w:szCs w:val="18"/>
          <w:b w:val="1"/>
          <w:bCs w:val="1"/>
          <w:color w:val="auto"/>
        </w:rPr>
      </w:pPr>
    </w:p>
    <w:p>
      <w:pPr>
        <w:ind w:left="460" w:right="5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United’s hedging strategies involving interest rate derivatives are classified as either Fair Value Hedges or Cash Flow Hedges, depending on the rate characteristics of the hedged item.</w:t>
      </w:r>
    </w:p>
    <w:p>
      <w:pPr>
        <w:spacing w:after="0" w:line="50" w:lineRule="exact"/>
        <w:rPr>
          <w:rFonts w:ascii="Arial" w:cs="Arial" w:eastAsia="Arial" w:hAnsi="Arial"/>
          <w:sz w:val="18"/>
          <w:szCs w:val="18"/>
          <w:b w:val="1"/>
          <w:bCs w:val="1"/>
          <w:color w:val="auto"/>
        </w:rPr>
      </w:pPr>
    </w:p>
    <w:p>
      <w:pPr>
        <w:ind w:left="460" w:right="8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Hedge: </w:t>
      </w:r>
      <w:r>
        <w:rPr>
          <w:rFonts w:ascii="Arial" w:cs="Arial" w:eastAsia="Arial" w:hAnsi="Arial"/>
          <w:sz w:val="18"/>
          <w:szCs w:val="18"/>
          <w:color w:val="auto"/>
        </w:rPr>
        <w:t>As a result of interest rate fluctuations, fixed-rate assets and liabilities will appreciate or depreciate in fair value.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this appreciation or depreciation will generally be offset by fluctuations in the fair value of the derivative instruments that are linked to the hedged assets and liabilities. This strategy is referred to as a fair value hedge.</w:t>
      </w:r>
    </w:p>
    <w:p>
      <w:pPr>
        <w:spacing w:after="0" w:line="51" w:lineRule="exact"/>
        <w:rPr>
          <w:rFonts w:ascii="Arial" w:cs="Arial" w:eastAsia="Arial" w:hAnsi="Arial"/>
          <w:sz w:val="18"/>
          <w:szCs w:val="18"/>
          <w:b w:val="1"/>
          <w:bCs w:val="1"/>
          <w:color w:val="auto"/>
        </w:rPr>
      </w:pPr>
    </w:p>
    <w:p>
      <w:pPr>
        <w:ind w:left="460" w:right="500"/>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Cash Flow Hedge: </w:t>
      </w:r>
      <w:r>
        <w:rPr>
          <w:rFonts w:ascii="Arial" w:cs="Arial" w:eastAsia="Arial" w:hAnsi="Arial"/>
          <w:sz w:val="16"/>
          <w:szCs w:val="16"/>
          <w:color w:val="auto"/>
        </w:rPr>
        <w:t>Cash flows related to floating-rate assets and liabilities will fluctuate with changes in an underlying rate index. When effectively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hedged, the increases or decreases in cash flows related to the floating rate asset or liability will generally be offset by changes in cash flows of the derivative instrument designated as a hedge. This strategy is referred to as a cash flow hedge.</w:t>
      </w:r>
    </w:p>
    <w:p>
      <w:pPr>
        <w:spacing w:after="0" w:line="22"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63"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62"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intended as a hedge are accounted for in the net income of the period of the change.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96" w:lineRule="exact"/>
        <w:rPr>
          <w:rFonts w:ascii="Arial" w:cs="Arial" w:eastAsia="Arial" w:hAnsi="Arial"/>
          <w:sz w:val="18"/>
          <w:szCs w:val="18"/>
          <w:b w:val="1"/>
          <w:bCs w:val="1"/>
          <w:color w:val="auto"/>
        </w:rPr>
      </w:pPr>
    </w:p>
    <w:p>
      <w:pPr>
        <w:ind w:left="460" w:right="2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Basic earnings per common share is net income (loss) available to common shareholders divided by the weighted average number of common shares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Diluted earnings per common share includes the dilutive effect of additional potential common shares issuable under stock options, warrants and securities convertible into common stock.</w:t>
      </w:r>
    </w:p>
    <w:p>
      <w:pPr>
        <w:spacing w:after="0" w:line="1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Contingencies</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Cash</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portion of the cash on hand and on deposit with the Federal Reserve Bank was required to meet regulatory reserve requirements.</w:t>
      </w:r>
    </w:p>
    <w:p>
      <w:pPr>
        <w:spacing w:after="0" w:line="2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Restrictions</w:t>
      </w:r>
    </w:p>
    <w:p>
      <w:pPr>
        <w:spacing w:after="0" w:line="96" w:lineRule="exact"/>
        <w:rPr>
          <w:rFonts w:ascii="Arial" w:cs="Arial" w:eastAsia="Arial" w:hAnsi="Arial"/>
          <w:sz w:val="18"/>
          <w:szCs w:val="18"/>
          <w:b w:val="1"/>
          <w:bCs w:val="1"/>
          <w:color w:val="auto"/>
        </w:rPr>
      </w:pPr>
    </w:p>
    <w:p>
      <w:pPr>
        <w:ind w:left="46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Banking regulations require maintaining certain capital levels and may limit dividends paid by the Bank to United or by United to shareholders. United is currently required to obtain approval of the Federal Reserve Bank and the Georgia Department of Banking and Finance before declaring any dividends from the holding company. Additionally, the Bank may not pay a dividend to United without first receiving approval from the FDIC and the Georgia Department of Banking and Finance.</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96" w:lineRule="exact"/>
        <w:rPr>
          <w:rFonts w:ascii="Arial" w:cs="Arial" w:eastAsia="Arial" w:hAnsi="Arial"/>
          <w:sz w:val="18"/>
          <w:szCs w:val="18"/>
          <w:b w:val="1"/>
          <w:bCs w:val="1"/>
          <w:color w:val="auto"/>
        </w:rPr>
      </w:pPr>
    </w:p>
    <w:p>
      <w:pPr>
        <w:ind w:left="46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23.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the fair value method of recognizing expense for stock-based compensation based on the fair value of option and restricted stock awards at the date of grant as prescribed by Accounting Standards Codification Topic 781-10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Comprehensive Income</w:t>
      </w:r>
    </w:p>
    <w:p>
      <w:pPr>
        <w:spacing w:after="0" w:line="96"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GAAP normally requires that recognized revenues, expenses, gains and losses be included in net income. In addition to net income, other components of comprehensive income include the after-tax effect of changes in unrealized gains and losses on available for sale securities and derivative financial instruments accounted for as cash flow hedges. These items are reported as a separate component of shareholders’ equity. United presents comprehensive income in a separate statement of comprehensive income.</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Reclassifications and Reverse Stock Split</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Certain 2011 and 2010 amounts have been reclassified to conform to the 2012 presentation. 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In October 2012, the FASB issued Accounting Standards Update No. 2012-06, </w:t>
      </w:r>
      <w:r>
        <w:rPr>
          <w:rFonts w:ascii="Arial" w:cs="Arial" w:eastAsia="Arial" w:hAnsi="Arial"/>
          <w:sz w:val="16"/>
          <w:szCs w:val="16"/>
          <w:i w:val="1"/>
          <w:iCs w:val="1"/>
          <w:color w:val="auto"/>
        </w:rPr>
        <w:t>Subsequent Accounting for an Indemnification Asset Recognized at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 Date as a Result of a Government-Assisted Acquisition of a Financial Institution. </w:t>
      </w:r>
      <w:r>
        <w:rPr>
          <w:rFonts w:ascii="Arial" w:cs="Arial" w:eastAsia="Arial" w:hAnsi="Arial"/>
          <w:sz w:val="16"/>
          <w:szCs w:val="16"/>
          <w:color w:val="auto"/>
        </w:rPr>
        <w:t>The guidance clarified that any amortization of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an indemnification asset should be recorded over the lesser of the term of the indemnification agreement and the remaining life of the indemnified assets. ASU No. 2012-06 is effective for fiscal years and interim periods within those years, beginning on or after December 15, 2012. This guidance is not expected to have a material impact on United’s financial position, results of operations, or disclosures.</w:t>
      </w:r>
    </w:p>
    <w:p>
      <w:pPr>
        <w:spacing w:after="0" w:line="34"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In January 2013, the FASB issued Accounting Standards Update No. 2013-01, </w:t>
      </w:r>
      <w:r>
        <w:rPr>
          <w:rFonts w:ascii="Arial" w:cs="Arial" w:eastAsia="Arial" w:hAnsi="Arial"/>
          <w:sz w:val="16"/>
          <w:szCs w:val="16"/>
          <w:i w:val="1"/>
          <w:iCs w:val="1"/>
          <w:color w:val="auto"/>
        </w:rPr>
        <w:t>Clarifying the Scope of Disclosures about Offsetting Assets and Liabilities.</w:t>
      </w:r>
      <w:r>
        <w:rPr>
          <w:rFonts w:ascii="Arial" w:cs="Arial" w:eastAsia="Arial" w:hAnsi="Arial"/>
          <w:sz w:val="16"/>
          <w:szCs w:val="16"/>
          <w:color w:val="auto"/>
        </w:rPr>
        <w:t xml:space="preserve"> This ASU limits the scope of the new balance sheet offsetting disclosures to derivatives, repurchase agreements, and securities lending transactions to the extent that they are (1) offset in the financial statements or (2) subject to an enforceable master netting agreement. The disclosure requirements are effective for annual reporting periods beginning on or after January 1, 2013 and interim periods within those annual periods. United is currently evaluating the impact this guidance will have on its financial position and disclosures. It is not expected to have an impact on the results of operations.</w:t>
      </w:r>
    </w:p>
    <w:p>
      <w:pPr>
        <w:spacing w:after="0" w:line="34" w:lineRule="exact"/>
        <w:rPr>
          <w:rFonts w:ascii="Arial" w:cs="Arial" w:eastAsia="Arial" w:hAnsi="Arial"/>
          <w:sz w:val="18"/>
          <w:szCs w:val="18"/>
          <w:b w:val="1"/>
          <w:bCs w:val="1"/>
          <w:color w:val="auto"/>
        </w:rPr>
      </w:pPr>
    </w:p>
    <w:p>
      <w:pPr>
        <w:ind w:left="4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February 2013, the FASB issued Accounting Standards Update No. 2013-02, </w:t>
      </w:r>
      <w:r>
        <w:rPr>
          <w:rFonts w:ascii="Arial" w:cs="Arial" w:eastAsia="Arial" w:hAnsi="Arial"/>
          <w:sz w:val="18"/>
          <w:szCs w:val="18"/>
          <w:i w:val="1"/>
          <w:iCs w:val="1"/>
          <w:color w:val="auto"/>
        </w:rPr>
        <w:t>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amendments in this update require an entity to provide information about the amounts reclassified out of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by component and by the respective line items of net income. The standard is effective for fiscal years, and interim periods within those years, beginning after December 15, 2012. This guidance is not expected to have a material impact on United’s financial position, results of operations, or disclosures.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96" w:lineRule="exact"/>
        <w:rPr>
          <w:rFonts w:ascii="Arial" w:cs="Arial" w:eastAsia="Arial" w:hAnsi="Arial"/>
          <w:sz w:val="18"/>
          <w:szCs w:val="18"/>
          <w:b w:val="1"/>
          <w:bCs w:val="1"/>
          <w:color w:val="auto"/>
        </w:rPr>
      </w:pPr>
    </w:p>
    <w:p>
      <w:pPr>
        <w:ind w:left="46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June 19, 2009, the Bank purchased substantially all the assets and assumed substantially all the liabilities of Southern Community Bank (“SCB”) from the FDIC, as Receiver of SCB. UCB and the FDIC entered into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34"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Under the loss sharing agreements, the portion of the losses expected to be indemnified by the FDIC is considered an indemnification asset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 year average life. No valuation allowance was required.</w:t>
      </w:r>
    </w:p>
    <w:p>
      <w:pPr>
        <w:spacing w:after="0" w:line="34"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table below shows the components of covered assets at December 31,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0"/>
              </w:rPr>
              <w:t>Purchased</w:t>
            </w: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Impaired</w:t>
            </w: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Loans</w:t>
            </w: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December 31, 2012</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$ 22,823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405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covered loans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521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Covered foreclosed property</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loss reimbursement from the FDIC</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Total covered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521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$ 32,895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14,051</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December 31, 2011</w:t>
            </w:r>
          </w:p>
        </w:tc>
        <w:tc>
          <w:tcPr>
            <w:tcW w:w="5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$ 32,934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547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10,592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5</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covered loans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53,785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Covered foreclosed property</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loss reimbursement from the FDIC</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13,292</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Total covered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$ 53,785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23,663</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2012, 2011 and 2010, non-accrual loans having a value of $34.0 million, $65.7 million and $238 million, respectively, were transferred to foreclosed property. Also, during 2012, 2011 and 2010, United financed the sale of foreclosed properties with loans totaling $9.40 million, $21.1 million and $56.9 million, respectively.</w:t>
      </w:r>
    </w:p>
    <w:p>
      <w:pPr>
        <w:spacing w:after="0" w:line="59"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United accounts for securities transactions on the trade date. At December 31, 2012, United had sold $5.76 million in securities that had not settled. At December 31, 2011, United had $10.3 million in securities purchases that had not settled.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Repurchase Agreements/Securities Lending Transactions</w:t>
      </w:r>
    </w:p>
    <w:p>
      <w:pPr>
        <w:spacing w:after="0" w:line="96" w:lineRule="exact"/>
        <w:rPr>
          <w:rFonts w:ascii="Arial" w:cs="Arial" w:eastAsia="Arial" w:hAnsi="Arial"/>
          <w:sz w:val="18"/>
          <w:szCs w:val="18"/>
          <w:b w:val="1"/>
          <w:bCs w:val="1"/>
          <w:color w:val="auto"/>
        </w:rPr>
      </w:pPr>
    </w:p>
    <w:p>
      <w:pPr>
        <w:ind w:left="460" w:right="18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Offsetting.</w:t>
      </w:r>
    </w:p>
    <w:p>
      <w:pPr>
        <w:spacing w:after="0" w:line="7" w:lineRule="exact"/>
        <w:rPr>
          <w:rFonts w:ascii="Arial" w:cs="Arial" w:eastAsia="Arial" w:hAnsi="Arial"/>
          <w:sz w:val="18"/>
          <w:szCs w:val="18"/>
          <w:b w:val="1"/>
          <w:bCs w:val="1"/>
          <w:color w:val="auto"/>
        </w:rPr>
      </w:pPr>
    </w:p>
    <w:p>
      <w:pPr>
        <w:ind w:left="460"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presents a summary of amounts outstanding under reverse repurchase agreements and securities lending transactions including those entered into in connection with the same counterparty under master netting agreements as of December 31, 2012 and 2011 </w:t>
      </w:r>
      <w:r>
        <w:rPr>
          <w:rFonts w:ascii="Arial" w:cs="Arial" w:eastAsia="Arial" w:hAnsi="Arial"/>
          <w:sz w:val="16"/>
          <w:szCs w:val="16"/>
          <w:i w:val="1"/>
          <w:iCs w:val="1"/>
          <w:color w:val="auto"/>
        </w:rPr>
        <w:t>(in thousands).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7"/>
              </w:rPr>
              <w:t>Net Balance</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56"/>
        </w:trPr>
        <w:tc>
          <w:tcPr>
            <w:tcW w:w="62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December 31, 2012</w:t>
            </w: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w w:val="92"/>
              </w:rPr>
              <w:t>Repurchase agreements / reverse repurchase agreements subject to master netting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jc w:val="center"/>
              <w:ind w:right="4960"/>
              <w:spacing w:after="0"/>
              <w:rPr>
                <w:sz w:val="20"/>
                <w:szCs w:val="20"/>
                <w:color w:val="auto"/>
              </w:rPr>
            </w:pPr>
            <w:r>
              <w:rPr>
                <w:rFonts w:ascii="Arial" w:cs="Arial" w:eastAsia="Arial" w:hAnsi="Arial"/>
                <w:sz w:val="18"/>
                <w:szCs w:val="18"/>
                <w:color w:val="auto"/>
                <w:w w:val="84"/>
              </w:rPr>
              <w:t>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265,000</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265,000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Offsetting securities lending transactions subject to master netting arrangements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Other reverse repurchase agreements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jc w:val="center"/>
              <w:ind w:right="4960"/>
              <w:spacing w:after="0"/>
              <w:rPr>
                <w:sz w:val="20"/>
                <w:szCs w:val="20"/>
                <w:color w:val="auto"/>
              </w:rPr>
            </w:pPr>
            <w:r>
              <w:rPr>
                <w:rFonts w:ascii="Arial" w:cs="Arial" w:eastAsia="Arial" w:hAnsi="Arial"/>
                <w:sz w:val="18"/>
                <w:szCs w:val="18"/>
                <w:color w:val="auto"/>
                <w:w w:val="89"/>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315,000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interest rate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December 31, 2011</w:t>
            </w:r>
          </w:p>
        </w:tc>
        <w:tc>
          <w:tcPr>
            <w:tcW w:w="4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w w:val="92"/>
              </w:rPr>
              <w:t>Repurchase agreements / reverse repurchase agreements subject to master netting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jc w:val="center"/>
              <w:ind w:right="4960"/>
              <w:spacing w:after="0"/>
              <w:rPr>
                <w:sz w:val="20"/>
                <w:szCs w:val="20"/>
                <w:color w:val="auto"/>
              </w:rPr>
            </w:pPr>
            <w:r>
              <w:rPr>
                <w:rFonts w:ascii="Arial" w:cs="Arial" w:eastAsia="Arial" w:hAnsi="Arial"/>
                <w:sz w:val="18"/>
                <w:szCs w:val="18"/>
                <w:color w:val="auto"/>
                <w:w w:val="84"/>
              </w:rPr>
              <w:t>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60,000</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reverse repurchase agreements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jc w:val="center"/>
              <w:ind w:right="4960"/>
              <w:spacing w:after="0"/>
              <w:rPr>
                <w:sz w:val="20"/>
                <w:szCs w:val="20"/>
                <w:color w:val="auto"/>
              </w:rPr>
            </w:pPr>
            <w:r>
              <w:rPr>
                <w:rFonts w:ascii="Arial" w:cs="Arial" w:eastAsia="Arial" w:hAnsi="Arial"/>
                <w:sz w:val="18"/>
                <w:szCs w:val="18"/>
                <w:color w:val="auto"/>
                <w:w w:val="89"/>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245,000</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2010, securities available for sale with a fair value of $315 million were transferred to held to maturity. The securities were transferred at their fair value on the date of transfer. The unrealized gain of $7.1 million on the transferred securities is being amortized into interest revenue as an adjustment to the yield on those securities over the remaining life of the transferred securities.</w:t>
      </w:r>
    </w:p>
    <w:p>
      <w:pPr>
        <w:spacing w:after="0" w:line="59"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both December 31, 2012 and 2011, securities with a carrying value of $1.40 billion and $1.72 billion, respectively, were pledged to secure public deposits, derivatives and other secured borrowings. Substantial borrowing capacity remains available under borrowing arrangements with the FHLB with currently pledged securities.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cost basis, unrealized gains and losses, and fair value of securities held to maturity at December 31, 2012 and 2011 are listed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76"/>
        </w:trPr>
        <w:tc>
          <w:tcPr>
            <w:tcW w:w="182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As of December 31, 2012</w:t>
            </w:r>
          </w:p>
        </w:tc>
        <w:tc>
          <w:tcPr>
            <w:tcW w:w="4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51,780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5,486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57,266</w:t>
            </w: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192,404</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11,461</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203,865</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gridSpan w:val="3"/>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244,184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16,947</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261,131</w:t>
            </w:r>
          </w:p>
        </w:tc>
        <w:tc>
          <w:tcPr>
            <w:tcW w:w="100" w:type="dxa"/>
            <w:vAlign w:val="bottom"/>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63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 of December 31, 2011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18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273,300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342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282,577</w:t>
            </w:r>
          </w:p>
        </w:tc>
        <w:tc>
          <w:tcPr>
            <w:tcW w:w="100" w:type="dxa"/>
            <w:vAlign w:val="bottom"/>
          </w:tcPr>
          <w:p>
            <w:pPr>
              <w:spacing w:after="0"/>
              <w:rPr>
                <w:sz w:val="19"/>
                <w:szCs w:val="19"/>
                <w:color w:val="auto"/>
              </w:rPr>
            </w:pPr>
          </w:p>
        </w:tc>
      </w:tr>
      <w:tr>
        <w:trPr>
          <w:trHeight w:val="216"/>
        </w:trPr>
        <w:tc>
          <w:tcPr>
            <w:tcW w:w="63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330,203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13,683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355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343,531</w:t>
            </w:r>
          </w:p>
        </w:tc>
        <w:tc>
          <w:tcPr>
            <w:tcW w:w="100" w:type="dxa"/>
            <w:vAlign w:val="bottom"/>
            <w:shd w:val="clear" w:color="auto" w:fill="CCEEFF"/>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pacing w:after="0" w:line="155"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6"/>
          <w:szCs w:val="16"/>
          <w:color w:val="auto"/>
        </w:rPr>
        <w:t xml:space="preserve">The cost basis, unrealized gains and losses, and fair value of securities available for sale at December 31, 2012 and 2011 are listed below </w:t>
      </w:r>
      <w:r>
        <w:rPr>
          <w:rFonts w:ascii="Arial" w:cs="Arial" w:eastAsia="Arial" w:hAnsi="Arial"/>
          <w:sz w:val="16"/>
          <w:szCs w:val="16"/>
          <w:i w:val="1"/>
          <w:iCs w:val="1"/>
          <w:color w:val="auto"/>
        </w:rPr>
        <w:t>(in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6"/>
        </w:trPr>
        <w:tc>
          <w:tcPr>
            <w:tcW w:w="182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As of December 31, 2012</w:t>
            </w:r>
          </w:p>
        </w:tc>
        <w:tc>
          <w:tcPr>
            <w:tcW w:w="4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27,717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1,354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1,408,042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1,428,502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169,783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1,817,774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26,852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1,576,064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33,988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119,110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3"/>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1,766,134</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35,491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11,578</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1,790,047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pacing w:after="0" w:line="155" w:lineRule="exact"/>
        <w:rPr>
          <w:rFonts w:ascii="Arial" w:cs="Arial" w:eastAsia="Arial" w:hAnsi="Arial"/>
          <w:sz w:val="22"/>
          <w:szCs w:val="22"/>
          <w:color w:val="auto"/>
          <w:vertAlign w:val="superscript"/>
        </w:rPr>
      </w:pPr>
    </w:p>
    <w:p>
      <w:pPr>
        <w:ind w:left="460"/>
        <w:spacing w:after="0" w:line="289" w:lineRule="auto"/>
        <w:rPr>
          <w:rFonts w:ascii="Arial" w:cs="Arial" w:eastAsia="Arial" w:hAnsi="Arial"/>
          <w:sz w:val="22"/>
          <w:szCs w:val="22"/>
          <w:color w:val="auto"/>
          <w:vertAlign w:val="superscript"/>
        </w:rPr>
      </w:pPr>
      <w:r>
        <w:rPr>
          <w:rFonts w:ascii="Arial" w:cs="Arial" w:eastAsia="Arial" w:hAnsi="Arial"/>
          <w:sz w:val="16"/>
          <w:szCs w:val="16"/>
          <w:color w:val="auto"/>
        </w:rPr>
        <w:t>Effective July 1, 2012, United changed the time period over which it amortizes premiums on pass through mortgage backed securities. Previously, United amortized premiums over the average life of the securities, which resulted in the recognition of greater amortization charges in the early years of the bond’s life. The effect on amortization of management’s recent strategy of purchasing high premium securities to protect net interest revenue in the event of rising interest rates led management to the decision to change the amortization period. Effective July 1, 2012, United began amortizing premiums on these securities to the final payment window date as published by Bloomberg. Management believes that the premium amortization charges resulting from amortizing to the final payment window date, together with the related premium amortization on principal pay-downs, more closely approach the level yield amortization required by GAAP, particularly as it relates to these securities. The change in accounting estimate increased interest revenue on investment securities in the third quarter of 2012 by approximately $2 million and earnings per share by $.03.</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44"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There were no held to maturity securities in an unrealized loss position as of December 31, 2012. The following summarizes securities held to maturity in an unrealized loss position as of December 31,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Less than 12 Months</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4"/>
              </w:rPr>
              <w:t>12 Months or More</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Loss</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Loss</w:t>
            </w:r>
          </w:p>
        </w:tc>
        <w:tc>
          <w:tcPr>
            <w:tcW w:w="3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r>
      <w:tr>
        <w:trPr>
          <w:trHeight w:val="176"/>
        </w:trPr>
        <w:tc>
          <w:tcPr>
            <w:tcW w:w="20" w:type="dxa"/>
            <w:vAlign w:val="bottom"/>
          </w:tcPr>
          <w:p>
            <w:pPr>
              <w:spacing w:after="0"/>
              <w:rPr>
                <w:sz w:val="15"/>
                <w:szCs w:val="15"/>
                <w:color w:val="auto"/>
              </w:rPr>
            </w:pPr>
          </w:p>
        </w:tc>
        <w:tc>
          <w:tcPr>
            <w:tcW w:w="18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 of December 31, 2011</w:t>
            </w:r>
          </w:p>
        </w:tc>
        <w:tc>
          <w:tcPr>
            <w:tcW w:w="38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342</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342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11,330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summarizes securities available for sale in an unrealized loss position as of December 31,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2"/>
              </w:rPr>
              <w:t>Less than 12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12 Months or More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Loss</w:t>
            </w:r>
          </w:p>
        </w:tc>
        <w:tc>
          <w:tcPr>
            <w:tcW w:w="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Loss</w:t>
            </w:r>
          </w:p>
        </w:tc>
        <w:tc>
          <w:tcPr>
            <w:tcW w:w="16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r>
      <w:tr>
        <w:trPr>
          <w:trHeight w:val="176"/>
        </w:trPr>
        <w:tc>
          <w:tcPr>
            <w:tcW w:w="20" w:type="dxa"/>
            <w:vAlign w:val="bottom"/>
          </w:tcPr>
          <w:p>
            <w:pPr>
              <w:spacing w:after="0"/>
              <w:rPr>
                <w:sz w:val="15"/>
                <w:szCs w:val="15"/>
                <w:color w:val="auto"/>
              </w:rPr>
            </w:pPr>
          </w:p>
        </w:tc>
        <w:tc>
          <w:tcPr>
            <w:tcW w:w="18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 of December 31, 2012</w:t>
            </w:r>
          </w:p>
        </w:tc>
        <w:tc>
          <w:tcPr>
            <w:tcW w:w="4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3,684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326,485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326,485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93,903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115,151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82,188</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433,595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93,913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7,039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527,508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10,033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As of December 31, 2011</w:t>
            </w:r>
          </w:p>
        </w:tc>
        <w:tc>
          <w:tcPr>
            <w:tcW w:w="4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22,719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64,765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107,629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11,432</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141,551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87,495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229,046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At December 31, 2012, there were 68 available for sale securities that were in an unrealized loss position. United does not intend to sell nor believes it will be required to sell securities in an unrealized loss position prior to the recovery of its amortized cost basis. Unrealized losses at December 31, 2012 were primarily attributable to changes in interest rates. Unrealized losses at December 31, 2011 are primarily related to changes in interest rates, however the unrealized losses in corporate bonds also reflect downgrades in the underlying securities ratings. The bonds remain above investment grade and United does not consider them to be impaired.</w:t>
      </w:r>
    </w:p>
    <w:p>
      <w:pPr>
        <w:spacing w:after="0" w:line="62"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2010, United recorded impairment losses of $950,000 on investments in financial institutions that failed or otherwise showed evidence of other-than-temporary impairment. No impairment charges were recognized during 2012 or 2011.</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Realized gains and losses are derived using the specific identification method for determining the cost of the securities sold.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securities sales activities for the years ended December 31, 2012, 2011 and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469,167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128,217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gains on sales of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Income tax expense attributable to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At year-end 2012 and 2011, there were no holdings of securities of any one issuer, other than the U.S. Government and its agencies, in an amount greater than 10% of shareholders’ equity.</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 xml:space="preserve">The amortized cost and fair value of available for sale and held to maturity securities at December 31, 2012,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State and political subdivisions:</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Within 1 year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5,334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15,962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6,823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26,054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28,819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18,605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29,052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51,780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57,266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38,103</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115,504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163,662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50,071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140,724</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209,411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210,556</w:t>
            </w: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Within 1 year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5,334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103,387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104,136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263,051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33,570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16,642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1,408,042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1,428,502</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192,404</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203,865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1,817,774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1,834,593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244,184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261,131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60"/>
          </w:cols>
          <w:pgMar w:left="240" w:top="459"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loans at December 31, 2012 and 2011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$1,813,365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$1,821,414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458,246</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6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2,426,380</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1,214,203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381,677</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60" w:type="dxa"/>
            <w:vAlign w:val="bottom"/>
          </w:tcPr>
          <w:p>
            <w:pPr>
              <w:ind w:left="440"/>
              <w:spacing w:after="0"/>
              <w:rPr>
                <w:sz w:val="20"/>
                <w:szCs w:val="20"/>
                <w:color w:val="auto"/>
              </w:rPr>
            </w:pPr>
            <w:r>
              <w:rPr>
                <w:rFonts w:ascii="Arial" w:cs="Arial" w:eastAsia="Arial" w:hAnsi="Arial"/>
                <w:sz w:val="18"/>
                <w:szCs w:val="18"/>
                <w:color w:val="auto"/>
              </w:rPr>
              <w:t>Total loans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4,175,008</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4,109,614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(107,137)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Loans, net</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4,067,871</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3,995,146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The Bank makes loans and extensions of credit to individuals and a variety of firms and corporations located primarily in counties in north Georgia, the Atlanta, Georgia metropolitan statistical area, the Gainesville, Georgia metropolitan statistical area, coastal Georgia, western North Carolina, east Tennessee and the Greenville, South Carolina metropolitan statistical area. Although the Bank has a diversified loan portfolio, a substantial portion of the loan portfolio is collateralized by improved and unimproved real estate and is dependent upon the real estate market.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$ 114,468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$174,695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$155,602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62,500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251,000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Commercial (secured by real estate)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23,062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59,468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&amp; industrial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Commercial construction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5,411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55,730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17,262</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53,707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24,260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118,916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880"/>
              <w:spacing w:after="0"/>
              <w:rPr>
                <w:sz w:val="20"/>
                <w:szCs w:val="20"/>
                <w:color w:val="auto"/>
              </w:rPr>
            </w:pPr>
            <w:r>
              <w:rPr>
                <w:rFonts w:ascii="Arial" w:cs="Arial" w:eastAsia="Arial" w:hAnsi="Arial"/>
                <w:sz w:val="18"/>
                <w:szCs w:val="18"/>
                <w:color w:val="auto"/>
              </w:rPr>
              <w:t>Total loans charged-off</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74,633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316,305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224,723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Commercial (secured by real estate)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&amp; industrial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Commercial construction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880"/>
              <w:spacing w:after="0"/>
              <w:rPr>
                <w:sz w:val="20"/>
                <w:szCs w:val="20"/>
                <w:color w:val="auto"/>
              </w:rPr>
            </w:pPr>
            <w:r>
              <w:rPr>
                <w:rFonts w:ascii="Arial" w:cs="Arial" w:eastAsia="Arial" w:hAnsi="Arial"/>
                <w:sz w:val="18"/>
                <w:szCs w:val="18"/>
                <w:color w:val="auto"/>
              </w:rPr>
              <w:t>Total recoveries</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charge-offs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311,227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88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107,137</w:t>
            </w:r>
          </w:p>
        </w:tc>
        <w:tc>
          <w:tcPr>
            <w:tcW w:w="2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$ 114,468</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the first quarter of 2011, United’s Board of Directors adopted an accelerated problem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63" w:lineRule="exact"/>
        <w:rPr>
          <w:rFonts w:ascii="Arial" w:cs="Arial" w:eastAsia="Arial" w:hAnsi="Arial"/>
          <w:sz w:val="18"/>
          <w:szCs w:val="18"/>
          <w:b w:val="1"/>
          <w:bCs w:val="1"/>
          <w:color w:val="auto"/>
        </w:rPr>
      </w:pPr>
    </w:p>
    <w:p>
      <w:pPr>
        <w:ind w:left="460" w:right="6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presents the balance and activity in the allowance for loan losses by portfolio segment and the recorded investment in loans by portfolio segment based on the impairment method as of December 31, 2012 and December 31, 2011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(Secured by</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Commercial</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Residential</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Residential</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&amp; Industrial</w:t>
            </w:r>
          </w:p>
        </w:tc>
        <w:tc>
          <w:tcPr>
            <w:tcW w:w="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Mortgage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Installment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Year Ended December 31, 2012</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31,644</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5,681</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29,076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30,379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(5,411)</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(17,262)</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(24,260)</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(2,214)</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7,592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14,029</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19,271</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27,847</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5,537</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26,642</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26,662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2,747</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9,313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107,137</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Ending allowance attributable to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6,106</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2,165</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21,741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5,047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24,477</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26,037</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2,728</w:t>
            </w:r>
          </w:p>
        </w:tc>
        <w:tc>
          <w:tcPr>
            <w:tcW w:w="2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9,313</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27,847</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5,537</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26,642</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26,662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2,747</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9,313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107,137</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104,409</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51,501</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40,168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22,247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34,055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1,708,956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406,745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114,601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1,191,956</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347,622</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152,318</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3,922,198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1,813,365</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458,246</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154,769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1,214,203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381,677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152,748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4,175,008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vMerge w:val="restart"/>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 2011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Allowance for loan losses:</w:t>
            </w:r>
          </w:p>
        </w:tc>
        <w:tc>
          <w:tcPr>
            <w:tcW w:w="1640" w:type="dxa"/>
            <w:vAlign w:val="bottom"/>
            <w:tcBorders>
              <w:top w:val="single" w:sz="8" w:color="CCEEFF"/>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31,191</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22,305</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(24,890)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(55,730)</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(53,707)</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(118,916)</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(3,594)</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(316,305)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1,678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59,473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54,844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59,740</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55,046</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1,644</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(1,771)</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31,644</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5,681</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29,076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30,379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114,468</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Ending allowance attributable to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7,491</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1,117</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3,731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26,842</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26,648</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2,108</w:t>
            </w:r>
          </w:p>
        </w:tc>
        <w:tc>
          <w:tcPr>
            <w:tcW w:w="2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9,467</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31,644</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5,681</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29,076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30,379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114,468</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107,831</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57,828</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18,376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46,687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1,713,583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370,421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137,910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1,116,526</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401,704</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112,211</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3,852,355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1,821,414</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428,249</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164,155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1,134,902</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448,391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112,503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4,109,614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vMerge w:val="restart"/>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Year Ended December 31, 2010</w:t>
            </w: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19,208</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6,892</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17,266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93,585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2,545</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(33,593)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(10,837)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(9,993)</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(28,806)</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(136,666)</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(4,828)</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(224,723)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15,370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44,409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9,763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10,481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32,978</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120,282</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4,094</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993</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31,191</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22,305</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Ending allowance attributable to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268</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30,923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22,168</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91,927</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3,030</w:t>
            </w:r>
          </w:p>
        </w:tc>
        <w:tc>
          <w:tcPr>
            <w:tcW w:w="2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11,238</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173,646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31,191</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22,305</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41,818</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5,874</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15,468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39,505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1,719,606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435,644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276,271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1,263,312</w:t>
            </w:r>
          </w:p>
        </w:tc>
        <w:tc>
          <w:tcPr>
            <w:tcW w:w="1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655,661</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130,656</w:t>
            </w:r>
          </w:p>
        </w:tc>
        <w:tc>
          <w:tcPr>
            <w:tcW w:w="2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4,481,150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1,761,424</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441,518</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296,582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1,278,780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695,166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130,656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4,604,126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 calculating specific reserves, United reviews all loans that are on nonaccrual with a balance of $500,000 or greater for impairment, as well as accruing substandard relationships greater than $2 million and all troubled debt restructurings (“TDRs”). A loan is considered impaired when, based on current events and circumstances, it is probable that all amounts due, according to the contractual terms of the loan, will not be collected. All TDRs are considered impaired regardless of accrual status. Impaired loans are measured based on the present value of expected cash flows, discounted at the loan’s effective interest rate, the loan’s observable market price, or the fair value of the collateral if the loan is collateral dependent. For impaired loans not on nonaccrual status, interest is accrued according to the terms of the loan agreement. Impaired amounts are recorded quarterly and specific reserves are recorded in the allowance for loan losses.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63"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Each quarter, United’s management prepares an analysis of the allowance for loan losses to determine the appropriate balance that measures and quantifies the amount of loss inherent in the loan portfolio. The allowance is comprised of specific reserves which are determined as described above, general reserves which are determined based on historical loss experience as adjusted for current trends and economic conditions and an unallocated portion. United used eight quarters of historical loss experience weighted toward the most recent quarters to determine the loss factors to be used. Eight quarters has been determined to be an appropriate time period as it is recent enough to be relevant to current conditions and covers a length of time sufficient to normalize for nonrecurring and unusual activity that might otherwise influence a shorter time period. The weighted average is accomplished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generally larger loans that are more complex in nature requiring more time to either rehabilitate or work out of the bank. These credits are generally subject to impairment testing and are separately evaluated for specific reserves.</w:t>
      </w:r>
    </w:p>
    <w:p>
      <w:pPr>
        <w:spacing w:after="0" w:line="28" w:lineRule="exact"/>
        <w:rPr>
          <w:rFonts w:ascii="Arial" w:cs="Arial" w:eastAsia="Arial" w:hAnsi="Arial"/>
          <w:sz w:val="18"/>
          <w:szCs w:val="18"/>
          <w:b w:val="1"/>
          <w:bCs w:val="1"/>
          <w:color w:val="auto"/>
        </w:rPr>
      </w:pPr>
    </w:p>
    <w:p>
      <w:pPr>
        <w:ind w:left="460" w:right="2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weighted loss factor results for each quarter are added together and divided by 36 (the sum of 1,2,3,4,5,6,7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real estate loans which are further divided into home equity first lien, home equity junior lien and all other residential real estate loans and a loss factor is calculated for each category.</w:t>
      </w:r>
    </w:p>
    <w:p>
      <w:pPr>
        <w:spacing w:after="0" w:line="1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junior lien home equity loans, United has limited ability to monitor the delinquency status of the first lien unless the first lien is also held by United. As a result, United applies the weighted average historical loss factor for this category and appropriately adjusts it to reflect the increased risk of loss from these credits.</w:t>
      </w:r>
    </w:p>
    <w:p>
      <w:pPr>
        <w:spacing w:after="0" w:line="59"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3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 validate the results, management closely monitors the loan portfolio to determine the range of potential losses based upon probability of default and losses upon default for each major loan category. The potential range of losses resulting from this analysis is compared to the resulting loss factors for each major loan category to validate the loss factors and determine if qualitative adjustments are necessary. 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61"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At December 31, 2012 and 2011, loans with a carrying value of $1.90 billion and $1.52 billion were pledged as collateral to secure FHLB advances and other contingent funding sources.</w:t>
      </w:r>
    </w:p>
    <w:p>
      <w:pPr>
        <w:spacing w:after="0" w:line="50"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on substantially the same terms, including interest rate and collateral, as those prevailing at the time for comparable transactions with other customers. The following is a summary of such loans outstanding and the activity in these loans for the year ended December 31, 2012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New loans and advances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Adjustment for changes in executive officers and directors</w:t>
            </w:r>
          </w:p>
        </w:tc>
        <w:tc>
          <w:tcPr>
            <w:tcW w:w="15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Balances at December 31, 2012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780"/>
              <w:spacing w:after="0"/>
              <w:rPr>
                <w:sz w:val="20"/>
                <w:szCs w:val="20"/>
                <w:color w:val="auto"/>
              </w:rPr>
            </w:pPr>
            <w:r>
              <w:rPr>
                <w:rFonts w:ascii="Arial" w:cs="Arial" w:eastAsia="Arial" w:hAnsi="Arial"/>
                <w:sz w:val="18"/>
                <w:szCs w:val="18"/>
                <w:color w:val="auto"/>
              </w:rPr>
              <w:t>86</w:t>
            </w:r>
          </w:p>
        </w:tc>
        <w:tc>
          <w:tcPr>
            <w:tcW w:w="1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recorded investments in individually evaluated impaired loans at December 31, 2012 and 2011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Year-end loans with no allocated allowance for loan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156,962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Year-end loans with allocated allowance for loan losses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252,810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Amount of allowance for loan losses allocated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of individually impaired loans during year</w:t>
            </w:r>
          </w:p>
        </w:tc>
        <w:tc>
          <w:tcPr>
            <w:tcW w:w="1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$276,178</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$126,640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$170,039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9,531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2,662</w:t>
            </w:r>
          </w:p>
        </w:tc>
        <w:tc>
          <w:tcPr>
            <w:tcW w:w="4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Cash-basis interest income recognized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following table presents loans individually evaluated for impairment by class of loans as of December 31, 2012 and 2011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December 31, 2012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December 31,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Unpaid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Loan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Unpaid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Principal</w:t>
            </w:r>
          </w:p>
        </w:tc>
        <w:tc>
          <w:tcPr>
            <w:tcW w:w="28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Principal</w:t>
            </w:r>
          </w:p>
        </w:tc>
        <w:tc>
          <w:tcPr>
            <w:tcW w:w="260" w:type="dxa"/>
            <w:vAlign w:val="bottom"/>
          </w:tcPr>
          <w:p>
            <w:pPr>
              <w:spacing w:after="0"/>
              <w:rPr>
                <w:sz w:val="12"/>
                <w:szCs w:val="12"/>
                <w:color w:val="auto"/>
              </w:rPr>
            </w:pP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Allocated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Allocated</w:t>
            </w: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74,066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62,609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82,887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76,215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24,927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172,576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129,486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185,442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152,452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8,383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13,845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10,804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with no related allowance recorded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218,351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156,962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238,305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188,509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490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88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66,592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39,642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39,452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15,412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14,962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21,629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880"/>
              <w:spacing w:after="0"/>
              <w:rPr>
                <w:sz w:val="20"/>
                <w:szCs w:val="20"/>
                <w:color w:val="auto"/>
              </w:rPr>
            </w:pPr>
            <w:r>
              <w:rPr>
                <w:rFonts w:ascii="Arial" w:cs="Arial" w:eastAsia="Arial" w:hAnsi="Arial"/>
                <w:sz w:val="18"/>
                <w:szCs w:val="18"/>
                <w:color w:val="auto"/>
              </w:rPr>
              <w:t>Total with an allowance recorded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100,431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11,644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69,148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68,750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318,782</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252,810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307,453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257,259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There were no loans more than 90 days past due and still accruing interest at December 31, 2012 and 2011. Nonaccrual loans at December 31, 2012 and 2011 were $110 million and $127 million, respectively. Nonaccrual loans include both smaller balance homogeneous loans that are collectively evaluated for impairment and individually evaluated impaired loans with larger balances.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recorded investment (unpaid principal less amounts charged-off) in nonaccrual loans by loan class as of December 31,</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34,613</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8"/>
                <w:szCs w:val="18"/>
                <w:color w:val="auto"/>
              </w:rPr>
            </w:pPr>
          </w:p>
        </w:tc>
      </w:tr>
      <w:tr>
        <w:trPr>
          <w:trHeight w:val="221"/>
        </w:trPr>
        <w:tc>
          <w:tcPr>
            <w:tcW w:w="680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77,808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78,590</w:t>
            </w:r>
          </w:p>
        </w:tc>
        <w:tc>
          <w:tcPr>
            <w:tcW w:w="100" w:type="dxa"/>
            <w:vAlign w:val="bottom"/>
          </w:tcPr>
          <w:p>
            <w:pPr>
              <w:spacing w:after="0"/>
              <w:rPr>
                <w:sz w:val="19"/>
                <w:szCs w:val="19"/>
                <w:color w:val="auto"/>
              </w:rPr>
            </w:pPr>
          </w:p>
        </w:tc>
      </w:tr>
      <w:tr>
        <w:trPr>
          <w:trHeight w:val="218"/>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25,523</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109,894</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127,479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following table presents the aging of the recorded investment in past due loans as of December 31, 2012 and 2011 by class of loans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Greater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Than 90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30 - 59 Days</w:t>
            </w:r>
          </w:p>
        </w:tc>
        <w:tc>
          <w:tcPr>
            <w:tcW w:w="3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60 -89 Days</w:t>
            </w:r>
          </w:p>
        </w:tc>
        <w:tc>
          <w:tcPr>
            <w:tcW w:w="1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Days Past</w:t>
            </w:r>
          </w:p>
        </w:tc>
        <w:tc>
          <w:tcPr>
            <w:tcW w:w="1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Past</w:t>
            </w: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Loans Not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3"/>
              </w:rPr>
              <w:t>Past Due</w:t>
            </w:r>
          </w:p>
        </w:tc>
        <w:tc>
          <w:tcPr>
            <w:tcW w:w="3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Due</w:t>
            </w:r>
          </w:p>
        </w:tc>
        <w:tc>
          <w:tcPr>
            <w:tcW w:w="1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Due</w:t>
            </w:r>
          </w:p>
        </w:tc>
        <w:tc>
          <w:tcPr>
            <w:tcW w:w="1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Past Due</w:t>
            </w:r>
          </w:p>
        </w:tc>
        <w:tc>
          <w:tcPr>
            <w:tcW w:w="140" w:type="dxa"/>
            <w:vAlign w:val="bottom"/>
          </w:tcPr>
          <w:p>
            <w:pPr>
              <w:spacing w:after="0"/>
              <w:rPr>
                <w:sz w:val="14"/>
                <w:szCs w:val="14"/>
                <w:color w:val="auto"/>
              </w:rPr>
            </w:pPr>
          </w:p>
        </w:tc>
        <w:tc>
          <w:tcPr>
            <w:tcW w:w="9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As of December 31, 2012</w:t>
            </w:r>
          </w:p>
        </w:tc>
        <w:tc>
          <w:tcPr>
            <w:tcW w:w="38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8,106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3,232</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7,476</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$18,814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$1,794,551</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$1,813,365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455,385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12,833</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2,397,999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4,848</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19,566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1,194,637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372,351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23,129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59,127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4,115,881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4,175,008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10,614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$22,832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$1,798,582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4,687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423,562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gridSpan w:val="3"/>
          </w:tcPr>
          <w:p>
            <w:pPr>
              <w:ind w:left="420"/>
              <w:spacing w:after="0"/>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12,071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12,149</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28,813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2,385,005</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28,873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10,270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16,846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431,545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ind w:left="420"/>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32,730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12,154</w:t>
            </w:r>
          </w:p>
        </w:tc>
        <w:tc>
          <w:tcPr>
            <w:tcW w:w="16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31,920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76,804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4,032,810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As of December 31, 2012 and 2011, United has allocated $9.50 million and $8.65 million respectively, of specific reserves to customers whose loan terms have been modified in troubled debt restructurings. United committed to lend additional amounts totaling up to $689,000 and $1.12 million as of December 31, 2012 and 2011, respectively, to customers with outstanding loans that are classified as troubled debt restructurings.</w:t>
      </w:r>
    </w:p>
    <w:p>
      <w:pPr>
        <w:spacing w:after="0" w:line="2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modification of the terms of troubled debt restructurings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63" w:lineRule="exact"/>
        <w:rPr>
          <w:rFonts w:ascii="Arial" w:cs="Arial" w:eastAsia="Arial" w:hAnsi="Arial"/>
          <w:sz w:val="18"/>
          <w:szCs w:val="18"/>
          <w:b w:val="1"/>
          <w:bCs w:val="1"/>
          <w:color w:val="auto"/>
        </w:rPr>
      </w:pPr>
    </w:p>
    <w:p>
      <w:pPr>
        <w:ind w:left="460"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Pre-</w:t>
            </w:r>
          </w:p>
        </w:tc>
        <w:tc>
          <w:tcPr>
            <w:tcW w:w="1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9"/>
              </w:rPr>
              <w:t>Post-</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Pre-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Recorded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Recorded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Recorded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Recorded</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2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Investment</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Investment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30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Investment</w:t>
            </w:r>
          </w:p>
        </w:tc>
        <w:tc>
          <w:tcPr>
            <w:tcW w:w="2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Investment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7,250</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color w:val="auto"/>
              </w:rPr>
              <w:t>Total commercial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125,290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116,399</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89,239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23,786</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24,921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color w:val="auto"/>
              </w:rPr>
              <w:t>Total loans</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172,727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160,763</w:t>
            </w: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126,401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 xml:space="preserve">Loans modified under the terms of a TDR during the twelve months ended December 31, 2012 and 2011 are presented in the table below. In addition, the following table presents loans modified under the terms of a TDR that become 90 days or more delinquent during the twelve months ended December 31, 2012 and 2011, respectively, that were initially restructured within one year prior to the twelve months ended December 31, 2012 and 2011, respectively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Troubled Debt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Post-</w:t>
            </w:r>
          </w:p>
        </w:tc>
        <w:tc>
          <w:tcPr>
            <w:tcW w:w="460" w:type="dxa"/>
            <w:vAlign w:val="bottom"/>
          </w:tcPr>
          <w:p>
            <w:pPr>
              <w:spacing w:after="0"/>
              <w:rPr>
                <w:sz w:val="12"/>
                <w:szCs w:val="12"/>
                <w:color w:val="auto"/>
              </w:rPr>
            </w:pPr>
          </w:p>
        </w:tc>
        <w:tc>
          <w:tcPr>
            <w:tcW w:w="18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Restructurings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Have Subsequently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Modification</w:t>
            </w:r>
          </w:p>
        </w:tc>
        <w:tc>
          <w:tcPr>
            <w:tcW w:w="98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7"/>
              </w:rPr>
              <w:t>Modification</w:t>
            </w:r>
          </w:p>
        </w:tc>
        <w:tc>
          <w:tcPr>
            <w:tcW w:w="460" w:type="dxa"/>
            <w:vAlign w:val="bottom"/>
          </w:tcPr>
          <w:p>
            <w:pPr>
              <w:spacing w:after="0"/>
              <w:rPr>
                <w:sz w:val="12"/>
                <w:szCs w:val="12"/>
                <w:color w:val="auto"/>
              </w:rPr>
            </w:pPr>
          </w:p>
        </w:tc>
        <w:tc>
          <w:tcPr>
            <w:tcW w:w="18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Defaulted Within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Outstanding</w:t>
            </w:r>
          </w:p>
        </w:tc>
        <w:tc>
          <w:tcPr>
            <w:tcW w:w="460" w:type="dxa"/>
            <w:vAlign w:val="bottom"/>
          </w:tcPr>
          <w:p>
            <w:pPr>
              <w:spacing w:after="0"/>
              <w:rPr>
                <w:sz w:val="15"/>
                <w:szCs w:val="15"/>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Previous Twelve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Number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Recorded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Recorded</w:t>
            </w:r>
          </w:p>
        </w:tc>
        <w:tc>
          <w:tcPr>
            <w:tcW w:w="46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Contracts</w:t>
            </w:r>
          </w:p>
        </w:tc>
        <w:tc>
          <w:tcPr>
            <w:tcW w:w="4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2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Contracts</w:t>
            </w:r>
          </w:p>
        </w:tc>
        <w:tc>
          <w:tcPr>
            <w:tcW w:w="4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7"/>
              </w:rPr>
              <w:t>Investment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Troubled Debt Restructurings for the Year</w:t>
            </w:r>
          </w:p>
        </w:tc>
        <w:tc>
          <w:tcPr>
            <w:tcW w:w="6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5"/>
              </w:rPr>
              <w:t>ended December 31, 2012</w:t>
            </w:r>
          </w:p>
        </w:tc>
        <w:tc>
          <w:tcPr>
            <w:tcW w:w="128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34,450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32,928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15,132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107,458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Year ended December 31, 2011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56,981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 commercial</w:t>
            </w: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020" w:type="dxa"/>
            <w:vAlign w:val="bottom"/>
            <w:gridSpan w:val="4"/>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73,991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22,584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 loans</w:t>
            </w: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4"/>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107,788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105,506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Collateral dependent TDRs that subsequently default or are otherwise placed on nonaccrual are charged down to 80% of appraised value consistent with United’s policy for nonaccrual loans. Impairment on TDRs that are not collateral dependent continues to be measured based on discounted cash flows regardless of whether the loan has subsequently defaulted.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Ratings</w:t>
      </w:r>
    </w:p>
    <w:p>
      <w:pPr>
        <w:spacing w:after="0" w:line="96"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56" w:lineRule="exact"/>
        <w:rPr>
          <w:rFonts w:ascii="Arial" w:cs="Arial" w:eastAsia="Arial" w:hAnsi="Arial"/>
          <w:sz w:val="18"/>
          <w:szCs w:val="18"/>
          <w:b w:val="1"/>
          <w:bCs w:val="1"/>
          <w:color w:val="auto"/>
        </w:rPr>
      </w:pPr>
    </w:p>
    <w:p>
      <w:pPr>
        <w:ind w:left="460" w:right="400"/>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Watch</w:t>
      </w:r>
      <w:r>
        <w:rPr>
          <w:rFonts w:ascii="Arial" w:cs="Arial" w:eastAsia="Arial" w:hAnsi="Arial"/>
          <w:sz w:val="16"/>
          <w:szCs w:val="16"/>
          <w:color w:val="auto"/>
        </w:rPr>
        <w:t>. Loans in this category are presently protected from apparent loss; however weaknesses exist that could cause future impairment,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6" w:lineRule="exact"/>
        <w:rPr>
          <w:rFonts w:ascii="Arial" w:cs="Arial" w:eastAsia="Arial" w:hAnsi="Arial"/>
          <w:sz w:val="18"/>
          <w:szCs w:val="18"/>
          <w:b w:val="1"/>
          <w:bCs w:val="1"/>
          <w:color w:val="auto"/>
        </w:rPr>
      </w:pPr>
    </w:p>
    <w:p>
      <w:pPr>
        <w:ind w:left="460" w:right="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55" w:lineRule="exact"/>
        <w:rPr>
          <w:rFonts w:ascii="Arial" w:cs="Arial" w:eastAsia="Arial" w:hAnsi="Arial"/>
          <w:sz w:val="18"/>
          <w:szCs w:val="18"/>
          <w:b w:val="1"/>
          <w:bCs w:val="1"/>
          <w:color w:val="auto"/>
        </w:rPr>
      </w:pPr>
    </w:p>
    <w:p>
      <w:pPr>
        <w:ind w:left="460" w:right="2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Loss. </w:t>
      </w:r>
      <w:r>
        <w:rPr>
          <w:rFonts w:ascii="Arial" w:cs="Arial" w:eastAsia="Arial" w:hAnsi="Arial"/>
          <w:sz w:val="15"/>
          <w:szCs w:val="15"/>
          <w:color w:val="auto"/>
        </w:rPr>
        <w:t>Loans categorized as Loss have the same characteristics as Doubtful however probability of loss is certain. Loans classified as Loss are charged-off.</w:t>
      </w:r>
    </w:p>
    <w:p>
      <w:pPr>
        <w:spacing w:after="0" w:line="130"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new loans that have not yet been assigned a grade.</w:t>
      </w:r>
    </w:p>
    <w:p>
      <w:pPr>
        <w:spacing w:after="0" w:line="50" w:lineRule="exact"/>
        <w:rPr>
          <w:rFonts w:ascii="Arial" w:cs="Arial" w:eastAsia="Arial" w:hAnsi="Arial"/>
          <w:sz w:val="18"/>
          <w:szCs w:val="18"/>
          <w:b w:val="1"/>
          <w:bCs w:val="1"/>
          <w:color w:val="auto"/>
        </w:rPr>
      </w:pPr>
    </w:p>
    <w:p>
      <w:pPr>
        <w:ind w:left="46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December 31, 2012 and 2011, and based on the most recent analysis performed, the risk category of loans by class of loans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6"/>
              </w:rPr>
              <w:t>Doubtful</w:t>
            </w:r>
          </w:p>
        </w:tc>
        <w:tc>
          <w:tcPr>
            <w:tcW w:w="30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Not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Watch</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Substandard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98"/>
              </w:rPr>
              <w:t>/ Loss</w:t>
            </w:r>
          </w:p>
        </w:tc>
        <w:tc>
          <w:tcPr>
            <w:tcW w:w="30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2"/>
              </w:rPr>
              <w:t>Rated</w:t>
            </w:r>
          </w:p>
        </w:tc>
        <w:tc>
          <w:tcPr>
            <w:tcW w:w="280" w:type="dxa"/>
            <w:vAlign w:val="bottom"/>
          </w:tcPr>
          <w:p>
            <w:pPr>
              <w:spacing w:after="0"/>
              <w:rPr>
                <w:sz w:val="14"/>
                <w:szCs w:val="14"/>
                <w:color w:val="auto"/>
              </w:rPr>
            </w:pPr>
          </w:p>
        </w:tc>
        <w:tc>
          <w:tcPr>
            <w:tcW w:w="9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As of December 31, 2012</w:t>
            </w: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18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$1,591,826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80,997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140,542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$1,813,365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401,607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942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8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2,097,728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233,964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942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1,103,069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33,689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77,445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18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3,640,802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161,428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371,836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$ 942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4,175,008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December 31, 2011</w:t>
            </w:r>
          </w:p>
        </w:tc>
        <w:tc>
          <w:tcPr>
            <w:tcW w:w="1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$1,561,204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89,830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170,380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910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8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2,045,364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111,633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255,911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910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993,779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42,323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18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3,459,003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193,753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455,948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$ 910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Foreclosed Property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foreclosed properties at December 31, 2012 and 2011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4"/>
                <w:szCs w:val="1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real estate</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$10,866</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9"/>
                <w:szCs w:val="19"/>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Residential mortgage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5,192</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7,840</w:t>
            </w:r>
          </w:p>
        </w:tc>
        <w:tc>
          <w:tcPr>
            <w:tcW w:w="2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11,454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29,799</w:t>
            </w:r>
          </w:p>
        </w:tc>
        <w:tc>
          <w:tcPr>
            <w:tcW w:w="200" w:type="dxa"/>
            <w:vAlign w:val="bottom"/>
            <w:shd w:val="clear" w:color="auto" w:fill="CCEEFF"/>
          </w:tcPr>
          <w:p>
            <w:pPr>
              <w:spacing w:after="0"/>
              <w:rPr>
                <w:sz w:val="18"/>
                <w:szCs w:val="18"/>
                <w:color w:val="auto"/>
              </w:rPr>
            </w:pPr>
          </w:p>
        </w:tc>
      </w:tr>
      <w:tr>
        <w:trPr>
          <w:trHeight w:val="221"/>
        </w:trPr>
        <w:tc>
          <w:tcPr>
            <w:tcW w:w="5320" w:type="dxa"/>
            <w:vAlign w:val="bottom"/>
          </w:tcPr>
          <w:p>
            <w:pPr>
              <w:ind w:left="440"/>
              <w:spacing w:after="0"/>
              <w:rPr>
                <w:sz w:val="20"/>
                <w:szCs w:val="20"/>
                <w:color w:val="auto"/>
              </w:rPr>
            </w:pPr>
            <w:r>
              <w:rPr>
                <w:rFonts w:ascii="Arial" w:cs="Arial" w:eastAsia="Arial" w:hAnsi="Arial"/>
                <w:sz w:val="18"/>
                <w:szCs w:val="18"/>
                <w:color w:val="auto"/>
              </w:rPr>
              <w:t>Total foreclosed property</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25,218</w:t>
            </w: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51,841</w:t>
            </w:r>
          </w:p>
        </w:tc>
        <w:tc>
          <w:tcPr>
            <w:tcW w:w="200" w:type="dxa"/>
            <w:vAlign w:val="bottom"/>
          </w:tcPr>
          <w:p>
            <w:pPr>
              <w:spacing w:after="0"/>
              <w:rPr>
                <w:sz w:val="19"/>
                <w:szCs w:val="19"/>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18,982</w:t>
            </w:r>
          </w:p>
        </w:tc>
        <w:tc>
          <w:tcPr>
            <w:tcW w:w="200" w:type="dxa"/>
            <w:vAlign w:val="bottom"/>
            <w:shd w:val="clear" w:color="auto" w:fill="CCEEFF"/>
          </w:tcPr>
          <w:p>
            <w:pPr>
              <w:spacing w:after="0"/>
              <w:rPr>
                <w:sz w:val="18"/>
                <w:szCs w:val="18"/>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Foreclosed property, net</w:t>
            </w:r>
          </w:p>
        </w:tc>
        <w:tc>
          <w:tcPr>
            <w:tcW w:w="1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18,264</w:t>
            </w: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32,859</w:t>
            </w:r>
          </w:p>
        </w:tc>
        <w:tc>
          <w:tcPr>
            <w:tcW w:w="2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$ 18,982</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$ 16,565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7,433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6,951</w:t>
            </w:r>
          </w:p>
        </w:tc>
        <w:tc>
          <w:tcPr>
            <w:tcW w:w="34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57,368</w:t>
            </w:r>
          </w:p>
        </w:tc>
        <w:tc>
          <w:tcPr>
            <w:tcW w:w="3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Charge-offs upon disposition</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(18,979)</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(54,951)</w:t>
            </w: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vMerge w:val="restart"/>
          </w:tcPr>
          <w:p>
            <w:pPr>
              <w:ind w:left="440"/>
              <w:spacing w:after="0"/>
              <w:rPr>
                <w:sz w:val="20"/>
                <w:szCs w:val="20"/>
                <w:color w:val="auto"/>
              </w:rPr>
            </w:pPr>
            <w:r>
              <w:rPr>
                <w:rFonts w:ascii="Arial" w:cs="Arial" w:eastAsia="Arial" w:hAnsi="Arial"/>
                <w:sz w:val="18"/>
                <w:szCs w:val="18"/>
                <w:color w:val="auto"/>
              </w:rPr>
              <w:t>Balance at end of year</w:t>
            </w: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44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  6,954</w:t>
            </w:r>
          </w:p>
        </w:tc>
        <w:tc>
          <w:tcPr>
            <w:tcW w:w="34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$ 18,982</w:t>
            </w:r>
          </w:p>
        </w:tc>
        <w:tc>
          <w:tcPr>
            <w:tcW w:w="3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$ 16,565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Expenses related to foreclosed assets include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24"/>
                <w:szCs w:val="24"/>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on sales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$ 1,924</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$11,038</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$23,571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6,951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57,368</w:t>
            </w:r>
          </w:p>
        </w:tc>
        <w:tc>
          <w:tcPr>
            <w:tcW w:w="3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4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440" w:type="dxa"/>
            <w:vAlign w:val="bottom"/>
          </w:tcPr>
          <w:p>
            <w:pPr>
              <w:ind w:left="440"/>
              <w:spacing w:after="0"/>
              <w:rPr>
                <w:sz w:val="20"/>
                <w:szCs w:val="20"/>
                <w:color w:val="auto"/>
              </w:rPr>
            </w:pPr>
            <w:r>
              <w:rPr>
                <w:rFonts w:ascii="Arial" w:cs="Arial" w:eastAsia="Arial" w:hAnsi="Arial"/>
                <w:sz w:val="18"/>
                <w:szCs w:val="18"/>
                <w:color w:val="auto"/>
              </w:rPr>
              <w:t>Total foreclosed property expense</w:t>
            </w: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13,993</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78,905</w:t>
            </w:r>
          </w:p>
        </w:tc>
        <w:tc>
          <w:tcPr>
            <w:tcW w:w="3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65,707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at December 31, 2012 and 2011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114,127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115,226</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64,581</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263,145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262,210</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87,122</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Premises and equipment, net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175,088</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$9.26 million, $9.83 million and $10.6 million for 2012, 2011 and 2010,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00"/>
          </w:cols>
          <w:pgMar w:left="240" w:top="459" w:right="11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 continued</w:t>
      </w:r>
    </w:p>
    <w:p>
      <w:pPr>
        <w:spacing w:after="0" w:line="163"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leases certain branch properties and equipment under operating leases. Rent expense was $2.30 million, $2.25 million and $2.23 million for 2012, 2011 and 2010, respectively. United does not have any capital leases. Rent commitments under operating leases, before considering renewal options that generally are present,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2014</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2016</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6,716</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changes in goodwill for the years ended December 31, 2012, 2011 and 2010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210,590</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(210,590)</w:t>
            </w:r>
          </w:p>
        </w:tc>
      </w:tr>
      <w:tr>
        <w:trPr>
          <w:trHeight w:val="27"/>
        </w:trPr>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entire balance of United’s goodwill was determined to be impaired in the third quarter of 2010 and accordingly, it was fully charged off.</w:t>
      </w:r>
    </w:p>
    <w:p>
      <w:pPr>
        <w:spacing w:after="0" w:line="113"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 xml:space="preserve">United has finite-lived intangible assets capitalized on its balance sheet in the form of core deposit intangibles. These intangible assets are amortized over their estimated useful lives of no more than 10 years. A summary of core deposit intangible assets as of December 31, 2012 and 2011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carrying amount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32,652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32,652</w:t>
            </w:r>
          </w:p>
        </w:tc>
        <w:tc>
          <w:tcPr>
            <w:tcW w:w="10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27,142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24,224</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carrying amount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 xml:space="preserve">Amortization expense on finite-lived intangible assets was $2.92 million in 2012, $3.02 million for 2011 and $3.16 million for 2010. Amortization expense for each of the years 2013 through 2017 is estimated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2013</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$2,030</w:t>
            </w:r>
          </w:p>
        </w:tc>
      </w:tr>
      <w:tr>
        <w:trPr>
          <w:trHeight w:val="216"/>
        </w:trPr>
        <w:tc>
          <w:tcPr>
            <w:tcW w:w="2060" w:type="dxa"/>
            <w:vAlign w:val="bottom"/>
          </w:tcPr>
          <w:p>
            <w:pPr>
              <w:jc w:val="right"/>
              <w:ind w:right="1632"/>
              <w:spacing w:after="0"/>
              <w:rPr>
                <w:sz w:val="20"/>
                <w:szCs w:val="20"/>
                <w:color w:val="auto"/>
              </w:rPr>
            </w:pPr>
            <w:r>
              <w:rPr>
                <w:rFonts w:ascii="Arial" w:cs="Arial" w:eastAsia="Arial" w:hAnsi="Arial"/>
                <w:sz w:val="18"/>
                <w:szCs w:val="18"/>
                <w:color w:val="auto"/>
                <w:w w:val="79"/>
              </w:rPr>
              <w:t>2014</w:t>
            </w:r>
          </w:p>
        </w:tc>
        <w:tc>
          <w:tcPr>
            <w:tcW w:w="5700" w:type="dxa"/>
            <w:vAlign w:val="bottom"/>
          </w:tcPr>
          <w:p>
            <w:pPr>
              <w:jc w:val="right"/>
              <w:ind w:right="12"/>
              <w:spacing w:after="0"/>
              <w:rPr>
                <w:sz w:val="20"/>
                <w:szCs w:val="20"/>
                <w:color w:val="auto"/>
              </w:rPr>
            </w:pPr>
            <w:r>
              <w:rPr>
                <w:rFonts w:ascii="Arial" w:cs="Arial" w:eastAsia="Arial" w:hAnsi="Arial"/>
                <w:sz w:val="18"/>
                <w:szCs w:val="18"/>
                <w:color w:val="auto"/>
              </w:rPr>
              <w:t>1,349</w:t>
            </w:r>
          </w:p>
        </w:tc>
      </w:t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2015</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w:t>
            </w:r>
          </w:p>
        </w:tc>
      </w:tr>
      <w:tr>
        <w:trPr>
          <w:trHeight w:val="216"/>
        </w:trPr>
        <w:tc>
          <w:tcPr>
            <w:tcW w:w="2060" w:type="dxa"/>
            <w:vAlign w:val="bottom"/>
          </w:tcPr>
          <w:p>
            <w:pPr>
              <w:jc w:val="right"/>
              <w:ind w:right="1632"/>
              <w:spacing w:after="0"/>
              <w:rPr>
                <w:sz w:val="20"/>
                <w:szCs w:val="20"/>
                <w:color w:val="auto"/>
              </w:rPr>
            </w:pPr>
            <w:r>
              <w:rPr>
                <w:rFonts w:ascii="Arial" w:cs="Arial" w:eastAsia="Arial" w:hAnsi="Arial"/>
                <w:sz w:val="18"/>
                <w:szCs w:val="18"/>
                <w:color w:val="auto"/>
                <w:w w:val="79"/>
              </w:rPr>
              <w:t>2016</w:t>
            </w:r>
          </w:p>
        </w:tc>
        <w:tc>
          <w:tcPr>
            <w:tcW w:w="5700" w:type="dxa"/>
            <w:vAlign w:val="bottom"/>
          </w:tcPr>
          <w:p>
            <w:pPr>
              <w:jc w:val="right"/>
              <w:ind w:right="12"/>
              <w:spacing w:after="0"/>
              <w:rPr>
                <w:sz w:val="20"/>
                <w:szCs w:val="20"/>
                <w:color w:val="auto"/>
              </w:rPr>
            </w:pPr>
            <w:r>
              <w:rPr>
                <w:rFonts w:ascii="Arial" w:cs="Arial" w:eastAsia="Arial" w:hAnsi="Arial"/>
                <w:sz w:val="18"/>
                <w:szCs w:val="18"/>
                <w:color w:val="auto"/>
              </w:rPr>
              <w:t>879</w:t>
            </w:r>
          </w:p>
        </w:tc>
      </w:t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2017</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363"/>
        </w:trPr>
        <w:tc>
          <w:tcPr>
            <w:tcW w:w="2060" w:type="dxa"/>
            <w:vAlign w:val="bottom"/>
          </w:tcPr>
          <w:p>
            <w:pPr>
              <w:spacing w:after="0"/>
              <w:rPr>
                <w:sz w:val="24"/>
                <w:szCs w:val="24"/>
                <w:color w:val="auto"/>
              </w:rPr>
            </w:pPr>
          </w:p>
        </w:tc>
        <w:tc>
          <w:tcPr>
            <w:tcW w:w="5700" w:type="dxa"/>
            <w:vAlign w:val="bottom"/>
          </w:tcPr>
          <w:p>
            <w:pPr>
              <w:jc w:val="right"/>
              <w:ind w:right="3712"/>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2012, the contractual maturities of time deposits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Maturing 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2013</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$1,264,184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157,598</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2015</w:t>
            </w:r>
          </w:p>
        </w:tc>
        <w:tc>
          <w:tcPr>
            <w:tcW w:w="800" w:type="dxa"/>
            <w:vAlign w:val="bottom"/>
          </w:tcPr>
          <w:p>
            <w:pPr>
              <w:jc w:val="right"/>
              <w:spacing w:after="0"/>
              <w:rPr>
                <w:sz w:val="20"/>
                <w:szCs w:val="20"/>
                <w:color w:val="auto"/>
              </w:rPr>
            </w:pPr>
            <w:r>
              <w:rPr>
                <w:rFonts w:ascii="Arial" w:cs="Arial" w:eastAsia="Arial" w:hAnsi="Arial"/>
                <w:sz w:val="18"/>
                <w:szCs w:val="18"/>
                <w:color w:val="auto"/>
              </w:rPr>
              <w:t>134,584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67,963</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2017</w:t>
            </w:r>
          </w:p>
        </w:tc>
        <w:tc>
          <w:tcPr>
            <w:tcW w:w="800" w:type="dxa"/>
            <w:vAlign w:val="bottom"/>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275,755</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1,915,718</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At December 31, 2012, United held $155 million in certificates of deposit obtained through the efforts of third party brokers. At December 31, 2011, United had $179 million of brokered certificates of deposit. The daily average balance of these brokered deposits totaled $156 million and $401 million in 2012 and 2011, respectively. The weighted average rates paid during 2012 and 2011 were 1.09% and 1.53%, respectively, and the weighted average rate as of December 31, 2012 was 2.51%. The brokered certificates of deposit at December 31, 2012 had maturities ranging from 15 to 20 years and are callable by United. The brokered certificates of deposit are being hedged in fair value hedging relationships so the effective rate, which is based on LIBOR, has been less than the rate on the brokered certificates of deposit.</w:t>
      </w:r>
    </w:p>
    <w:p>
      <w:pPr>
        <w:spacing w:after="0" w:line="39"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At December 31, 2012 and 2011, $942,000 and $910,000 in overdrawn deposit accounts were reclassified as loans. No specific allowance for loan losses was deemed necessary for these accounts at December 31, 2012 and 2011.</w:t>
      </w:r>
    </w:p>
    <w:p>
      <w:pPr>
        <w:spacing w:after="0" w:line="24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96"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At December 31, 2012, United had advances totaling $40.1 million from the FHLB all of which were fixed rate advances. At December 31, 2011, United had advances totaling $40.6 million from the FHLB all of which were fixed rate advances. With the exception of $125,000 that matures in 2016, the advances outstanding at December 31, 2012 had maturities of no more than 20 days with interest rates up to .19%. At December 31, 2012, the weighted average interest rate on FHLB advances was .18%, compared to 4.25% as of December 31, 2011. The FHLB advances are collateralized by commercial (secured by real estate) and residential mortgage loans, investment securities and FHLB stock.</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2012,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9"/>
              </w:rPr>
              <w:t>Maturing In:</w:t>
            </w:r>
          </w:p>
        </w:tc>
        <w:tc>
          <w:tcPr>
            <w:tcW w:w="5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1"/>
              </w:rPr>
              <w:t>Maturing</w:t>
            </w:r>
          </w:p>
        </w:tc>
        <w:tc>
          <w:tcPr>
            <w:tcW w:w="1720" w:type="dxa"/>
            <w:vAlign w:val="bottom"/>
            <w:gridSpan w:val="2"/>
          </w:tcPr>
          <w:p>
            <w:pPr>
              <w:jc w:val="center"/>
              <w:ind w:left="432"/>
              <w:spacing w:after="0" w:line="148" w:lineRule="exact"/>
              <w:rPr>
                <w:sz w:val="20"/>
                <w:szCs w:val="20"/>
                <w:color w:val="auto"/>
              </w:rPr>
            </w:pPr>
            <w:r>
              <w:rPr>
                <w:rFonts w:ascii="Arial" w:cs="Arial" w:eastAsia="Arial" w:hAnsi="Arial"/>
                <w:sz w:val="14"/>
                <w:szCs w:val="14"/>
                <w:b w:val="1"/>
                <w:bCs w:val="1"/>
                <w:color w:val="auto"/>
                <w:w w:val="89"/>
              </w:rPr>
              <w:t>Current Rate Range</w:t>
            </w:r>
          </w:p>
        </w:tc>
        <w:tc>
          <w:tcPr>
            <w:tcW w:w="0" w:type="dxa"/>
            <w:vAlign w:val="bottom"/>
          </w:tcPr>
          <w:p>
            <w:pPr>
              <w:spacing w:after="0"/>
              <w:rPr>
                <w:sz w:val="1"/>
                <w:szCs w:val="1"/>
                <w:color w:val="auto"/>
              </w:rPr>
            </w:pPr>
          </w:p>
        </w:tc>
      </w:tr>
      <w:tr>
        <w:trPr>
          <w:trHeight w:val="203"/>
        </w:trPr>
        <w:tc>
          <w:tcPr>
            <w:tcW w:w="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$40,000</w:t>
            </w: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0.18% - 0.19%</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2016</w:t>
            </w:r>
          </w:p>
        </w:tc>
        <w:tc>
          <w:tcPr>
            <w:tcW w:w="5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40,125</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a number of sources of short-term borrowings to meet its liquidity needs including federal funds purchased, repurchase agreements and Federal Reserve discount window borrowings. The table below shows the amounts of short-term borrowings outstanding by type at December 31,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160" w:type="dxa"/>
            <w:vAlign w:val="bottom"/>
            <w:gridSpan w:val="2"/>
          </w:tcPr>
          <w:p>
            <w:pPr>
              <w:jc w:val="center"/>
              <w:ind w:left="3499"/>
              <w:spacing w:after="0"/>
              <w:rPr>
                <w:sz w:val="20"/>
                <w:szCs w:val="20"/>
                <w:color w:val="auto"/>
              </w:rPr>
            </w:pPr>
            <w:r>
              <w:rPr>
                <w:rFonts w:ascii="Arial" w:cs="Arial" w:eastAsia="Arial" w:hAnsi="Arial"/>
                <w:sz w:val="14"/>
                <w:szCs w:val="14"/>
                <w:b w:val="1"/>
                <w:bCs w:val="1"/>
                <w:color w:val="auto"/>
                <w:w w:val="83"/>
              </w:rPr>
              <w:t>2012</w:t>
            </w: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Repurchase agreements</w:t>
            </w:r>
          </w:p>
        </w:tc>
        <w:tc>
          <w:tcPr>
            <w:tcW w:w="3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52,574</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ind w:left="440"/>
              <w:spacing w:after="0"/>
              <w:rPr>
                <w:sz w:val="20"/>
                <w:szCs w:val="20"/>
                <w:color w:val="auto"/>
              </w:rPr>
            </w:pPr>
            <w:r>
              <w:rPr>
                <w:rFonts w:ascii="Arial" w:cs="Arial" w:eastAsia="Arial" w:hAnsi="Arial"/>
                <w:sz w:val="18"/>
                <w:szCs w:val="18"/>
                <w:color w:val="auto"/>
              </w:rPr>
              <w:t>Total short-term borrowings</w:t>
            </w:r>
          </w:p>
        </w:tc>
        <w:tc>
          <w:tcPr>
            <w:tcW w:w="4160" w:type="dxa"/>
            <w:vAlign w:val="bottom"/>
            <w:gridSpan w:val="2"/>
          </w:tcPr>
          <w:p>
            <w:pPr>
              <w:jc w:val="center"/>
              <w:ind w:left="349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52,574</w:t>
            </w:r>
          </w:p>
        </w:tc>
        <w:tc>
          <w:tcPr>
            <w:tcW w:w="1100" w:type="dxa"/>
            <w:vAlign w:val="bottom"/>
            <w:gridSpan w:val="2"/>
          </w:tcPr>
          <w:p>
            <w:pPr>
              <w:jc w:val="center"/>
              <w:ind w:left="34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580" w:type="dxa"/>
            <w:vAlign w:val="bottom"/>
            <w:vMerge w:val="restart"/>
          </w:tcPr>
          <w:p>
            <w:pPr>
              <w:jc w:val="right"/>
              <w:ind w:right="2399"/>
              <w:spacing w:after="0"/>
              <w:rPr>
                <w:sz w:val="20"/>
                <w:szCs w:val="20"/>
                <w:color w:val="auto"/>
              </w:rPr>
            </w:pPr>
            <w:r>
              <w:rPr>
                <w:rFonts w:ascii="Arial" w:cs="Arial" w:eastAsia="Arial" w:hAnsi="Arial"/>
                <w:sz w:val="18"/>
                <w:szCs w:val="18"/>
                <w:color w:val="auto"/>
              </w:rPr>
              <w:t>93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Long-term debt at December 31, 2012 and 2011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Stated</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Earliest</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Issue</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Maturity</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Call</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Date</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9"/>
              </w:rPr>
              <w:t>Interest 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senior debentures</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2017</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senior debentures</w:t>
            </w: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2002 subordinated debentures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2012</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2012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2003 subordinated debentures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35,000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460" w:type="dxa"/>
            <w:vAlign w:val="bottom"/>
          </w:tcPr>
          <w:p>
            <w:pPr>
              <w:ind w:left="120"/>
              <w:spacing w:after="0"/>
              <w:rPr>
                <w:sz w:val="20"/>
                <w:szCs w:val="20"/>
                <w:color w:val="auto"/>
              </w:rPr>
            </w:pPr>
            <w:r>
              <w:rPr>
                <w:rFonts w:ascii="Arial" w:cs="Arial" w:eastAsia="Arial" w:hAnsi="Arial"/>
                <w:sz w:val="18"/>
                <w:szCs w:val="18"/>
                <w:color w:val="auto"/>
                <w:w w:val="79"/>
              </w:rPr>
              <w:t>2010</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subordinated debentures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65,500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United Community Capital Trust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8"/>
                <w:szCs w:val="18"/>
                <w:color w:val="auto"/>
              </w:rPr>
              <w:t>1998</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2028</w:t>
            </w:r>
          </w:p>
        </w:tc>
        <w:tc>
          <w:tcPr>
            <w:tcW w:w="460" w:type="dxa"/>
            <w:vAlign w:val="bottom"/>
            <w:vMerge w:val="restart"/>
          </w:tcPr>
          <w:p>
            <w:pPr>
              <w:ind w:left="120"/>
              <w:spacing w:after="0"/>
              <w:rPr>
                <w:sz w:val="20"/>
                <w:szCs w:val="20"/>
                <w:color w:val="auto"/>
              </w:rPr>
            </w:pPr>
            <w:r>
              <w:rPr>
                <w:rFonts w:ascii="Arial" w:cs="Arial" w:eastAsia="Arial" w:hAnsi="Arial"/>
                <w:sz w:val="18"/>
                <w:szCs w:val="18"/>
                <w:color w:val="auto"/>
                <w:w w:val="79"/>
              </w:rPr>
              <w:t>2008</w:t>
            </w:r>
          </w:p>
        </w:tc>
        <w:tc>
          <w:tcPr>
            <w:tcW w:w="300" w:type="dxa"/>
            <w:vAlign w:val="bottom"/>
          </w:tcPr>
          <w:p>
            <w:pPr>
              <w:spacing w:after="0" w:line="20" w:lineRule="exact"/>
              <w:rPr>
                <w:sz w:val="1"/>
                <w:szCs w:val="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line="20" w:lineRule="exact"/>
              <w:rPr>
                <w:sz w:val="1"/>
                <w:szCs w:val="1"/>
                <w:color w:val="auto"/>
              </w:rPr>
            </w:pPr>
          </w:p>
        </w:tc>
      </w:tr>
      <w:tr>
        <w:trPr>
          <w:trHeight w:val="221"/>
        </w:trPr>
        <w:tc>
          <w:tcPr>
            <w:tcW w:w="436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21,650</w:t>
            </w:r>
          </w:p>
        </w:tc>
        <w:tc>
          <w:tcPr>
            <w:tcW w:w="70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United Community Statutory Trust I</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10,309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10,309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2030</w:t>
            </w:r>
          </w:p>
        </w:tc>
        <w:tc>
          <w:tcPr>
            <w:tcW w:w="460" w:type="dxa"/>
            <w:vAlign w:val="bottom"/>
          </w:tcPr>
          <w:p>
            <w:pPr>
              <w:ind w:left="120"/>
              <w:spacing w:after="0"/>
              <w:rPr>
                <w:sz w:val="20"/>
                <w:szCs w:val="20"/>
                <w:color w:val="auto"/>
              </w:rPr>
            </w:pPr>
            <w:r>
              <w:rPr>
                <w:rFonts w:ascii="Arial" w:cs="Arial" w:eastAsia="Arial" w:hAnsi="Arial"/>
                <w:sz w:val="18"/>
                <w:szCs w:val="18"/>
                <w:color w:val="auto"/>
                <w:w w:val="79"/>
              </w:rPr>
              <w:t>2010</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Southern Bancorp Capital Trust I</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2004</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2009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Prime + 1.00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United Community Statutory Trust II</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12,004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2008</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2038</w:t>
            </w:r>
          </w:p>
        </w:tc>
        <w:tc>
          <w:tcPr>
            <w:tcW w:w="460" w:type="dxa"/>
            <w:vAlign w:val="bottom"/>
          </w:tcPr>
          <w:p>
            <w:pPr>
              <w:ind w:left="120"/>
              <w:spacing w:after="0"/>
              <w:rPr>
                <w:sz w:val="20"/>
                <w:szCs w:val="20"/>
                <w:color w:val="auto"/>
              </w:rPr>
            </w:pPr>
            <w:r>
              <w:rPr>
                <w:rFonts w:ascii="Arial" w:cs="Arial" w:eastAsia="Arial" w:hAnsi="Arial"/>
                <w:sz w:val="18"/>
                <w:szCs w:val="18"/>
                <w:color w:val="auto"/>
                <w:w w:val="79"/>
              </w:rPr>
              <w:t>2013</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United Community Statutory Trust III</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2013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Prime + 3.00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trust preferred securities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54,725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124,805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120,225</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is paid semiannually for all senior debentures, subordinated debentures and trust preferred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Senior Debentures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2012 senior debentures are not redeemable and will mature on October 15, 2017.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Subordinated Debentures</w:t>
      </w:r>
    </w:p>
    <w:p>
      <w:pPr>
        <w:spacing w:after="0" w:line="90" w:lineRule="exact"/>
        <w:rPr>
          <w:sz w:val="20"/>
          <w:szCs w:val="20"/>
          <w:color w:val="auto"/>
        </w:rPr>
      </w:pPr>
    </w:p>
    <w:p>
      <w:pPr>
        <w:ind w:left="460" w:right="240"/>
        <w:spacing w:after="0" w:line="298" w:lineRule="auto"/>
        <w:rPr>
          <w:sz w:val="20"/>
          <w:szCs w:val="20"/>
          <w:color w:val="auto"/>
        </w:rPr>
      </w:pPr>
      <w:r>
        <w:rPr>
          <w:rFonts w:ascii="Arial" w:cs="Arial" w:eastAsia="Arial" w:hAnsi="Arial"/>
          <w:sz w:val="16"/>
          <w:szCs w:val="16"/>
          <w:color w:val="auto"/>
        </w:rPr>
        <w:t>Subordinated debentures qualify as Tier 2 capital under risk based capital guidelines. The 2003 subordinated debentures were callable at par on September 30, 2010 and are callable at par on September 30 of each year thereafter. At September 30, 2010, the interest rate increased to 7.50% and will remain at that rate until maturity or until it is called. United acquired $1 million of the 2002 subordinated debentures through its acquisition of Southern Community Bank and retired it upon acquisition in 2009. The 2002 subordinated debentures matured in 2012.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 Preferred Securities</w:t>
      </w:r>
    </w:p>
    <w:p>
      <w:pPr>
        <w:spacing w:after="0" w:line="90" w:lineRule="exact"/>
        <w:rPr>
          <w:sz w:val="20"/>
          <w:szCs w:val="20"/>
          <w:color w:val="auto"/>
        </w:rPr>
      </w:pPr>
    </w:p>
    <w:p>
      <w:pPr>
        <w:ind w:left="460" w:right="620"/>
        <w:spacing w:after="0" w:line="332" w:lineRule="auto"/>
        <w:rPr>
          <w:sz w:val="20"/>
          <w:szCs w:val="20"/>
          <w:color w:val="auto"/>
        </w:rPr>
      </w:pPr>
      <w:r>
        <w:rPr>
          <w:rFonts w:ascii="Arial" w:cs="Arial" w:eastAsia="Arial" w:hAnsi="Arial"/>
          <w:sz w:val="16"/>
          <w:szCs w:val="16"/>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4"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trust preferred securities issued under United Community Statutory Trust II and United Community Statutory Trust III are callable at par any time after October 31, 2013. These trust preferred securities have attached warrants that allow the holder to redeem the trust preferred securities in exchange for common stock at the exercise price of $100 per share. The warrants can be exercised at any time prior to October 31, 2013, the fifth anniversary of their issuance, at which time the warrants expire.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United is required to report on the face of the statement of operations, earnings (loss)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62"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the years ended December 31, 2012 and 2011, United accrued dividends on preferred stock, including accretion of discounts, as shown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Series A—6% fixed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 xml:space="preserve">Series B—5% fixed until December 6, 2013, 9% thereafter </w:t>
            </w:r>
            <w:r>
              <w:rPr>
                <w:rFonts w:ascii="Arial" w:cs="Arial" w:eastAsia="Arial" w:hAnsi="Arial"/>
                <w:sz w:val="11"/>
                <w:szCs w:val="11"/>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10,465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10,401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Series D—LIBOR plus 9.6875%, resets quarterly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440"/>
              <w:spacing w:after="0"/>
              <w:rPr>
                <w:sz w:val="20"/>
                <w:szCs w:val="20"/>
                <w:color w:val="auto"/>
              </w:rPr>
            </w:pPr>
            <w:r>
              <w:rPr>
                <w:rFonts w:ascii="Arial" w:cs="Arial" w:eastAsia="Arial" w:hAnsi="Arial"/>
                <w:sz w:val="18"/>
                <w:szCs w:val="18"/>
                <w:color w:val="auto"/>
              </w:rPr>
              <w:t>Total preferred stock dividends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12,148</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11,839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All preferred stock dividends are payable quarterly.</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Series B preferred stock was issued at a discount. Dividend amounts shown include discount accretion for each period.</w:t>
      </w:r>
    </w:p>
    <w:p>
      <w:pPr>
        <w:spacing w:after="0" w:line="75" w:lineRule="exact"/>
        <w:rPr>
          <w:rFonts w:ascii="Arial" w:cs="Arial" w:eastAsia="Arial" w:hAnsi="Arial"/>
          <w:sz w:val="22"/>
          <w:szCs w:val="22"/>
          <w:color w:val="auto"/>
          <w:vertAlign w:val="superscript"/>
        </w:rPr>
      </w:pPr>
    </w:p>
    <w:p>
      <w:pPr>
        <w:ind w:left="460"/>
        <w:spacing w:after="0" w:line="259" w:lineRule="auto"/>
        <w:rPr>
          <w:rFonts w:ascii="Arial" w:cs="Arial" w:eastAsia="Arial" w:hAnsi="Arial"/>
          <w:sz w:val="22"/>
          <w:szCs w:val="22"/>
          <w:color w:val="auto"/>
          <w:vertAlign w:val="superscript"/>
        </w:rPr>
      </w:pPr>
      <w:r>
        <w:rPr>
          <w:rFonts w:ascii="Arial" w:cs="Arial" w:eastAsia="Arial" w:hAnsi="Arial"/>
          <w:sz w:val="18"/>
          <w:szCs w:val="18"/>
          <w:color w:val="auto"/>
        </w:rPr>
        <w:t>The preferred stock dividends were subtracted from net income (loss) in order to arrive at net income (loss) available to common shareholders. There is no dilution from dilutive securities for the years ended December 31, 2011 and 2010, due to the anti-dilutive effect of the net loss for those periods. There were no dilutive securities outstanding at December 31, 2012.</w:t>
      </w:r>
    </w:p>
    <w:p>
      <w:pPr>
        <w:spacing w:after="0" w:line="59" w:lineRule="exact"/>
        <w:rPr>
          <w:rFonts w:ascii="Arial" w:cs="Arial" w:eastAsia="Arial" w:hAnsi="Arial"/>
          <w:sz w:val="22"/>
          <w:szCs w:val="22"/>
          <w:color w:val="auto"/>
          <w:vertAlign w:val="superscript"/>
        </w:rPr>
      </w:pPr>
    </w:p>
    <w:p>
      <w:pPr>
        <w:ind w:left="460" w:right="360"/>
        <w:spacing w:after="0" w:line="268" w:lineRule="auto"/>
        <w:rPr>
          <w:rFonts w:ascii="Arial" w:cs="Arial" w:eastAsia="Arial" w:hAnsi="Arial"/>
          <w:sz w:val="22"/>
          <w:szCs w:val="22"/>
          <w:color w:val="auto"/>
          <w:vertAlign w:val="superscript"/>
        </w:rPr>
      </w:pPr>
      <w:r>
        <w:rPr>
          <w:rFonts w:ascii="Arial" w:cs="Arial" w:eastAsia="Arial" w:hAnsi="Arial"/>
          <w:sz w:val="18"/>
          <w:szCs w:val="18"/>
          <w:color w:val="auto"/>
        </w:rPr>
        <w:t xml:space="preserve">The following table sets forth the computation of basic and diluted loss per common share for the years ended December 31, 2012, 2011 and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stockholders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21,708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(238,584</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(512,660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Income (loss) per common share:</w:t>
            </w: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18"/>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Basic</w:t>
            </w:r>
          </w:p>
        </w:tc>
        <w:tc>
          <w:tcPr>
            <w:tcW w:w="580" w:type="dxa"/>
            <w:vAlign w:val="bottom"/>
          </w:tcPr>
          <w:p>
            <w:pPr>
              <w:jc w:val="right"/>
              <w:spacing w:after="0"/>
              <w:rPr>
                <w:sz w:val="20"/>
                <w:szCs w:val="20"/>
                <w:color w:val="auto"/>
              </w:rPr>
            </w:pPr>
            <w:r>
              <w:rPr>
                <w:rFonts w:ascii="Arial" w:cs="Arial" w:eastAsia="Arial" w:hAnsi="Arial"/>
                <w:sz w:val="18"/>
                <w:szCs w:val="18"/>
                <w:color w:val="auto"/>
              </w:rPr>
              <w:t>57,857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color w:val="auto"/>
              </w:rPr>
              <w:t>39,943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Stock options</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5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Warrants</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57,857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color w:val="auto"/>
              </w:rPr>
              <w:t>39,943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At December 31, 2012, United had the following potentially dilutive stock options and warrants outstanding: a warrant to purchase 219,909 common shares at $61.40 per share issued to the U.S. Treasury in conjunction with the issuance of United’s Series B preferred stock; 129,670 shares issuable upon exercise of warrants attached to trust preferred securities with an exercise price of $100 per share; 482,528 shares issuable upon exercise of stock options granted to employees with a weighted average exercise price of $97.73; 485,584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and 1,551,126 shares issuable upon exercise of warrants owned by Elm Ridge Off Shore Fund and Elm Ridge Value Fund, exercisable at $12.50 per share.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expense (benefit) for the years ended December 31, 2012, 2011 and 2010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9,446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(94,808)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(88,124)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94,808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157,378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40"/>
              <w:spacing w:after="0"/>
              <w:rPr>
                <w:sz w:val="20"/>
                <w:szCs w:val="20"/>
                <w:color w:val="auto"/>
              </w:rPr>
            </w:pPr>
            <w:r>
              <w:rPr>
                <w:rFonts w:ascii="Arial" w:cs="Arial" w:eastAsia="Arial" w:hAnsi="Arial"/>
                <w:sz w:val="18"/>
                <w:szCs w:val="18"/>
                <w:color w:val="auto"/>
              </w:rPr>
              <w:t>Total income tax expense (benefit)</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$ 1,050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71,217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differences between the provision for income taxes and the amount computed by applying the statutory federal income tax rate of 35% to income (loss)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income (loss) at statutory rates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(80,755)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 (deduct):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taxes, net of federal benefit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Nondeductible goodwill impairment charges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71,561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owned life insurance earnings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w w:val="99"/>
              </w:rPr>
              <w:t>Adjustment to reserve for uncertain tax positions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Tax-exempt interest revenue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Nondeductible interest expense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Increase in valuation allowance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(9,446)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94,808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157,378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880"/>
              <w:spacing w:after="0"/>
              <w:rPr>
                <w:sz w:val="20"/>
                <w:szCs w:val="20"/>
                <w:color w:val="auto"/>
              </w:rPr>
            </w:pPr>
            <w:r>
              <w:rPr>
                <w:rFonts w:ascii="Arial" w:cs="Arial" w:eastAsia="Arial" w:hAnsi="Arial"/>
                <w:sz w:val="18"/>
                <w:szCs w:val="18"/>
                <w:color w:val="auto"/>
              </w:rPr>
              <w:t>Total income tax expense (benefit)</w:t>
            </w:r>
          </w:p>
        </w:tc>
        <w:tc>
          <w:tcPr>
            <w:tcW w:w="2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71,217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20" w:type="dxa"/>
            <w:vAlign w:val="bottom"/>
            <w:vMerge w:val="restart"/>
          </w:tcPr>
          <w:p>
            <w:pPr>
              <w:jc w:val="right"/>
              <w:ind w:right="1632"/>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deferred tax asset at December 31, 2012 and 2011, which is included in other assets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Allowances for loan losses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41,521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44,528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operating loss carryforwards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221,335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226,716</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Deferred compensation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Reserve for losses on foreclosed properties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Nonqualified share based compensation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Investment in low income housing tax credit partnerships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Unamortized pension actuarial losses and prior service cost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Acquired intangible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losses on cash flow hedges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assets</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289,445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298,034</w:t>
            </w:r>
          </w:p>
        </w:tc>
        <w:tc>
          <w:tcPr>
            <w:tcW w:w="100" w:type="dxa"/>
            <w:vAlign w:val="bottom"/>
            <w:shd w:val="clear" w:color="auto" w:fill="CCEEFF"/>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gains on cash flow hedges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Unrealized gains on securities available for sale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Premises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Loan origination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from acquisition of Southern Community Bank</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liabilities</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270,423</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272,956</w:t>
            </w: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deferred tax asset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At December 31, 2012 and 2011, United did not report any deferred tax assets as it had established a full valuation allowance based on the weighting of the evidence supporting the realization of the deferred tax asset. 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that companies assess whether a valuation allowance should be established against their deferred tax assets based on the consideration of all available evidence using a “more likely than not” standard.</w:t>
      </w:r>
    </w:p>
    <w:p>
      <w:pPr>
        <w:spacing w:after="0" w:line="6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At December 31, 2012, United had state net operating loss carryforwards of approximately $32 million that begin to expire in 2023, and approximately $659 million that begin to expire in 2028, if not previously utilized. United has state tax credit carryforwards of approximately $7.1 million that begin to expire in 2013, if not previously utilized. United has $530 million in Federal net operating loss carryforwards that begin to expire in 2029, if not previously utilized. United has $2.3 million of Federal general business tax credits that begin to expire in 2028, if not previously utilized as well as $2.9 million in federal alternative minimum tax credits which have no expiration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reconciliation of the beginning and ending unrecognized tax benefit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$5,985</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Decreases based on tax positions related to prior years</w:t>
            </w:r>
          </w:p>
        </w:tc>
        <w:tc>
          <w:tcPr>
            <w:tcW w:w="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(3,369)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Decreases resulting from a lapse in the applicable statute of limitations</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Decreases based on settlements with taxing authorities</w:t>
            </w:r>
          </w:p>
        </w:tc>
        <w:tc>
          <w:tcPr>
            <w:tcW w:w="9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11,133</w:t>
            </w:r>
          </w:p>
        </w:tc>
      </w:tr>
      <w:tr>
        <w:trPr>
          <w:trHeight w:val="20"/>
        </w:trPr>
        <w:tc>
          <w:tcPr>
            <w:tcW w:w="5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Approximately $4.01 million of this amount would increase income from continuing operations, and thus affect United’s effective tax rate, if ultimately recognized into income.</w:t>
      </w:r>
    </w:p>
    <w:p>
      <w:pPr>
        <w:spacing w:after="0" w:line="51"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color w:val="auto"/>
        </w:rPr>
        <w:t>It is United’s policy to recognize interest and penalties accrued relative to unrecognized tax benefits in their respective federal or state income taxes accounts. In 2012 and 2011, United reversed $120,000 and $1.27 million, respectively, in previously recorded penalties and interest as a result of statute expiration on affected returns, settlement with a state taxing authority and a change in estimate relating to prior year tax positions. The total amount of interest and penalties recorded in the consolidated statement of operations for the year ended December 31, 2010 was $235,000. The amount accrued for interest and penalties at December 31, 2012 and 2011 was $85,000 and $330,000, respectively.</w:t>
      </w:r>
    </w:p>
    <w:p>
      <w:pPr>
        <w:spacing w:after="0" w:line="35" w:lineRule="exact"/>
        <w:rPr>
          <w:sz w:val="20"/>
          <w:szCs w:val="20"/>
          <w:color w:val="auto"/>
        </w:rPr>
      </w:pPr>
    </w:p>
    <w:p>
      <w:pPr>
        <w:ind w:left="460" w:right="280"/>
        <w:spacing w:after="0" w:line="298" w:lineRule="auto"/>
        <w:rPr>
          <w:sz w:val="20"/>
          <w:szCs w:val="20"/>
          <w:color w:val="auto"/>
        </w:rPr>
      </w:pPr>
      <w:r>
        <w:rPr>
          <w:rFonts w:ascii="Arial" w:cs="Arial" w:eastAsia="Arial" w:hAnsi="Arial"/>
          <w:sz w:val="16"/>
          <w:szCs w:val="16"/>
          <w:color w:val="auto"/>
        </w:rPr>
        <w:t>United and its subsidiaries file a consolidated U.S. federal income tax return, as well as file various returns in the states where its banking offices are located. United’s Georgia filed income tax returns for the years before 2009 are no longer subject to examination by taxing authorities. United’s North Carolina filed income tax returns are no longer subject to examination by taxing authorities for years before 2009. The federal and remaining state filed income tax returns are no longer subject to examination by taxing authorities for years before 2009.</w:t>
      </w:r>
    </w:p>
    <w:p>
      <w:pPr>
        <w:spacing w:after="0" w:line="228"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96"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Through March 31, 2012, United matched employee contributions dollar-for-dollar up to 5% of eligible compensation. Effective April 1, 2012, the matching contribution was reduced in half to 50% of employee contributions up to 5% of eligible compensation. Compensation expense from continuing operations related to the Plan totaled $1.66 million, $2.86 million and $2.97 million in 2012, 2011 and 2010, respectively. The Plan allows employees to choose to invest among a number of investment options, including United’s common stock. During 2012, 2011 and 2010, the Plan purchased 86,350, 372,363 and 89,833 shares, respectively, directly from United at the average of the high and low stock price on the date of purchase.</w:t>
      </w:r>
    </w:p>
    <w:p>
      <w:pPr>
        <w:spacing w:after="0" w:line="41"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United sponsors a non-qualified deferred compensation plan for its executive officers, certain other key employees and members of United’s and the Bank’s Boards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2012, 2011 and 2010, United recognized $24,000, $24,000 and $31,000, respectively, in matching contributions from continuing operations for this provision of the deferred compensation plan. The Board of Directors may also elect to make a discretionary contribution to any or all participants. No discretionary contributions were made in 2012, 2011 or 2010.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 continued</w:t>
      </w:r>
    </w:p>
    <w:p>
      <w:pPr>
        <w:spacing w:after="0" w:line="164"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United also has an unfunded noncontributory defined benefit pension plan (“Modified Retirement Plan”) that covers certain executive officers and other key employees. The Modified Retirement Plan provides a fixed annual retirement benefit to plan participants. Expenses incurred from continuing operations for these post-retirement benefits were approximately $1.87 million, a net credit of $160,000, and $1.50 million for 2012, 2011 and 2010, respectively. The 2011 $160,000 credit balance was due to a one-time $2.24 million credit adjustment for reclassification of unamortized actuarial gains and losses and prior service costs to other comprehensive income.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Information about changes in obligations and plan assets of the Modified Retirement Plan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9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Beginning benefit obligation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4"/>
              </w:rPr>
              <w:t>$ 12,064</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8,684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amendments</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Actuarial losses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Accumulated benefit obligation at end of year</w:t>
            </w:r>
          </w:p>
        </w:tc>
        <w:tc>
          <w:tcPr>
            <w:tcW w:w="4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 at fair value: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Beginning plan assets</w:t>
            </w:r>
          </w:p>
        </w:tc>
        <w:tc>
          <w:tcPr>
            <w:tcW w:w="40" w:type="dxa"/>
            <w:vAlign w:val="bottom"/>
          </w:tcPr>
          <w:p>
            <w:pPr>
              <w:spacing w:after="0"/>
              <w:rPr>
                <w:sz w:val="18"/>
                <w:szCs w:val="18"/>
                <w:color w:val="auto"/>
              </w:rPr>
            </w:pP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Employer contribution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Ending plan assets</w:t>
            </w:r>
          </w:p>
        </w:tc>
        <w:tc>
          <w:tcPr>
            <w:tcW w:w="4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Funded status at end of year (plan assets less benefit obligations)</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(13,030)</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(12,064)</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w w:val="88"/>
              </w:rPr>
              <w:t xml:space="preserve">Amounts recognized in accumulated other comprehensive income at December 31 consist of </w:t>
            </w:r>
            <w:r>
              <w:rPr>
                <w:rFonts w:ascii="Arial" w:cs="Arial" w:eastAsia="Arial" w:hAnsi="Arial"/>
                <w:sz w:val="18"/>
                <w:szCs w:val="18"/>
                <w:i w:val="1"/>
                <w:iCs w:val="1"/>
                <w:color w:val="auto"/>
                <w:w w:val="88"/>
              </w:rPr>
              <w:t>(in thousands)</w:t>
            </w:r>
            <w:r>
              <w:rPr>
                <w:rFonts w:ascii="Arial" w:cs="Arial" w:eastAsia="Arial" w:hAnsi="Arial"/>
                <w:sz w:val="18"/>
                <w:szCs w:val="18"/>
                <w:color w:val="auto"/>
                <w:w w:val="88"/>
              </w:rPr>
              <w:t>:</w:t>
            </w: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actuarial losses</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7"/>
              </w:rPr>
              <w:t>$2,152</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Prior service cost</w:t>
            </w:r>
          </w:p>
        </w:tc>
        <w:tc>
          <w:tcPr>
            <w:tcW w:w="42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2,159</w:t>
            </w:r>
          </w:p>
        </w:tc>
        <w:tc>
          <w:tcPr>
            <w:tcW w:w="44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79"/>
              </w:rPr>
              <w:t>$ 4,311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accumulated benefit obligation was $13.0 million and $12.1 million, respectively, at December 31, 2012 and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Components of net periodic benefit cost and other amounts recognized in other comprehensive income </w:t>
      </w: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Amortization of net losses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1,614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Net actuarial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Arial" w:cs="Arial" w:eastAsia="Arial" w:hAnsi="Arial"/>
                <w:sz w:val="18"/>
                <w:szCs w:val="18"/>
                <w:color w:val="auto"/>
              </w:rPr>
              <w:t>Total recognized in other comprehensive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periodic benefit cost and accumulated other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1,654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estimated net loss and prior service costs for the Modified Retirement Plan that will be amortized from accumulated other comprehensive income into net periodic benefit cost over the next fiscal year are $167,000 and $365,000, respectively, as of December 31, 2012.</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Weighted-average assumptions used to determine pension benefit obligations at year end and net periodic pension cost are shown in the table below:</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 for dissclosures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Discount rate for net periodic benefit cost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Measurement date</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12/31/2012</w:t>
            </w:r>
          </w:p>
        </w:tc>
        <w:tc>
          <w:tcPr>
            <w:tcW w:w="3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12/31/2011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160" w:type="dxa"/>
            <w:vAlign w:val="bottom"/>
            <w:gridSpan w:val="3"/>
          </w:tcPr>
          <w:p>
            <w:pPr>
              <w:jc w:val="right"/>
              <w:ind w:right="72"/>
              <w:spacing w:after="0"/>
              <w:rPr>
                <w:sz w:val="20"/>
                <w:szCs w:val="20"/>
                <w:color w:val="auto"/>
              </w:rPr>
            </w:pPr>
            <w:r>
              <w:rPr>
                <w:rFonts w:ascii="Arial" w:cs="Arial" w:eastAsia="Arial" w:hAnsi="Arial"/>
                <w:sz w:val="18"/>
                <w:szCs w:val="18"/>
                <w:color w:val="auto"/>
                <w:w w:val="88"/>
              </w:rPr>
              <w:t xml:space="preserve">The following benefit payments, which reflect expected future service, are expected </w:t>
            </w:r>
            <w:r>
              <w:rPr>
                <w:rFonts w:ascii="Arial" w:cs="Arial" w:eastAsia="Arial" w:hAnsi="Arial"/>
                <w:sz w:val="18"/>
                <w:szCs w:val="18"/>
                <w:i w:val="1"/>
                <w:iCs w:val="1"/>
                <w:color w:val="auto"/>
                <w:w w:val="88"/>
              </w:rPr>
              <w:t>(in thousands)</w:t>
            </w:r>
            <w:r>
              <w:rPr>
                <w:rFonts w:ascii="Arial" w:cs="Arial" w:eastAsia="Arial" w:hAnsi="Arial"/>
                <w:sz w:val="18"/>
                <w:szCs w:val="18"/>
                <w:color w:val="auto"/>
                <w:w w:val="88"/>
              </w:rPr>
              <w:t>:</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spacing w:after="0"/>
              <w:rPr>
                <w:sz w:val="17"/>
                <w:szCs w:val="17"/>
                <w:color w:val="auto"/>
              </w:rPr>
            </w:pPr>
          </w:p>
        </w:tc>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517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2014</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Following five years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8"/>
                <w:szCs w:val="18"/>
                <w:color w:val="auto"/>
              </w:rPr>
              <w:t>4,709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160" w:type="dxa"/>
            <w:vAlign w:val="bottom"/>
            <w:gridSpan w:val="3"/>
          </w:tcPr>
          <w:p>
            <w:pPr>
              <w:jc w:val="right"/>
              <w:ind w:right="169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Management Objective of Using Derivatives</w:t>
      </w:r>
    </w:p>
    <w:p>
      <w:pPr>
        <w:spacing w:after="0" w:line="96" w:lineRule="exact"/>
        <w:rPr>
          <w:rFonts w:ascii="Arial" w:cs="Arial" w:eastAsia="Arial" w:hAnsi="Arial"/>
          <w:sz w:val="18"/>
          <w:szCs w:val="18"/>
          <w:b w:val="1"/>
          <w:bCs w:val="1"/>
          <w:color w:val="auto"/>
        </w:rPr>
      </w:pPr>
    </w:p>
    <w:p>
      <w:pPr>
        <w:jc w:val="both"/>
        <w:ind w:left="460" w:right="20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w:t>
      </w:r>
    </w:p>
    <w:p>
      <w:pPr>
        <w:spacing w:after="0" w:line="1" w:lineRule="exact"/>
        <w:rPr>
          <w:rFonts w:ascii="Arial" w:cs="Arial" w:eastAsia="Arial" w:hAnsi="Arial"/>
          <w:sz w:val="18"/>
          <w:szCs w:val="18"/>
          <w:b w:val="1"/>
          <w:bCs w:val="1"/>
          <w:color w:val="auto"/>
        </w:rPr>
      </w:pPr>
    </w:p>
    <w:p>
      <w:pPr>
        <w:ind w:left="4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62"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arrangements on a net basis by counterparty portfolio.</w:t>
      </w:r>
    </w:p>
    <w:p>
      <w:pPr>
        <w:spacing w:after="0" w:line="50"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December 31,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Derivatives Designated as Hedging Instruments under ASC 815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w w:val="92"/>
              </w:rPr>
              <w:t>Fair Value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8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Products</w:t>
            </w:r>
          </w:p>
        </w:tc>
        <w:tc>
          <w:tcPr>
            <w:tcW w:w="4260" w:type="dxa"/>
            <w:vAlign w:val="bottom"/>
          </w:tcPr>
          <w:p>
            <w:pPr>
              <w:spacing w:after="0"/>
              <w:rPr>
                <w:sz w:val="15"/>
                <w:szCs w:val="15"/>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w w:val="87"/>
              </w:rPr>
              <w:t>Balance Sheet Location</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 derivatives</w:t>
            </w: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assets</w:t>
            </w: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1760" w:type="dxa"/>
            <w:vAlign w:val="bottom"/>
            <w:gridSpan w:val="4"/>
            <w:vMerge w:val="restart"/>
          </w:tcPr>
          <w:p>
            <w:pPr>
              <w:ind w:left="360"/>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1760" w:type="dxa"/>
            <w:vAlign w:val="bottom"/>
            <w:gridSpan w:val="4"/>
            <w:vMerge w:val="continue"/>
          </w:tcPr>
          <w:p>
            <w:pPr>
              <w:spacing w:after="0"/>
              <w:rPr>
                <w:sz w:val="18"/>
                <w:szCs w:val="18"/>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11,900</w:t>
            </w:r>
          </w:p>
        </w:tc>
        <w:tc>
          <w:tcPr>
            <w:tcW w:w="40" w:type="dxa"/>
            <w:vAlign w:val="bottom"/>
          </w:tcPr>
          <w:p>
            <w:pPr>
              <w:spacing w:after="0"/>
              <w:rPr>
                <w:sz w:val="18"/>
                <w:szCs w:val="18"/>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1"/>
              </w:rPr>
              <w:t>Derivatives not Designated as Hedging Instruments under ASC 815</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5"/>
              </w:rPr>
              <w:t>Fair Value</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8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Products</w:t>
            </w:r>
          </w:p>
        </w:tc>
        <w:tc>
          <w:tcPr>
            <w:tcW w:w="4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84"/>
              </w:rPr>
              <w:t>Balance Sheet Location</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 derivatives</w:t>
            </w: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assets</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635</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w:t>
            </w:r>
          </w:p>
        </w:tc>
        <w:tc>
          <w:tcPr>
            <w:tcW w:w="6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between United and certain commercial loan customers with offsetting positions to dealers under a back-to-back swap program.</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9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December 31, 2012,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the company in a rising rate environment. The swaps are forward starting and do not become effective until 2014. At December 31, 2012, United had five swap contracts outstanding with a total notional amount of $400 million that were designated as cash flow hedges. United had no active derivative contracts outstanding at December 31, 2011 that were designated as cash flow hedges of interest rate risk.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163"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At December 31, 2012, a portion of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in interest revenue over the remaining life of the contract on a straight line basis. During the years ended December 31, 2012, 2011 and 2010, United accelerated the reclassification of $238,000, $4.96 million and $1.37 million, respectively, in gains from terminated positions as a result of the forecasted transactions becoming probable not to occur. These amounts are recognized in other fee revenue as hedge ineffectiveness. During the next twelve months, United estimates that the remaining $904,000 of the deferred gains on terminated cash flow hedging positions will be reclassified as an increase to loan interest revenue.</w:t>
      </w:r>
    </w:p>
    <w:p>
      <w:pPr>
        <w:spacing w:after="0" w:line="4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Hedges of Interest Rate Risk</w:t>
      </w:r>
    </w:p>
    <w:p>
      <w:pPr>
        <w:spacing w:after="0" w:line="96"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involve the receipt of fixed-rate amounts from a counterparty in exchange for United making variable rate payments over the life of the agreements without the exchange of the underlying notional amount. At December 31, 2012, United had 13 interest rate swaps with an aggregate notional amount of $166 million that were designated as fair value hedges of interest rate risk. At December 31, 2011, United had one interest rate swap with an aggregate notional amount of $14.8 million that was designated as a fair value hedge of interest rate risk.</w:t>
      </w:r>
    </w:p>
    <w:p>
      <w:pPr>
        <w:spacing w:after="0" w:line="39" w:lineRule="exact"/>
        <w:rPr>
          <w:rFonts w:ascii="Arial" w:cs="Arial" w:eastAsia="Arial" w:hAnsi="Arial"/>
          <w:sz w:val="18"/>
          <w:szCs w:val="18"/>
          <w:b w:val="1"/>
          <w:bCs w:val="1"/>
          <w:color w:val="auto"/>
        </w:rPr>
      </w:pPr>
    </w:p>
    <w:p>
      <w:pPr>
        <w:ind w:left="460" w:right="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years ended December 31, 2012, 2011 and 2010, United recognized net gains of $870,000 $37,000 and $215,000 respectively, related to ineffectiveness of the fair value hedging relationships. Offsetting the 2012 gain was the write off of $449,000 in prepaid broker fees on brokered deposits. The prepaid broker fees were related to the brokered deposits (hedged item) that were called and resulted in a portion of the ineffectiveness gain. United also recognized a net reduction of interest expense of $2.42 million, $110,000 and $3.97 million for the years ended December 31, 2012, 2011 and 2010, respectively, related to United’s fair value hedges, which includes net settlements on the derivatives.</w:t>
      </w:r>
    </w:p>
    <w:p>
      <w:pPr>
        <w:spacing w:after="0" w:line="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the Effect of Derivative Instruments on the Income Statement</w:t>
      </w:r>
    </w:p>
    <w:p>
      <w:pPr>
        <w:spacing w:after="0" w:line="96" w:lineRule="exact"/>
        <w:rPr>
          <w:rFonts w:ascii="Arial" w:cs="Arial" w:eastAsia="Arial" w:hAnsi="Arial"/>
          <w:sz w:val="18"/>
          <w:szCs w:val="18"/>
          <w:b w:val="1"/>
          <w:bCs w:val="1"/>
          <w:color w:val="auto"/>
        </w:rPr>
      </w:pPr>
    </w:p>
    <w:p>
      <w:pPr>
        <w:ind w:left="460" w:right="9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tables below present the effect of United’s derivative financial instruments on the consolidated statement of operations for the years ended December 31, 2012, 2011 and 2010.</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Location of Gain (Loss)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Recognized in Income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on Derivative</w:t>
      </w:r>
    </w:p>
    <w:p>
      <w:pPr>
        <w:spacing w:after="0"/>
        <w:rPr>
          <w:sz w:val="20"/>
          <w:szCs w:val="20"/>
          <w:color w:val="auto"/>
        </w:rPr>
      </w:pPr>
      <w:r>
        <w:rPr>
          <w:rFonts w:ascii="Arial" w:cs="Arial" w:eastAsia="Arial" w:hAnsi="Arial"/>
          <w:sz w:val="16"/>
          <w:szCs w:val="16"/>
          <w:color w:val="auto"/>
        </w:rPr>
        <w:t>Other fee revenue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7"/>
          </w:tcPr>
          <w:p>
            <w:pPr>
              <w:jc w:val="center"/>
              <w:ind w:right="262"/>
              <w:spacing w:after="0"/>
              <w:rPr>
                <w:sz w:val="20"/>
                <w:szCs w:val="20"/>
                <w:color w:val="auto"/>
              </w:rPr>
            </w:pPr>
            <w:r>
              <w:rPr>
                <w:rFonts w:ascii="Arial" w:cs="Arial" w:eastAsia="Arial" w:hAnsi="Arial"/>
                <w:sz w:val="14"/>
                <w:szCs w:val="14"/>
                <w:b w:val="1"/>
                <w:bCs w:val="1"/>
                <w:color w:val="auto"/>
                <w:w w:val="86"/>
              </w:rPr>
              <w:t>Amount of Gain (Loss) Recognized in</w:t>
            </w: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Amount of Gain (Loss) Recognized in</w:t>
            </w: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4"/>
                <w:szCs w:val="14"/>
                <w:b w:val="1"/>
                <w:bCs w:val="1"/>
                <w:color w:val="auto"/>
                <w:w w:val="88"/>
              </w:rPr>
              <w:t>Income on Derivative</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Income on Hedged Item</w:t>
            </w:r>
          </w:p>
        </w:tc>
        <w:tc>
          <w:tcPr>
            <w:tcW w:w="5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540</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328</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280" w:type="dxa"/>
            <w:vAlign w:val="bottom"/>
          </w:tcPr>
          <w:p>
            <w:pPr>
              <w:jc w:val="right"/>
              <w:ind w:right="202"/>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330</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(291</w:t>
            </w:r>
          </w:p>
        </w:tc>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-170815</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500" w:space="720"/>
            <w:col w:w="51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00"/>
          </w:cols>
          <w:pgMar w:left="240" w:top="459" w:right="2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6"/>
              </w:rPr>
              <w:t>Amount of Gain (Loss) Recognized in</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9"/>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Other Comprehensive Income on</w:t>
            </w:r>
          </w:p>
        </w:tc>
        <w:tc>
          <w:tcPr>
            <w:tcW w:w="3700" w:type="dxa"/>
            <w:vAlign w:val="bottom"/>
            <w:gridSpan w:val="9"/>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 (Loss) Reclassified from Accumulated Other</w:t>
            </w:r>
          </w:p>
        </w:tc>
      </w:tr>
      <w:tr>
        <w:trPr>
          <w:trHeight w:val="161"/>
        </w:trPr>
        <w:tc>
          <w:tcPr>
            <w:tcW w:w="3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88"/>
              </w:rPr>
              <w:t>Derivative (Effective Portion)</w:t>
            </w:r>
          </w:p>
        </w:tc>
        <w:tc>
          <w:tcPr>
            <w:tcW w:w="370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88"/>
              </w:rPr>
              <w:t>Comprehensive Income into Income (Effective Portion)</w:t>
            </w:r>
          </w:p>
        </w:tc>
      </w:tr>
      <w:tr>
        <w:trPr>
          <w:trHeight w:val="142"/>
        </w:trPr>
        <w:tc>
          <w:tcPr>
            <w:tcW w:w="3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134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Location</w:t>
            </w: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products</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(8,739)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Interest revenue</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$3,475</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r>
      <w:tr>
        <w:trPr>
          <w:trHeight w:val="27"/>
        </w:trPr>
        <w:tc>
          <w:tcPr>
            <w:tcW w:w="3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(8,739)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2,314</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$ 18,696</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96" w:lineRule="exact"/>
        <w:rPr>
          <w:sz w:val="20"/>
          <w:szCs w:val="20"/>
          <w:color w:val="auto"/>
        </w:rPr>
      </w:pPr>
    </w:p>
    <w:p>
      <w:pPr>
        <w:ind w:left="460" w:right="320"/>
        <w:spacing w:after="0" w:line="256"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December 31, 2012, collateral totaling $11.5 million was pledged toward derivatives in a liability position.</w:t>
      </w:r>
    </w:p>
    <w:p>
      <w:pPr>
        <w:spacing w:after="0" w:line="62"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31" w:lineRule="exact"/>
        <w:rPr>
          <w:sz w:val="20"/>
          <w:szCs w:val="20"/>
          <w:color w:val="auto"/>
        </w:rPr>
      </w:pPr>
    </w:p>
    <w:p>
      <w:pPr>
        <w:jc w:val="both"/>
        <w:ind w:left="460" w:right="9420" w:hanging="452"/>
        <w:spacing w:after="0" w:line="391" w:lineRule="auto"/>
        <w:tabs>
          <w:tab w:leader="none" w:pos="449"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u w:val="single" w:color="auto"/>
          <w:color w:val="auto"/>
        </w:rPr>
        <w:t>Capital Requirements</w:t>
      </w:r>
    </w:p>
    <w:p>
      <w:pPr>
        <w:ind w:left="460"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63" w:lineRule="exact"/>
        <w:rPr>
          <w:rFonts w:ascii="Arial" w:cs="Arial" w:eastAsia="Arial" w:hAnsi="Arial"/>
          <w:sz w:val="16"/>
          <w:szCs w:val="16"/>
          <w:b w:val="1"/>
          <w:bCs w:val="1"/>
          <w:color w:val="auto"/>
        </w:rPr>
      </w:pPr>
    </w:p>
    <w:p>
      <w:pPr>
        <w:ind w:left="460" w:right="2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Quantitative measures (as defined) established by regulation to ensure capital adequacy require United and the Bank to maintain minimum amounts and ratios of Total capital and Tier 1 capital to risk-weighted assets, and of Tier 1 capital to average assets.</w:t>
      </w:r>
    </w:p>
    <w:p>
      <w:pPr>
        <w:spacing w:after="0" w:line="50" w:lineRule="exact"/>
        <w:rPr>
          <w:rFonts w:ascii="Arial" w:cs="Arial" w:eastAsia="Arial" w:hAnsi="Arial"/>
          <w:sz w:val="16"/>
          <w:szCs w:val="16"/>
          <w:b w:val="1"/>
          <w:bCs w:val="1"/>
          <w:color w:val="auto"/>
        </w:rPr>
      </w:pPr>
    </w:p>
    <w:p>
      <w:pPr>
        <w:ind w:left="4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As of December 31, 2012, the Bank was categorized as well-capitalized under the regulatory framework for prompt corrective action. To be categorized as well-capitalized, the Bank must exceed the well-capitalized guideline ratios, as set forth in the table and meet certain other requirements. Management believes that the Bank exceeded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1 risk-based capital ratio of 6% and a minimum Total risk-based capital ratio of 10%.</w:t>
      </w:r>
    </w:p>
    <w:p>
      <w:pPr>
        <w:spacing w:after="0" w:line="37" w:lineRule="exact"/>
        <w:rPr>
          <w:rFonts w:ascii="Arial" w:cs="Arial" w:eastAsia="Arial" w:hAnsi="Arial"/>
          <w:sz w:val="16"/>
          <w:szCs w:val="16"/>
          <w:b w:val="1"/>
          <w:bCs w:val="1"/>
          <w:color w:val="auto"/>
        </w:rPr>
      </w:pPr>
    </w:p>
    <w:p>
      <w:pPr>
        <w:ind w:left="460" w:right="6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In November 2011, United entered into an informal memorandum of understanding with the Federal Reserve Bank of Atlanta and the Georgia Department of Banking and Finance (the “Holding Company MOU”). The Holding Company MOU provides, among other things, that United may not incur additional indebtedness, pay cash dividends, make payments on our trust preferred securities or subordinated indebtedness or repurchase outstanding stock without prior approval of the Federal Reserve and Georgia Department of Banking and Finance.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163" w:lineRule="exact"/>
        <w:rPr>
          <w:rFonts w:ascii="Arial" w:cs="Arial" w:eastAsia="Arial" w:hAnsi="Arial"/>
          <w:sz w:val="18"/>
          <w:szCs w:val="18"/>
          <w:b w:val="1"/>
          <w:bCs w:val="1"/>
          <w:color w:val="auto"/>
        </w:rPr>
      </w:pPr>
    </w:p>
    <w:p>
      <w:pPr>
        <w:ind w:left="460" w:right="6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the Holding Company MOU requires that United ensures that the Bank functions in a safe and sound manner. United believes it is in compliance with all requirements of the Holding Company MOU.</w:t>
      </w:r>
    </w:p>
    <w:p>
      <w:pPr>
        <w:spacing w:after="0" w:line="50" w:lineRule="exact"/>
        <w:rPr>
          <w:rFonts w:ascii="Arial" w:cs="Arial" w:eastAsia="Arial" w:hAnsi="Arial"/>
          <w:sz w:val="18"/>
          <w:szCs w:val="18"/>
          <w:b w:val="1"/>
          <w:bCs w:val="1"/>
          <w:color w:val="auto"/>
        </w:rPr>
      </w:pPr>
    </w:p>
    <w:p>
      <w:pPr>
        <w:jc w:val="both"/>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Bank is currently subject to an informal memorandum of understanding with the FDIC and Georgia Department of Banking and Finance (the “Bank MOU”). The Bank MOU requires, among other things, that the Bank maintain its Tier I leverage ratio at not less than 8% and its total risk-based capital ratio at not less than 10% during the life of the Bank MOU.</w:t>
      </w:r>
    </w:p>
    <w:p>
      <w:pPr>
        <w:spacing w:after="0" w:line="59"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Minimum amounts required for capital adequacy purposes and to be well-capitalized under prompt corrective action provisions are presented below for United and the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b w:val="1"/>
                <w:bCs w:val="1"/>
                <w:color w:val="auto"/>
              </w:rPr>
              <w:t>Regulatory</w:t>
            </w: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United Community Banks, Inc.</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760" w:type="dxa"/>
            <w:vAlign w:val="bottom"/>
          </w:tcPr>
          <w:p>
            <w:pPr>
              <w:spacing w:after="0"/>
              <w:rPr>
                <w:sz w:val="14"/>
                <w:szCs w:val="14"/>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b w:val="1"/>
                <w:bCs w:val="1"/>
                <w:color w:val="auto"/>
              </w:rPr>
              <w:t>Guidelines</w:t>
            </w:r>
          </w:p>
        </w:tc>
        <w:tc>
          <w:tcPr>
            <w:tcW w:w="144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83"/>
              </w:rPr>
              <w:t>(consolidated)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United Community Bank</w:t>
            </w:r>
          </w:p>
        </w:tc>
      </w:tr>
      <w:tr>
        <w:trPr>
          <w:trHeight w:val="129"/>
        </w:trPr>
        <w:tc>
          <w:tcPr>
            <w:tcW w:w="47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Well</w:t>
            </w:r>
          </w:p>
        </w:tc>
        <w:tc>
          <w:tcPr>
            <w:tcW w:w="4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7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Minimum</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Capitalized</w:t>
            </w:r>
          </w:p>
        </w:tc>
        <w:tc>
          <w:tcPr>
            <w:tcW w:w="76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Risk-based ratios:</w:t>
            </w: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Tier 1 capital</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14.16%</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13.69%</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14.48%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13.60%</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15.41</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15.74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Leverage ratio</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3.0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9.86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Tier 1 capital</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$ 652,692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618,695</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$666,585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$614,532</w:t>
            </w:r>
          </w:p>
        </w:tc>
      </w:tr>
      <w:tr>
        <w:trPr>
          <w:trHeight w:val="222"/>
        </w:trPr>
        <w:tc>
          <w:tcPr>
            <w:tcW w:w="4760" w:type="dxa"/>
            <w:vAlign w:val="bottom"/>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724,915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696,881</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724,738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671,718</w:t>
            </w: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Dividend, Loan and Other Restrictions</w:t>
      </w:r>
    </w:p>
    <w:p>
      <w:pPr>
        <w:spacing w:after="0" w:line="9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At December 31, 2012 and 2011, the Bank did not have a required reserve balance at the Federal Reserve Bank. Federal and state banking regulations place certain restrictions on dividends paid by the Bank to United. At December 31, 2012, the Bank had $24 million available for distribution to United in the form of dividends subject to regulatory approval.</w:t>
      </w:r>
    </w:p>
    <w:p>
      <w:pPr>
        <w:spacing w:after="0" w:line="59" w:lineRule="exact"/>
        <w:rPr>
          <w:sz w:val="20"/>
          <w:szCs w:val="20"/>
          <w:color w:val="auto"/>
        </w:rPr>
      </w:pPr>
    </w:p>
    <w:p>
      <w:pPr>
        <w:ind w:left="460" w:right="240"/>
        <w:spacing w:after="0" w:line="286" w:lineRule="auto"/>
        <w:rPr>
          <w:sz w:val="20"/>
          <w:szCs w:val="20"/>
          <w:color w:val="auto"/>
        </w:rPr>
      </w:pPr>
      <w:r>
        <w:rPr>
          <w:rFonts w:ascii="Arial" w:cs="Arial" w:eastAsia="Arial" w:hAnsi="Arial"/>
          <w:sz w:val="16"/>
          <w:szCs w:val="16"/>
          <w:color w:val="auto"/>
        </w:rPr>
        <w:t>On December 5, 2008, United entered into a Letter Agreement and Securities Purchase Agreement (the “Purchase Agreement”) with the U.S. Treasury Department (“Treasury”) under the Troubled Asset Relief Program (“TARP”) Capital Purchase Program discussed below, pursuant to which United sold</w:t>
      </w:r>
    </w:p>
    <w:p>
      <w:pPr>
        <w:ind w:left="460" w:right="140" w:firstLine="4"/>
        <w:spacing w:after="0" w:line="252" w:lineRule="auto"/>
        <w:tabs>
          <w:tab w:leader="none" w:pos="6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180,000 shares of United’s Fixed Rate Cumulative Perpetual Preferred Stock, Series B (the “Series B Preferred Stock”) and (ii) a warrant (the “Warrant”) to purchase 426,540 shares (219,909 shares, as adjusted for subsequent stock dividends and a 50% reduction following United’s September 2009 stock offering) of United’s common stock for an aggregate purchase price of $180 million in cash. Pursuant to the terms of the Purchase Agreement, the ability of United to declare or pay dividends or distributions on its common stock is subject to restrictions, including a restriction against increasing dividends from the last quarterly cash dividend per share of ($.45) declared on the common stock prior to December 5, 2008, as adjusted for subsequent stock dividends and other similar actions.</w:t>
      </w:r>
    </w:p>
    <w:p>
      <w:pPr>
        <w:spacing w:after="0" w:line="6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25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62"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summarizes, as of December 31, 2012 and 2011, the contract amount of off-balance sheet instruments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Commitments to extend credit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$313,798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$415,093</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Letters of credit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Minimum Lease Payments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63"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35"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62"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As disclosed on February 22, 2013, United and FILB Co-Investments LLC (“FILB-Co”) agreed to settle all outstanding claims and counterclaims in connection with the previously disclosed lawsuit between United and FILB-Co. FILB-Co filed a lawsuit against United with respect to purported contractual rights under the Securities Purchase Agreement that FILB-Co claimed were assigned to it by Fletcher. Fletcher made the purported assignment to FILB-Co in response to redemption requests to Fletcher by several investors in one of Fletcher’s funds (“Leveraged”). Fletcher then transferred its interests in FILB-Co to those investors, who challenged Fletcher’s attempted redemption as commercially worthless in liquidation proceedings commenced in the Grand Court of the Cayman Islands. As the result of those proceedings, the Cayman court ordered the liquidation of Leveraged, and a court-appointed liquidator was appointed to manage FILB-Co. Subsequently, Fletcher filed for bankruptcy protection in the U.S. Bankruptcy Court for the Southern District of New York.</w:t>
      </w:r>
    </w:p>
    <w:p>
      <w:pPr>
        <w:spacing w:after="0" w:line="3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Fletcher has stated that it did not assign the Warrant or its right to an alleged “registration failure” penalty under the Securities Purchase Agreement (apart from a claim for a portion thereof) to FILB-Co, and United has received purported partial warrant exercise notices from Fletcher that include incorrect calculations of the number of settlement shares Fletcher would receive upon exercise and demands for the payment of such a penalty. United believes that any current exercise of the Warrant would not result in the issuance of any settlement shares because, among other things, the Warrant may only be exercised for net shares via a cashless exercise formula, and, following United’s 2011 reclassification of its common stock in the form of 1-for-5 reverse stock split, or recombination, the reverse stock split-adjusted market price component of that formula does not exceed the exercise price to yield any net shares. United also believes that no registration failure penalty is due. As a result, United has responded to Fletcher with United’s calculations related to the Warrant and denied any liability for any such penalty.</w:t>
      </w:r>
    </w:p>
    <w:p>
      <w:pPr>
        <w:spacing w:after="0" w:line="37"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In connection with the FILB-Co settlement, United recorded $4 million in litigation charges which includes the establishment of litigation reserves associated with claims that may be made against United by Fletcher.</w:t>
      </w:r>
    </w:p>
    <w:p>
      <w:pPr>
        <w:spacing w:after="0" w:line="5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settlement with FILB-Co is expected to be completed promptly following completion of a definitive agreement and the receipt of necessary court approvals.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96" w:lineRule="exact"/>
        <w:rPr>
          <w:rFonts w:ascii="Arial" w:cs="Arial" w:eastAsia="Arial" w:hAnsi="Arial"/>
          <w:sz w:val="18"/>
          <w:szCs w:val="18"/>
          <w:b w:val="1"/>
          <w:bCs w:val="1"/>
          <w:color w:val="auto"/>
        </w:rPr>
      </w:pPr>
    </w:p>
    <w:p>
      <w:pPr>
        <w:ind w:left="4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A</w:t>
      </w:r>
    </w:p>
    <w:p>
      <w:pPr>
        <w:spacing w:after="0" w:line="90"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At December 31, 2012 and 2011, there were 21,700 Series A preferred shares, respectively, issued and outstanding, which were issued as non-cumulative preferred stock. The dividend rate of the Series A preferred stock is 6% per annum, provided a dividend has been declared for the common shares. The holders of the Series A preferred stock maintain a liquidation preference to the common stockholder. The Series A preferred stock has no voting rights and United may redeem the Series A preferred stock for an amount equal to the stated value plus the accrued dividend.</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B</w:t>
      </w:r>
    </w:p>
    <w:p>
      <w:pPr>
        <w:spacing w:after="0" w:line="90"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December 5, 2008, United sold 180,000 shares of Series B Preferred Stock with the Warrant to purchase 426,540 shares (439,817 shares adjusted for stock dividends declared subsequent to issuance) of common stock, to Treasury under Treasury’s Capital Purchase Program. The proceeds from the sale of $180 million were allocated between the Series B Preferred Stock and the Warrant based on their relative fair values at the time of the sale. Of the $180 million in proceeds, $173 million was allocated to the Series B Preferred Stock and $6.90 million was allocated to the Warrant. The accretion of the discount recorded on the Series B Preferred Stock that resulted from allocating a portion of the proceeds to the Warrant is accreted directly to retained earnings over a five-year period applying a level yield, and is reported on the consolidated statement of operations in the determination of the amount of net loss available to common shareholders. The exercise price of the Warrant is $63.30 ($61.40 as adjusted for stock dividends declared subsequent to issuance) and it is exercisable at any time on or before December 5, 2018. According to the terms of the agreement with Treasury, the number of shares issuable under the Warrant was reduced by 50% due to the sale of $211 million in qualifying common equity in the third quarter of 2009. As a result, the number of shares issuable under the warrant was reduced to 219,909.</w:t>
      </w:r>
    </w:p>
    <w:p>
      <w:pPr>
        <w:spacing w:after="0" w:line="41"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Series B Preferred Stock qualifies as Tier 1 capital and will pay cumulative dividends at a rate of 5% per annum for the first five years and 9% per annum thereafter. The Series B Preferred Stock is redeemable at any time at the stated amount of $1,000 per share plus any accrued and unpaid dividends. The Series B Preferred Stock is non-voting except for class voting rights on matters that would adversely affect the rights of the holders of the Series B Preferred Stock.</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D</w:t>
      </w:r>
    </w:p>
    <w:p>
      <w:pPr>
        <w:spacing w:after="0" w:line="90" w:lineRule="exact"/>
        <w:rPr>
          <w:rFonts w:ascii="Arial" w:cs="Arial" w:eastAsia="Arial" w:hAnsi="Arial"/>
          <w:sz w:val="18"/>
          <w:szCs w:val="18"/>
          <w:b w:val="1"/>
          <w:bCs w:val="1"/>
          <w:color w:val="auto"/>
        </w:rPr>
      </w:pPr>
    </w:p>
    <w:p>
      <w:pPr>
        <w:ind w:left="460" w:right="3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February 22, 2011, United entered into a Share Exchange Agreement with a third party who agreed to transfer the Company 1,551,126 shares of the Company’s common stock in exchange for 16,613 shares of the Company’s cumulative perpetual preferred stock, Series D, and warrants to purchase 1,551,126 common shares with an exercise price of $12.50 per share that expire on August 22, 2013. This exchange transaction did not result in a net increase or decrease to total shareholder’s equity for the year ended December 31, 2011.</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rFonts w:ascii="Arial" w:cs="Arial" w:eastAsia="Arial" w:hAnsi="Arial"/>
          <w:sz w:val="18"/>
          <w:szCs w:val="18"/>
          <w:b w:val="1"/>
          <w:bCs w:val="1"/>
          <w:color w:val="auto"/>
        </w:rPr>
      </w:pPr>
    </w:p>
    <w:p>
      <w:pPr>
        <w:ind w:left="4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2007, the shareholders approved the Amended and Restated 2000 Key Employee Stock Option Plan (“2000 Plan”). Under the original terms of the 2000 Plan, awards of 500,000 options, restricted stock awards, stock awards, performance share awards or stock appreciation rights could be granted for shares of United’s common stock. The plan has been subsequently amended to increase the number of shares available for grant.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United or certain other conditions are met (as defined in the plan document). As of December 31, 2012, 1,204,000 additional awards could be granted under the 2000 Plan. Through December 31, 2012, incentive stock options, nonqualified stock options, restricted stock and restricted stock unit awards, base salary stock grants and performance share awards had been granted under the 2000 Plan.</w:t>
      </w:r>
    </w:p>
    <w:p>
      <w:pPr>
        <w:spacing w:after="0" w:line="37"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Certain acquired companies had stock option plans for their key employees with provisions similar to United’s plan. Options under acquired plans were converted at the exchange ratio effective for common shares. No options are available for grant under any of the acquired plans.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2012, 2011 and 2010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Restricted Stock</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Term (Yrs.)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Value (000’s)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2009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732,688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25.10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24.55</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(10,381)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(56,875)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70.40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678,313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410,051</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11.20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(18,621)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(104,666)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76.87</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583,647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200,612</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8.73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(114,673)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(14,999)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10.25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(101,119)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78.98</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482,528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Vested / Exercisable at December 31, 2012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35.62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4"/>
              </w:rPr>
              <w:t>101.10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15,490</w:t>
            </w:r>
          </w:p>
        </w:tc>
        <w:tc>
          <w:tcPr>
            <w:tcW w:w="3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461,491</w:t>
            </w:r>
          </w:p>
        </w:tc>
        <w:tc>
          <w:tcPr>
            <w:tcW w:w="5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During 2012 and 2011, 20,489 shares and 10,140 shares, respectively, having a grant date fair value of $172,000 and $86,000, respectively, were granted to certain executive officers over the course of the year as part of their base compensation with no restrictions or vesting requirement. Those shares are included in the table above as granted and exercised within the same year. The grant date fair value was included in compensation expense during 2012 and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stock options outstanding at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gridSpan w:val="5"/>
          </w:tcPr>
          <w:p>
            <w:pPr>
              <w:ind w:left="600"/>
              <w:spacing w:after="0"/>
              <w:rPr>
                <w:sz w:val="20"/>
                <w:szCs w:val="20"/>
                <w:color w:val="auto"/>
              </w:rPr>
            </w:pPr>
            <w:r>
              <w:rPr>
                <w:rFonts w:ascii="Arial" w:cs="Arial" w:eastAsia="Arial" w:hAnsi="Arial"/>
                <w:sz w:val="14"/>
                <w:szCs w:val="14"/>
                <w:b w:val="1"/>
                <w:bCs w:val="1"/>
                <w:color w:val="auto"/>
              </w:rPr>
              <w:t>Options Outstanding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3"/>
        </w:trPr>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1"/>
              </w:rPr>
              <w:t>Shares</w:t>
            </w:r>
          </w:p>
        </w:tc>
        <w:tc>
          <w:tcPr>
            <w:tcW w:w="1160" w:type="dxa"/>
            <w:vAlign w:val="bottom"/>
            <w:tcBorders>
              <w:top w:val="single" w:sz="8" w:color="auto"/>
            </w:tcBorders>
            <w:gridSpan w:val="2"/>
            <w:vMerge w:val="restart"/>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jc w:val="center"/>
              <w:ind w:right="1040"/>
              <w:spacing w:after="0" w:line="143" w:lineRule="exact"/>
              <w:rPr>
                <w:sz w:val="20"/>
                <w:szCs w:val="20"/>
                <w:color w:val="auto"/>
              </w:rPr>
            </w:pPr>
            <w:r>
              <w:rPr>
                <w:rFonts w:ascii="Arial" w:cs="Arial" w:eastAsia="Arial" w:hAnsi="Arial"/>
                <w:sz w:val="14"/>
                <w:szCs w:val="14"/>
                <w:b w:val="1"/>
                <w:bCs w:val="1"/>
                <w:color w:val="auto"/>
                <w:w w:val="88"/>
              </w:rPr>
              <w:t>Weighted</w:t>
            </w:r>
          </w:p>
        </w:tc>
        <w:tc>
          <w:tcPr>
            <w:tcW w:w="1240" w:type="dxa"/>
            <w:vAlign w:val="bottom"/>
            <w:tcBorders>
              <w:top w:val="single" w:sz="8" w:color="auto"/>
            </w:tcBorders>
          </w:tcPr>
          <w:p>
            <w:pPr>
              <w:ind w:left="380"/>
              <w:spacing w:after="0" w:line="143"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6"/>
              <w:spacing w:after="0" w:line="143"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320" w:type="dxa"/>
            <w:vAlign w:val="bottom"/>
            <w:gridSpan w:val="3"/>
          </w:tcPr>
          <w:p>
            <w:pPr>
              <w:jc w:val="center"/>
              <w:ind w:right="800"/>
              <w:spacing w:after="0" w:line="148" w:lineRule="exact"/>
              <w:rPr>
                <w:sz w:val="20"/>
                <w:szCs w:val="20"/>
                <w:color w:val="auto"/>
              </w:rPr>
            </w:pPr>
            <w:r>
              <w:rPr>
                <w:rFonts w:ascii="Arial" w:cs="Arial" w:eastAsia="Arial" w:hAnsi="Arial"/>
                <w:sz w:val="14"/>
                <w:szCs w:val="14"/>
                <w:b w:val="1"/>
                <w:bCs w:val="1"/>
                <w:color w:val="auto"/>
                <w:w w:val="84"/>
              </w:rPr>
              <w:t>Range</w:t>
            </w:r>
          </w:p>
        </w:tc>
        <w:tc>
          <w:tcPr>
            <w:tcW w:w="120" w:type="dxa"/>
            <w:vAlign w:val="bottom"/>
          </w:tcPr>
          <w:p>
            <w:pPr>
              <w:spacing w:after="0"/>
              <w:rPr>
                <w:sz w:val="14"/>
                <w:szCs w:val="14"/>
                <w:color w:val="auto"/>
              </w:rPr>
            </w:pPr>
          </w:p>
        </w:tc>
        <w:tc>
          <w:tcPr>
            <w:tcW w:w="192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5"/>
              </w:rPr>
              <w:t>Average Price</w:t>
            </w:r>
          </w:p>
        </w:tc>
        <w:tc>
          <w:tcPr>
            <w:tcW w:w="21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Remaining Life</w:t>
            </w: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4"/>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12,023</w:t>
            </w:r>
          </w:p>
        </w:tc>
        <w:tc>
          <w:tcPr>
            <w:tcW w:w="15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$10.00 - 30.00</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13.53</w:t>
            </w:r>
          </w:p>
        </w:tc>
        <w:tc>
          <w:tcPr>
            <w:tcW w:w="9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940"/>
              <w:spacing w:after="0" w:line="203" w:lineRule="exact"/>
              <w:rPr>
                <w:sz w:val="20"/>
                <w:szCs w:val="20"/>
                <w:color w:val="auto"/>
              </w:rPr>
            </w:pPr>
            <w:r>
              <w:rPr>
                <w:rFonts w:ascii="Arial" w:cs="Arial" w:eastAsia="Arial" w:hAnsi="Arial"/>
                <w:sz w:val="18"/>
                <w:szCs w:val="18"/>
                <w:color w:val="auto"/>
                <w:w w:val="79"/>
              </w:rPr>
              <w:t>8.27</w:t>
            </w:r>
          </w:p>
        </w:tc>
        <w:tc>
          <w:tcPr>
            <w:tcW w:w="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3,767</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jc w:val="right"/>
              <w:ind w:right="920"/>
              <w:spacing w:after="0"/>
              <w:rPr>
                <w:sz w:val="20"/>
                <w:szCs w:val="20"/>
                <w:color w:val="auto"/>
              </w:rPr>
            </w:pPr>
            <w:r>
              <w:rPr>
                <w:rFonts w:ascii="Arial" w:cs="Arial" w:eastAsia="Arial" w:hAnsi="Arial"/>
                <w:sz w:val="18"/>
                <w:szCs w:val="18"/>
                <w:color w:val="auto"/>
              </w:rPr>
              <w:t>52,574</w:t>
            </w:r>
          </w:p>
        </w:tc>
        <w:tc>
          <w:tcPr>
            <w:tcW w:w="700" w:type="dxa"/>
            <w:vAlign w:val="bottom"/>
          </w:tcPr>
          <w:p>
            <w:pPr>
              <w:jc w:val="right"/>
              <w:spacing w:after="0"/>
              <w:rPr>
                <w:sz w:val="20"/>
                <w:szCs w:val="20"/>
                <w:color w:val="auto"/>
              </w:rPr>
            </w:pPr>
            <w:r>
              <w:rPr>
                <w:rFonts w:ascii="Arial" w:cs="Arial" w:eastAsia="Arial" w:hAnsi="Arial"/>
                <w:sz w:val="18"/>
                <w:szCs w:val="18"/>
                <w:color w:val="auto"/>
              </w:rPr>
              <w:t>30.01</w:t>
            </w:r>
          </w:p>
        </w:tc>
        <w:tc>
          <w:tcPr>
            <w:tcW w:w="840" w:type="dxa"/>
            <w:vAlign w:val="bottom"/>
          </w:tcPr>
          <w:p>
            <w:pPr>
              <w:ind w:left="40"/>
              <w:spacing w:after="0"/>
              <w:rPr>
                <w:sz w:val="20"/>
                <w:szCs w:val="20"/>
                <w:color w:val="auto"/>
              </w:rPr>
            </w:pPr>
            <w:r>
              <w:rPr>
                <w:rFonts w:ascii="Arial" w:cs="Arial" w:eastAsia="Arial" w:hAnsi="Arial"/>
                <w:sz w:val="18"/>
                <w:szCs w:val="18"/>
                <w:color w:val="auto"/>
              </w:rPr>
              <w:t>- 50.00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31.64</w:t>
            </w: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rPr>
              <w:t>6.32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39,793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180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91,901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66.29</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5.15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91,901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16"/>
        </w:trPr>
        <w:tc>
          <w:tcPr>
            <w:tcW w:w="1800" w:type="dxa"/>
            <w:vAlign w:val="bottom"/>
            <w:gridSpan w:val="4"/>
          </w:tcPr>
          <w:p>
            <w:pPr>
              <w:jc w:val="right"/>
              <w:ind w:right="920"/>
              <w:spacing w:after="0"/>
              <w:rPr>
                <w:sz w:val="20"/>
                <w:szCs w:val="20"/>
                <w:color w:val="auto"/>
              </w:rPr>
            </w:pPr>
            <w:r>
              <w:rPr>
                <w:rFonts w:ascii="Arial" w:cs="Arial" w:eastAsia="Arial" w:hAnsi="Arial"/>
                <w:sz w:val="18"/>
                <w:szCs w:val="18"/>
                <w:color w:val="auto"/>
              </w:rPr>
              <w:t>69,042</w:t>
            </w:r>
          </w:p>
        </w:tc>
        <w:tc>
          <w:tcPr>
            <w:tcW w:w="700" w:type="dxa"/>
            <w:vAlign w:val="bottom"/>
          </w:tcPr>
          <w:p>
            <w:pPr>
              <w:jc w:val="right"/>
              <w:spacing w:after="0"/>
              <w:rPr>
                <w:sz w:val="20"/>
                <w:szCs w:val="20"/>
                <w:color w:val="auto"/>
              </w:rPr>
            </w:pPr>
            <w:r>
              <w:rPr>
                <w:rFonts w:ascii="Arial" w:cs="Arial" w:eastAsia="Arial" w:hAnsi="Arial"/>
                <w:sz w:val="18"/>
                <w:szCs w:val="18"/>
                <w:color w:val="auto"/>
              </w:rPr>
              <w:t>70.01</w:t>
            </w:r>
          </w:p>
        </w:tc>
        <w:tc>
          <w:tcPr>
            <w:tcW w:w="840" w:type="dxa"/>
            <w:vAlign w:val="bottom"/>
          </w:tcPr>
          <w:p>
            <w:pPr>
              <w:ind w:left="40"/>
              <w:spacing w:after="0"/>
              <w:rPr>
                <w:sz w:val="20"/>
                <w:szCs w:val="20"/>
                <w:color w:val="auto"/>
              </w:rPr>
            </w:pPr>
            <w:r>
              <w:rPr>
                <w:rFonts w:ascii="Arial" w:cs="Arial" w:eastAsia="Arial" w:hAnsi="Arial"/>
                <w:sz w:val="18"/>
                <w:szCs w:val="18"/>
                <w:color w:val="auto"/>
              </w:rPr>
              <w:t>- 90.00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78.84</w:t>
            </w: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69,042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180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36,722</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90.01 - 110.00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106.96</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2.22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36,722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16"/>
        </w:trPr>
        <w:tc>
          <w:tcPr>
            <w:tcW w:w="1800" w:type="dxa"/>
            <w:vAlign w:val="bottom"/>
            <w:gridSpan w:val="4"/>
          </w:tcPr>
          <w:p>
            <w:pPr>
              <w:jc w:val="right"/>
              <w:ind w:right="920"/>
              <w:spacing w:after="0"/>
              <w:rPr>
                <w:sz w:val="20"/>
                <w:szCs w:val="20"/>
                <w:color w:val="auto"/>
              </w:rPr>
            </w:pPr>
            <w:r>
              <w:rPr>
                <w:rFonts w:ascii="Arial" w:cs="Arial" w:eastAsia="Arial" w:hAnsi="Arial"/>
                <w:sz w:val="18"/>
                <w:szCs w:val="18"/>
                <w:color w:val="auto"/>
              </w:rPr>
              <w:t>62,276</w:t>
            </w:r>
          </w:p>
        </w:tc>
        <w:tc>
          <w:tcPr>
            <w:tcW w:w="700" w:type="dxa"/>
            <w:vAlign w:val="bottom"/>
          </w:tcPr>
          <w:p>
            <w:pPr>
              <w:jc w:val="right"/>
              <w:spacing w:after="0"/>
              <w:rPr>
                <w:sz w:val="20"/>
                <w:szCs w:val="20"/>
                <w:color w:val="auto"/>
              </w:rPr>
            </w:pPr>
            <w:r>
              <w:rPr>
                <w:rFonts w:ascii="Arial" w:cs="Arial" w:eastAsia="Arial" w:hAnsi="Arial"/>
                <w:sz w:val="18"/>
                <w:szCs w:val="18"/>
                <w:color w:val="auto"/>
              </w:rPr>
              <w:t>110.01</w:t>
            </w:r>
          </w:p>
        </w:tc>
        <w:tc>
          <w:tcPr>
            <w:tcW w:w="840" w:type="dxa"/>
            <w:vAlign w:val="bottom"/>
          </w:tcPr>
          <w:p>
            <w:pPr>
              <w:ind w:left="20"/>
              <w:spacing w:after="0"/>
              <w:rPr>
                <w:sz w:val="20"/>
                <w:szCs w:val="20"/>
                <w:color w:val="auto"/>
              </w:rPr>
            </w:pPr>
            <w:r>
              <w:rPr>
                <w:rFonts w:ascii="Arial" w:cs="Arial" w:eastAsia="Arial" w:hAnsi="Arial"/>
                <w:sz w:val="18"/>
                <w:szCs w:val="18"/>
                <w:color w:val="auto"/>
              </w:rPr>
              <w:t>- 130.00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114.10</w:t>
            </w: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rPr>
              <w:t>1.75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62,276</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16"/>
        </w:trPr>
        <w:tc>
          <w:tcPr>
            <w:tcW w:w="180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152,587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143.80</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3.74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152,587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143.80</w:t>
            </w:r>
          </w:p>
        </w:tc>
        <w:tc>
          <w:tcPr>
            <w:tcW w:w="0" w:type="dxa"/>
            <w:vAlign w:val="bottom"/>
          </w:tcPr>
          <w:p>
            <w:pPr>
              <w:spacing w:after="0"/>
              <w:rPr>
                <w:sz w:val="1"/>
                <w:szCs w:val="1"/>
                <w:color w:val="auto"/>
              </w:rPr>
            </w:pPr>
          </w:p>
        </w:tc>
      </w:tr>
      <w:tr>
        <w:trPr>
          <w:trHeight w:val="216"/>
        </w:trPr>
        <w:tc>
          <w:tcPr>
            <w:tcW w:w="880" w:type="dxa"/>
            <w:vAlign w:val="bottom"/>
            <w:gridSpan w:val="3"/>
          </w:tcPr>
          <w:p>
            <w:pPr>
              <w:jc w:val="right"/>
              <w:spacing w:after="0"/>
              <w:rPr>
                <w:sz w:val="20"/>
                <w:szCs w:val="20"/>
                <w:color w:val="auto"/>
              </w:rPr>
            </w:pPr>
            <w:r>
              <w:rPr>
                <w:rFonts w:ascii="Arial" w:cs="Arial" w:eastAsia="Arial" w:hAnsi="Arial"/>
                <w:sz w:val="18"/>
                <w:szCs w:val="18"/>
                <w:color w:val="auto"/>
              </w:rPr>
              <w:t>5,403</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150.01</w:t>
            </w:r>
          </w:p>
        </w:tc>
        <w:tc>
          <w:tcPr>
            <w:tcW w:w="840" w:type="dxa"/>
            <w:vAlign w:val="bottom"/>
          </w:tcPr>
          <w:p>
            <w:pPr>
              <w:ind w:left="40"/>
              <w:spacing w:after="0"/>
              <w:rPr>
                <w:sz w:val="20"/>
                <w:szCs w:val="20"/>
                <w:color w:val="auto"/>
              </w:rPr>
            </w:pPr>
            <w:r>
              <w:rPr>
                <w:rFonts w:ascii="Arial" w:cs="Arial" w:eastAsia="Arial" w:hAnsi="Arial"/>
                <w:sz w:val="18"/>
                <w:szCs w:val="18"/>
                <w:color w:val="auto"/>
              </w:rPr>
              <w:t>- 170.00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152.10</w:t>
            </w: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rPr>
              <w:t>4.21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5,403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152.10</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482,528</w:t>
            </w:r>
          </w:p>
        </w:tc>
        <w:tc>
          <w:tcPr>
            <w:tcW w:w="9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10.00 - 170.00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97.73</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3.57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461,491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weighted average fair value of options granted in 2011 and 2010 was $3.64 and $13.19 respectively. No options were granted in 2012. The fair value of each option granted was estimated on the date of grant using the Black-Scholes model. Recent decreases in United’s stock price have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the options.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to determine the fair value of options are presented in the table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5.00</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6.15</w:t>
            </w:r>
          </w:p>
        </w:tc>
        <w:tc>
          <w:tcPr>
            <w:tcW w:w="200" w:type="dxa"/>
            <w:vAlign w:val="bottom"/>
            <w:shd w:val="clear" w:color="auto" w:fill="CCEEFF"/>
          </w:tcPr>
          <w:p>
            <w:pPr>
              <w:spacing w:after="0"/>
              <w:rPr>
                <w:sz w:val="18"/>
                <w:szCs w:val="18"/>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Risk free rate</w:t>
            </w: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6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Compensation expense relating to options of $256,000, $835,000 and $1.97 million, respectively, was included in earnings for 2012, 2011 and 2010. A deferred income tax benefit related to stock option expense of $99,000, $325,000 and $780,000 was included in the determination of income tax expense in 2012, 2011 and 2010, respectively.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There were no options exercised during 2012, 2011 and 2010.</w:t>
      </w:r>
    </w:p>
    <w:p>
      <w:pPr>
        <w:spacing w:after="0" w:line="35"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operations for restricted stock in 2012, 2011 and 2010 was $1.66 million, $1.25 million and $493,000, respectively. The total intrinsic value of restricted stock at December 31, 2012 was approximately $4.57 million.</w:t>
      </w:r>
    </w:p>
    <w:p>
      <w:pPr>
        <w:spacing w:after="0" w:line="3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December 31, 2012, there was $3.45 million of unrecognized compensation cost related to nonvested stock options and restricted stock granted under the 2000 Plan. The cost is expected to be recognized over a weighted-average period of 1.94 years. The aggregate grant date fair value of options and restricted stock that vested during 2012 was $2.52 million.</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 and no shares were issued in 2012. During 2011 and 2010, 538 shares and 7,062 shares, respectively, were issued in connection with the DRIP.</w:t>
      </w:r>
    </w:p>
    <w:p>
      <w:pPr>
        <w:spacing w:after="0" w:line="62"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During 2012, 2011 and 2010, United’s 401(k) retirement plan purchased 86,350 shares, 372,363 shares and 89,833 shares, respectively, directly from United at the average of the high and low stock prices on the transaction dates. In addition, United has an Employee Stock Purchase Program (“ESPP”) that allows eligible employees to purchase shares of common stock at a 5% discount, with no commission charges. During 2012, 2011 and 2010 United issued 23,555 shares, 31,573 shares and 24,882 shares, respectively through the ESPP.</w:t>
      </w:r>
    </w:p>
    <w:p>
      <w:pPr>
        <w:spacing w:after="0" w:line="62"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At December 31, 2012 and 2011, United had 133,238 and 93,681 shares, respectively, of its common stock that was issuable under the deferred compensation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table below shows the components of accumulated other comprehensive loss at December 31,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Unrealized gains on securities available for sale, net of tax</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spacing w:after="0"/>
              <w:rPr>
                <w:sz w:val="20"/>
                <w:szCs w:val="20"/>
                <w:color w:val="auto"/>
              </w:rPr>
            </w:pPr>
            <w:r>
              <w:rPr>
                <w:rFonts w:ascii="Arial" w:cs="Arial" w:eastAsia="Arial" w:hAnsi="Arial"/>
                <w:sz w:val="18"/>
                <w:szCs w:val="18"/>
                <w:color w:val="auto"/>
                <w:w w:val="96"/>
              </w:rPr>
              <w:t>Unrealized losses on derivative financial instruments qualifying as cash flow hedges,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220"/>
              <w:spacing w:after="0"/>
              <w:rPr>
                <w:sz w:val="20"/>
                <w:szCs w:val="20"/>
                <w:color w:val="auto"/>
              </w:rPr>
            </w:pPr>
            <w:r>
              <w:rPr>
                <w:rFonts w:ascii="Arial" w:cs="Arial" w:eastAsia="Arial" w:hAnsi="Arial"/>
                <w:sz w:val="18"/>
                <w:szCs w:val="18"/>
                <w:color w:val="auto"/>
              </w:rPr>
              <w:t>of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(21,885)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7"/>
              </w:rPr>
              <w:t>Unamortized actuarial gains and losses under defined benefit plans, net of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(23,640)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 (3,309)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96" w:lineRule="exact"/>
        <w:rPr>
          <w:rFonts w:ascii="Arial" w:cs="Arial" w:eastAsia="Arial" w:hAnsi="Arial"/>
          <w:sz w:val="18"/>
          <w:szCs w:val="18"/>
          <w:b w:val="1"/>
          <w:bCs w:val="1"/>
          <w:color w:val="auto"/>
        </w:rPr>
      </w:pPr>
    </w:p>
    <w:p>
      <w:pPr>
        <w:ind w:left="46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Fair Value Hierarchy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13" w:lineRule="exact"/>
        <w:rPr>
          <w:sz w:val="20"/>
          <w:szCs w:val="20"/>
          <w:color w:val="auto"/>
        </w:rPr>
      </w:pPr>
    </w:p>
    <w:p>
      <w:pPr>
        <w:jc w:val="both"/>
        <w:ind w:left="920" w:right="80"/>
        <w:spacing w:after="0" w:line="357"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Valuation is based upon quoted prices for similar assets and liabilities in active markets, as well as inputs that are observable for the asset or</w:t>
      </w:r>
      <w:r>
        <w:rPr>
          <w:rFonts w:ascii="Arial" w:cs="Arial" w:eastAsia="Arial" w:hAnsi="Arial"/>
          <w:sz w:val="15"/>
          <w:szCs w:val="15"/>
          <w:i w:val="1"/>
          <w:iCs w:val="1"/>
          <w:color w:val="auto"/>
        </w:rPr>
        <w:t xml:space="preserve"> </w:t>
      </w:r>
      <w:r>
        <w:rPr>
          <w:rFonts w:ascii="Arial" w:cs="Arial" w:eastAsia="Arial" w:hAnsi="Arial"/>
          <w:sz w:val="15"/>
          <w:szCs w:val="15"/>
          <w:color w:val="auto"/>
        </w:rPr>
        <w:t>liability (other than quoted prices), such as interest rates, foreign exchange rates, and yield curves that are observable at commonly quoted intervals.</w:t>
      </w:r>
    </w:p>
    <w:p>
      <w:pPr>
        <w:ind w:left="920"/>
        <w:spacing w:after="0" w:line="25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Securities Available for Sale</w:t>
      </w:r>
    </w:p>
    <w:p>
      <w:pPr>
        <w:spacing w:after="0" w:line="90" w:lineRule="exact"/>
        <w:rPr>
          <w:sz w:val="20"/>
          <w:szCs w:val="20"/>
          <w:color w:val="auto"/>
        </w:rPr>
      </w:pPr>
    </w:p>
    <w:p>
      <w:pPr>
        <w:ind w:left="460" w:right="80"/>
        <w:spacing w:after="0" w:line="314" w:lineRule="auto"/>
        <w:rPr>
          <w:sz w:val="20"/>
          <w:szCs w:val="20"/>
          <w:color w:val="auto"/>
        </w:rPr>
      </w:pPr>
      <w:r>
        <w:rPr>
          <w:rFonts w:ascii="Arial" w:cs="Arial" w:eastAsia="Arial" w:hAnsi="Arial"/>
          <w:sz w:val="15"/>
          <w:szCs w:val="15"/>
          <w:color w:val="auto"/>
        </w:rPr>
        <w:t>Investment securities available for 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90"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Mortgage Loans Held for Sale</w:t>
      </w:r>
    </w:p>
    <w:p>
      <w:pPr>
        <w:spacing w:after="0" w:line="90" w:lineRule="exact"/>
        <w:rPr>
          <w:rFonts w:ascii="Arial" w:cs="Arial" w:eastAsia="Arial" w:hAnsi="Arial"/>
          <w:sz w:val="18"/>
          <w:szCs w:val="18"/>
          <w:b w:val="1"/>
          <w:bCs w:val="1"/>
          <w:color w:val="auto"/>
        </w:rPr>
      </w:pPr>
    </w:p>
    <w:p>
      <w:pPr>
        <w:ind w:left="460" w:right="3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Mortgage loans held for sale are carried at the lower of cost or market value. The fair value of mortgage loans held for sale is based on what secondary markets are currently offering for portfolios with similar characteristics. Generally, book value approximates fair value.</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Loans</w:t>
      </w:r>
    </w:p>
    <w:p>
      <w:pPr>
        <w:spacing w:after="0" w:line="90"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4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Foreclosed Assets</w:t>
      </w:r>
    </w:p>
    <w:p>
      <w:pPr>
        <w:spacing w:after="0" w:line="90"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Goodwill and Other Intangible Assets</w:t>
      </w:r>
    </w:p>
    <w:p>
      <w:pPr>
        <w:spacing w:after="0" w:line="90"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Derivative Financial Instruments</w:t>
      </w:r>
    </w:p>
    <w:p>
      <w:pPr>
        <w:spacing w:after="0" w:line="90" w:lineRule="exact"/>
        <w:rPr>
          <w:rFonts w:ascii="Arial" w:cs="Arial" w:eastAsia="Arial" w:hAnsi="Arial"/>
          <w:sz w:val="18"/>
          <w:szCs w:val="18"/>
          <w:b w:val="1"/>
          <w:bCs w:val="1"/>
          <w:color w:val="auto"/>
        </w:rPr>
      </w:pPr>
    </w:p>
    <w:p>
      <w:pPr>
        <w:ind w:left="4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63" w:lineRule="exact"/>
        <w:rPr>
          <w:rFonts w:ascii="Arial" w:cs="Arial" w:eastAsia="Arial" w:hAnsi="Arial"/>
          <w:sz w:val="18"/>
          <w:szCs w:val="18"/>
          <w:b w:val="1"/>
          <w:bCs w:val="1"/>
          <w:color w:val="auto"/>
        </w:rPr>
      </w:pPr>
    </w:p>
    <w:p>
      <w:pPr>
        <w:ind w:left="4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163"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2012,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Assets and Liabilities Measured at Fair Value on a Recurring Basis</w:t>
      </w:r>
    </w:p>
    <w:p>
      <w:pPr>
        <w:spacing w:after="0" w:line="90"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United’s assets and liabilities measured at fair value on a recurring basis as of December 31, 2012 and 2011,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5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Level 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29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Securities available for sale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State and political subdivisions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860"/>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1,428,502</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1,428,502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Corporate bonds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860"/>
              <w:spacing w:after="0"/>
              <w:rPr>
                <w:sz w:val="20"/>
                <w:szCs w:val="20"/>
                <w:color w:val="auto"/>
              </w:rPr>
            </w:pPr>
            <w:r>
              <w:rPr>
                <w:rFonts w:ascii="Arial" w:cs="Arial" w:eastAsia="Arial" w:hAnsi="Arial"/>
                <w:sz w:val="18"/>
                <w:szCs w:val="18"/>
                <w:color w:val="auto"/>
              </w:rPr>
              <w:t>Asset-backed securities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210,556</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Deferred compensation plan assets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$ 3,101</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1,834,901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$ 350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1,838,352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$ 3,101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Brokered certificates of deposit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Derivative financial instruments</w:t>
            </w:r>
          </w:p>
        </w:tc>
        <w:tc>
          <w:tcPr>
            <w:tcW w:w="2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167,184</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2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100" w:type="dxa"/>
            <w:vAlign w:val="bottom"/>
            <w:gridSpan w:val="3"/>
            <w:vMerge w:val="continue"/>
          </w:tcPr>
          <w:p>
            <w:pPr>
              <w:spacing w:after="0"/>
              <w:rPr>
                <w:sz w:val="24"/>
                <w:szCs w:val="24"/>
                <w:color w:val="auto"/>
              </w:rPr>
            </w:pPr>
          </w:p>
        </w:tc>
        <w:tc>
          <w:tcPr>
            <w:tcW w:w="25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Level 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29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Securities available for sale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860"/>
              <w:spacing w:after="0"/>
              <w:rPr>
                <w:sz w:val="20"/>
                <w:szCs w:val="20"/>
                <w:color w:val="auto"/>
              </w:rPr>
            </w:pPr>
            <w:r>
              <w:rPr>
                <w:rFonts w:ascii="Arial" w:cs="Arial" w:eastAsia="Arial" w:hAnsi="Arial"/>
                <w:sz w:val="18"/>
                <w:szCs w:val="18"/>
                <w:color w:val="auto"/>
              </w:rPr>
              <w:t>State and political subdivisions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860"/>
              <w:spacing w:after="0"/>
              <w:rPr>
                <w:sz w:val="20"/>
                <w:szCs w:val="20"/>
                <w:color w:val="auto"/>
              </w:rPr>
            </w:pPr>
            <w:r>
              <w:rPr>
                <w:rFonts w:ascii="Arial" w:cs="Arial" w:eastAsia="Arial" w:hAnsi="Arial"/>
                <w:sz w:val="18"/>
                <w:szCs w:val="18"/>
                <w:color w:val="auto"/>
              </w:rPr>
              <w:t>Corporate bonds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107,328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Deferred compensation plan assets</w:t>
            </w:r>
          </w:p>
        </w:tc>
        <w:tc>
          <w:tcPr>
            <w:tcW w:w="2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2,859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1,789,697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3"/>
            <w:vMerge w:val="continue"/>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Brokered certificates of deposit</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13,107</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$ 2,859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13,529</w:t>
            </w:r>
          </w:p>
        </w:tc>
        <w:tc>
          <w:tcPr>
            <w:tcW w:w="40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80" w:type="dxa"/>
            <w:vAlign w:val="bottom"/>
            <w:vMerge w:val="restart"/>
          </w:tcPr>
          <w:p>
            <w:pPr>
              <w:jc w:val="right"/>
              <w:ind w:right="1212"/>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163"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1"/>
              </w:rPr>
              <w:t>Securities Available for Sale</w:t>
            </w:r>
          </w:p>
        </w:tc>
      </w:tr>
      <w:tr>
        <w:trPr>
          <w:trHeight w:val="161"/>
        </w:trPr>
        <w:tc>
          <w:tcPr>
            <w:tcW w:w="68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38,892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Amounts included in earnings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losses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Paydowns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(1,119)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Transfers between valuation levels, net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(3,796)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(31,880)</w:t>
            </w:r>
          </w:p>
        </w:tc>
      </w:tr>
      <w:tr>
        <w:trPr>
          <w:trHeight w:val="27"/>
        </w:trPr>
        <w:tc>
          <w:tcPr>
            <w:tcW w:w="6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w:t>
            </w:r>
          </w:p>
        </w:tc>
      </w:tr>
      <w:tr>
        <w:trPr>
          <w:trHeight w:val="20"/>
        </w:trPr>
        <w:tc>
          <w:tcPr>
            <w:tcW w:w="6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In 2011 and 2010, United transferred mortgage backed securities from Level 3 to Level 2. Previously, these securities had not been priced and the book value was assigned as the fair value. During the subsequent quarter, the security was able to be priced based on objectively observable inputs based on similar assets.</w:t>
      </w:r>
    </w:p>
    <w:p>
      <w:pPr>
        <w:spacing w:after="0" w:line="59"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United has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impaired, as the community bank was recapitalized by a private equity investment that management believes will result in full payment at maturity.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Assets and Liabilities Measured at Fair Value on a Nonrecurring Basis</w:t>
      </w:r>
    </w:p>
    <w:p>
      <w:pPr>
        <w:spacing w:after="0" w:line="90"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December 31, 2012 and 2011,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2012</w:t>
            </w:r>
          </w:p>
        </w:tc>
        <w:tc>
          <w:tcPr>
            <w:tcW w:w="58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Loans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$165,751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$165,751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0"/>
              </w:rPr>
              <w:t>$ —</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180,539</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180,539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2011</w:t>
            </w:r>
          </w:p>
        </w:tc>
        <w:tc>
          <w:tcPr>
            <w:tcW w:w="58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160" w:type="dxa"/>
            <w:vAlign w:val="bottom"/>
            <w:tcBorders>
              <w:bottom w:val="single" w:sz="8" w:color="auto"/>
            </w:tcBorders>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Loans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$133,828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$133,828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162,930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2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For assets and liabilities that are not presented on the balance sheet at fair value, United uses the following methods to determine fair value:</w:t>
      </w:r>
    </w:p>
    <w:p>
      <w:pPr>
        <w:spacing w:after="0" w:line="113"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63" w:lineRule="exact"/>
        <w:rPr>
          <w:rFonts w:ascii="Arial" w:cs="Arial" w:eastAsia="Arial" w:hAnsi="Arial"/>
          <w:sz w:val="18"/>
          <w:szCs w:val="18"/>
          <w:b w:val="1"/>
          <w:bCs w:val="1"/>
          <w:color w:val="auto"/>
        </w:rPr>
      </w:pPr>
    </w:p>
    <w:p>
      <w:pPr>
        <w:ind w:left="46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w:t>
      </w:r>
    </w:p>
    <w:p>
      <w:pPr>
        <w:spacing w:after="0" w:line="62" w:lineRule="exact"/>
        <w:rPr>
          <w:rFonts w:ascii="Arial" w:cs="Arial" w:eastAsia="Arial" w:hAnsi="Arial"/>
          <w:sz w:val="18"/>
          <w:szCs w:val="18"/>
          <w:b w:val="1"/>
          <w:bCs w:val="1"/>
          <w:color w:val="auto"/>
        </w:rPr>
      </w:pPr>
    </w:p>
    <w:p>
      <w:pPr>
        <w:ind w:left="4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61"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61"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50"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and fair values for other financial instruments included in United’s balance sheet at December 31, 2012 and 2011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w w:val="87"/>
              </w:rPr>
              <w:t>December 31, 2012</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 2011</w:t>
            </w:r>
          </w:p>
        </w:tc>
      </w:tr>
      <w:tr>
        <w:trPr>
          <w:trHeight w:val="142"/>
        </w:trPr>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5"/>
          </w:tcPr>
          <w:p>
            <w:pPr>
              <w:jc w:val="center"/>
              <w:ind w:left="40"/>
              <w:spacing w:after="0" w:line="142" w:lineRule="exact"/>
              <w:rPr>
                <w:sz w:val="20"/>
                <w:szCs w:val="20"/>
                <w:color w:val="auto"/>
              </w:rPr>
            </w:pPr>
            <w:r>
              <w:rPr>
                <w:rFonts w:ascii="Arial" w:cs="Arial" w:eastAsia="Arial" w:hAnsi="Arial"/>
                <w:sz w:val="14"/>
                <w:szCs w:val="14"/>
                <w:b w:val="1"/>
                <w:bCs w:val="1"/>
                <w:color w:val="auto"/>
                <w:w w:val="90"/>
              </w:rPr>
              <w:t>Fair Value Level</w:t>
            </w:r>
          </w:p>
        </w:tc>
        <w:tc>
          <w:tcPr>
            <w:tcW w:w="8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9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80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80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9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Securities held to maturity</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244,184</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261,131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261,131</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330,203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343,531</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net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4,067,871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3,957,669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3,957,669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3,995,146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3,800,343</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5,952,140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5,988,743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5,988,743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6,097,983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6,093,772</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Federal Home Loan Bank advances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40,125</w:t>
            </w:r>
          </w:p>
        </w:tc>
        <w:tc>
          <w:tcPr>
            <w:tcW w:w="2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40,125</w:t>
            </w:r>
          </w:p>
        </w:tc>
        <w:tc>
          <w:tcPr>
            <w:tcW w:w="800" w:type="dxa"/>
            <w:vAlign w:val="bottom"/>
          </w:tcPr>
          <w:p>
            <w:pPr>
              <w:jc w:val="right"/>
              <w:spacing w:after="0"/>
              <w:rPr>
                <w:sz w:val="20"/>
                <w:szCs w:val="20"/>
                <w:color w:val="auto"/>
              </w:rPr>
            </w:pPr>
            <w:r>
              <w:rPr>
                <w:rFonts w:ascii="Arial" w:cs="Arial" w:eastAsia="Arial" w:hAnsi="Arial"/>
                <w:sz w:val="18"/>
                <w:szCs w:val="18"/>
                <w:color w:val="auto"/>
              </w:rPr>
              <w:t>40,625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43,236</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124,805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118,626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115,327</w:t>
            </w:r>
          </w:p>
        </w:tc>
        <w:tc>
          <w:tcPr>
            <w:tcW w:w="100" w:type="dxa"/>
            <w:vAlign w:val="bottom"/>
            <w:shd w:val="clear" w:color="auto" w:fill="CCEEFF"/>
          </w:tcPr>
          <w:p>
            <w:pPr>
              <w:spacing w:after="0"/>
              <w:rPr>
                <w:sz w:val="18"/>
                <w:szCs w:val="18"/>
                <w:color w:val="auto"/>
              </w:rPr>
            </w:pPr>
          </w:p>
        </w:tc>
      </w:tr>
      <w:tr>
        <w:trPr>
          <w:trHeight w:val="363"/>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Condensed Financial Statements of United Community Banks, Inc. (Parent Only)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76"/>
              </w:rPr>
              <w:t>2011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Shared service fees from subsidiaries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Total expenses</w:t>
            </w: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18,918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18,954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w w:val="89"/>
              </w:rPr>
              <w:t>Loss before equity in undistributed loss of subsidiaries</w:t>
            </w: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(10,637)</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(20,126)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earnings (loss) of subsidiaries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44,493</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(214,775)</w:t>
            </w: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(482,218)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43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33,856</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(226,746)</w:t>
            </w:r>
          </w:p>
        </w:tc>
        <w:tc>
          <w:tcPr>
            <w:tcW w:w="120" w:type="dxa"/>
            <w:vAlign w:val="bottom"/>
          </w:tcPr>
          <w:p>
            <w:pPr>
              <w:spacing w:after="0"/>
              <w:rPr>
                <w:sz w:val="19"/>
                <w:szCs w:val="19"/>
                <w:color w:val="auto"/>
              </w:rPr>
            </w:pPr>
          </w:p>
        </w:tc>
        <w:tc>
          <w:tcPr>
            <w:tcW w:w="96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5"/>
          </w:tcPr>
          <w:p>
            <w:pPr>
              <w:jc w:val="center"/>
              <w:ind w:right="1563"/>
              <w:spacing w:after="0"/>
              <w:rPr>
                <w:sz w:val="20"/>
                <w:szCs w:val="20"/>
                <w:color w:val="auto"/>
              </w:rPr>
            </w:pPr>
            <w:r>
              <w:rPr>
                <w:rFonts w:ascii="Arial" w:cs="Arial" w:eastAsia="Arial" w:hAnsi="Arial"/>
                <w:sz w:val="18"/>
                <w:szCs w:val="18"/>
                <w:b w:val="1"/>
                <w:bCs w:val="1"/>
                <w:color w:val="auto"/>
                <w:w w:val="86"/>
              </w:rPr>
              <w:t>Balance Sheet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60" w:type="dxa"/>
            <w:vAlign w:val="bottom"/>
            <w:gridSpan w:val="5"/>
          </w:tcPr>
          <w:p>
            <w:pPr>
              <w:jc w:val="center"/>
              <w:ind w:right="1543"/>
              <w:spacing w:after="0"/>
              <w:rPr>
                <w:sz w:val="20"/>
                <w:szCs w:val="20"/>
                <w:color w:val="auto"/>
              </w:rPr>
            </w:pPr>
            <w:r>
              <w:rPr>
                <w:rFonts w:ascii="Arial" w:cs="Arial" w:eastAsia="Arial" w:hAnsi="Arial"/>
                <w:sz w:val="18"/>
                <w:szCs w:val="18"/>
                <w:b w:val="1"/>
                <w:bCs w:val="1"/>
                <w:color w:val="auto"/>
                <w:w w:val="87"/>
              </w:rPr>
              <w:t>As of December 31, 2012 and 2011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5"/>
          </w:tcPr>
          <w:p>
            <w:pPr>
              <w:jc w:val="center"/>
              <w:ind w:right="1563"/>
              <w:spacing w:after="0"/>
              <w:rPr>
                <w:sz w:val="20"/>
                <w:szCs w:val="20"/>
                <w:color w:val="auto"/>
              </w:rPr>
            </w:pPr>
            <w:r>
              <w:rPr>
                <w:rFonts w:ascii="Arial" w:cs="Arial" w:eastAsia="Arial" w:hAnsi="Arial"/>
                <w:sz w:val="18"/>
                <w:szCs w:val="18"/>
                <w:i w:val="1"/>
                <w:iCs w:val="1"/>
                <w:color w:val="auto"/>
                <w:w w:val="89"/>
              </w:rPr>
              <w:t>(in thousands)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20" w:type="dxa"/>
            <w:vAlign w:val="bottom"/>
            <w:gridSpan w:val="4"/>
            <w:shd w:val="clear" w:color="auto" w:fill="CCEEFF"/>
          </w:tcPr>
          <w:p>
            <w:pPr>
              <w:jc w:val="right"/>
              <w:ind w:right="2683"/>
              <w:spacing w:after="0" w:line="156" w:lineRule="exact"/>
              <w:rPr>
                <w:sz w:val="20"/>
                <w:szCs w:val="20"/>
                <w:color w:val="auto"/>
              </w:rPr>
            </w:pPr>
            <w:r>
              <w:rPr>
                <w:rFonts w:ascii="Arial" w:cs="Arial" w:eastAsia="Arial" w:hAnsi="Arial"/>
                <w:sz w:val="18"/>
                <w:szCs w:val="18"/>
                <w:color w:val="auto"/>
                <w:w w:val="81"/>
              </w:rPr>
              <w:t>Assets</w:t>
            </w: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w:t>
            </w: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54,047</w:t>
            </w:r>
          </w:p>
        </w:tc>
        <w:tc>
          <w:tcPr>
            <w:tcW w:w="2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66,632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655,934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631,770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716,689</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320" w:type="dxa"/>
            <w:vAlign w:val="bottom"/>
            <w:gridSpan w:val="6"/>
            <w:vMerge w:val="restart"/>
          </w:tcPr>
          <w:p>
            <w:pPr>
              <w:jc w:val="right"/>
              <w:ind w:right="1643"/>
              <w:spacing w:after="0"/>
              <w:rPr>
                <w:sz w:val="20"/>
                <w:szCs w:val="20"/>
                <w:color w:val="auto"/>
              </w:rPr>
            </w:pPr>
            <w:r>
              <w:rPr>
                <w:rFonts w:ascii="Arial" w:cs="Arial" w:eastAsia="Arial" w:hAnsi="Arial"/>
                <w:sz w:val="18"/>
                <w:szCs w:val="18"/>
                <w:color w:val="auto"/>
                <w:w w:val="92"/>
              </w:rPr>
              <w:t>Liabilities and Shareholders’ Equity</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32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$124,805</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liabilities</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135,284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151,169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581,405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575,486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716,689</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gridSpan w:val="3"/>
            <w:vMerge w:val="restart"/>
          </w:tcPr>
          <w:p>
            <w:pPr>
              <w:jc w:val="center"/>
              <w:ind w:left="1092"/>
              <w:spacing w:after="0"/>
              <w:rPr>
                <w:sz w:val="20"/>
                <w:szCs w:val="20"/>
                <w:color w:val="auto"/>
              </w:rPr>
            </w:pPr>
            <w:r>
              <w:rPr>
                <w:rFonts w:ascii="Arial" w:cs="Arial" w:eastAsia="Arial" w:hAnsi="Arial"/>
                <w:sz w:val="18"/>
                <w:szCs w:val="18"/>
                <w:color w:val="auto"/>
                <w:w w:val="86"/>
              </w:rPr>
              <w:t>114</w:t>
            </w: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6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Condensed Financial Statements of United Community Banks, Inc. (Parent Only), continued</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3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$ 33,856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(226,746)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Equity in undistributed (earnings) loss of the subsidiaries</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(44,493)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214,775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amortization and accretion</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21,722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(36,782)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6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 available for sale</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(292,000)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Repayment of subordinated notes</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(30,500)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senior notes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w w:val="96"/>
              </w:rPr>
              <w:t>Proceeds from issuance of common stock for dividend reinvestment and employee benefit plans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361,560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penalty on incomplete private equity transaction</w:t>
            </w:r>
          </w:p>
        </w:tc>
        <w:tc>
          <w:tcPr>
            <w:tcW w:w="6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on Series A preferred stock</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Cash dividends on Series B preferred stock</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on Series D preferred stock</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356,020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6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year</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$ 54,047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1952"/>
              <w:spacing w:after="0"/>
              <w:rPr>
                <w:sz w:val="20"/>
                <w:szCs w:val="20"/>
                <w:color w:val="auto"/>
              </w:rPr>
            </w:pPr>
            <w:r>
              <w:rPr>
                <w:rFonts w:ascii="Arial" w:cs="Arial" w:eastAsia="Arial" w:hAnsi="Arial"/>
                <w:sz w:val="18"/>
                <w:szCs w:val="18"/>
                <w:color w:val="auto"/>
              </w:rPr>
              <w:t>115</w:t>
            </w: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past two years, United did not change accountants nor have any disagreements with its accountants on any matters of accounting principles or practices or financial statement disclosure. Also, as previously disclosed in United’s Current Report on Form 8-K, filed on October 22, 2012, United has engaged PricewaterhouseCoopers, LLP as its independent registered accounting firm for the year ended December 31, 2013.</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2012.</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Securities Exchange Act of 1934 is recorded, processed, summarized and reported within the time periods specified.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2012 that materially affected, or are reasonably likely to materially affect, United’s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2012 is included in Item 8 of this Report under the heading “Management’s Report on Internal Controls Over Financial Reporting.”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2012 that were not reported on Form 8-K.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2013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information contained under the heading “Compensation of Executive Officers and Directors” in the Proxy Statement to be used in connection with the solicitation of proxies for United’s 2013 Annual Meeting of Shareholders, to be filed with the SEC, is incorporated herein by reference.</w:t>
      </w:r>
    </w:p>
    <w:p>
      <w:pPr>
        <w:spacing w:after="0" w:line="201" w:lineRule="exact"/>
        <w:rPr>
          <w:sz w:val="20"/>
          <w:szCs w:val="20"/>
          <w:color w:val="auto"/>
        </w:rPr>
      </w:pPr>
    </w:p>
    <w:p>
      <w:pPr>
        <w:ind w:left="1040" w:right="6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information contained under the heading “Principal and Management Shareholders” and the “Equity Compensation Plan Information” table in the Proxy Statement to be used in connection with the solicitation of proxies for United’s 2013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2013 Annual Meeting of Shareholders, to be filed with the SEC,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2013 Annual Meeting of Shareholders, to be filed with the SEC, is incorporated herein by reference.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9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 of Operations—Years ended December 31, 2012, 2011, and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Sheet—December 31, 2012 and 2011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 of Changes in Shareholders’ Equity—Years ended December 31, 2012, 2011, and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 of Cash Flows—Years ended December 31, 2012, 2011, and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Consolidated Financial Statements</w:t>
      </w:r>
    </w:p>
    <w:p>
      <w:pPr>
        <w:spacing w:after="0" w:line="84" w:lineRule="exact"/>
        <w:rPr>
          <w:sz w:val="20"/>
          <w:szCs w:val="20"/>
          <w:color w:val="auto"/>
        </w:rPr>
      </w:pPr>
    </w:p>
    <w:p>
      <w:pPr>
        <w:ind w:left="800" w:hanging="346"/>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90" w:lineRule="exact"/>
        <w:rPr>
          <w:sz w:val="20"/>
          <w:szCs w:val="20"/>
          <w:color w:val="auto"/>
        </w:rPr>
      </w:pPr>
    </w:p>
    <w:p>
      <w:pPr>
        <w:ind w:left="800" w:hanging="346"/>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required to be filed with this Report on Form 10-K by Item 601 of Regulation S-K: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80" w:type="dxa"/>
            <w:vAlign w:val="bottom"/>
            <w:gridSpan w:val="3"/>
          </w:tcPr>
          <w:p>
            <w:pPr>
              <w:ind w:left="8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Restated Articles of Incorporation of United Community Banks, Inc., as amended (incorporated herein by reference to Exhibit 3.1 to United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Community Banks, Inc.’s Quarterly Report on Form 10-Q for the period ended June 30, 2011, filed with the SEC on August 9,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Amended and Restated Bylaws of United Community Banks, Inc., as amended (incorporated herein by reference to Exhibit 3.2 to United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4"/>
              </w:rPr>
              <w:t>Community Banks, Inc.’s Quarterly Report on Form 10-Q for the period ended March 31, 2011, filed with the SEC on May 4,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See Exhibits 3.1 and 3.2 for provisions of the Restated Articles of Incorporation of United Community Banks, Inc., as amended, and the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Amended and Restated Bylaws, as amended, of United Community Banks, Inc., which define the rights of security holders.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Letter Agreement, dated December 5, 2008, by and between United Community Banks, Inc. and the United States Department of the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Treasury (incorporated herein by reference to Exhibit 10.1 to United Community Banks, Inc.’s Current Report on Form 8-K, filed with the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SEC on December 5,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Securities Purchase Agreement, dated as of April 1, 2010 (incorporated herein by reference to Exhibit 1.2 to United Community Banks,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6"/>
              </w:rPr>
              <w:t>Inc.’s Current Report on Form 8-K, filed with the SEC on April 1, 2010), as amended by the Amendment to Securities Purchase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Agreement, dated as of June 11, 2010 (incorporated herein by reference to Exhibit 1.1 to United Community Banks, Inc.’s Current Report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on Form 8-K, filed with the SEC on June 14, 2010).</w:t>
            </w:r>
          </w:p>
        </w:tc>
      </w:tr>
      <w:tr>
        <w:trPr>
          <w:trHeight w:val="365"/>
        </w:trPr>
        <w:tc>
          <w:tcPr>
            <w:tcW w:w="720" w:type="dxa"/>
            <w:vAlign w:val="bottom"/>
          </w:tcPr>
          <w:p>
            <w:pPr>
              <w:spacing w:after="0"/>
              <w:rPr>
                <w:sz w:val="24"/>
                <w:szCs w:val="24"/>
                <w:color w:val="auto"/>
              </w:rPr>
            </w:pPr>
          </w:p>
        </w:tc>
        <w:tc>
          <w:tcPr>
            <w:tcW w:w="10680" w:type="dxa"/>
            <w:vAlign w:val="bottom"/>
            <w:gridSpan w:val="3"/>
          </w:tcPr>
          <w:p>
            <w:pPr>
              <w:ind w:left="4860"/>
              <w:spacing w:after="0"/>
              <w:rPr>
                <w:sz w:val="20"/>
                <w:szCs w:val="20"/>
                <w:color w:val="auto"/>
              </w:rPr>
            </w:pPr>
            <w:r>
              <w:rPr>
                <w:rFonts w:ascii="Arial" w:cs="Arial" w:eastAsia="Arial" w:hAnsi="Arial"/>
                <w:sz w:val="18"/>
                <w:szCs w:val="18"/>
                <w:color w:val="auto"/>
              </w:rPr>
              <w:t>118</w:t>
            </w:r>
          </w:p>
        </w:tc>
      </w:tr>
    </w:tbl>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940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Form of Warrants to Purchase Shares of Common Stock of United Community Banks, Inc. (incorporated herein by reference to Exhibit 1.3</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to United Community Banks, Inc.’s Current Report on Form 8-K, filed with the SEC on April 1, 2010), as amended by Amendment to</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2"/>
              </w:rPr>
              <w:t>Warrants to Purchase Shares of Common Stock of United Community Banks, Inc., dated as of June 11, 2010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8"/>
              </w:rPr>
              <w:t>reference to Exhibit 1.2 to United Community Banks, Inc.’s Current Report on Form 8-K, filed with the SEC on June 14,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Tax Benefits Preservation Plan, dated as of February 22, 2011, by and between United Community Banks, Inc. and Illinois Stock Transfer</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Company (incorporated herein by reference to Exhibit 4.1 to United Community Banks, Inc.’s Current Report on Form 8-K, filed with the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7"/>
              </w:rPr>
              <w:t>SEC on February 24, 2011), as amended by Amendment to Tax Benefits Preservation Plan, dated as of March 29, 2011 (incorporated herein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by reference to Exhibit 4.1 to United Community Banks, Inc.’s Current Report on Form 8-K, filed with the SEC on March 31, 2011) and as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amended by Second Amendment to Tax Benefits Preservation Plan, dated as of June 17, 2011 (incorporated herein by reference to Exhibit</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10.1 to United Community Banks, Inc.’s Current Report on Form 8-K, filed with the SEC on June 21,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Form of Summary of Rights for Tax Benefits Preservation Plan, dated as of February 22, 2011, by and between United Community Banks,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Inc. and Illinois Stock Transfer Company (incorporated herein by reference to Exhibit 4.2 to United Community Banks, Inc.’s Current</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February 24,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Form of Warrant to Purchase Common Stock (incorporated herein by reference to Exhibit 4.3 to United Community Banks, Inc’s Current</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February 24,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United Community Banks, Inc.’s Profit Sharing Plan, amended and restated as of January 1, 2001 (incorporated herein by reference to</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Exhibit 4.3 to United Community Banks, Inc.’s Registration Statement on Form S-8, File No. 333-86876, filed with the SEC on April 24,</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760"/>
              <w:spacing w:after="0"/>
              <w:rPr>
                <w:sz w:val="20"/>
                <w:szCs w:val="20"/>
                <w:color w:val="auto"/>
              </w:rPr>
            </w:pPr>
            <w:r>
              <w:rPr>
                <w:rFonts w:ascii="Arial" w:cs="Arial" w:eastAsia="Arial" w:hAnsi="Arial"/>
                <w:sz w:val="18"/>
                <w:szCs w:val="18"/>
                <w:color w:val="auto"/>
              </w:rPr>
              <w:t>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Amendment No. 1 to United Community Banks, Inc.’s Profit Sharing Plan, dated as of March 15, 2002 (incorporated herein by reference to</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Exhibit 4.4 to United Community Banks, Inc.’s Registration Statement on Form S-8, File No. 333-86876, filed with the SEC on April 24,</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760"/>
              <w:spacing w:after="0"/>
              <w:rPr>
                <w:sz w:val="20"/>
                <w:szCs w:val="20"/>
                <w:color w:val="auto"/>
              </w:rPr>
            </w:pPr>
            <w:r>
              <w:rPr>
                <w:rFonts w:ascii="Arial" w:cs="Arial" w:eastAsia="Arial" w:hAnsi="Arial"/>
                <w:sz w:val="18"/>
                <w:szCs w:val="18"/>
                <w:color w:val="auto"/>
              </w:rPr>
              <w:t>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6"/>
              </w:rPr>
              <w:t>United Community Banks, Inc.’s 2000 Key Employee Stock Option Plan (incorporated herein by reference to Exhibit 10 to United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6"/>
              </w:rPr>
              <w:t>Community Banks, Inc.’s Registration Statement on Form S-8, File No. 333-99849, filed with the SEC on September 19,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2"/>
              </w:rPr>
              <w:t>Amendment to United Community Banks, Inc.’s 2000 Key Employee Stock Option Plan, dated March 5, 2004 (incorporated herein by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reference to Exhibit 10.1 to United Community Banks, Inc.’s Registration Statement on Form S-4, File No. 333-118893, filed with the SEC</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on September 9, 2004).*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7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Split-Dollar Agreement between United Community Banks, Inc. and Jimmy C. Tallent dated June 1, 1994 (incorporated herein by reference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to Exhibit 10.11 to United Community Banks, Inc.’s Annual Report on Form 10-K for the year ended December 31, 1994, File No. 0-</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760"/>
              <w:spacing w:after="0"/>
              <w:rPr>
                <w:sz w:val="20"/>
                <w:szCs w:val="20"/>
                <w:color w:val="auto"/>
              </w:rPr>
            </w:pPr>
            <w:r>
              <w:rPr>
                <w:rFonts w:ascii="Arial" w:cs="Arial" w:eastAsia="Arial" w:hAnsi="Arial"/>
                <w:sz w:val="18"/>
                <w:szCs w:val="18"/>
                <w:color w:val="auto"/>
              </w:rPr>
              <w:t>21656).*</w:t>
            </w:r>
          </w:p>
        </w:tc>
      </w:tr>
      <w:tr>
        <w:trPr>
          <w:trHeight w:val="365"/>
        </w:trPr>
        <w:tc>
          <w:tcPr>
            <w:tcW w:w="720" w:type="dxa"/>
            <w:vAlign w:val="bottom"/>
          </w:tcPr>
          <w:p>
            <w:pPr>
              <w:spacing w:after="0"/>
              <w:rPr>
                <w:sz w:val="24"/>
                <w:szCs w:val="24"/>
                <w:color w:val="auto"/>
              </w:rPr>
            </w:pPr>
          </w:p>
        </w:tc>
        <w:tc>
          <w:tcPr>
            <w:tcW w:w="10600" w:type="dxa"/>
            <w:vAlign w:val="bottom"/>
            <w:gridSpan w:val="3"/>
          </w:tcPr>
          <w:p>
            <w:pPr>
              <w:jc w:val="right"/>
              <w:ind w:right="5480"/>
              <w:spacing w:after="0"/>
              <w:rPr>
                <w:sz w:val="20"/>
                <w:szCs w:val="20"/>
                <w:color w:val="auto"/>
              </w:rPr>
            </w:pPr>
            <w:r>
              <w:rPr>
                <w:rFonts w:ascii="Arial" w:cs="Arial" w:eastAsia="Arial" w:hAnsi="Arial"/>
                <w:sz w:val="18"/>
                <w:szCs w:val="18"/>
                <w:color w:val="auto"/>
              </w:rPr>
              <w:t>119</w:t>
            </w:r>
          </w:p>
        </w:tc>
      </w:tr>
    </w:tbl>
    <w:p>
      <w:pPr>
        <w:sectPr>
          <w:pgSz w:w="11900" w:h="16838" w:orient="portrait"/>
          <w:cols w:equalWidth="0" w:num="1">
            <w:col w:w="11320"/>
          </w:cols>
          <w:pgMar w:left="24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962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Amendment Number 2 to United Community Banks, Inc. 2000 Key Employee Stock Option Plan, dated April 26, 2006 (incorporated herein</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9"/>
              </w:rPr>
              <w:t>by reference to Exhibit 10.1 to United Community Banks, Inc.’s Quarterly Report on Form 10-Q for the quarter ended June 30, 2006, File No.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000-21656, filed with the SEC on August 4,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United Community Banks, Inc.’s Amended and Restated 2000 Key Employee Stock Option Plan (incorporated herein by reference to Exhibit</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9"/>
              </w:rPr>
              <w:t>10.1 to United Community Banks, Inc.’s Current Report on Form 8-K, File No. 000-21656, filed with the SEC on May 1,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Form of Senior Executive Officer Incentive Stock Option Agreement (incorporated herein by reference to Exhibit 10.3 to United Community</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3"/>
              </w:rPr>
              <w:t>Banks, Inc.’s Quarterly Report on Form 10-Q for the quarter ended June 30, 2009, File No. 000-21656, filed with the SEC on August 7,</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rPr>
              <w:t>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2"/>
              </w:rPr>
              <w:t>Form of Amended and Restated Change of Control Severance Agreement by and between United Community Banks, Inc. and Jimmy C.</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Tallent, Guy W. Freeman, Rex S. Schuette and David Shearrow (incorporated herein by reference to Exhibit 10.8 to United Community Banks,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Inc.’s Annual Report on Form 10-K for the year ended December 31, 2008, File No. 000-21656, filed with the SEC on February 27,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9"/>
              </w:rPr>
              <w:t>Employment Agreement by and between United Community Banks, Inc. and Glenn S. White (incorporated herein by reference to Exhibit 10.9</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to United Community Banks, Inc.’s Annual Report on Form 10-K for the year ended December 31, 2008, File No. 000-21656, filed with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 on February 27,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United Community Banks, Inc.’s Amended and Restated Modified Retirement Plan, effective as of January 1, 2005 (incorporated herein by</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reference to Exhibit 10.10 to United Community Banks, Inc.’s Annual Report on Form 10-K for the year ended December 31, 2008, File No.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000-21656, filed with the SEC on February 27,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United Community Banks, Inc.’s Amended and Restated Deferred Compensation Plan, effective as of January 1, 2005 (incorporated herein by</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reference to Exhibit 10.11 to United Community Banks, Inc.’s Annual Report on Form 10-K for the year ended December 31, 2008, File No.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000-21656, filed with the SEC on February 27,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2"/>
              </w:rPr>
              <w:t>United Community Banks, Inc. Dividend Reinvestment and Share Purchase Plan (incorporated herein by reference to Exhibit 4 to United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9"/>
              </w:rPr>
              <w:t>Community Banks, Inc.’s Registration Statement on Form S-3D, File No. 333-127477, filed with the SEC on August 12,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3"/>
              </w:rPr>
              <w:t>United Community Banks, Inc. Employee Stock Purchase Plan, effective as of December 20, 2005 (incorporated herein by reference to</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Exhibit 4 to United Community Banks, Inc.’s Registration Statement on Form S-8, File No. 333-130489, filed with the SEC on December 20,</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rPr>
              <w:t>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7"/>
              </w:rPr>
              <w:t>Form of Senior Executive Officer Nonqualified Stock Option Agreement (incorporated herein by reference to Exhibit 10.1 to United</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2"/>
              </w:rPr>
              <w:t>Community Banks, Inc.’s Quarterly Report on Form 10-Q for the quarter ended June 30, 2009, File No. 000-21656, filed with the SEC on</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August 7, 2009).*</w:t>
            </w:r>
          </w:p>
        </w:tc>
      </w:tr>
      <w:tr>
        <w:trPr>
          <w:trHeight w:val="365"/>
        </w:trPr>
        <w:tc>
          <w:tcPr>
            <w:tcW w:w="720" w:type="dxa"/>
            <w:vAlign w:val="bottom"/>
          </w:tcPr>
          <w:p>
            <w:pPr>
              <w:spacing w:after="0"/>
              <w:rPr>
                <w:sz w:val="24"/>
                <w:szCs w:val="24"/>
                <w:color w:val="auto"/>
              </w:rPr>
            </w:pPr>
          </w:p>
        </w:tc>
        <w:tc>
          <w:tcPr>
            <w:tcW w:w="10700" w:type="dxa"/>
            <w:vAlign w:val="bottom"/>
            <w:gridSpan w:val="3"/>
          </w:tcPr>
          <w:p>
            <w:pPr>
              <w:jc w:val="right"/>
              <w:ind w:right="558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960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Form of Executive Officer Restricted Stock Unit Award Agreement (incorporated herein by reference to Exhibit 10.2 to United Community</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Banks, Inc.’s Quarterly Report on Form 10-Q for the quarter ended June 30, 2009, File No. 000-21656, filed with the SEC on August 7,</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640"/>
              <w:spacing w:after="0"/>
              <w:rPr>
                <w:sz w:val="20"/>
                <w:szCs w:val="20"/>
                <w:color w:val="auto"/>
              </w:rPr>
            </w:pPr>
            <w:r>
              <w:rPr>
                <w:rFonts w:ascii="Arial" w:cs="Arial" w:eastAsia="Arial" w:hAnsi="Arial"/>
                <w:sz w:val="18"/>
                <w:szCs w:val="18"/>
                <w:color w:val="auto"/>
              </w:rPr>
              <w:t>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United Community Banks, Inc.’s Management Incentive Plan, effective as of January 1, 2007 (incorporated herein by reference to Exhibit 10.5</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to United Community Banks, Inc.’s Current Report on Form 8-K, File No. 000-21656, filed with the SEC on May 1,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Amendment No. 1 to United Community Banks, Inc.’s Amended and Restated 2000 Key Employee Stock Option Plan dated April 13, 2007</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(incorporated herein by reference to Exhibit 10.1 to United Community Banks, Inc.’s Current Report on Form 8-K, File No. 000-21656, filed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with the SEC on April 13,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Subordinated Term Loan Agreement, dated as of August 29, 2008, among United Community Bank, as borrower, the lenders from time to</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time party thereto, and SunTrust Bank as administrative agent (incorporated herein by reference to Exhibit 10.1 to United Community Banks,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Inc.’s current report on Form 8-K, File No. 000-21656, filed with the SEC on August 29,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Letter Agreement, dated December 5, 2008, between United Community Banks, Inc. and the United States Treasury, with respect to the</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issuance and sale of Series B Preferred Stock and the Warrant (incorporated herein by reference to Exhibit 10.1 to United Community Banks,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Inc.’s current Report on Form 8-K, File No. 000-21656, filed with the SEC on December 5,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Form of Senior Executive Officer Waiver, dated December 5, 2008, by Jimmy C. Tallent, Guy W. Freeman, Rex S. Schuette, David Shearrow</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and Glenn S. White (incorporated herein by reference to Exhibit 10.23 to United Community Banks, Inc.’s Annual Report on Form 10-K for</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year ended December 31, 2008, File No. 000-21656, filed with the SEC on February 27,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Asset Purchase and Sale Agreement, dated April 1, 2010 by and among United Community Bank and Fletcher International, Inc. and certain</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affiliates thereof who may become parties thereto as purchasers (incorporated herein by reference to Exhibit 1.1 to United Community Banks,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Inc.’s Current Report on Form 8-K, File No. 000-21656, filed with the SEC on April 1,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Securities Purchase Agreement, dated April 1, 2010 between United Community Banks, Inc. and Fletcher International, Ltd. (incorporated</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herein by reference to Exhibit 1.2 to United Community Banks, Inc.’s Current Report on Form 8-K, File No. 000-21656, filed with the SEC on</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April 1,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Amendment to Securities Purchase Agreement, dated June 11, 2010 between United Community Banks, Inc. and Fletcher International, Ltd.</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(incorporated herein by reference to Exhibit 1.1 to United Community Banks, Inc.’s Current Report on Form 8-K, File No. 000-21656, filed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with the SEC on June 14,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Share Exchange Agreement dated as of February 22, 2011, by and among United Community Banks, Inc. and Elm Ridge Offshore Master</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Fund, Ltd and Elm Ridge Value Partners L.P. (incorporated herein by reference to Exhibit 10.25 to United Community Banks, Inc.’s Annual</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Report on Form 10-K for the year ended December 31, 2010, File No. 001-35095, filed with the SEC on March 16, 2011).*</w:t>
            </w:r>
          </w:p>
        </w:tc>
      </w:tr>
      <w:tr>
        <w:trPr>
          <w:trHeight w:val="365"/>
        </w:trPr>
        <w:tc>
          <w:tcPr>
            <w:tcW w:w="720" w:type="dxa"/>
            <w:vAlign w:val="bottom"/>
          </w:tcPr>
          <w:p>
            <w:pPr>
              <w:spacing w:after="0"/>
              <w:rPr>
                <w:sz w:val="24"/>
                <w:szCs w:val="24"/>
                <w:color w:val="auto"/>
              </w:rPr>
            </w:pPr>
          </w:p>
        </w:tc>
        <w:tc>
          <w:tcPr>
            <w:tcW w:w="10680" w:type="dxa"/>
            <w:vAlign w:val="bottom"/>
            <w:gridSpan w:val="3"/>
          </w:tcPr>
          <w:p>
            <w:pPr>
              <w:jc w:val="right"/>
              <w:ind w:right="556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952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9"/>
              </w:rPr>
              <w:t>Investment Agreement, dated as of March 16, 2011, between United Community Banks, Inc. and Corsair Georgia, L.P. (incorporated herein</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3"/>
              </w:rPr>
              <w:t>by reference to Exhibit 10.1 to United Community Banks, Inc.’s Current Report on Form 8-K, File No. 001-35095, filed with the SEC on</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March 17,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5"/>
              </w:rPr>
              <w:t>Form of Subscription Agreement, dated as of March 16, 2011, between United Community Banks, Inc. and each Additional Investor</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0"/>
              </w:rPr>
              <w:t>(incorporated herein by reference to Exhibit 10.2 to United Community Banks, Inc.’s Current Report on Form 8-K, File No. 001-35095, filed</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with the SEC on March 17,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7"/>
              </w:rPr>
              <w:t>Asset Purchase and Sale Agreement, dated as of April 18, 2011, among United Community Bank, CF Southeast, LLC and CF Southeast Trust</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1"/>
              </w:rPr>
              <w:t>2011-1 (incorporated herein by reference to Exhibit 10.3 to United Community Banks, Inc.’s Quarterly Report on Form 10-Q for the period</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ended March 31, 2011, File No. 001-35095, filed with the SEC on May 4,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as of September 14, 2012, between United Community Bank and H. Lynn Harton (incorporated herein by</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5"/>
              </w:rPr>
              <w:t>reference to Exhibit 10.1 to United Community Banks, Inc.’s Current Report on Form 8-K, File No. 001-35095, filed with the SEC on</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September 19, 2012).*</w:t>
            </w:r>
          </w:p>
        </w:tc>
      </w:tr>
    </w:tbl>
    <w:p>
      <w:pPr>
        <w:spacing w:after="0" w:line="102" w:lineRule="exact"/>
        <w:rPr>
          <w:sz w:val="20"/>
          <w:szCs w:val="20"/>
          <w:color w:val="auto"/>
        </w:rPr>
      </w:pPr>
    </w:p>
    <w:p>
      <w:pPr>
        <w:ind w:left="1380" w:hanging="1372"/>
        <w:spacing w:after="0" w:line="268" w:lineRule="auto"/>
        <w:tabs>
          <w:tab w:leader="none" w:pos="1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Code of Ethical Conduct (incorporated herein by reference to Exhibit 14 to United Community Banks, Inc.’s Annual Report on Form 10-K for the year ended December 31, 2003, File No. 000-21656, filed with the SEC on March 8, 2004).</w:t>
      </w:r>
    </w:p>
    <w:p>
      <w:pPr>
        <w:spacing w:after="0" w:line="7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117" w:lineRule="exact"/>
        <w:rPr>
          <w:sz w:val="20"/>
          <w:szCs w:val="20"/>
          <w:color w:val="auto"/>
        </w:rPr>
      </w:pPr>
    </w:p>
    <w:p>
      <w:pPr>
        <w:ind w:left="1380" w:hanging="1372"/>
        <w:spacing w:after="0"/>
        <w:tabs>
          <w:tab w:leader="none" w:pos="1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Certification by Jimmy C. Tallent, President and Chief Executive Officer of United Community Banks, Inc., as adopted pursuant to Section 302 of the Sarbanes-Oxley Act of 2002.</w:t>
      </w:r>
    </w:p>
    <w:p>
      <w:pPr>
        <w:spacing w:after="0" w:line="78" w:lineRule="exact"/>
        <w:rPr>
          <w:sz w:val="20"/>
          <w:szCs w:val="20"/>
          <w:color w:val="auto"/>
        </w:rPr>
      </w:pPr>
    </w:p>
    <w:p>
      <w:pPr>
        <w:sectPr>
          <w:pgSz w:w="11900" w:h="16838" w:orient="portrait"/>
          <w:cols w:equalWidth="0" w:num="2">
            <w:col w:w="660" w:space="72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Certification by Rex S. Schuette, Executive Vice President and Chief Financial Officer of United Community Banks, Inc., as adopted pursuant to Section 302 of the Sarbanes-Oxley Act of 2002.</w:t>
      </w:r>
    </w:p>
    <w:p>
      <w:pPr>
        <w:spacing w:after="0" w:line="78" w:lineRule="exact"/>
        <w:rPr>
          <w:sz w:val="20"/>
          <w:szCs w:val="20"/>
          <w:color w:val="auto"/>
        </w:rPr>
      </w:pPr>
    </w:p>
    <w:p>
      <w:pPr>
        <w:sectPr>
          <w:pgSz w:w="11900" w:h="16838" w:orient="portrait"/>
          <w:cols w:equalWidth="0" w:num="2">
            <w:col w:w="660" w:space="72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p>
      <w:pPr>
        <w:spacing w:after="0" w:line="151" w:lineRule="exact"/>
        <w:rPr>
          <w:sz w:val="20"/>
          <w:szCs w:val="20"/>
          <w:color w:val="auto"/>
        </w:rPr>
      </w:pPr>
    </w:p>
    <w:p>
      <w:pPr>
        <w:sectPr>
          <w:pgSz w:w="11900" w:h="16838" w:orient="portrait"/>
          <w:cols w:equalWidth="0" w:num="2">
            <w:col w:w="660" w:space="72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TARP Compliance Certification pursuant to 31 C.F.R. Section 30.15.</w:t>
      </w:r>
    </w:p>
    <w:p>
      <w:pPr>
        <w:spacing w:after="0" w:line="140" w:lineRule="exact"/>
        <w:rPr>
          <w:sz w:val="20"/>
          <w:szCs w:val="20"/>
          <w:color w:val="auto"/>
        </w:rPr>
      </w:pPr>
    </w:p>
    <w:p>
      <w:pPr>
        <w:sectPr>
          <w:pgSz w:w="11900" w:h="16838" w:orient="portrait"/>
          <w:cols w:equalWidth="0" w:num="2">
            <w:col w:w="660" w:space="72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Report Instance Document</w:t>
      </w:r>
    </w:p>
    <w:p>
      <w:pPr>
        <w:spacing w:after="0" w:line="140" w:lineRule="exact"/>
        <w:rPr>
          <w:sz w:val="20"/>
          <w:szCs w:val="20"/>
          <w:color w:val="auto"/>
        </w:rPr>
      </w:pPr>
    </w:p>
    <w:p>
      <w:pPr>
        <w:sectPr>
          <w:pgSz w:w="11900" w:h="16838" w:orient="portrait"/>
          <w:cols w:equalWidth="0" w:num="2">
            <w:col w:w="780" w:space="60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840" w:space="54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Calculation Linkbase Document</w:t>
      </w:r>
    </w:p>
    <w:p>
      <w:pPr>
        <w:spacing w:after="0" w:line="140" w:lineRule="exact"/>
        <w:rPr>
          <w:sz w:val="20"/>
          <w:szCs w:val="20"/>
          <w:color w:val="auto"/>
        </w:rPr>
      </w:pPr>
    </w:p>
    <w:p>
      <w:pPr>
        <w:sectPr>
          <w:pgSz w:w="11900" w:h="16838" w:orient="portrait"/>
          <w:cols w:equalWidth="0" w:num="2">
            <w:col w:w="840" w:space="54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Label Linkbase Document</w:t>
      </w:r>
    </w:p>
    <w:p>
      <w:pPr>
        <w:spacing w:after="0" w:line="139" w:lineRule="exact"/>
        <w:rPr>
          <w:sz w:val="20"/>
          <w:szCs w:val="20"/>
          <w:color w:val="auto"/>
        </w:rPr>
      </w:pPr>
    </w:p>
    <w:p>
      <w:pPr>
        <w:sectPr>
          <w:pgSz w:w="11900" w:h="16838" w:orient="portrait"/>
          <w:cols w:equalWidth="0" w:num="2">
            <w:col w:w="840" w:space="54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Presentation Linkbase Document</w:t>
      </w:r>
    </w:p>
    <w:p>
      <w:pPr>
        <w:spacing w:after="0" w:line="140" w:lineRule="exact"/>
        <w:rPr>
          <w:sz w:val="20"/>
          <w:szCs w:val="20"/>
          <w:color w:val="auto"/>
        </w:rPr>
      </w:pPr>
    </w:p>
    <w:p>
      <w:pPr>
        <w:sectPr>
          <w:pgSz w:w="11900" w:h="16838" w:orient="portrait"/>
          <w:cols w:equalWidth="0" w:num="2">
            <w:col w:w="820" w:space="560"/>
            <w:col w:w="10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81" w:lineRule="exact"/>
        <w:rPr>
          <w:sz w:val="20"/>
          <w:szCs w:val="20"/>
          <w:color w:val="auto"/>
        </w:rPr>
      </w:pPr>
    </w:p>
    <w:p>
      <w:pPr>
        <w:sectPr>
          <w:pgSz w:w="11900" w:h="16838" w:orient="portrait"/>
          <w:cols w:equalWidth="0" w:num="2">
            <w:col w:w="820" w:space="560"/>
            <w:col w:w="100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459" w:right="2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as an Exhibit to this Annual Report on Form 10-K pursuant to Item 15(b) of</w:t>
      </w:r>
    </w:p>
    <w:p>
      <w:pPr>
        <w:spacing w:after="0" w:line="24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United has duly caused this Report on Form 10-K, to be signed on its behalf by the undersigned, thereunto duly authorized, in the City of Blairsville, State of Georgia, on the 1</w:t>
      </w:r>
      <w:r>
        <w:rPr>
          <w:rFonts w:ascii="Arial" w:cs="Arial" w:eastAsia="Arial" w:hAnsi="Arial"/>
          <w:sz w:val="10"/>
          <w:szCs w:val="10"/>
          <w:color w:val="auto"/>
        </w:rPr>
        <w:t>st</w:t>
      </w:r>
      <w:r>
        <w:rPr>
          <w:rFonts w:ascii="Arial" w:cs="Arial" w:eastAsia="Arial" w:hAnsi="Arial"/>
          <w:sz w:val="16"/>
          <w:szCs w:val="16"/>
          <w:color w:val="auto"/>
        </w:rPr>
        <w:t xml:space="preserve"> day of March, 2013.</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380"/>
          </w:cols>
          <w:pgMar w:left="240" w:top="459" w:right="27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04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right="2100"/>
        <w:spacing w:after="0" w:line="261"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04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H. Kumler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Controller and Chief Accounting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10795</wp:posOffset>
            </wp:positionV>
            <wp:extent cx="3395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right="146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388" w:lineRule="exact"/>
        <w:rPr>
          <w:sz w:val="20"/>
          <w:szCs w:val="20"/>
          <w:color w:val="auto"/>
        </w:rPr>
      </w:pPr>
    </w:p>
    <w:p>
      <w:pPr>
        <w:sectPr>
          <w:pgSz w:w="11900" w:h="16838" w:orient="portrait"/>
          <w:cols w:equalWidth="0" w:num="2">
            <w:col w:w="5460" w:space="720"/>
            <w:col w:w="5200"/>
          </w:cols>
          <w:pgMar w:left="240" w:top="459" w:right="279" w:bottom="1440" w:gutter="0" w:footer="0" w:header="0"/>
          <w:type w:val="continuous"/>
        </w:sectPr>
      </w:pP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W.C. Nelson, Jr.,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and in the capacities set forth and on the 28</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ectPr>
          <w:pgSz w:w="11900" w:h="16838" w:orient="portrait"/>
          <w:cols w:equalWidth="0" w:num="1">
            <w:col w:w="11380"/>
          </w:cols>
          <w:pgMar w:left="240" w:top="459" w:right="27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right="1500"/>
        <w:spacing w:after="0" w:line="261"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588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right="11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H. Kumler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Controller and Chief Accounting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 C. Nelson,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Clifford V. Brokaw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Clifford V. Brokaw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10795</wp:posOffset>
            </wp:positionV>
            <wp:extent cx="32499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 Cathy Cox</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/s/ Steven J.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25400</wp:posOffset>
            </wp:positionV>
            <wp:extent cx="32499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Steven J. Goldstein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25400</wp:posOffset>
            </wp:positionV>
            <wp:extent cx="32499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Robert L. Head, Jr.</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right"/>
        <w:ind w:right="3140"/>
        <w:spacing w:after="0"/>
        <w:rPr>
          <w:sz w:val="20"/>
          <w:szCs w:val="20"/>
          <w:color w:val="auto"/>
        </w:rPr>
      </w:pPr>
      <w:r>
        <w:rPr>
          <w:rFonts w:ascii="Arial" w:cs="Arial" w:eastAsia="Arial" w:hAnsi="Arial"/>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10795</wp:posOffset>
            </wp:positionV>
            <wp:extent cx="32499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Thomas A. Richlovsky</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 John D.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10795</wp:posOffset>
            </wp:positionV>
            <wp:extent cx="32499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John D. Stephens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10795</wp:posOffset>
            </wp:positionV>
            <wp:extent cx="32499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Tim Wallis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124</w:t>
      </w:r>
    </w:p>
    <w:p>
      <w:pPr>
        <w:sectPr>
          <w:pgSz w:w="11900" w:h="16838" w:orient="portrait"/>
          <w:cols w:equalWidth="0" w:num="2">
            <w:col w:w="4860" w:space="720"/>
            <w:col w:w="5800"/>
          </w:cols>
          <w:pgMar w:left="240" w:top="459" w:right="27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9120" w:type="dxa"/>
            <w:vAlign w:val="bottom"/>
          </w:tcPr>
          <w:p>
            <w:pPr>
              <w:spacing w:after="0"/>
              <w:rPr>
                <w:sz w:val="14"/>
                <w:szCs w:val="1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Subsidiaries of United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24</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Power of Attorney of certain officers and directors of United (included on Signature Page).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Certification by Jimmy C. Tallent, President and Chief Executive Officer of United Community Banks, Inc., as adopted pursuant to Section</w:t>
            </w:r>
          </w:p>
        </w:tc>
      </w:tr>
      <w:tr>
        <w:trPr>
          <w:trHeight w:val="222"/>
        </w:trPr>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 adopted</w:t>
            </w:r>
          </w:p>
        </w:tc>
      </w:tr>
      <w:tr>
        <w:trPr>
          <w:trHeight w:val="222"/>
        </w:trPr>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8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TARP Compliance Certification pursuant to 31 C.F.R. Section 30.15.</w:t>
            </w:r>
          </w:p>
        </w:tc>
      </w:tr>
      <w:tr>
        <w:trPr>
          <w:trHeight w:val="365"/>
        </w:trPr>
        <w:tc>
          <w:tcPr>
            <w:tcW w:w="660" w:type="dxa"/>
            <w:vAlign w:val="bottom"/>
          </w:tcPr>
          <w:p>
            <w:pPr>
              <w:spacing w:after="0"/>
              <w:rPr>
                <w:sz w:val="24"/>
                <w:szCs w:val="24"/>
                <w:color w:val="auto"/>
              </w:rPr>
            </w:pPr>
          </w:p>
        </w:tc>
        <w:tc>
          <w:tcPr>
            <w:tcW w:w="10580" w:type="dxa"/>
            <w:vAlign w:val="bottom"/>
            <w:gridSpan w:val="3"/>
          </w:tcPr>
          <w:p>
            <w:pPr>
              <w:jc w:val="right"/>
              <w:ind w:right="540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 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United Community Banks,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2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1600" w:type="dxa"/>
            <w:vAlign w:val="bottom"/>
          </w:tcPr>
          <w:p>
            <w:pPr>
              <w:jc w:val="center"/>
              <w:spacing w:after="0"/>
              <w:rPr>
                <w:sz w:val="20"/>
                <w:szCs w:val="20"/>
                <w:color w:val="auto"/>
              </w:rPr>
            </w:pPr>
            <w:r>
              <w:rPr>
                <w:rFonts w:ascii="Arial" w:cs="Arial" w:eastAsia="Arial" w:hAnsi="Arial"/>
                <w:sz w:val="14"/>
                <w:szCs w:val="14"/>
                <w:color w:val="auto"/>
                <w:w w:val="88"/>
              </w:rPr>
              <w:t>State of Organization</w:t>
            </w:r>
          </w:p>
        </w:tc>
      </w:t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w:t>
            </w:r>
          </w:p>
        </w:tc>
        <w:tc>
          <w:tcPr>
            <w:tcW w:w="9200" w:type="dxa"/>
            <w:vAlign w:val="bottom"/>
          </w:tcPr>
          <w:p>
            <w:pPr>
              <w:spacing w:after="0" w:line="188" w:lineRule="exact"/>
              <w:rPr>
                <w:sz w:val="20"/>
                <w:szCs w:val="20"/>
                <w:color w:val="auto"/>
              </w:rPr>
            </w:pPr>
            <w:r>
              <w:rPr>
                <w:rFonts w:ascii="Arial" w:cs="Arial" w:eastAsia="Arial" w:hAnsi="Arial"/>
                <w:sz w:val="18"/>
                <w:szCs w:val="18"/>
                <w:color w:val="auto"/>
              </w:rPr>
              <w:t>Community Bank</w:t>
            </w: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United Community Insurance Services,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Union Holdings,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16"/>
        </w:trPr>
        <w:tc>
          <w:tcPr>
            <w:tcW w:w="620" w:type="dxa"/>
            <w:vAlign w:val="bottom"/>
          </w:tcPr>
          <w:p>
            <w:pPr>
              <w:spacing w:after="0"/>
              <w:rPr>
                <w:sz w:val="18"/>
                <w:szCs w:val="18"/>
                <w:color w:val="auto"/>
              </w:rPr>
            </w:pPr>
          </w:p>
        </w:tc>
        <w:tc>
          <w:tcPr>
            <w:tcW w:w="9200" w:type="dxa"/>
            <w:vAlign w:val="bottom"/>
          </w:tcPr>
          <w:p>
            <w:pPr>
              <w:ind w:left="260"/>
              <w:spacing w:after="0"/>
              <w:rPr>
                <w:sz w:val="20"/>
                <w:szCs w:val="20"/>
                <w:color w:val="auto"/>
              </w:rPr>
            </w:pPr>
            <w:r>
              <w:rPr>
                <w:rFonts w:ascii="Arial" w:cs="Arial" w:eastAsia="Arial" w:hAnsi="Arial"/>
                <w:sz w:val="18"/>
                <w:szCs w:val="18"/>
                <w:color w:val="auto"/>
              </w:rPr>
              <w:t>Union Investments,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United Community Mortgage Services,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United Community Development Corporation</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North Georgia Properties,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Metro Properties,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Coastal Properties,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Tennessee Properties,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North Carolina Properties,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North Carolina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Real Estate Investments,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620" w:type="dxa"/>
            <w:vAlign w:val="bottom"/>
          </w:tcPr>
          <w:p>
            <w:pPr>
              <w:spacing w:after="0"/>
              <w:rPr>
                <w:sz w:val="18"/>
                <w:szCs w:val="18"/>
                <w:color w:val="auto"/>
              </w:rPr>
            </w:pPr>
          </w:p>
        </w:tc>
        <w:tc>
          <w:tcPr>
            <w:tcW w:w="9200" w:type="dxa"/>
            <w:vAlign w:val="bottom"/>
          </w:tcPr>
          <w:p>
            <w:pPr>
              <w:ind w:left="260"/>
              <w:spacing w:after="0"/>
              <w:rPr>
                <w:sz w:val="20"/>
                <w:szCs w:val="20"/>
                <w:color w:val="auto"/>
              </w:rPr>
            </w:pPr>
            <w:r>
              <w:rPr>
                <w:rFonts w:ascii="Arial" w:cs="Arial" w:eastAsia="Arial" w:hAnsi="Arial"/>
                <w:sz w:val="18"/>
                <w:szCs w:val="18"/>
                <w:color w:val="auto"/>
              </w:rPr>
              <w:t>Owen Glen,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 Metro Real Estate Investments,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UCBI Georgia Credits LLC</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Capital Trust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Capital Trust II</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Statutory Trust I</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Connecticut</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Statutory Trust II</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Nevada</w:t>
            </w:r>
          </w:p>
        </w:tc>
      </w:tr>
    </w:tbl>
    <w:p>
      <w:pPr>
        <w:sectPr>
          <w:pgSz w:w="11900" w:h="16838" w:orient="portrait"/>
          <w:cols w:equalWidth="0" w:num="1">
            <w:col w:w="11420"/>
          </w:cols>
          <w:pgMar w:left="240" w:top="125" w:right="239" w:bottom="1440" w:gutter="0" w:footer="0" w:header="0"/>
        </w:sectPr>
      </w:pPr>
    </w:p>
    <w:bookmarkStart w:id="127" w:name="page128"/>
    <w:bookmarkEnd w:id="127"/>
    <w:p>
      <w:pPr>
        <w:jc w:val="center"/>
        <w:ind w:right="-99"/>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issued our report dated March 1, 2013, relating to our audits of the consolidated financial statements and internal control over financial reporting, included in the Annual Report on Form 10-K of United Community Banks, Inc. for the year ended December 31, 2012. We hereby consent to the incorporation by reference of said report in the Registration Statements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File No. 333-146820, effective October 19, 2007; File No. 333-159989, effective June 15, 2009; File No. 333-167185, effective May 28, 2010; File No. 333-167186, effective May 28, 2010; and File No. 333-167187, effective May 28, 2010; File No. 333-181675, effective May 24, 2012; File no. 333-183767, effective September 7, 2012; File No. 333-183768, effective September 7, 2012; and File No. 333-183769, effective September 7, 2012) and Registration Statements of United Community Banks, Inc. on Forms S-3 (File No. 333-175226, effective March 28, 2012; File No. 333-174420, effective March 28, 2012; File No. 333-180752, effective April 25, 2012; File No. 333-180753, effective April 25, 2012; and File No. 333-185733, effective January 30, 2013).</w:t>
      </w:r>
    </w:p>
    <w:p>
      <w:pPr>
        <w:spacing w:after="0" w:line="12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Porter Keadle Moore,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ectPr>
          <w:pgSz w:w="11900" w:h="16838" w:orient="portrait"/>
          <w:cols w:equalWidth="0" w:num="1">
            <w:col w:w="11340"/>
          </w:cols>
          <w:pgMar w:left="240" w:top="125" w:right="31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90"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 2013</w:t>
      </w:r>
    </w:p>
    <w:p>
      <w:pPr>
        <w:sectPr>
          <w:pgSz w:w="11900" w:h="16838" w:orient="portrait"/>
          <w:cols w:equalWidth="0" w:num="1">
            <w:col w:w="11420"/>
          </w:cols>
          <w:pgMar w:left="240" w:top="125"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90"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right="120" w:firstLine="8"/>
        <w:spacing w:after="0" w:line="259"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 2013</w:t>
      </w:r>
    </w:p>
    <w:p>
      <w:pPr>
        <w:sectPr>
          <w:pgSz w:w="11900" w:h="16838" w:orient="portrait"/>
          <w:cols w:equalWidth="0" w:num="1">
            <w:col w:w="11420"/>
          </w:cols>
          <w:pgMar w:left="240" w:top="125" w:right="239" w:bottom="1440" w:gutter="0" w:footer="0" w:header="0"/>
        </w:sectPr>
      </w:pPr>
    </w:p>
    <w:bookmarkStart w:id="130" w:name="page131"/>
    <w:bookmarkEnd w:id="130"/>
    <w:p>
      <w:pPr>
        <w:ind w:left="53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2012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1 2013</w:t>
      </w:r>
    </w:p>
    <w:p>
      <w:pPr>
        <w:sectPr>
          <w:pgSz w:w="11900" w:h="16838" w:orient="portrait"/>
          <w:cols w:equalWidth="0" w:num="1">
            <w:col w:w="11260"/>
          </w:cols>
          <w:pgMar w:left="240" w:top="125" w:right="399" w:bottom="1440" w:gutter="0" w:footer="0" w:header="0"/>
        </w:sectPr>
      </w:pPr>
    </w:p>
    <w:bookmarkStart w:id="131" w:name="page132"/>
    <w:bookmarkEnd w:id="131"/>
    <w:p>
      <w:pPr>
        <w:ind w:left="5320"/>
        <w:spacing w:after="0"/>
        <w:rPr>
          <w:sz w:val="20"/>
          <w:szCs w:val="20"/>
          <w:color w:val="auto"/>
        </w:rPr>
      </w:pPr>
      <w:r>
        <w:rPr>
          <w:rFonts w:ascii="Arial" w:cs="Arial" w:eastAsia="Arial" w:hAnsi="Arial"/>
          <w:sz w:val="18"/>
          <w:szCs w:val="18"/>
          <w:b w:val="1"/>
          <w:bCs w:val="1"/>
          <w:color w:val="auto"/>
        </w:rPr>
        <w:t>Exhibit 99</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31 C.F.R. § 30.15</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undersigned, Jimmy C. Tallent, President and Chief Executive Officer of United Community Banks, Inc. (“United”), and Rex S. Schuette, Executive Vice President and Chief Financial Officer of United, certify, based on their knowledge, that:</w:t>
      </w:r>
    </w:p>
    <w:p>
      <w:pPr>
        <w:spacing w:after="0" w:line="51" w:lineRule="exact"/>
        <w:rPr>
          <w:sz w:val="20"/>
          <w:szCs w:val="20"/>
          <w:color w:val="auto"/>
        </w:rPr>
      </w:pPr>
    </w:p>
    <w:p>
      <w:pPr>
        <w:jc w:val="both"/>
        <w:ind w:right="100" w:firstLine="464"/>
        <w:spacing w:after="0" w:line="259" w:lineRule="auto"/>
        <w:tabs>
          <w:tab w:leader="none" w:pos="66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compensation committee of United has discussed, reviewed, and evaluated with senior risk officers during the most recently completed fiscal year, senior executive officers (as defined in subsection 111(b)(3) of the Emergency Economic Stabilization Act of 2008 and 31 C.F.R. § 30.2) (“SEO”) compensation plans and employee compensation plans and the risks these plans pose to United.</w:t>
      </w:r>
    </w:p>
    <w:p>
      <w:pPr>
        <w:spacing w:after="0" w:line="59" w:lineRule="exact"/>
        <w:rPr>
          <w:rFonts w:ascii="Arial" w:cs="Arial" w:eastAsia="Arial" w:hAnsi="Arial"/>
          <w:sz w:val="18"/>
          <w:szCs w:val="18"/>
          <w:color w:val="auto"/>
        </w:rPr>
      </w:pPr>
    </w:p>
    <w:p>
      <w:pPr>
        <w:ind w:right="20" w:firstLine="464"/>
        <w:spacing w:after="0" w:line="306" w:lineRule="auto"/>
        <w:tabs>
          <w:tab w:leader="none" w:pos="715"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compensation committee of United has identified and limited during the most recently completed fiscal year any features of the SEO compensation plans that could lead SEOs to take unnecessary and excessive risks that could threaten the value of United and has identified any features of the employee compensation plans that pose risks to United and has limited those features to ensure that United is not unnecessarily exposed to risks.</w:t>
      </w:r>
    </w:p>
    <w:p>
      <w:pPr>
        <w:spacing w:after="0" w:line="25" w:lineRule="exact"/>
        <w:rPr>
          <w:rFonts w:ascii="Arial" w:cs="Arial" w:eastAsia="Arial" w:hAnsi="Arial"/>
          <w:sz w:val="16"/>
          <w:szCs w:val="16"/>
          <w:color w:val="auto"/>
        </w:rPr>
      </w:pPr>
    </w:p>
    <w:p>
      <w:pPr>
        <w:ind w:right="300" w:firstLine="464"/>
        <w:spacing w:after="0" w:line="259" w:lineRule="auto"/>
        <w:tabs>
          <w:tab w:leader="none" w:pos="7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compensation committee has reviewed, during the most recently completed fiscal year, the terms of each employee compensation plan and identified any features of the plan that could encourage the manipulation of reported earnings of United to enhance the compensation of an employee, and has limited any such features.</w:t>
      </w:r>
    </w:p>
    <w:p>
      <w:pPr>
        <w:spacing w:after="0" w:line="59" w:lineRule="exact"/>
        <w:rPr>
          <w:rFonts w:ascii="Arial" w:cs="Arial" w:eastAsia="Arial" w:hAnsi="Arial"/>
          <w:sz w:val="18"/>
          <w:szCs w:val="18"/>
          <w:color w:val="auto"/>
        </w:rPr>
      </w:pPr>
    </w:p>
    <w:p>
      <w:pPr>
        <w:ind w:left="760" w:hanging="296"/>
        <w:spacing w:after="0"/>
        <w:tabs>
          <w:tab w:leader="none" w:pos="7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compensation committee of United will certify to the reviews of the SEO compensation plans and employee compensation plans required under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and (iii) above.</w:t>
      </w:r>
    </w:p>
    <w:p>
      <w:pPr>
        <w:spacing w:after="0" w:line="83" w:lineRule="exact"/>
        <w:rPr>
          <w:rFonts w:ascii="Arial" w:cs="Arial" w:eastAsia="Arial" w:hAnsi="Arial"/>
          <w:sz w:val="18"/>
          <w:szCs w:val="18"/>
          <w:color w:val="auto"/>
        </w:rPr>
      </w:pPr>
    </w:p>
    <w:p>
      <w:pPr>
        <w:ind w:left="720" w:hanging="256"/>
        <w:spacing w:after="0"/>
        <w:tabs>
          <w:tab w:leader="none" w:pos="7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compensation committee of United will provide a narrative description of how it limited during the most recently completed fiscal year the features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SEO compensation plans that could lead SEOs to take unnecessary and excessive risks that could threaten the value of United;</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United to risks; and</w:t>
      </w:r>
    </w:p>
    <w:p>
      <w:pPr>
        <w:spacing w:after="0" w:line="90" w:lineRule="exact"/>
        <w:rPr>
          <w:rFonts w:ascii="Arial" w:cs="Arial" w:eastAsia="Arial" w:hAnsi="Arial"/>
          <w:sz w:val="18"/>
          <w:szCs w:val="18"/>
          <w:color w:val="auto"/>
        </w:rPr>
      </w:pPr>
    </w:p>
    <w:p>
      <w:pPr>
        <w:ind w:left="460" w:right="720" w:firstLine="443"/>
        <w:spacing w:after="0" w:line="268" w:lineRule="auto"/>
        <w:tabs>
          <w:tab w:leader="none" w:pos="1176" w:val="left"/>
        </w:tabs>
        <w:numPr>
          <w:ilvl w:val="2"/>
          <w:numId w:val="95"/>
        </w:numPr>
        <w:rPr>
          <w:rFonts w:ascii="Arial" w:cs="Arial" w:eastAsia="Arial" w:hAnsi="Arial"/>
          <w:sz w:val="18"/>
          <w:szCs w:val="18"/>
          <w:color w:val="auto"/>
        </w:rPr>
      </w:pPr>
      <w:r>
        <w:rPr>
          <w:rFonts w:ascii="Arial" w:cs="Arial" w:eastAsia="Arial" w:hAnsi="Arial"/>
          <w:sz w:val="18"/>
          <w:szCs w:val="18"/>
          <w:color w:val="auto"/>
        </w:rPr>
        <w:t>employee compensation plans that could encourage the manipulation of reported earnings of United to enhance the compensation of an employee.</w:t>
      </w:r>
    </w:p>
    <w:p>
      <w:pPr>
        <w:spacing w:after="0" w:line="50" w:lineRule="exact"/>
        <w:rPr>
          <w:rFonts w:ascii="Arial" w:cs="Arial" w:eastAsia="Arial" w:hAnsi="Arial"/>
          <w:sz w:val="18"/>
          <w:szCs w:val="18"/>
          <w:color w:val="auto"/>
        </w:rPr>
      </w:pPr>
    </w:p>
    <w:p>
      <w:pPr>
        <w:ind w:right="180" w:firstLine="464"/>
        <w:spacing w:after="0" w:line="306" w:lineRule="auto"/>
        <w:tabs>
          <w:tab w:leader="none" w:pos="754" w:val="left"/>
        </w:tabs>
        <w:numPr>
          <w:ilvl w:val="1"/>
          <w:numId w:val="95"/>
        </w:numPr>
        <w:rPr>
          <w:rFonts w:ascii="Arial" w:cs="Arial" w:eastAsia="Arial" w:hAnsi="Arial"/>
          <w:sz w:val="16"/>
          <w:szCs w:val="16"/>
          <w:color w:val="auto"/>
        </w:rPr>
      </w:pPr>
      <w:r>
        <w:rPr>
          <w:rFonts w:ascii="Arial" w:cs="Arial" w:eastAsia="Arial" w:hAnsi="Arial"/>
          <w:sz w:val="16"/>
          <w:szCs w:val="16"/>
          <w:color w:val="auto"/>
        </w:rPr>
        <w:t>United has required that bonus payments to SEOs or any of the next twenty most highly compensated employees, as defined in the regulations and guidance established under Section 111 of EESA (bonus payments), be subject to a recovery or “clawback” provision during the most recently completed fiscal year if the bonus payments were based on materially inaccurate financial statements or any other materially inaccurate performance metric criteria.</w:t>
      </w:r>
    </w:p>
    <w:p>
      <w:pPr>
        <w:spacing w:after="0" w:line="25" w:lineRule="exact"/>
        <w:rPr>
          <w:rFonts w:ascii="Arial" w:cs="Arial" w:eastAsia="Arial" w:hAnsi="Arial"/>
          <w:sz w:val="16"/>
          <w:szCs w:val="16"/>
          <w:color w:val="auto"/>
        </w:rPr>
      </w:pPr>
    </w:p>
    <w:p>
      <w:pPr>
        <w:ind w:right="120" w:firstLine="464"/>
        <w:spacing w:after="0" w:line="268" w:lineRule="auto"/>
        <w:tabs>
          <w:tab w:leader="none" w:pos="803"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United has prohibited any golden parachute payment, as defined in the regulations and guidance established under Section 111 of EESA, to a SEO or any of the next five most highly compensated employees during the most recently completed fiscal year.</w:t>
      </w:r>
    </w:p>
    <w:p>
      <w:pPr>
        <w:spacing w:after="0" w:line="50" w:lineRule="exact"/>
        <w:rPr>
          <w:rFonts w:ascii="Arial" w:cs="Arial" w:eastAsia="Arial" w:hAnsi="Arial"/>
          <w:sz w:val="18"/>
          <w:szCs w:val="18"/>
          <w:color w:val="auto"/>
        </w:rPr>
      </w:pPr>
    </w:p>
    <w:p>
      <w:pPr>
        <w:ind w:right="20" w:firstLine="464"/>
        <w:spacing w:after="0" w:line="268" w:lineRule="auto"/>
        <w:tabs>
          <w:tab w:leader="none" w:pos="8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United has limited bonus payments to its applicable employees in accordance with Section 111 of EESA and the regulations and guidance established thereunder during the most recently completed fiscal year.</w:t>
      </w:r>
    </w:p>
    <w:p>
      <w:pPr>
        <w:spacing w:after="0" w:line="50" w:lineRule="exact"/>
        <w:rPr>
          <w:rFonts w:ascii="Arial" w:cs="Arial" w:eastAsia="Arial" w:hAnsi="Arial"/>
          <w:sz w:val="18"/>
          <w:szCs w:val="18"/>
          <w:color w:val="auto"/>
        </w:rPr>
      </w:pPr>
    </w:p>
    <w:p>
      <w:pPr>
        <w:jc w:val="both"/>
        <w:ind w:right="40" w:firstLine="464"/>
        <w:spacing w:after="0" w:line="306" w:lineRule="auto"/>
        <w:tabs>
          <w:tab w:leader="none" w:pos="754" w:val="left"/>
        </w:tabs>
        <w:numPr>
          <w:ilvl w:val="1"/>
          <w:numId w:val="95"/>
        </w:numPr>
        <w:rPr>
          <w:rFonts w:ascii="Arial" w:cs="Arial" w:eastAsia="Arial" w:hAnsi="Arial"/>
          <w:sz w:val="16"/>
          <w:szCs w:val="16"/>
          <w:color w:val="auto"/>
        </w:rPr>
      </w:pPr>
      <w:r>
        <w:rPr>
          <w:rFonts w:ascii="Arial" w:cs="Arial" w:eastAsia="Arial" w:hAnsi="Arial"/>
          <w:sz w:val="16"/>
          <w:szCs w:val="16"/>
          <w:color w:val="auto"/>
        </w:rPr>
        <w:t>United and its employees have complied with the excessive or luxury expenditures policy, as defined in the regulations and guidance established under Section 111 of EESA, during the most recently completed fiscal year; and any expenses that, pursuant to the policy, required approval of the board of directors, a committee of the board of directors, an SEO, or an executive officer with a similar level of responsibility, were properly approved.</w:t>
      </w:r>
    </w:p>
    <w:p>
      <w:pPr>
        <w:spacing w:after="0" w:line="25" w:lineRule="exact"/>
        <w:rPr>
          <w:rFonts w:ascii="Arial" w:cs="Arial" w:eastAsia="Arial" w:hAnsi="Arial"/>
          <w:sz w:val="16"/>
          <w:szCs w:val="16"/>
          <w:color w:val="auto"/>
        </w:rPr>
      </w:pPr>
    </w:p>
    <w:p>
      <w:pPr>
        <w:ind w:right="260" w:firstLine="464"/>
        <w:spacing w:after="0" w:line="332" w:lineRule="auto"/>
        <w:tabs>
          <w:tab w:leader="none" w:pos="7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United will permit a non-binding shareholder resolution in compliance with any applicable federal securities rules and regulations on the disclosures provided under the federal securities laws related to SEO compensation paid or accrued during the most recently completed fiscal year.</w:t>
      </w:r>
    </w:p>
    <w:p>
      <w:pPr>
        <w:spacing w:after="0" w:line="4" w:lineRule="exact"/>
        <w:rPr>
          <w:rFonts w:ascii="Arial" w:cs="Arial" w:eastAsia="Arial" w:hAnsi="Arial"/>
          <w:sz w:val="16"/>
          <w:szCs w:val="16"/>
          <w:color w:val="auto"/>
        </w:rPr>
      </w:pPr>
    </w:p>
    <w:p>
      <w:pPr>
        <w:ind w:right="100" w:firstLine="464"/>
        <w:spacing w:after="0" w:line="259" w:lineRule="auto"/>
        <w:tabs>
          <w:tab w:leader="none" w:pos="754"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United will disclose the amount, nature and justification for the offering, during the most recently completed fiscal year, of any perquisites, as defined in the regulations and guidance established under Section 111 of EESA, whose total value exceeds $25,000 for each employee subject to the bonus payment limitations identified in paragraph (viii).</w:t>
      </w:r>
    </w:p>
    <w:p>
      <w:pPr>
        <w:spacing w:after="0" w:line="59" w:lineRule="exact"/>
        <w:rPr>
          <w:rFonts w:ascii="Arial" w:cs="Arial" w:eastAsia="Arial" w:hAnsi="Arial"/>
          <w:sz w:val="18"/>
          <w:szCs w:val="18"/>
          <w:color w:val="auto"/>
        </w:rPr>
      </w:pPr>
    </w:p>
    <w:p>
      <w:pPr>
        <w:ind w:right="80" w:firstLine="464"/>
        <w:spacing w:after="0" w:line="259" w:lineRule="auto"/>
        <w:tabs>
          <w:tab w:leader="none" w:pos="803"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United will disclose whether United, the board of directors of United, or the compensation committee of United has engaged during the most recently completed fiscal year a compensation consultant; and the services the compensation consultant or any affiliate of the compensation consultant provided during this period.</w:t>
      </w:r>
    </w:p>
    <w:p>
      <w:pPr>
        <w:sectPr>
          <w:pgSz w:w="11900" w:h="16838" w:orient="portrait"/>
          <w:cols w:equalWidth="0" w:num="1">
            <w:col w:w="11400"/>
          </w:cols>
          <w:pgMar w:left="240" w:top="125" w:right="259" w:bottom="1440" w:gutter="0" w:footer="0" w:header="0"/>
        </w:sectPr>
      </w:pPr>
    </w:p>
    <w:bookmarkStart w:id="132" w:name="page133"/>
    <w:bookmarkEnd w:id="132"/>
    <w:p>
      <w:pPr>
        <w:ind w:right="40" w:firstLine="464"/>
        <w:spacing w:after="0" w:line="268" w:lineRule="auto"/>
        <w:tabs>
          <w:tab w:leader="none" w:pos="852"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has prohibited the payment of any gross-ups, as defined in the regulations and guidance established under Section 111 of EESA, to the SEOs and the next twenty most highly compensated employees during the most recently completed fiscal year.</w:t>
      </w:r>
    </w:p>
    <w:p>
      <w:pPr>
        <w:spacing w:after="0" w:line="50" w:lineRule="exact"/>
        <w:rPr>
          <w:rFonts w:ascii="Arial" w:cs="Arial" w:eastAsia="Arial" w:hAnsi="Arial"/>
          <w:sz w:val="18"/>
          <w:szCs w:val="18"/>
          <w:color w:val="auto"/>
        </w:rPr>
      </w:pPr>
    </w:p>
    <w:p>
      <w:pPr>
        <w:ind w:right="80" w:firstLine="464"/>
        <w:spacing w:after="0" w:line="268" w:lineRule="auto"/>
        <w:tabs>
          <w:tab w:leader="none" w:pos="8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United has substantially complied with all other requirements related to employee compensation that are provided in the agreement between United and Treasury, including any amendments.</w:t>
      </w:r>
    </w:p>
    <w:p>
      <w:pPr>
        <w:spacing w:after="0" w:line="50" w:lineRule="exact"/>
        <w:rPr>
          <w:rFonts w:ascii="Arial" w:cs="Arial" w:eastAsia="Arial" w:hAnsi="Arial"/>
          <w:sz w:val="18"/>
          <w:szCs w:val="18"/>
          <w:color w:val="auto"/>
        </w:rPr>
      </w:pPr>
    </w:p>
    <w:p>
      <w:pPr>
        <w:ind w:firstLine="464"/>
        <w:spacing w:after="0" w:line="259" w:lineRule="auto"/>
        <w:tabs>
          <w:tab w:leader="none" w:pos="7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United has provided Treasury a complete and accurate list of the SEOs and the next twenty most highly compensated employees for the current fiscal year, with the non-SEOs ranked in descending order of level of annual compensation, and with the name, title and employer of each SEO and most highly compensated employees identified.</w:t>
      </w:r>
    </w:p>
    <w:p>
      <w:pPr>
        <w:spacing w:after="0" w:line="59" w:lineRule="exact"/>
        <w:rPr>
          <w:rFonts w:ascii="Arial" w:cs="Arial" w:eastAsia="Arial" w:hAnsi="Arial"/>
          <w:sz w:val="18"/>
          <w:szCs w:val="18"/>
          <w:color w:val="auto"/>
        </w:rPr>
      </w:pPr>
    </w:p>
    <w:p>
      <w:pPr>
        <w:ind w:right="100" w:firstLine="464"/>
        <w:spacing w:after="0" w:line="268" w:lineRule="auto"/>
        <w:tabs>
          <w:tab w:leader="none" w:pos="8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understand that a knowing and willful false or fraudulent statement made in connection with this certification may be punished by fine, imprisonment, or both.</w:t>
      </w:r>
    </w:p>
    <w:p>
      <w:pPr>
        <w:spacing w:after="0" w:line="172"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January 29, 2013</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10795</wp:posOffset>
            </wp:positionV>
            <wp:extent cx="31642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Jimmy C. Tallent</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January 29, 2013</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10795</wp:posOffset>
            </wp:positionV>
            <wp:extent cx="31642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Rex. S. Schuette</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upperLetter"/>
      <w:start w:val="1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Roman"/>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lowerRoman"/>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decimal"/>
      <w:start w:val="3"/>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upperLetter"/>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1)"/>
      <w:numFmt w:val="decimal"/>
      <w:start w:val="3"/>
    </w:lvl>
  </w:abstractNum>
  <w:abstractNum w:abstractNumId="36">
    <w:nsid w:val="4AD084E9"/>
    <w:multiLevelType w:val="hybridMultilevel"/>
    <w:lvl w:ilvl="0">
      <w:lvlJc w:val="left"/>
      <w:lvlText w:val="(%1)"/>
      <w:numFmt w:val="decimal"/>
      <w:start w:val="4"/>
    </w:lvl>
  </w:abstractNum>
  <w:abstractNum w:abstractNumId="37">
    <w:nsid w:val="1F48EAA1"/>
    <w:multiLevelType w:val="hybridMultilevel"/>
    <w:lvl w:ilvl="0">
      <w:lvlJc w:val="left"/>
      <w:lvlText w:val="(%1)"/>
      <w:numFmt w:val="decimal"/>
      <w:start w:val="5"/>
    </w:lvl>
  </w:abstractNum>
  <w:abstractNum w:abstractNumId="38">
    <w:nsid w:val="1381823A"/>
    <w:multiLevelType w:val="hybridMultilevel"/>
    <w:lvl w:ilvl="0">
      <w:lvlJc w:val="left"/>
      <w:lvlText w:val="(%1)"/>
      <w:numFmt w:val="decimal"/>
      <w:start w:val="6"/>
    </w:lvl>
  </w:abstractNum>
  <w:abstractNum w:abstractNumId="39">
    <w:nsid w:val="5DB70AE5"/>
    <w:multiLevelType w:val="hybridMultilevel"/>
    <w:lvl w:ilvl="0">
      <w:lvlJc w:val="left"/>
      <w:lvlText w:val="(%1)"/>
      <w:numFmt w:val="decimal"/>
      <w:start w:val="6"/>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1)"/>
      <w:numFmt w:val="decimal"/>
      <w:start w:val="6"/>
    </w:lvl>
  </w:abstractNum>
  <w:abstractNum w:abstractNumId="43">
    <w:nsid w:val="5F5E7FD0"/>
    <w:multiLevelType w:val="hybridMultilevel"/>
    <w:lvl w:ilvl="0">
      <w:lvlJc w:val="left"/>
      <w:lvlText w:val="(%1)"/>
      <w:numFmt w:val="decimal"/>
      <w:start w:val="6"/>
    </w:lvl>
  </w:abstractNum>
  <w:abstractNum w:abstractNumId="44">
    <w:nsid w:val="98A3148"/>
    <w:multiLevelType w:val="hybridMultilevel"/>
    <w:lvl w:ilvl="0">
      <w:lvlJc w:val="left"/>
      <w:lvlText w:val="(%1)"/>
      <w:numFmt w:val="decimal"/>
      <w:start w:val="7"/>
    </w:lvl>
  </w:abstractNum>
  <w:abstractNum w:abstractNumId="45">
    <w:nsid w:val="799D0247"/>
    <w:multiLevelType w:val="hybridMultilevel"/>
    <w:lvl w:ilvl="0">
      <w:lvlJc w:val="left"/>
      <w:lvlText w:val="(%1)"/>
      <w:numFmt w:val="decimal"/>
      <w:start w:val="7"/>
    </w:lvl>
  </w:abstractNum>
  <w:abstractNum w:abstractNumId="46">
    <w:nsid w:val="6B94764"/>
    <w:multiLevelType w:val="hybridMultilevel"/>
    <w:lvl w:ilvl="0">
      <w:lvlJc w:val="left"/>
      <w:lvlText w:val="(%1)"/>
      <w:numFmt w:val="decimal"/>
      <w:start w:val="7"/>
    </w:lvl>
  </w:abstractNum>
  <w:abstractNum w:abstractNumId="47">
    <w:nsid w:val="42C296BD"/>
    <w:multiLevelType w:val="hybridMultilevel"/>
    <w:lvl w:ilvl="0">
      <w:lvlJc w:val="left"/>
      <w:lvlText w:val="(%1)"/>
      <w:numFmt w:val="decimal"/>
      <w:start w:val="7"/>
    </w:lvl>
  </w:abstractNum>
  <w:abstractNum w:abstractNumId="48">
    <w:nsid w:val="168E121F"/>
    <w:multiLevelType w:val="hybridMultilevel"/>
    <w:lvl w:ilvl="0">
      <w:lvlJc w:val="left"/>
      <w:lvlText w:val="(%1)"/>
      <w:numFmt w:val="decimal"/>
      <w:start w:val="7"/>
    </w:lvl>
  </w:abstractNum>
  <w:abstractNum w:abstractNumId="49">
    <w:nsid w:val="1EBA5D23"/>
    <w:multiLevelType w:val="hybridMultilevel"/>
    <w:lvl w:ilvl="0">
      <w:lvlJc w:val="left"/>
      <w:lvlText w:val="(%1)"/>
      <w:numFmt w:val="decimal"/>
      <w:start w:val="7"/>
    </w:lvl>
  </w:abstractNum>
  <w:abstractNum w:abstractNumId="50">
    <w:nsid w:val="661E3F1E"/>
    <w:multiLevelType w:val="hybridMultilevel"/>
    <w:lvl w:ilvl="0">
      <w:lvlJc w:val="left"/>
      <w:lvlText w:val="(%1)"/>
      <w:numFmt w:val="decimal"/>
      <w:start w:val="7"/>
    </w:lvl>
  </w:abstractNum>
  <w:abstractNum w:abstractNumId="51">
    <w:nsid w:val="5DC79EA8"/>
    <w:multiLevelType w:val="hybridMultilevel"/>
    <w:lvl w:ilvl="0">
      <w:lvlJc w:val="left"/>
      <w:lvlText w:val="(%1)"/>
      <w:numFmt w:val="decimal"/>
      <w:start w:val="8"/>
    </w:lvl>
  </w:abstractNum>
  <w:abstractNum w:abstractNumId="52">
    <w:nsid w:val="540A471C"/>
    <w:multiLevelType w:val="hybridMultilevel"/>
    <w:lvl w:ilvl="0">
      <w:lvlJc w:val="left"/>
      <w:lvlText w:val="(%1)"/>
      <w:numFmt w:val="decimal"/>
      <w:start w:val="9"/>
    </w:lvl>
  </w:abstractNum>
  <w:abstractNum w:abstractNumId="53">
    <w:nsid w:val="7BD3EE7B"/>
    <w:multiLevelType w:val="hybridMultilevel"/>
    <w:lvl w:ilvl="0">
      <w:lvlJc w:val="left"/>
      <w:lvlText w:val="(%1)"/>
      <w:numFmt w:val="decimal"/>
      <w:start w:val="9"/>
    </w:lvl>
  </w:abstractNum>
  <w:abstractNum w:abstractNumId="54">
    <w:nsid w:val="51D9C564"/>
    <w:multiLevelType w:val="hybridMultilevel"/>
    <w:lvl w:ilvl="0">
      <w:lvlJc w:val="left"/>
      <w:lvlText w:val="(%1)"/>
      <w:numFmt w:val="decimal"/>
      <w:start w:val="10"/>
    </w:lvl>
  </w:abstractNum>
  <w:abstractNum w:abstractNumId="55">
    <w:nsid w:val="613EFDC5"/>
    <w:multiLevelType w:val="hybridMultilevel"/>
    <w:lvl w:ilvl="0">
      <w:lvlJc w:val="left"/>
      <w:lvlText w:val="(%1)"/>
      <w:numFmt w:val="decimal"/>
      <w:start w:val="11"/>
    </w:lvl>
  </w:abstractNum>
  <w:abstractNum w:abstractNumId="56">
    <w:nsid w:val="BF72B14"/>
    <w:multiLevelType w:val="hybridMultilevel"/>
    <w:lvl w:ilvl="0">
      <w:lvlJc w:val="left"/>
      <w:lvlText w:val="(%1)"/>
      <w:numFmt w:val="decimal"/>
      <w:start w:val="12"/>
    </w:lvl>
  </w:abstractNum>
  <w:abstractNum w:abstractNumId="57">
    <w:nsid w:val="11447B73"/>
    <w:multiLevelType w:val="hybridMultilevel"/>
    <w:lvl w:ilvl="0">
      <w:lvlJc w:val="left"/>
      <w:lvlText w:val="(%1)"/>
      <w:numFmt w:val="decimal"/>
      <w:start w:val="13"/>
    </w:lvl>
  </w:abstractNum>
  <w:abstractNum w:abstractNumId="58">
    <w:nsid w:val="42963E5A"/>
    <w:multiLevelType w:val="hybridMultilevel"/>
    <w:lvl w:ilvl="0">
      <w:lvlJc w:val="left"/>
      <w:lvlText w:val="(%1)"/>
      <w:numFmt w:val="decimal"/>
      <w:start w:val="14"/>
    </w:lvl>
  </w:abstractNum>
  <w:abstractNum w:abstractNumId="59">
    <w:nsid w:val="A0382C5"/>
    <w:multiLevelType w:val="hybridMultilevel"/>
    <w:lvl w:ilvl="0">
      <w:lvlJc w:val="left"/>
      <w:lvlText w:val="(%1)"/>
      <w:numFmt w:val="decimal"/>
      <w:start w:val="15"/>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16"/>
    </w:lvl>
  </w:abstractNum>
  <w:abstractNum w:abstractNumId="62">
    <w:nsid w:val="3B0FD379"/>
    <w:multiLevelType w:val="hybridMultilevel"/>
    <w:lvl w:ilvl="0">
      <w:lvlJc w:val="left"/>
      <w:lvlText w:val="(%1)"/>
      <w:numFmt w:val="decimal"/>
      <w:start w:val="16"/>
    </w:lvl>
  </w:abstractNum>
  <w:abstractNum w:abstractNumId="63">
    <w:nsid w:val="68EB2F63"/>
    <w:multiLevelType w:val="hybridMultilevel"/>
    <w:lvl w:ilvl="0">
      <w:lvlJc w:val="left"/>
      <w:lvlText w:val="(%1)"/>
      <w:numFmt w:val="decimal"/>
      <w:start w:val="16"/>
    </w:lvl>
  </w:abstractNum>
  <w:abstractNum w:abstractNumId="64">
    <w:nsid w:val="4962813B"/>
    <w:multiLevelType w:val="hybridMultilevel"/>
    <w:lvl w:ilvl="0">
      <w:lvlJc w:val="left"/>
      <w:lvlText w:val="(%1)"/>
      <w:numFmt w:val="decimal"/>
      <w:start w:val="17"/>
    </w:lvl>
  </w:abstractNum>
  <w:abstractNum w:abstractNumId="65">
    <w:nsid w:val="60B6DF70"/>
    <w:multiLevelType w:val="hybridMultilevel"/>
    <w:lvl w:ilvl="0">
      <w:lvlJc w:val="left"/>
      <w:lvlText w:val="(%1)"/>
      <w:numFmt w:val="decimal"/>
      <w:start w:val="17"/>
    </w:lvl>
  </w:abstractNum>
  <w:abstractNum w:abstractNumId="66">
    <w:nsid w:val="6A5EE64"/>
    <w:multiLevelType w:val="hybridMultilevel"/>
    <w:lvl w:ilvl="0">
      <w:lvlJc w:val="left"/>
      <w:lvlText w:val="(%1)"/>
      <w:numFmt w:val="decimal"/>
      <w:start w:val="18"/>
    </w:lvl>
  </w:abstractNum>
  <w:abstractNum w:abstractNumId="67">
    <w:nsid w:val="14330624"/>
    <w:multiLevelType w:val="hybridMultilevel"/>
    <w:lvl w:ilvl="0">
      <w:lvlJc w:val="left"/>
      <w:lvlText w:val="(%1)"/>
      <w:numFmt w:val="decimal"/>
      <w:start w:val="18"/>
    </w:lvl>
  </w:abstractNum>
  <w:abstractNum w:abstractNumId="68">
    <w:nsid w:val="7FFFCA11"/>
    <w:multiLevelType w:val="hybridMultilevel"/>
    <w:lvl w:ilvl="0">
      <w:lvlJc w:val="left"/>
      <w:lvlText w:val="(%1)"/>
      <w:numFmt w:val="decimal"/>
      <w:start w:val="18"/>
    </w:lvl>
  </w:abstractNum>
  <w:abstractNum w:abstractNumId="69">
    <w:nsid w:val="1A27709E"/>
    <w:multiLevelType w:val="hybridMultilevel"/>
    <w:lvl w:ilvl="0">
      <w:lvlJc w:val="left"/>
      <w:lvlText w:val="(%1)"/>
      <w:numFmt w:val="decimal"/>
      <w:start w:val="19"/>
    </w:lvl>
  </w:abstractNum>
  <w:abstractNum w:abstractNumId="70">
    <w:nsid w:val="71EA1109"/>
    <w:multiLevelType w:val="hybridMultilevel"/>
    <w:lvl w:ilvl="0">
      <w:lvlJc w:val="left"/>
      <w:lvlText w:val="(%1)"/>
      <w:numFmt w:val="decimal"/>
      <w:start w:val="19"/>
    </w:lvl>
  </w:abstractNum>
  <w:abstractNum w:abstractNumId="71">
    <w:nsid w:val="100F59DC"/>
    <w:multiLevelType w:val="hybridMultilevel"/>
    <w:lvl w:ilvl="0">
      <w:lvlJc w:val="left"/>
      <w:lvlText w:val="(%1)"/>
      <w:numFmt w:val="lowerRoman"/>
      <w:start w:val="1"/>
    </w:lvl>
  </w:abstractNum>
  <w:abstractNum w:abstractNumId="72">
    <w:nsid w:val="7FB7E0AA"/>
    <w:multiLevelType w:val="hybridMultilevel"/>
    <w:lvl w:ilvl="0">
      <w:lvlJc w:val="left"/>
      <w:lvlText w:val="(%1)"/>
      <w:numFmt w:val="decimal"/>
      <w:start w:val="20"/>
    </w:lvl>
  </w:abstractNum>
  <w:abstractNum w:abstractNumId="73">
    <w:nsid w:val="6EB5BD4"/>
    <w:multiLevelType w:val="hybridMultilevel"/>
    <w:lvl w:ilvl="0">
      <w:lvlJc w:val="left"/>
      <w:lvlText w:val="(%1)"/>
      <w:numFmt w:val="decimal"/>
      <w:start w:val="20"/>
    </w:lvl>
  </w:abstractNum>
  <w:abstractNum w:abstractNumId="74">
    <w:nsid w:val="6F6DD9AC"/>
    <w:multiLevelType w:val="hybridMultilevel"/>
    <w:lvl w:ilvl="0">
      <w:lvlJc w:val="left"/>
      <w:lvlText w:val="(%1)"/>
      <w:numFmt w:val="decimal"/>
      <w:start w:val="21"/>
    </w:lvl>
  </w:abstractNum>
  <w:abstractNum w:abstractNumId="75">
    <w:nsid w:val="94211F2"/>
    <w:multiLevelType w:val="hybridMultilevel"/>
    <w:lvl w:ilvl="0">
      <w:lvlJc w:val="left"/>
      <w:lvlText w:val="(%1)"/>
      <w:numFmt w:val="decimal"/>
      <w:start w:val="22"/>
    </w:lvl>
  </w:abstractNum>
  <w:abstractNum w:abstractNumId="76">
    <w:nsid w:val="885E1B"/>
    <w:multiLevelType w:val="hybridMultilevel"/>
    <w:lvl w:ilvl="0">
      <w:lvlJc w:val="left"/>
      <w:lvlText w:val="(%1)"/>
      <w:numFmt w:val="decimal"/>
      <w:start w:val="22"/>
    </w:lvl>
  </w:abstractNum>
  <w:abstractNum w:abstractNumId="77">
    <w:nsid w:val="76272110"/>
    <w:multiLevelType w:val="hybridMultilevel"/>
    <w:lvl w:ilvl="0">
      <w:lvlJc w:val="left"/>
      <w:lvlText w:val="(%1)"/>
      <w:numFmt w:val="decimal"/>
      <w:start w:val="22"/>
    </w:lvl>
  </w:abstractNum>
  <w:abstractNum w:abstractNumId="78">
    <w:nsid w:val="4C04A8AF"/>
    <w:multiLevelType w:val="hybridMultilevel"/>
    <w:lvl w:ilvl="0">
      <w:lvlJc w:val="left"/>
      <w:lvlText w:val="(%1)"/>
      <w:numFmt w:val="decimal"/>
      <w:start w:val="23"/>
    </w:lvl>
  </w:abstractNum>
  <w:abstractNum w:abstractNumId="79">
    <w:nsid w:val="1716703B"/>
    <w:multiLevelType w:val="hybridMultilevel"/>
    <w:lvl w:ilvl="0">
      <w:lvlJc w:val="left"/>
      <w:lvlText w:val="(%1)"/>
      <w:numFmt w:val="decimal"/>
      <w:start w:val="23"/>
    </w:lvl>
  </w:abstractNum>
  <w:abstractNum w:abstractNumId="80">
    <w:nsid w:val="14E17E33"/>
    <w:multiLevelType w:val="hybridMultilevel"/>
    <w:lvl w:ilvl="0">
      <w:lvlJc w:val="left"/>
      <w:lvlText w:val="(%1)"/>
      <w:numFmt w:val="decimal"/>
      <w:start w:val="23"/>
    </w:lvl>
  </w:abstractNum>
  <w:abstractNum w:abstractNumId="81">
    <w:nsid w:val="3222E7CD"/>
    <w:multiLevelType w:val="hybridMultilevel"/>
    <w:lvl w:ilvl="0">
      <w:lvlJc w:val="left"/>
      <w:lvlText w:val="(%1)"/>
      <w:numFmt w:val="decimal"/>
      <w:start w:val="23"/>
    </w:lvl>
  </w:abstractNum>
  <w:abstractNum w:abstractNumId="82">
    <w:nsid w:val="74DE0EE3"/>
    <w:multiLevelType w:val="hybridMultilevel"/>
    <w:lvl w:ilvl="0">
      <w:lvlJc w:val="left"/>
      <w:lvlText w:val="(%1)"/>
      <w:numFmt w:val="decimal"/>
      <w:start w:val="23"/>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decimal"/>
      <w:start w:val="3"/>
    </w:lvl>
  </w:abstractNum>
  <w:abstractNum w:abstractNumId="86">
    <w:nsid w:val="4A2AC315"/>
    <w:multiLevelType w:val="hybridMultilevel"/>
    <w:lvl w:ilvl="0">
      <w:lvlJc w:val="left"/>
      <w:lvlText w:val="%1"/>
      <w:numFmt w:val="decimal"/>
      <w:start w:val="14"/>
    </w:lvl>
  </w:abstractNum>
  <w:abstractNum w:abstractNumId="87">
    <w:nsid w:val="39EE015C"/>
    <w:multiLevelType w:val="hybridMultilevel"/>
    <w:lvl w:ilvl="0">
      <w:lvlJc w:val="left"/>
      <w:lvlText w:val="%1"/>
      <w:numFmt w:val="decimal"/>
      <w:start w:val="23"/>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decimal"/>
      <w:start w:val="1"/>
    </w:lvl>
    <w:lvl w:ilvl="1">
      <w:lvlJc w:val="left"/>
      <w:lvlText w:val="%2)"/>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94">
    <w:nsid w:val="49DA307D"/>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95">
    <w:nsid w:val="7055A5F5"/>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2019-12-06T04:07:15Z</dcterms:created>
  <dcterms:modified xsi:type="dcterms:W3CDTF">2019-12-06T04:07:15Z</dcterms:modified>
</cp:coreProperties>
</file>