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147955</wp:posOffset>
            </wp:positionH>
            <wp:positionV relativeFrom="page">
              <wp:posOffset>109220</wp:posOffset>
            </wp:positionV>
            <wp:extent cx="7265670" cy="355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35560"/>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228" w:lineRule="exact"/>
        <w:rPr>
          <w:sz w:val="24"/>
          <w:szCs w:val="24"/>
          <w:color w:val="auto"/>
        </w:rPr>
      </w:pPr>
    </w:p>
    <w:p>
      <w:pPr>
        <w:jc w:val="center"/>
        <w:ind w:left="3320"/>
        <w:spacing w:after="0"/>
        <w:tabs>
          <w:tab w:leader="none" w:pos="180" w:val="left"/>
        </w:tabs>
        <w:rPr>
          <w:sz w:val="20"/>
          <w:szCs w:val="20"/>
          <w:color w:val="auto"/>
        </w:rPr>
      </w:pPr>
      <w:r>
        <w:rPr>
          <w:rFonts w:ascii="Arial" w:cs="Arial" w:eastAsia="Arial" w:hAnsi="Arial"/>
          <w:sz w:val="16"/>
          <w:szCs w:val="16"/>
          <w:b w:val="1"/>
          <w:bCs w:val="1"/>
          <w:color w:val="auto"/>
        </w:rPr>
        <w:t>x</w:t>
        <w:tab/>
        <w:t>QUARTERLY REPORT PURSUANT TO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OF THE SECURITIES EXCHANGE ACT OF 1934</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September 30, 2014</w:t>
      </w: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440" w:type="dxa"/>
            <w:vAlign w:val="bottom"/>
            <w:gridSpan w:val="4"/>
          </w:tcPr>
          <w:p>
            <w:pPr>
              <w:jc w:val="center"/>
              <w:ind w:right="4919"/>
              <w:spacing w:after="0"/>
              <w:rPr>
                <w:sz w:val="20"/>
                <w:szCs w:val="20"/>
                <w:color w:val="auto"/>
              </w:rPr>
            </w:pPr>
            <w:r>
              <w:rPr>
                <w:rFonts w:ascii="Arial" w:cs="Arial" w:eastAsia="Arial" w:hAnsi="Arial"/>
                <w:sz w:val="16"/>
                <w:szCs w:val="16"/>
                <w:b w:val="1"/>
                <w:bCs w:val="1"/>
                <w:color w:val="auto"/>
                <w:w w:val="99"/>
              </w:rPr>
              <w:t>OR</w:t>
            </w:r>
          </w:p>
        </w:tc>
      </w:tr>
      <w:tr>
        <w:trPr>
          <w:trHeight w:val="396"/>
        </w:trPr>
        <w:tc>
          <w:tcPr>
            <w:tcW w:w="2860" w:type="dxa"/>
            <w:vAlign w:val="bottom"/>
          </w:tcPr>
          <w:p>
            <w:pPr>
              <w:spacing w:after="0"/>
              <w:rPr>
                <w:sz w:val="24"/>
                <w:szCs w:val="24"/>
                <w:color w:val="auto"/>
              </w:rPr>
            </w:pPr>
          </w:p>
        </w:tc>
        <w:tc>
          <w:tcPr>
            <w:tcW w:w="8580" w:type="dxa"/>
            <w:vAlign w:val="bottom"/>
            <w:gridSpan w:val="6"/>
          </w:tcPr>
          <w:p>
            <w:pPr>
              <w:jc w:val="center"/>
              <w:ind w:right="2799"/>
              <w:spacing w:after="0"/>
              <w:rPr>
                <w:sz w:val="20"/>
                <w:szCs w:val="20"/>
                <w:color w:val="auto"/>
              </w:rPr>
            </w:pPr>
            <w:r>
              <w:rPr>
                <w:rFonts w:ascii="Arial" w:cs="Arial" w:eastAsia="Arial" w:hAnsi="Arial"/>
                <w:sz w:val="16"/>
                <w:szCs w:val="16"/>
                <w:b w:val="1"/>
                <w:bCs w:val="1"/>
                <w:color w:val="auto"/>
              </w:rPr>
              <w:t>o   TRANSITION REPORT PURSUANT TO SECTION 13 OR 15(d)</w:t>
            </w:r>
          </w:p>
        </w:tc>
      </w:tr>
      <w:tr>
        <w:trPr>
          <w:trHeight w:val="210"/>
        </w:trPr>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20" w:type="dxa"/>
            <w:vAlign w:val="bottom"/>
            <w:gridSpan w:val="5"/>
          </w:tcPr>
          <w:p>
            <w:pPr>
              <w:jc w:val="center"/>
              <w:ind w:right="3359"/>
              <w:spacing w:after="0"/>
              <w:rPr>
                <w:sz w:val="20"/>
                <w:szCs w:val="20"/>
                <w:color w:val="auto"/>
              </w:rPr>
            </w:pPr>
            <w:r>
              <w:rPr>
                <w:rFonts w:ascii="Arial" w:cs="Arial" w:eastAsia="Arial" w:hAnsi="Arial"/>
                <w:sz w:val="16"/>
                <w:szCs w:val="16"/>
                <w:b w:val="1"/>
                <w:bCs w:val="1"/>
                <w:color w:val="auto"/>
              </w:rPr>
              <w:t>OF THE SECURITIES EXCHANGE ACT OF 1934</w:t>
            </w:r>
          </w:p>
        </w:tc>
      </w:tr>
      <w:tr>
        <w:trPr>
          <w:trHeight w:val="412"/>
        </w:trPr>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20" w:type="dxa"/>
            <w:vAlign w:val="bottom"/>
            <w:gridSpan w:val="5"/>
          </w:tcPr>
          <w:p>
            <w:pPr>
              <w:jc w:val="center"/>
              <w:ind w:right="3359"/>
              <w:spacing w:after="0"/>
              <w:rPr>
                <w:sz w:val="20"/>
                <w:szCs w:val="20"/>
                <w:color w:val="auto"/>
              </w:rPr>
            </w:pPr>
            <w:r>
              <w:rPr>
                <w:rFonts w:ascii="Arial" w:cs="Arial" w:eastAsia="Arial" w:hAnsi="Arial"/>
                <w:sz w:val="16"/>
                <w:szCs w:val="16"/>
                <w:b w:val="1"/>
                <w:bCs w:val="1"/>
                <w:color w:val="auto"/>
                <w:w w:val="91"/>
              </w:rPr>
              <w:t>For the Transition Period from ___________ to ___________</w:t>
            </w:r>
          </w:p>
        </w:tc>
      </w:tr>
      <w:tr>
        <w:trPr>
          <w:trHeight w:val="388"/>
        </w:trPr>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20" w:type="dxa"/>
            <w:vAlign w:val="bottom"/>
            <w:gridSpan w:val="5"/>
          </w:tcPr>
          <w:p>
            <w:pPr>
              <w:jc w:val="center"/>
              <w:ind w:right="3339"/>
              <w:spacing w:after="0"/>
              <w:rPr>
                <w:sz w:val="20"/>
                <w:szCs w:val="20"/>
                <w:color w:val="auto"/>
              </w:rPr>
            </w:pPr>
            <w:r>
              <w:rPr>
                <w:rFonts w:ascii="Arial" w:cs="Arial" w:eastAsia="Arial" w:hAnsi="Arial"/>
                <w:sz w:val="16"/>
                <w:szCs w:val="16"/>
                <w:b w:val="1"/>
                <w:bCs w:val="1"/>
                <w:color w:val="auto"/>
                <w:w w:val="91"/>
              </w:rPr>
              <w:t>Commission file number 001-35095</w:t>
            </w:r>
          </w:p>
        </w:tc>
      </w:tr>
      <w:tr>
        <w:trPr>
          <w:trHeight w:val="393"/>
        </w:trPr>
        <w:tc>
          <w:tcPr>
            <w:tcW w:w="2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20" w:type="dxa"/>
            <w:vAlign w:val="bottom"/>
            <w:gridSpan w:val="5"/>
          </w:tcPr>
          <w:p>
            <w:pPr>
              <w:jc w:val="center"/>
              <w:ind w:right="3339"/>
              <w:spacing w:after="0"/>
              <w:rPr>
                <w:sz w:val="20"/>
                <w:szCs w:val="20"/>
                <w:color w:val="auto"/>
              </w:rPr>
            </w:pPr>
            <w:r>
              <w:rPr>
                <w:rFonts w:ascii="Arial" w:cs="Arial" w:eastAsia="Arial" w:hAnsi="Arial"/>
                <w:sz w:val="16"/>
                <w:szCs w:val="16"/>
                <w:b w:val="1"/>
                <w:bCs w:val="1"/>
                <w:color w:val="auto"/>
              </w:rPr>
              <w:t>UNITED COMMUNITY BANKS, INC.</w:t>
            </w:r>
          </w:p>
        </w:tc>
      </w:tr>
      <w:tr>
        <w:trPr>
          <w:trHeight w:val="210"/>
        </w:trPr>
        <w:tc>
          <w:tcPr>
            <w:tcW w:w="28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5160" w:type="dxa"/>
            <w:vAlign w:val="bottom"/>
            <w:tcBorders>
              <w:top w:val="single" w:sz="8" w:color="auto"/>
            </w:tcBorders>
            <w:gridSpan w:val="4"/>
          </w:tcPr>
          <w:p>
            <w:pPr>
              <w:jc w:val="center"/>
              <w:ind w:right="479"/>
              <w:spacing w:after="0"/>
              <w:rPr>
                <w:sz w:val="20"/>
                <w:szCs w:val="20"/>
                <w:color w:val="auto"/>
              </w:rPr>
            </w:pPr>
            <w:r>
              <w:rPr>
                <w:rFonts w:ascii="Arial" w:cs="Arial" w:eastAsia="Arial" w:hAnsi="Arial"/>
                <w:sz w:val="16"/>
                <w:szCs w:val="16"/>
                <w:b w:val="1"/>
                <w:bCs w:val="1"/>
                <w:color w:val="auto"/>
                <w:w w:val="90"/>
              </w:rPr>
              <w:t>(Exact name of registrant as specified in its charter)</w:t>
            </w:r>
          </w:p>
        </w:tc>
        <w:tc>
          <w:tcPr>
            <w:tcW w:w="2860" w:type="dxa"/>
            <w:vAlign w:val="bottom"/>
          </w:tcPr>
          <w:p>
            <w:pPr>
              <w:spacing w:after="0"/>
              <w:rPr>
                <w:sz w:val="18"/>
                <w:szCs w:val="18"/>
                <w:color w:val="auto"/>
              </w:rPr>
            </w:pPr>
          </w:p>
        </w:tc>
      </w:tr>
      <w:tr>
        <w:trPr>
          <w:trHeight w:val="376"/>
        </w:trPr>
        <w:tc>
          <w:tcPr>
            <w:tcW w:w="2860" w:type="dxa"/>
            <w:vAlign w:val="bottom"/>
          </w:tcPr>
          <w:p>
            <w:pPr>
              <w:jc w:val="center"/>
              <w:ind w:left="499"/>
              <w:spacing w:after="0"/>
              <w:rPr>
                <w:sz w:val="20"/>
                <w:szCs w:val="20"/>
                <w:color w:val="auto"/>
              </w:rPr>
            </w:pPr>
            <w:r>
              <w:rPr>
                <w:rFonts w:ascii="Arial" w:cs="Arial" w:eastAsia="Arial" w:hAnsi="Arial"/>
                <w:sz w:val="16"/>
                <w:szCs w:val="16"/>
                <w:b w:val="1"/>
                <w:bCs w:val="1"/>
                <w:color w:val="auto"/>
                <w:w w:val="92"/>
              </w:rPr>
              <w:t>Georgia</w:t>
            </w:r>
          </w:p>
        </w:tc>
        <w:tc>
          <w:tcPr>
            <w:tcW w:w="8580" w:type="dxa"/>
            <w:vAlign w:val="bottom"/>
            <w:gridSpan w:val="6"/>
          </w:tcPr>
          <w:p>
            <w:pPr>
              <w:jc w:val="right"/>
              <w:ind w:right="1239"/>
              <w:spacing w:after="0"/>
              <w:rPr>
                <w:sz w:val="20"/>
                <w:szCs w:val="20"/>
                <w:color w:val="auto"/>
              </w:rPr>
            </w:pPr>
            <w:r>
              <w:rPr>
                <w:rFonts w:ascii="Arial" w:cs="Arial" w:eastAsia="Arial" w:hAnsi="Arial"/>
                <w:sz w:val="16"/>
                <w:szCs w:val="16"/>
                <w:b w:val="1"/>
                <w:bCs w:val="1"/>
                <w:color w:val="auto"/>
              </w:rPr>
              <w:t>58-1807304</w:t>
            </w:r>
          </w:p>
        </w:tc>
      </w:tr>
      <w:tr>
        <w:trPr>
          <w:trHeight w:val="210"/>
        </w:trPr>
        <w:tc>
          <w:tcPr>
            <w:tcW w:w="2860" w:type="dxa"/>
            <w:vAlign w:val="bottom"/>
            <w:tcBorders>
              <w:top w:val="single" w:sz="8" w:color="auto"/>
            </w:tcBorders>
          </w:tcPr>
          <w:p>
            <w:pPr>
              <w:jc w:val="center"/>
              <w:ind w:left="499"/>
              <w:spacing w:after="0"/>
              <w:rPr>
                <w:sz w:val="20"/>
                <w:szCs w:val="20"/>
                <w:color w:val="auto"/>
              </w:rPr>
            </w:pPr>
            <w:r>
              <w:rPr>
                <w:rFonts w:ascii="Arial" w:cs="Arial" w:eastAsia="Arial" w:hAnsi="Arial"/>
                <w:sz w:val="16"/>
                <w:szCs w:val="16"/>
                <w:b w:val="1"/>
                <w:bCs w:val="1"/>
                <w:color w:val="auto"/>
                <w:w w:val="92"/>
              </w:rPr>
              <w:t>(State of Incorporation)</w:t>
            </w:r>
          </w:p>
        </w:tc>
        <w:tc>
          <w:tcPr>
            <w:tcW w:w="560" w:type="dxa"/>
            <w:vAlign w:val="bottom"/>
            <w:tcBorders>
              <w:top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20" w:type="dxa"/>
            <w:vAlign w:val="bottom"/>
            <w:tcBorders>
              <w:top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55"/>
        </w:trPr>
        <w:tc>
          <w:tcPr>
            <w:tcW w:w="2860" w:type="dxa"/>
            <w:vAlign w:val="bottom"/>
          </w:tcPr>
          <w:p>
            <w:pPr>
              <w:jc w:val="center"/>
              <w:ind w:left="479"/>
              <w:spacing w:after="0"/>
              <w:rPr>
                <w:sz w:val="20"/>
                <w:szCs w:val="20"/>
                <w:color w:val="auto"/>
              </w:rPr>
            </w:pPr>
            <w:r>
              <w:rPr>
                <w:rFonts w:ascii="Arial" w:cs="Arial" w:eastAsia="Arial" w:hAnsi="Arial"/>
                <w:sz w:val="16"/>
                <w:szCs w:val="16"/>
                <w:b w:val="1"/>
                <w:bCs w:val="1"/>
                <w:color w:val="auto"/>
                <w:w w:val="92"/>
              </w:rPr>
              <w:t>125 Highway 515 East</w:t>
            </w:r>
          </w:p>
        </w:tc>
        <w:tc>
          <w:tcPr>
            <w:tcW w:w="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5"/>
        </w:trPr>
        <w:tc>
          <w:tcPr>
            <w:tcW w:w="2860" w:type="dxa"/>
            <w:vAlign w:val="bottom"/>
          </w:tcPr>
          <w:p>
            <w:pPr>
              <w:jc w:val="center"/>
              <w:ind w:left="479"/>
              <w:spacing w:after="0"/>
              <w:rPr>
                <w:sz w:val="20"/>
                <w:szCs w:val="20"/>
                <w:color w:val="auto"/>
              </w:rPr>
            </w:pPr>
            <w:r>
              <w:rPr>
                <w:rFonts w:ascii="Arial" w:cs="Arial" w:eastAsia="Arial" w:hAnsi="Arial"/>
                <w:sz w:val="16"/>
                <w:szCs w:val="16"/>
                <w:b w:val="1"/>
                <w:bCs w:val="1"/>
                <w:color w:val="auto"/>
                <w:w w:val="92"/>
              </w:rPr>
              <w:t>Blairsville, Georgia</w:t>
            </w:r>
          </w:p>
        </w:tc>
        <w:tc>
          <w:tcPr>
            <w:tcW w:w="8580" w:type="dxa"/>
            <w:vAlign w:val="bottom"/>
            <w:gridSpan w:val="6"/>
          </w:tcPr>
          <w:p>
            <w:pPr>
              <w:jc w:val="right"/>
              <w:ind w:right="1439"/>
              <w:spacing w:after="0"/>
              <w:rPr>
                <w:sz w:val="20"/>
                <w:szCs w:val="20"/>
                <w:color w:val="auto"/>
              </w:rPr>
            </w:pPr>
            <w:r>
              <w:rPr>
                <w:rFonts w:ascii="Arial" w:cs="Arial" w:eastAsia="Arial" w:hAnsi="Arial"/>
                <w:sz w:val="16"/>
                <w:szCs w:val="16"/>
                <w:b w:val="1"/>
                <w:bCs w:val="1"/>
                <w:color w:val="auto"/>
              </w:rPr>
              <w:t>30512</w:t>
            </w:r>
          </w:p>
        </w:tc>
      </w:tr>
      <w:tr>
        <w:trPr>
          <w:trHeight w:val="177"/>
        </w:trPr>
        <w:tc>
          <w:tcPr>
            <w:tcW w:w="2860" w:type="dxa"/>
            <w:vAlign w:val="bottom"/>
            <w:tcBorders>
              <w:top w:val="single" w:sz="8" w:color="auto"/>
            </w:tcBorders>
          </w:tcPr>
          <w:p>
            <w:pPr>
              <w:jc w:val="center"/>
              <w:ind w:left="439"/>
              <w:spacing w:after="0" w:line="178" w:lineRule="exact"/>
              <w:rPr>
                <w:sz w:val="20"/>
                <w:szCs w:val="20"/>
                <w:color w:val="auto"/>
              </w:rPr>
            </w:pPr>
            <w:r>
              <w:rPr>
                <w:rFonts w:ascii="Arial" w:cs="Arial" w:eastAsia="Arial" w:hAnsi="Arial"/>
                <w:sz w:val="16"/>
                <w:szCs w:val="16"/>
                <w:b w:val="1"/>
                <w:bCs w:val="1"/>
                <w:color w:val="auto"/>
                <w:w w:val="91"/>
              </w:rPr>
              <w:t>Address of Principal</w:t>
            </w:r>
          </w:p>
        </w:tc>
        <w:tc>
          <w:tcPr>
            <w:tcW w:w="560" w:type="dxa"/>
            <w:vAlign w:val="bottom"/>
            <w:tcBorders>
              <w:top w:val="single" w:sz="8" w:color="auto"/>
            </w:tcBorders>
          </w:tcPr>
          <w:p>
            <w:pPr>
              <w:spacing w:after="0"/>
              <w:rPr>
                <w:sz w:val="15"/>
                <w:szCs w:val="15"/>
                <w:color w:val="auto"/>
              </w:rPr>
            </w:pPr>
          </w:p>
        </w:tc>
        <w:tc>
          <w:tcPr>
            <w:tcW w:w="1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60" w:type="dxa"/>
            <w:vAlign w:val="bottom"/>
            <w:tcBorders>
              <w:top w:val="single" w:sz="8" w:color="auto"/>
            </w:tcBorders>
          </w:tcPr>
          <w:p>
            <w:pPr>
              <w:jc w:val="center"/>
              <w:ind w:right="499"/>
              <w:spacing w:after="0" w:line="178" w:lineRule="exact"/>
              <w:rPr>
                <w:sz w:val="20"/>
                <w:szCs w:val="20"/>
                <w:color w:val="auto"/>
              </w:rPr>
            </w:pPr>
            <w:r>
              <w:rPr>
                <w:rFonts w:ascii="Arial" w:cs="Arial" w:eastAsia="Arial" w:hAnsi="Arial"/>
                <w:sz w:val="16"/>
                <w:szCs w:val="16"/>
                <w:b w:val="1"/>
                <w:bCs w:val="1"/>
                <w:color w:val="auto"/>
                <w:w w:val="96"/>
              </w:rPr>
              <w:t>(Zip Code)</w:t>
            </w:r>
          </w:p>
        </w:tc>
      </w:tr>
      <w:tr>
        <w:trPr>
          <w:trHeight w:val="210"/>
        </w:trPr>
        <w:tc>
          <w:tcPr>
            <w:tcW w:w="2860" w:type="dxa"/>
            <w:vAlign w:val="bottom"/>
          </w:tcPr>
          <w:p>
            <w:pPr>
              <w:jc w:val="center"/>
              <w:ind w:left="499"/>
              <w:spacing w:after="0"/>
              <w:rPr>
                <w:sz w:val="20"/>
                <w:szCs w:val="20"/>
                <w:color w:val="auto"/>
              </w:rPr>
            </w:pPr>
            <w:r>
              <w:rPr>
                <w:rFonts w:ascii="Arial" w:cs="Arial" w:eastAsia="Arial" w:hAnsi="Arial"/>
                <w:sz w:val="16"/>
                <w:szCs w:val="16"/>
                <w:b w:val="1"/>
                <w:bCs w:val="1"/>
                <w:color w:val="auto"/>
                <w:w w:val="89"/>
              </w:rPr>
              <w:t>Executive Offices</w:t>
            </w: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393"/>
        </w:trPr>
        <w:tc>
          <w:tcPr>
            <w:tcW w:w="2860" w:type="dxa"/>
            <w:vAlign w:val="bottom"/>
          </w:tcPr>
          <w:p>
            <w:pPr>
              <w:spacing w:after="0"/>
              <w:rPr>
                <w:sz w:val="24"/>
                <w:szCs w:val="24"/>
                <w:color w:val="auto"/>
              </w:rPr>
            </w:pPr>
          </w:p>
        </w:tc>
        <w:tc>
          <w:tcPr>
            <w:tcW w:w="3560" w:type="dxa"/>
            <w:vAlign w:val="bottom"/>
            <w:gridSpan w:val="3"/>
          </w:tcPr>
          <w:p>
            <w:pPr>
              <w:jc w:val="center"/>
              <w:ind w:left="2059"/>
              <w:spacing w:after="0"/>
              <w:rPr>
                <w:sz w:val="20"/>
                <w:szCs w:val="20"/>
                <w:color w:val="auto"/>
              </w:rPr>
            </w:pPr>
            <w:r>
              <w:rPr>
                <w:rFonts w:ascii="Arial" w:cs="Arial" w:eastAsia="Arial" w:hAnsi="Arial"/>
                <w:sz w:val="16"/>
                <w:szCs w:val="16"/>
                <w:b w:val="1"/>
                <w:bCs w:val="1"/>
                <w:color w:val="auto"/>
                <w:w w:val="93"/>
              </w:rPr>
              <w:t>(706) 781-2265</w:t>
            </w:r>
          </w:p>
        </w:tc>
        <w:tc>
          <w:tcPr>
            <w:tcW w:w="1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0"/>
        </w:trPr>
        <w:tc>
          <w:tcPr>
            <w:tcW w:w="28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(Telephone Number)</w:t>
            </w:r>
          </w:p>
        </w:tc>
        <w:tc>
          <w:tcPr>
            <w:tcW w:w="5020" w:type="dxa"/>
            <w:vAlign w:val="bottom"/>
            <w:gridSpan w:val="3"/>
          </w:tcPr>
          <w:p>
            <w:pPr>
              <w:spacing w:after="0"/>
              <w:rPr>
                <w:sz w:val="18"/>
                <w:szCs w:val="18"/>
                <w:color w:val="auto"/>
              </w:rPr>
            </w:pPr>
          </w:p>
        </w:tc>
      </w:tr>
    </w:tbl>
    <w:p>
      <w:pPr>
        <w:spacing w:after="0" w:line="161" w:lineRule="exact"/>
        <w:rPr>
          <w:sz w:val="24"/>
          <w:szCs w:val="24"/>
          <w:color w:val="auto"/>
        </w:rPr>
      </w:pPr>
    </w:p>
    <w:p>
      <w:pPr>
        <w:jc w:val="both"/>
        <w:spacing w:after="0" w:line="270" w:lineRule="auto"/>
        <w:rPr>
          <w:sz w:val="20"/>
          <w:szCs w:val="20"/>
          <w:color w:val="auto"/>
        </w:rPr>
      </w:pPr>
      <w:r>
        <w:rPr>
          <w:rFonts w:ascii="Arial" w:cs="Arial" w:eastAsia="Arial" w:hAnsi="Arial"/>
          <w:sz w:val="16"/>
          <w:szCs w:val="16"/>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YES x NO o</w:t>
      </w:r>
    </w:p>
    <w:p>
      <w:pPr>
        <w:spacing w:after="0" w:line="204" w:lineRule="exact"/>
        <w:rPr>
          <w:sz w:val="24"/>
          <w:szCs w:val="24"/>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YES x NO o</w:t>
      </w:r>
    </w:p>
    <w:p>
      <w:pPr>
        <w:spacing w:after="0" w:line="204" w:lineRule="exact"/>
        <w:rPr>
          <w:sz w:val="24"/>
          <w:szCs w:val="24"/>
          <w:color w:val="auto"/>
        </w:rPr>
      </w:pPr>
    </w:p>
    <w:p>
      <w:pPr>
        <w:jc w:val="both"/>
        <w:ind w:right="20"/>
        <w:spacing w:after="0" w:line="287" w:lineRule="auto"/>
        <w:rPr>
          <w:sz w:val="20"/>
          <w:szCs w:val="20"/>
          <w:color w:val="auto"/>
        </w:rPr>
      </w:pPr>
      <w:r>
        <w:rPr>
          <w:rFonts w:ascii="Arial" w:cs="Arial" w:eastAsia="Arial" w:hAnsi="Arial"/>
          <w:sz w:val="16"/>
          <w:szCs w:val="16"/>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40"/>
          </w:cols>
          <w:pgMar w:left="240" w:top="293" w:right="219" w:bottom="1440" w:gutter="0" w:footer="0" w:header="0"/>
        </w:sectPr>
      </w:pPr>
    </w:p>
    <w:p>
      <w:pPr>
        <w:spacing w:after="0" w:line="14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Large accelerated filer x</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Accelerated filer o</w:t>
      </w:r>
    </w:p>
    <w:p>
      <w:pPr>
        <w:spacing w:after="0" w:line="200" w:lineRule="exact"/>
        <w:rPr>
          <w:sz w:val="24"/>
          <w:szCs w:val="24"/>
          <w:color w:val="auto"/>
        </w:rPr>
      </w:pPr>
    </w:p>
    <w:p>
      <w:pPr>
        <w:sectPr>
          <w:pgSz w:w="11900" w:h="16838" w:orient="portrait"/>
          <w:cols w:equalWidth="0" w:num="2">
            <w:col w:w="9440" w:space="720"/>
            <w:col w:w="1280"/>
          </w:cols>
          <w:pgMar w:left="240" w:top="293" w:right="21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Smaller Reporting Company o</w:t>
      </w:r>
    </w:p>
    <w:p>
      <w:pPr>
        <w:spacing w:after="0" w:line="200" w:lineRule="exact"/>
        <w:rPr>
          <w:sz w:val="24"/>
          <w:szCs w:val="24"/>
          <w:color w:val="auto"/>
        </w:rPr>
      </w:pPr>
    </w:p>
    <w:p>
      <w:pPr>
        <w:sectPr>
          <w:pgSz w:w="11900" w:h="16838" w:orient="portrait"/>
          <w:cols w:equalWidth="0" w:num="2">
            <w:col w:w="8600" w:space="720"/>
            <w:col w:w="2120"/>
          </w:cols>
          <w:pgMar w:left="240" w:top="293" w:right="219" w:bottom="1440" w:gutter="0" w:footer="0" w:header="0"/>
          <w:type w:val="continuous"/>
        </w:sectPr>
      </w:pP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Indicate by check mark whether the registrant is a shell company (as defined in Rule 12b-2 of the Act).</w:t>
      </w:r>
    </w:p>
    <w:p>
      <w:pPr>
        <w:spacing w:after="0" w:line="2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YES o NO x</w:t>
      </w:r>
    </w:p>
    <w:p>
      <w:pPr>
        <w:sectPr>
          <w:pgSz w:w="11900" w:h="16838" w:orient="portrait"/>
          <w:cols w:equalWidth="0" w:num="1">
            <w:col w:w="11440"/>
          </w:cols>
          <w:pgMar w:left="240" w:top="293" w:right="219"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Common stock, par value $1 per share 50,172,042 shares voting and 10,080,787 shares non-voting outstanding as of October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293370</wp:posOffset>
            </wp:positionV>
            <wp:extent cx="72605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293" w:right="2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b w:val="1"/>
          <w:bCs w:val="1"/>
          <w:color w:val="auto"/>
        </w:rPr>
        <w:t>INDEX</w:t>
      </w:r>
    </w:p>
    <w:p>
      <w:pPr>
        <w:spacing w:after="0" w:line="204"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
        <w:r>
          <w:rPr>
            <w:rFonts w:ascii="Arial" w:cs="Arial" w:eastAsia="Arial" w:hAnsi="Arial"/>
            <w:sz w:val="16"/>
            <w:szCs w:val="16"/>
            <w:b w:val="1"/>
            <w:bCs w:val="1"/>
            <w:u w:val="single" w:color="auto"/>
            <w:color w:val="0000EE"/>
          </w:rPr>
          <w:t>PART I - Financial Information</w:t>
        </w:r>
      </w:hyperlink>
    </w:p>
    <w:p>
      <w:pPr>
        <w:spacing w:after="0" w:line="194" w:lineRule="exact"/>
        <w:rPr>
          <w:sz w:val="20"/>
          <w:szCs w:val="20"/>
          <w:color w:val="auto"/>
        </w:rPr>
      </w:pPr>
    </w:p>
    <w:tbl>
      <w:tblPr>
        <w:tblLayout w:type="fixed"/>
        <w:tblInd w:w="800" w:type="dxa"/>
        <w:tblCellMar>
          <w:top w:w="0" w:type="dxa"/>
          <w:left w:w="0" w:type="dxa"/>
          <w:bottom w:w="0" w:type="dxa"/>
          <w:right w:w="0" w:type="dxa"/>
        </w:tblCellMar>
      </w:tblPr>
      <w:tr>
        <w:trPr>
          <w:trHeight w:val="184"/>
        </w:trPr>
        <w:tc>
          <w:tcPr>
            <w:tcW w:w="500" w:type="dxa"/>
            <w:vAlign w:val="bottom"/>
            <w:tcBorders>
              <w:bottom w:val="single" w:sz="8" w:color="0000EE"/>
            </w:tcBorders>
          </w:tcPr>
          <w:p>
            <w:pPr>
              <w:spacing w:after="0"/>
              <w:rPr>
                <w:rFonts w:ascii="Arial" w:cs="Arial" w:eastAsia="Arial" w:hAnsi="Arial"/>
                <w:sz w:val="16"/>
                <w:szCs w:val="16"/>
                <w:b w:val="1"/>
                <w:bCs w:val="1"/>
                <w:color w:val="0000EE"/>
                <w:w w:val="94"/>
              </w:rPr>
            </w:pPr>
            <w:hyperlink w:anchor="page3">
              <w:r>
                <w:rPr>
                  <w:rFonts w:ascii="Arial" w:cs="Arial" w:eastAsia="Arial" w:hAnsi="Arial"/>
                  <w:sz w:val="16"/>
                  <w:szCs w:val="16"/>
                  <w:b w:val="1"/>
                  <w:bCs w:val="1"/>
                  <w:color w:val="0000EE"/>
                  <w:w w:val="94"/>
                </w:rPr>
                <w:t>Item 1.</w:t>
              </w:r>
            </w:hyperlink>
          </w:p>
        </w:tc>
        <w:tc>
          <w:tcPr>
            <w:tcW w:w="320" w:type="dxa"/>
            <w:vAlign w:val="bottom"/>
          </w:tcPr>
          <w:p>
            <w:pPr>
              <w:spacing w:after="0"/>
              <w:rPr>
                <w:sz w:val="16"/>
                <w:szCs w:val="16"/>
                <w:color w:val="auto"/>
              </w:rPr>
            </w:pPr>
          </w:p>
        </w:tc>
        <w:tc>
          <w:tcPr>
            <w:tcW w:w="1500" w:type="dxa"/>
            <w:vAlign w:val="bottom"/>
            <w:tcBorders>
              <w:bottom w:val="single" w:sz="8" w:color="0000EE"/>
            </w:tcBorders>
          </w:tcPr>
          <w:p>
            <w:pPr>
              <w:spacing w:after="0"/>
              <w:rPr>
                <w:rFonts w:ascii="Arial" w:cs="Arial" w:eastAsia="Arial" w:hAnsi="Arial"/>
                <w:sz w:val="16"/>
                <w:szCs w:val="16"/>
                <w:b w:val="1"/>
                <w:bCs w:val="1"/>
                <w:color w:val="0000EE"/>
                <w:w w:val="89"/>
              </w:rPr>
            </w:pPr>
            <w:hyperlink w:anchor="page3">
              <w:r>
                <w:rPr>
                  <w:rFonts w:ascii="Arial" w:cs="Arial" w:eastAsia="Arial" w:hAnsi="Arial"/>
                  <w:sz w:val="16"/>
                  <w:szCs w:val="16"/>
                  <w:b w:val="1"/>
                  <w:bCs w:val="1"/>
                  <w:color w:val="0000EE"/>
                  <w:w w:val="89"/>
                </w:rPr>
                <w:t>Financial Statements.</w:t>
              </w:r>
            </w:hyperlink>
          </w:p>
        </w:tc>
        <w:tc>
          <w:tcPr>
            <w:tcW w:w="7860" w:type="dxa"/>
            <w:vAlign w:val="bottom"/>
            <w:gridSpan w:val="10"/>
          </w:tcPr>
          <w:p>
            <w:pPr>
              <w:spacing w:after="0"/>
              <w:rPr>
                <w:sz w:val="16"/>
                <w:szCs w:val="16"/>
                <w:color w:val="auto"/>
              </w:rPr>
            </w:pPr>
          </w:p>
        </w:tc>
        <w:tc>
          <w:tcPr>
            <w:tcW w:w="460" w:type="dxa"/>
            <w:vAlign w:val="bottom"/>
          </w:tcPr>
          <w:p>
            <w:pPr>
              <w:spacing w:after="0"/>
              <w:rPr>
                <w:sz w:val="16"/>
                <w:szCs w:val="16"/>
                <w:color w:val="auto"/>
              </w:rPr>
            </w:pPr>
          </w:p>
        </w:tc>
      </w:tr>
      <w:tr>
        <w:trPr>
          <w:trHeight w:val="368"/>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960" w:type="dxa"/>
            <w:vAlign w:val="bottom"/>
            <w:tcBorders>
              <w:bottom w:val="single" w:sz="8" w:color="0000EE"/>
            </w:tcBorders>
            <w:gridSpan w:val="8"/>
          </w:tcPr>
          <w:p>
            <w:pPr>
              <w:spacing w:after="0"/>
              <w:rPr>
                <w:rFonts w:ascii="Arial" w:cs="Arial" w:eastAsia="Arial" w:hAnsi="Arial"/>
                <w:sz w:val="16"/>
                <w:szCs w:val="16"/>
                <w:b w:val="1"/>
                <w:bCs w:val="1"/>
                <w:color w:val="0000EE"/>
                <w:w w:val="91"/>
              </w:rPr>
            </w:pPr>
            <w:hyperlink w:anchor="page3">
              <w:r>
                <w:rPr>
                  <w:rFonts w:ascii="Arial" w:cs="Arial" w:eastAsia="Arial" w:hAnsi="Arial"/>
                  <w:sz w:val="16"/>
                  <w:szCs w:val="16"/>
                  <w:b w:val="1"/>
                  <w:bCs w:val="1"/>
                  <w:color w:val="0000EE"/>
                  <w:w w:val="91"/>
                </w:rPr>
                <w:t>Consolidated Statement of Income (unaudited) for the Three and Nine Months Ended September 30, 2014 and 2013</w:t>
              </w:r>
            </w:hyperlink>
          </w:p>
        </w:tc>
        <w:tc>
          <w:tcPr>
            <w:tcW w:w="140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368"/>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80" w:type="dxa"/>
            <w:vAlign w:val="bottom"/>
            <w:tcBorders>
              <w:bottom w:val="single" w:sz="8" w:color="0000EE"/>
            </w:tcBorders>
            <w:gridSpan w:val="10"/>
          </w:tcPr>
          <w:p>
            <w:pPr>
              <w:spacing w:after="0"/>
              <w:rPr>
                <w:rFonts w:ascii="Arial" w:cs="Arial" w:eastAsia="Arial" w:hAnsi="Arial"/>
                <w:sz w:val="16"/>
                <w:szCs w:val="16"/>
                <w:b w:val="1"/>
                <w:bCs w:val="1"/>
                <w:color w:val="0000EE"/>
                <w:w w:val="91"/>
              </w:rPr>
            </w:pPr>
            <w:hyperlink w:anchor="page4">
              <w:r>
                <w:rPr>
                  <w:rFonts w:ascii="Arial" w:cs="Arial" w:eastAsia="Arial" w:hAnsi="Arial"/>
                  <w:sz w:val="16"/>
                  <w:szCs w:val="16"/>
                  <w:b w:val="1"/>
                  <w:bCs w:val="1"/>
                  <w:color w:val="0000EE"/>
                  <w:w w:val="91"/>
                </w:rPr>
                <w:t>Consolidated Statement of Comprehensive Income (unaudited) for the Three and Nine Months Ended September 30, 2014 and 2013</w:t>
              </w:r>
            </w:hyperlink>
          </w:p>
        </w:tc>
        <w:tc>
          <w:tcPr>
            <w:tcW w:w="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8"/>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Consolidated Balance Sheet (unaudited) at September 30, 2014, December 31, 2013 and September 30, 2013</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68"/>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980" w:type="dxa"/>
            <w:vAlign w:val="bottom"/>
            <w:tcBorders>
              <w:bottom w:val="single" w:sz="8" w:color="0000EE"/>
            </w:tcBorders>
            <w:gridSpan w:val="9"/>
          </w:tcPr>
          <w:p>
            <w:pPr>
              <w:spacing w:after="0"/>
              <w:rPr>
                <w:rFonts w:ascii="Arial" w:cs="Arial" w:eastAsia="Arial" w:hAnsi="Arial"/>
                <w:sz w:val="16"/>
                <w:szCs w:val="16"/>
                <w:b w:val="1"/>
                <w:bCs w:val="1"/>
                <w:color w:val="0000EE"/>
                <w:w w:val="91"/>
              </w:rPr>
            </w:pPr>
            <w:hyperlink w:anchor="page6">
              <w:r>
                <w:rPr>
                  <w:rFonts w:ascii="Arial" w:cs="Arial" w:eastAsia="Arial" w:hAnsi="Arial"/>
                  <w:sz w:val="16"/>
                  <w:szCs w:val="16"/>
                  <w:b w:val="1"/>
                  <w:bCs w:val="1"/>
                  <w:color w:val="0000EE"/>
                  <w:w w:val="91"/>
                </w:rPr>
                <w:t>Consolidated Statement of Changes in Shareholders’ Equity (unaudited) for the Nine Months Ended September 30, 2014 and 2013</w:t>
              </w:r>
            </w:hyperlink>
          </w:p>
        </w:tc>
        <w:tc>
          <w:tcPr>
            <w:tcW w:w="38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368"/>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360" w:type="dxa"/>
            <w:vAlign w:val="bottom"/>
            <w:gridSpan w:val="11"/>
          </w:tcPr>
          <w:p>
            <w:pPr>
              <w:spacing w:after="0"/>
              <w:rPr>
                <w:rFonts w:ascii="Arial" w:cs="Arial" w:eastAsia="Arial" w:hAnsi="Arial"/>
                <w:sz w:val="16"/>
                <w:szCs w:val="16"/>
                <w:b w:val="1"/>
                <w:bCs w:val="1"/>
                <w:color w:val="0000EE"/>
              </w:rPr>
            </w:pPr>
            <w:hyperlink w:anchor="page7">
              <w:r>
                <w:rPr>
                  <w:rFonts w:ascii="Arial" w:cs="Arial" w:eastAsia="Arial" w:hAnsi="Arial"/>
                  <w:sz w:val="16"/>
                  <w:szCs w:val="16"/>
                  <w:b w:val="1"/>
                  <w:bCs w:val="1"/>
                  <w:color w:val="0000EE"/>
                </w:rPr>
                <w:t>Consolidated Statement of Cash Flows (unaudited) for the Nine Months Ended September 30, 2014 and 2013</w:t>
              </w:r>
            </w:hyperlink>
          </w:p>
        </w:tc>
        <w:tc>
          <w:tcPr>
            <w:tcW w:w="4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68"/>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tcBorders>
              <w:top w:val="single" w:sz="8" w:color="0000EE"/>
            </w:tcBorders>
            <w:gridSpan w:val="7"/>
          </w:tcPr>
          <w:p>
            <w:pPr>
              <w:spacing w:after="0"/>
              <w:rPr>
                <w:rFonts w:ascii="Arial" w:cs="Arial" w:eastAsia="Arial" w:hAnsi="Arial"/>
                <w:sz w:val="16"/>
                <w:szCs w:val="16"/>
                <w:b w:val="1"/>
                <w:bCs w:val="1"/>
                <w:color w:val="0000EE"/>
              </w:rPr>
            </w:pPr>
            <w:hyperlink w:anchor="page8">
              <w:r>
                <w:rPr>
                  <w:rFonts w:ascii="Arial" w:cs="Arial" w:eastAsia="Arial" w:hAnsi="Arial"/>
                  <w:sz w:val="16"/>
                  <w:szCs w:val="16"/>
                  <w:b w:val="1"/>
                  <w:bCs w:val="1"/>
                  <w:color w:val="0000EE"/>
                </w:rPr>
                <w:t>Notes to Consolidated Financial Statements</w:t>
              </w:r>
            </w:hyperlink>
          </w:p>
        </w:tc>
        <w:tc>
          <w:tcPr>
            <w:tcW w:w="1880" w:type="dxa"/>
            <w:vAlign w:val="bottom"/>
            <w:gridSpan w:val="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18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68"/>
        </w:trPr>
        <w:tc>
          <w:tcPr>
            <w:tcW w:w="500" w:type="dxa"/>
            <w:vAlign w:val="bottom"/>
            <w:tcBorders>
              <w:bottom w:val="single" w:sz="8" w:color="0000EE"/>
            </w:tcBorders>
          </w:tcPr>
          <w:p>
            <w:pPr>
              <w:spacing w:after="0"/>
              <w:rPr>
                <w:rFonts w:ascii="Arial" w:cs="Arial" w:eastAsia="Arial" w:hAnsi="Arial"/>
                <w:sz w:val="16"/>
                <w:szCs w:val="16"/>
                <w:b w:val="1"/>
                <w:bCs w:val="1"/>
                <w:color w:val="0000EE"/>
                <w:w w:val="94"/>
              </w:rPr>
            </w:pPr>
            <w:hyperlink w:anchor="page42">
              <w:r>
                <w:rPr>
                  <w:rFonts w:ascii="Arial" w:cs="Arial" w:eastAsia="Arial" w:hAnsi="Arial"/>
                  <w:sz w:val="16"/>
                  <w:szCs w:val="16"/>
                  <w:b w:val="1"/>
                  <w:bCs w:val="1"/>
                  <w:color w:val="0000EE"/>
                  <w:w w:val="94"/>
                </w:rPr>
                <w:t>Item 2.</w:t>
              </w:r>
            </w:hyperlink>
          </w:p>
        </w:tc>
        <w:tc>
          <w:tcPr>
            <w:tcW w:w="320" w:type="dxa"/>
            <w:vAlign w:val="bottom"/>
          </w:tcPr>
          <w:p>
            <w:pPr>
              <w:spacing w:after="0"/>
              <w:rPr>
                <w:sz w:val="24"/>
                <w:szCs w:val="24"/>
                <w:color w:val="auto"/>
              </w:rPr>
            </w:pPr>
          </w:p>
        </w:tc>
        <w:tc>
          <w:tcPr>
            <w:tcW w:w="6180" w:type="dxa"/>
            <w:vAlign w:val="bottom"/>
            <w:tcBorders>
              <w:bottom w:val="single" w:sz="8" w:color="0000EE"/>
            </w:tcBorders>
            <w:gridSpan w:val="5"/>
          </w:tcPr>
          <w:p>
            <w:pPr>
              <w:spacing w:after="0"/>
              <w:rPr>
                <w:rFonts w:ascii="Arial" w:cs="Arial" w:eastAsia="Arial" w:hAnsi="Arial"/>
                <w:sz w:val="16"/>
                <w:szCs w:val="16"/>
                <w:b w:val="1"/>
                <w:bCs w:val="1"/>
                <w:color w:val="0000EE"/>
                <w:w w:val="89"/>
              </w:rPr>
            </w:pPr>
            <w:hyperlink w:anchor="page42">
              <w:r>
                <w:rPr>
                  <w:rFonts w:ascii="Arial" w:cs="Arial" w:eastAsia="Arial" w:hAnsi="Arial"/>
                  <w:sz w:val="16"/>
                  <w:szCs w:val="16"/>
                  <w:b w:val="1"/>
                  <w:bCs w:val="1"/>
                  <w:color w:val="0000EE"/>
                  <w:w w:val="89"/>
                </w:rPr>
                <w:t>Management’s Discussion and Analysis of Financial Condition and Results of Operations.</w:t>
              </w:r>
            </w:hyperlink>
          </w:p>
        </w:tc>
        <w:tc>
          <w:tcPr>
            <w:tcW w:w="318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42</w:t>
            </w:r>
          </w:p>
        </w:tc>
      </w:tr>
      <w:tr>
        <w:trPr>
          <w:trHeight w:val="368"/>
        </w:trPr>
        <w:tc>
          <w:tcPr>
            <w:tcW w:w="500" w:type="dxa"/>
            <w:vAlign w:val="bottom"/>
            <w:tcBorders>
              <w:bottom w:val="single" w:sz="8" w:color="0000EE"/>
            </w:tcBorders>
          </w:tcPr>
          <w:p>
            <w:pPr>
              <w:spacing w:after="0"/>
              <w:rPr>
                <w:rFonts w:ascii="Arial" w:cs="Arial" w:eastAsia="Arial" w:hAnsi="Arial"/>
                <w:sz w:val="16"/>
                <w:szCs w:val="16"/>
                <w:b w:val="1"/>
                <w:bCs w:val="1"/>
                <w:color w:val="0000EE"/>
                <w:w w:val="94"/>
              </w:rPr>
            </w:pPr>
            <w:hyperlink w:anchor="page66">
              <w:r>
                <w:rPr>
                  <w:rFonts w:ascii="Arial" w:cs="Arial" w:eastAsia="Arial" w:hAnsi="Arial"/>
                  <w:sz w:val="16"/>
                  <w:szCs w:val="16"/>
                  <w:b w:val="1"/>
                  <w:bCs w:val="1"/>
                  <w:color w:val="0000EE"/>
                  <w:w w:val="94"/>
                </w:rPr>
                <w:t>Item 3.</w:t>
              </w:r>
            </w:hyperlink>
          </w:p>
        </w:tc>
        <w:tc>
          <w:tcPr>
            <w:tcW w:w="320" w:type="dxa"/>
            <w:vAlign w:val="bottom"/>
          </w:tcPr>
          <w:p>
            <w:pPr>
              <w:spacing w:after="0"/>
              <w:rPr>
                <w:sz w:val="24"/>
                <w:szCs w:val="24"/>
                <w:color w:val="auto"/>
              </w:rPr>
            </w:pPr>
          </w:p>
        </w:tc>
        <w:tc>
          <w:tcPr>
            <w:tcW w:w="4240" w:type="dxa"/>
            <w:vAlign w:val="bottom"/>
            <w:tcBorders>
              <w:bottom w:val="single" w:sz="8" w:color="0000EE"/>
            </w:tcBorders>
            <w:gridSpan w:val="4"/>
          </w:tcPr>
          <w:p>
            <w:pPr>
              <w:spacing w:after="0"/>
              <w:rPr>
                <w:rFonts w:ascii="Arial" w:cs="Arial" w:eastAsia="Arial" w:hAnsi="Arial"/>
                <w:sz w:val="16"/>
                <w:szCs w:val="16"/>
                <w:b w:val="1"/>
                <w:bCs w:val="1"/>
                <w:color w:val="0000EE"/>
                <w:w w:val="92"/>
              </w:rPr>
            </w:pPr>
            <w:hyperlink w:anchor="page66">
              <w:r>
                <w:rPr>
                  <w:rFonts w:ascii="Arial" w:cs="Arial" w:eastAsia="Arial" w:hAnsi="Arial"/>
                  <w:sz w:val="16"/>
                  <w:szCs w:val="16"/>
                  <w:b w:val="1"/>
                  <w:bCs w:val="1"/>
                  <w:color w:val="0000EE"/>
                  <w:w w:val="92"/>
                </w:rPr>
                <w:t>Quantitative and Qualitative Disclosures About Market Risk.</w:t>
              </w:r>
            </w:hyperlink>
          </w:p>
        </w:tc>
        <w:tc>
          <w:tcPr>
            <w:tcW w:w="512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68"/>
        </w:trPr>
        <w:tc>
          <w:tcPr>
            <w:tcW w:w="500" w:type="dxa"/>
            <w:vAlign w:val="bottom"/>
            <w:tcBorders>
              <w:bottom w:val="single" w:sz="8" w:color="0000EE"/>
            </w:tcBorders>
          </w:tcPr>
          <w:p>
            <w:pPr>
              <w:spacing w:after="0"/>
              <w:rPr>
                <w:rFonts w:ascii="Arial" w:cs="Arial" w:eastAsia="Arial" w:hAnsi="Arial"/>
                <w:sz w:val="16"/>
                <w:szCs w:val="16"/>
                <w:b w:val="1"/>
                <w:bCs w:val="1"/>
                <w:color w:val="0000EE"/>
                <w:w w:val="94"/>
              </w:rPr>
            </w:pPr>
            <w:hyperlink w:anchor="page66">
              <w:r>
                <w:rPr>
                  <w:rFonts w:ascii="Arial" w:cs="Arial" w:eastAsia="Arial" w:hAnsi="Arial"/>
                  <w:sz w:val="16"/>
                  <w:szCs w:val="16"/>
                  <w:b w:val="1"/>
                  <w:bCs w:val="1"/>
                  <w:color w:val="0000EE"/>
                  <w:w w:val="94"/>
                </w:rPr>
                <w:t>Item 4.</w:t>
              </w:r>
            </w:hyperlink>
          </w:p>
        </w:tc>
        <w:tc>
          <w:tcPr>
            <w:tcW w:w="320" w:type="dxa"/>
            <w:vAlign w:val="bottom"/>
          </w:tcPr>
          <w:p>
            <w:pPr>
              <w:spacing w:after="0"/>
              <w:rPr>
                <w:sz w:val="24"/>
                <w:szCs w:val="24"/>
                <w:color w:val="auto"/>
              </w:rPr>
            </w:pPr>
          </w:p>
        </w:tc>
        <w:tc>
          <w:tcPr>
            <w:tcW w:w="1760" w:type="dxa"/>
            <w:vAlign w:val="bottom"/>
            <w:tcBorders>
              <w:bottom w:val="single" w:sz="8" w:color="0000EE"/>
            </w:tcBorders>
            <w:gridSpan w:val="2"/>
          </w:tcPr>
          <w:p>
            <w:pPr>
              <w:spacing w:after="0"/>
              <w:rPr>
                <w:rFonts w:ascii="Arial" w:cs="Arial" w:eastAsia="Arial" w:hAnsi="Arial"/>
                <w:sz w:val="16"/>
                <w:szCs w:val="16"/>
                <w:b w:val="1"/>
                <w:bCs w:val="1"/>
                <w:color w:val="0000EE"/>
                <w:w w:val="88"/>
              </w:rPr>
            </w:pPr>
            <w:hyperlink w:anchor="page66">
              <w:r>
                <w:rPr>
                  <w:rFonts w:ascii="Arial" w:cs="Arial" w:eastAsia="Arial" w:hAnsi="Arial"/>
                  <w:sz w:val="16"/>
                  <w:szCs w:val="16"/>
                  <w:b w:val="1"/>
                  <w:bCs w:val="1"/>
                  <w:color w:val="0000EE"/>
                  <w:w w:val="88"/>
                </w:rPr>
                <w:t>Controls and Procedures.</w:t>
              </w:r>
            </w:hyperlink>
          </w:p>
        </w:tc>
        <w:tc>
          <w:tcPr>
            <w:tcW w:w="7600" w:type="dxa"/>
            <w:vAlign w:val="bottom"/>
            <w:gridSpan w:val="9"/>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66</w:t>
            </w:r>
          </w:p>
        </w:tc>
      </w:tr>
    </w:tbl>
    <w:p>
      <w:pPr>
        <w:spacing w:after="0" w:line="202" w:lineRule="exact"/>
        <w:rPr>
          <w:sz w:val="20"/>
          <w:szCs w:val="20"/>
          <w:color w:val="auto"/>
        </w:rPr>
      </w:pPr>
    </w:p>
    <w:p>
      <w:pPr>
        <w:spacing w:after="0"/>
        <w:rPr>
          <w:rFonts w:ascii="Arial" w:cs="Arial" w:eastAsia="Arial" w:hAnsi="Arial"/>
          <w:sz w:val="16"/>
          <w:szCs w:val="16"/>
          <w:b w:val="1"/>
          <w:bCs w:val="1"/>
          <w:u w:val="single" w:color="auto"/>
          <w:color w:val="0000EE"/>
        </w:rPr>
      </w:pPr>
      <w:hyperlink w:anchor="page67">
        <w:r>
          <w:rPr>
            <w:rFonts w:ascii="Arial" w:cs="Arial" w:eastAsia="Arial" w:hAnsi="Arial"/>
            <w:sz w:val="16"/>
            <w:szCs w:val="16"/>
            <w:b w:val="1"/>
            <w:bCs w:val="1"/>
            <w:u w:val="single" w:color="auto"/>
            <w:color w:val="0000EE"/>
          </w:rPr>
          <w:t>PART II - Other Information</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500" w:type="dxa"/>
            <w:vAlign w:val="bottom"/>
          </w:tcPr>
          <w:p>
            <w:pPr>
              <w:spacing w:after="0"/>
              <w:rPr>
                <w:rFonts w:ascii="Arial" w:cs="Arial" w:eastAsia="Arial" w:hAnsi="Arial"/>
                <w:sz w:val="16"/>
                <w:szCs w:val="16"/>
                <w:b w:val="1"/>
                <w:bCs w:val="1"/>
                <w:color w:val="0000EE"/>
                <w:w w:val="94"/>
              </w:rPr>
            </w:pPr>
            <w:hyperlink w:anchor="page67">
              <w:r>
                <w:rPr>
                  <w:rFonts w:ascii="Arial" w:cs="Arial" w:eastAsia="Arial" w:hAnsi="Arial"/>
                  <w:sz w:val="16"/>
                  <w:szCs w:val="16"/>
                  <w:b w:val="1"/>
                  <w:bCs w:val="1"/>
                  <w:color w:val="0000EE"/>
                  <w:w w:val="94"/>
                </w:rPr>
                <w:t>Item 1.</w:t>
              </w:r>
            </w:hyperlink>
          </w:p>
        </w:tc>
        <w:tc>
          <w:tcPr>
            <w:tcW w:w="320" w:type="dxa"/>
            <w:vAlign w:val="bottom"/>
            <w:gridSpan w:val="2"/>
          </w:tcPr>
          <w:p>
            <w:pPr>
              <w:spacing w:after="0"/>
              <w:rPr>
                <w:sz w:val="16"/>
                <w:szCs w:val="16"/>
                <w:color w:val="auto"/>
              </w:rPr>
            </w:pPr>
          </w:p>
        </w:tc>
        <w:tc>
          <w:tcPr>
            <w:tcW w:w="6900" w:type="dxa"/>
            <w:vAlign w:val="bottom"/>
            <w:gridSpan w:val="8"/>
          </w:tcPr>
          <w:p>
            <w:pPr>
              <w:spacing w:after="0"/>
              <w:rPr>
                <w:rFonts w:ascii="Arial" w:cs="Arial" w:eastAsia="Arial" w:hAnsi="Arial"/>
                <w:sz w:val="16"/>
                <w:szCs w:val="16"/>
                <w:b w:val="1"/>
                <w:bCs w:val="1"/>
                <w:color w:val="0000EE"/>
              </w:rPr>
            </w:pPr>
            <w:hyperlink w:anchor="page67">
              <w:r>
                <w:rPr>
                  <w:rFonts w:ascii="Arial" w:cs="Arial" w:eastAsia="Arial" w:hAnsi="Arial"/>
                  <w:sz w:val="16"/>
                  <w:szCs w:val="16"/>
                  <w:b w:val="1"/>
                  <w:bCs w:val="1"/>
                  <w:color w:val="0000EE"/>
                </w:rPr>
                <w:t>Legal Proceedings.</w:t>
              </w:r>
            </w:hyperlink>
          </w:p>
        </w:tc>
        <w:tc>
          <w:tcPr>
            <w:tcW w:w="292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0"/>
        </w:trPr>
        <w:tc>
          <w:tcPr>
            <w:tcW w:w="80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74"/>
        </w:trPr>
        <w:tc>
          <w:tcPr>
            <w:tcW w:w="800" w:type="dxa"/>
            <w:vAlign w:val="bottom"/>
          </w:tcPr>
          <w:p>
            <w:pPr>
              <w:spacing w:after="0"/>
              <w:rPr>
                <w:sz w:val="15"/>
                <w:szCs w:val="15"/>
                <w:color w:val="auto"/>
              </w:rPr>
            </w:pPr>
          </w:p>
        </w:tc>
        <w:tc>
          <w:tcPr>
            <w:tcW w:w="620" w:type="dxa"/>
            <w:vAlign w:val="bottom"/>
            <w:tcBorders>
              <w:bottom w:val="single" w:sz="8" w:color="0000EE"/>
            </w:tcBorders>
            <w:gridSpan w:val="2"/>
          </w:tcPr>
          <w:p>
            <w:pPr>
              <w:spacing w:after="0" w:line="174" w:lineRule="exact"/>
              <w:rPr>
                <w:rFonts w:ascii="Arial" w:cs="Arial" w:eastAsia="Arial" w:hAnsi="Arial"/>
                <w:sz w:val="16"/>
                <w:szCs w:val="16"/>
                <w:b w:val="1"/>
                <w:bCs w:val="1"/>
                <w:color w:val="0000EE"/>
                <w:w w:val="96"/>
              </w:rPr>
            </w:pPr>
            <w:hyperlink w:anchor="page67">
              <w:r>
                <w:rPr>
                  <w:rFonts w:ascii="Arial" w:cs="Arial" w:eastAsia="Arial" w:hAnsi="Arial"/>
                  <w:sz w:val="16"/>
                  <w:szCs w:val="16"/>
                  <w:b w:val="1"/>
                  <w:bCs w:val="1"/>
                  <w:color w:val="0000EE"/>
                  <w:w w:val="96"/>
                </w:rPr>
                <w:t>Item 1A.</w:t>
              </w:r>
            </w:hyperlink>
          </w:p>
        </w:tc>
        <w:tc>
          <w:tcPr>
            <w:tcW w:w="200" w:type="dxa"/>
            <w:vAlign w:val="bottom"/>
          </w:tcPr>
          <w:p>
            <w:pPr>
              <w:spacing w:after="0"/>
              <w:rPr>
                <w:sz w:val="15"/>
                <w:szCs w:val="15"/>
                <w:color w:val="auto"/>
              </w:rPr>
            </w:pPr>
          </w:p>
        </w:tc>
        <w:tc>
          <w:tcPr>
            <w:tcW w:w="920" w:type="dxa"/>
            <w:vAlign w:val="bottom"/>
            <w:tcBorders>
              <w:bottom w:val="single" w:sz="8" w:color="0000EE"/>
            </w:tcBorders>
            <w:gridSpan w:val="2"/>
          </w:tcPr>
          <w:p>
            <w:pPr>
              <w:spacing w:after="0" w:line="174" w:lineRule="exact"/>
              <w:rPr>
                <w:rFonts w:ascii="Arial" w:cs="Arial" w:eastAsia="Arial" w:hAnsi="Arial"/>
                <w:sz w:val="16"/>
                <w:szCs w:val="16"/>
                <w:b w:val="1"/>
                <w:bCs w:val="1"/>
                <w:color w:val="0000EE"/>
                <w:w w:val="89"/>
              </w:rPr>
            </w:pPr>
            <w:hyperlink w:anchor="page67">
              <w:r>
                <w:rPr>
                  <w:rFonts w:ascii="Arial" w:cs="Arial" w:eastAsia="Arial" w:hAnsi="Arial"/>
                  <w:sz w:val="16"/>
                  <w:szCs w:val="16"/>
                  <w:b w:val="1"/>
                  <w:bCs w:val="1"/>
                  <w:color w:val="0000EE"/>
                  <w:w w:val="89"/>
                </w:rPr>
                <w:t>Risk Factors.</w:t>
              </w:r>
            </w:hyperlink>
          </w:p>
        </w:tc>
        <w:tc>
          <w:tcPr>
            <w:tcW w:w="5980" w:type="dxa"/>
            <w:vAlign w:val="bottom"/>
            <w:gridSpan w:val="6"/>
          </w:tcPr>
          <w:p>
            <w:pPr>
              <w:spacing w:after="0"/>
              <w:rPr>
                <w:sz w:val="15"/>
                <w:szCs w:val="15"/>
                <w:color w:val="auto"/>
              </w:rPr>
            </w:pPr>
          </w:p>
        </w:tc>
        <w:tc>
          <w:tcPr>
            <w:tcW w:w="2920" w:type="dxa"/>
            <w:vAlign w:val="bottom"/>
          </w:tcPr>
          <w:p>
            <w:pPr>
              <w:jc w:val="right"/>
              <w:spacing w:after="0" w:line="174" w:lineRule="exact"/>
              <w:rPr>
                <w:sz w:val="20"/>
                <w:szCs w:val="20"/>
                <w:color w:val="auto"/>
              </w:rPr>
            </w:pPr>
            <w:r>
              <w:rPr>
                <w:rFonts w:ascii="Arial" w:cs="Arial" w:eastAsia="Arial" w:hAnsi="Arial"/>
                <w:sz w:val="16"/>
                <w:szCs w:val="16"/>
                <w:color w:val="auto"/>
              </w:rPr>
              <w:t>67</w:t>
            </w:r>
          </w:p>
        </w:tc>
      </w:tr>
      <w:tr>
        <w:trPr>
          <w:trHeight w:val="174"/>
        </w:trPr>
        <w:tc>
          <w:tcPr>
            <w:tcW w:w="800" w:type="dxa"/>
            <w:vAlign w:val="bottom"/>
          </w:tcPr>
          <w:p>
            <w:pPr>
              <w:spacing w:after="0"/>
              <w:rPr>
                <w:sz w:val="15"/>
                <w:szCs w:val="15"/>
                <w:color w:val="auto"/>
              </w:rPr>
            </w:pPr>
          </w:p>
        </w:tc>
        <w:tc>
          <w:tcPr>
            <w:tcW w:w="500" w:type="dxa"/>
            <w:vAlign w:val="bottom"/>
          </w:tcPr>
          <w:p>
            <w:pPr>
              <w:spacing w:after="0" w:line="174" w:lineRule="exact"/>
              <w:rPr>
                <w:rFonts w:ascii="Arial" w:cs="Arial" w:eastAsia="Arial" w:hAnsi="Arial"/>
                <w:sz w:val="16"/>
                <w:szCs w:val="16"/>
                <w:b w:val="1"/>
                <w:bCs w:val="1"/>
                <w:color w:val="0000EE"/>
                <w:w w:val="94"/>
              </w:rPr>
            </w:pPr>
            <w:hyperlink w:anchor="page67">
              <w:r>
                <w:rPr>
                  <w:rFonts w:ascii="Arial" w:cs="Arial" w:eastAsia="Arial" w:hAnsi="Arial"/>
                  <w:sz w:val="16"/>
                  <w:szCs w:val="16"/>
                  <w:b w:val="1"/>
                  <w:bCs w:val="1"/>
                  <w:color w:val="0000EE"/>
                  <w:w w:val="94"/>
                </w:rPr>
                <w:t>Item 2.</w:t>
              </w:r>
            </w:hyperlink>
          </w:p>
        </w:tc>
        <w:tc>
          <w:tcPr>
            <w:tcW w:w="320" w:type="dxa"/>
            <w:vAlign w:val="bottom"/>
            <w:gridSpan w:val="2"/>
          </w:tcPr>
          <w:p>
            <w:pPr>
              <w:spacing w:after="0"/>
              <w:rPr>
                <w:sz w:val="15"/>
                <w:szCs w:val="15"/>
                <w:color w:val="auto"/>
              </w:rPr>
            </w:pPr>
          </w:p>
        </w:tc>
        <w:tc>
          <w:tcPr>
            <w:tcW w:w="6900" w:type="dxa"/>
            <w:vAlign w:val="bottom"/>
            <w:gridSpan w:val="8"/>
          </w:tcPr>
          <w:p>
            <w:pPr>
              <w:spacing w:after="0" w:line="174" w:lineRule="exact"/>
              <w:rPr>
                <w:rFonts w:ascii="Arial" w:cs="Arial" w:eastAsia="Arial" w:hAnsi="Arial"/>
                <w:sz w:val="16"/>
                <w:szCs w:val="16"/>
                <w:b w:val="1"/>
                <w:bCs w:val="1"/>
                <w:color w:val="0000EE"/>
              </w:rPr>
            </w:pPr>
            <w:hyperlink w:anchor="page67">
              <w:r>
                <w:rPr>
                  <w:rFonts w:ascii="Arial" w:cs="Arial" w:eastAsia="Arial" w:hAnsi="Arial"/>
                  <w:sz w:val="16"/>
                  <w:szCs w:val="16"/>
                  <w:b w:val="1"/>
                  <w:bCs w:val="1"/>
                  <w:color w:val="0000EE"/>
                </w:rPr>
                <w:t>Unregistered Sales of Equity Securities and Use of Proceeds.</w:t>
              </w:r>
            </w:hyperlink>
          </w:p>
        </w:tc>
        <w:tc>
          <w:tcPr>
            <w:tcW w:w="2920" w:type="dxa"/>
            <w:vAlign w:val="bottom"/>
          </w:tcPr>
          <w:p>
            <w:pPr>
              <w:jc w:val="right"/>
              <w:spacing w:after="0" w:line="174" w:lineRule="exact"/>
              <w:rPr>
                <w:sz w:val="20"/>
                <w:szCs w:val="20"/>
                <w:color w:val="auto"/>
              </w:rPr>
            </w:pPr>
            <w:r>
              <w:rPr>
                <w:rFonts w:ascii="Arial" w:cs="Arial" w:eastAsia="Arial" w:hAnsi="Arial"/>
                <w:sz w:val="16"/>
                <w:szCs w:val="16"/>
                <w:color w:val="auto"/>
              </w:rPr>
              <w:t>67</w:t>
            </w:r>
          </w:p>
        </w:tc>
      </w:tr>
      <w:tr>
        <w:trPr>
          <w:trHeight w:val="174"/>
        </w:trPr>
        <w:tc>
          <w:tcPr>
            <w:tcW w:w="800" w:type="dxa"/>
            <w:vAlign w:val="bottom"/>
          </w:tcPr>
          <w:p>
            <w:pPr>
              <w:spacing w:after="0"/>
              <w:rPr>
                <w:sz w:val="15"/>
                <w:szCs w:val="15"/>
                <w:color w:val="auto"/>
              </w:rPr>
            </w:pPr>
          </w:p>
        </w:tc>
        <w:tc>
          <w:tcPr>
            <w:tcW w:w="500" w:type="dxa"/>
            <w:vAlign w:val="bottom"/>
            <w:tcBorders>
              <w:top w:val="single" w:sz="8" w:color="0000EE"/>
              <w:bottom w:val="single" w:sz="8" w:color="0000EE"/>
            </w:tcBorders>
          </w:tcPr>
          <w:p>
            <w:pPr>
              <w:spacing w:after="0" w:line="174" w:lineRule="exact"/>
              <w:rPr>
                <w:rFonts w:ascii="Arial" w:cs="Arial" w:eastAsia="Arial" w:hAnsi="Arial"/>
                <w:sz w:val="16"/>
                <w:szCs w:val="16"/>
                <w:b w:val="1"/>
                <w:bCs w:val="1"/>
                <w:color w:val="0000EE"/>
                <w:w w:val="94"/>
              </w:rPr>
            </w:pPr>
            <w:hyperlink w:anchor="page67">
              <w:r>
                <w:rPr>
                  <w:rFonts w:ascii="Arial" w:cs="Arial" w:eastAsia="Arial" w:hAnsi="Arial"/>
                  <w:sz w:val="16"/>
                  <w:szCs w:val="16"/>
                  <w:b w:val="1"/>
                  <w:bCs w:val="1"/>
                  <w:color w:val="0000EE"/>
                  <w:w w:val="94"/>
                </w:rPr>
                <w:t>Item 3.</w:t>
              </w:r>
            </w:hyperlink>
          </w:p>
        </w:tc>
        <w:tc>
          <w:tcPr>
            <w:tcW w:w="320" w:type="dxa"/>
            <w:vAlign w:val="bottom"/>
            <w:gridSpan w:val="2"/>
          </w:tcPr>
          <w:p>
            <w:pPr>
              <w:spacing w:after="0"/>
              <w:rPr>
                <w:sz w:val="15"/>
                <w:szCs w:val="15"/>
                <w:color w:val="auto"/>
              </w:rPr>
            </w:pPr>
          </w:p>
        </w:tc>
        <w:tc>
          <w:tcPr>
            <w:tcW w:w="2240" w:type="dxa"/>
            <w:vAlign w:val="bottom"/>
            <w:tcBorders>
              <w:top w:val="single" w:sz="8" w:color="0000EE"/>
              <w:bottom w:val="single" w:sz="8" w:color="0000EE"/>
            </w:tcBorders>
            <w:gridSpan w:val="6"/>
          </w:tcPr>
          <w:p>
            <w:pPr>
              <w:spacing w:after="0" w:line="174" w:lineRule="exact"/>
              <w:rPr>
                <w:rFonts w:ascii="Arial" w:cs="Arial" w:eastAsia="Arial" w:hAnsi="Arial"/>
                <w:sz w:val="16"/>
                <w:szCs w:val="16"/>
                <w:b w:val="1"/>
                <w:bCs w:val="1"/>
                <w:color w:val="0000EE"/>
                <w:w w:val="89"/>
              </w:rPr>
            </w:pPr>
            <w:hyperlink w:anchor="page67">
              <w:r>
                <w:rPr>
                  <w:rFonts w:ascii="Arial" w:cs="Arial" w:eastAsia="Arial" w:hAnsi="Arial"/>
                  <w:sz w:val="16"/>
                  <w:szCs w:val="16"/>
                  <w:b w:val="1"/>
                  <w:bCs w:val="1"/>
                  <w:color w:val="0000EE"/>
                  <w:w w:val="89"/>
                </w:rPr>
                <w:t>Defaults Upon Senior Securities.</w:t>
              </w:r>
            </w:hyperlink>
          </w:p>
        </w:tc>
        <w:tc>
          <w:tcPr>
            <w:tcW w:w="1900" w:type="dxa"/>
            <w:vAlign w:val="bottom"/>
            <w:tcBorders>
              <w:top w:val="single" w:sz="8" w:color="0000EE"/>
            </w:tcBorders>
          </w:tcPr>
          <w:p>
            <w:pPr>
              <w:spacing w:after="0"/>
              <w:rPr>
                <w:sz w:val="15"/>
                <w:szCs w:val="15"/>
                <w:color w:val="auto"/>
              </w:rPr>
            </w:pPr>
          </w:p>
        </w:tc>
        <w:tc>
          <w:tcPr>
            <w:tcW w:w="2760" w:type="dxa"/>
            <w:vAlign w:val="bottom"/>
          </w:tcPr>
          <w:p>
            <w:pPr>
              <w:spacing w:after="0"/>
              <w:rPr>
                <w:sz w:val="15"/>
                <w:szCs w:val="15"/>
                <w:color w:val="auto"/>
              </w:rPr>
            </w:pPr>
          </w:p>
        </w:tc>
        <w:tc>
          <w:tcPr>
            <w:tcW w:w="2920" w:type="dxa"/>
            <w:vAlign w:val="bottom"/>
          </w:tcPr>
          <w:p>
            <w:pPr>
              <w:jc w:val="right"/>
              <w:spacing w:after="0" w:line="174" w:lineRule="exact"/>
              <w:rPr>
                <w:sz w:val="20"/>
                <w:szCs w:val="20"/>
                <w:color w:val="auto"/>
              </w:rPr>
            </w:pPr>
            <w:r>
              <w:rPr>
                <w:rFonts w:ascii="Arial" w:cs="Arial" w:eastAsia="Arial" w:hAnsi="Arial"/>
                <w:sz w:val="16"/>
                <w:szCs w:val="16"/>
                <w:color w:val="auto"/>
              </w:rPr>
              <w:t>67</w:t>
            </w:r>
          </w:p>
        </w:tc>
      </w:tr>
      <w:tr>
        <w:trPr>
          <w:trHeight w:val="174"/>
        </w:trPr>
        <w:tc>
          <w:tcPr>
            <w:tcW w:w="800" w:type="dxa"/>
            <w:vAlign w:val="bottom"/>
          </w:tcPr>
          <w:p>
            <w:pPr>
              <w:spacing w:after="0"/>
              <w:rPr>
                <w:sz w:val="15"/>
                <w:szCs w:val="15"/>
                <w:color w:val="auto"/>
              </w:rPr>
            </w:pPr>
          </w:p>
        </w:tc>
        <w:tc>
          <w:tcPr>
            <w:tcW w:w="500" w:type="dxa"/>
            <w:vAlign w:val="bottom"/>
            <w:tcBorders>
              <w:bottom w:val="single" w:sz="8" w:color="0000EE"/>
            </w:tcBorders>
          </w:tcPr>
          <w:p>
            <w:pPr>
              <w:spacing w:after="0" w:line="174" w:lineRule="exact"/>
              <w:rPr>
                <w:rFonts w:ascii="Arial" w:cs="Arial" w:eastAsia="Arial" w:hAnsi="Arial"/>
                <w:sz w:val="16"/>
                <w:szCs w:val="16"/>
                <w:b w:val="1"/>
                <w:bCs w:val="1"/>
                <w:color w:val="0000EE"/>
                <w:w w:val="94"/>
              </w:rPr>
            </w:pPr>
            <w:hyperlink w:anchor="page67">
              <w:r>
                <w:rPr>
                  <w:rFonts w:ascii="Arial" w:cs="Arial" w:eastAsia="Arial" w:hAnsi="Arial"/>
                  <w:sz w:val="16"/>
                  <w:szCs w:val="16"/>
                  <w:b w:val="1"/>
                  <w:bCs w:val="1"/>
                  <w:color w:val="0000EE"/>
                  <w:w w:val="94"/>
                </w:rPr>
                <w:t>Item 4.</w:t>
              </w:r>
            </w:hyperlink>
          </w:p>
        </w:tc>
        <w:tc>
          <w:tcPr>
            <w:tcW w:w="320" w:type="dxa"/>
            <w:vAlign w:val="bottom"/>
            <w:gridSpan w:val="2"/>
          </w:tcPr>
          <w:p>
            <w:pPr>
              <w:spacing w:after="0"/>
              <w:rPr>
                <w:sz w:val="15"/>
                <w:szCs w:val="15"/>
                <w:color w:val="auto"/>
              </w:rPr>
            </w:pPr>
          </w:p>
        </w:tc>
        <w:tc>
          <w:tcPr>
            <w:tcW w:w="1700" w:type="dxa"/>
            <w:vAlign w:val="bottom"/>
            <w:tcBorders>
              <w:bottom w:val="single" w:sz="8" w:color="0000EE"/>
            </w:tcBorders>
            <w:gridSpan w:val="5"/>
          </w:tcPr>
          <w:p>
            <w:pPr>
              <w:spacing w:after="0" w:line="174" w:lineRule="exact"/>
              <w:rPr>
                <w:rFonts w:ascii="Arial" w:cs="Arial" w:eastAsia="Arial" w:hAnsi="Arial"/>
                <w:sz w:val="16"/>
                <w:szCs w:val="16"/>
                <w:b w:val="1"/>
                <w:bCs w:val="1"/>
                <w:color w:val="0000EE"/>
                <w:w w:val="89"/>
              </w:rPr>
            </w:pPr>
            <w:hyperlink w:anchor="page67">
              <w:r>
                <w:rPr>
                  <w:rFonts w:ascii="Arial" w:cs="Arial" w:eastAsia="Arial" w:hAnsi="Arial"/>
                  <w:sz w:val="16"/>
                  <w:szCs w:val="16"/>
                  <w:b w:val="1"/>
                  <w:bCs w:val="1"/>
                  <w:color w:val="0000EE"/>
                  <w:w w:val="89"/>
                </w:rPr>
                <w:t>Mine Safety Disclosures.</w:t>
              </w:r>
            </w:hyperlink>
          </w:p>
        </w:tc>
        <w:tc>
          <w:tcPr>
            <w:tcW w:w="5200" w:type="dxa"/>
            <w:vAlign w:val="bottom"/>
            <w:gridSpan w:val="3"/>
          </w:tcPr>
          <w:p>
            <w:pPr>
              <w:spacing w:after="0"/>
              <w:rPr>
                <w:sz w:val="15"/>
                <w:szCs w:val="15"/>
                <w:color w:val="auto"/>
              </w:rPr>
            </w:pPr>
          </w:p>
        </w:tc>
        <w:tc>
          <w:tcPr>
            <w:tcW w:w="2920" w:type="dxa"/>
            <w:vAlign w:val="bottom"/>
          </w:tcPr>
          <w:p>
            <w:pPr>
              <w:jc w:val="right"/>
              <w:spacing w:after="0" w:line="174" w:lineRule="exact"/>
              <w:rPr>
                <w:sz w:val="20"/>
                <w:szCs w:val="20"/>
                <w:color w:val="auto"/>
              </w:rPr>
            </w:pPr>
            <w:r>
              <w:rPr>
                <w:rFonts w:ascii="Arial" w:cs="Arial" w:eastAsia="Arial" w:hAnsi="Arial"/>
                <w:sz w:val="16"/>
                <w:szCs w:val="16"/>
                <w:color w:val="auto"/>
              </w:rPr>
              <w:t>67</w:t>
            </w:r>
          </w:p>
        </w:tc>
      </w:tr>
      <w:tr>
        <w:trPr>
          <w:trHeight w:val="174"/>
        </w:trPr>
        <w:tc>
          <w:tcPr>
            <w:tcW w:w="800" w:type="dxa"/>
            <w:vAlign w:val="bottom"/>
          </w:tcPr>
          <w:p>
            <w:pPr>
              <w:spacing w:after="0"/>
              <w:rPr>
                <w:sz w:val="15"/>
                <w:szCs w:val="15"/>
                <w:color w:val="auto"/>
              </w:rPr>
            </w:pPr>
          </w:p>
        </w:tc>
        <w:tc>
          <w:tcPr>
            <w:tcW w:w="500" w:type="dxa"/>
            <w:vAlign w:val="bottom"/>
            <w:tcBorders>
              <w:bottom w:val="single" w:sz="8" w:color="0000EE"/>
            </w:tcBorders>
          </w:tcPr>
          <w:p>
            <w:pPr>
              <w:spacing w:after="0" w:line="174" w:lineRule="exact"/>
              <w:rPr>
                <w:rFonts w:ascii="Arial" w:cs="Arial" w:eastAsia="Arial" w:hAnsi="Arial"/>
                <w:sz w:val="16"/>
                <w:szCs w:val="16"/>
                <w:b w:val="1"/>
                <w:bCs w:val="1"/>
                <w:color w:val="0000EE"/>
                <w:w w:val="94"/>
              </w:rPr>
            </w:pPr>
            <w:hyperlink w:anchor="page67">
              <w:r>
                <w:rPr>
                  <w:rFonts w:ascii="Arial" w:cs="Arial" w:eastAsia="Arial" w:hAnsi="Arial"/>
                  <w:sz w:val="16"/>
                  <w:szCs w:val="16"/>
                  <w:b w:val="1"/>
                  <w:bCs w:val="1"/>
                  <w:color w:val="0000EE"/>
                  <w:w w:val="94"/>
                </w:rPr>
                <w:t>Item 5.</w:t>
              </w:r>
            </w:hyperlink>
          </w:p>
        </w:tc>
        <w:tc>
          <w:tcPr>
            <w:tcW w:w="320" w:type="dxa"/>
            <w:vAlign w:val="bottom"/>
            <w:gridSpan w:val="2"/>
          </w:tcPr>
          <w:p>
            <w:pPr>
              <w:spacing w:after="0"/>
              <w:rPr>
                <w:sz w:val="15"/>
                <w:szCs w:val="15"/>
                <w:color w:val="auto"/>
              </w:rPr>
            </w:pPr>
          </w:p>
        </w:tc>
        <w:tc>
          <w:tcPr>
            <w:tcW w:w="1340" w:type="dxa"/>
            <w:vAlign w:val="bottom"/>
            <w:tcBorders>
              <w:bottom w:val="single" w:sz="8" w:color="0000EE"/>
            </w:tcBorders>
            <w:gridSpan w:val="4"/>
          </w:tcPr>
          <w:p>
            <w:pPr>
              <w:spacing w:after="0" w:line="174" w:lineRule="exact"/>
              <w:rPr>
                <w:rFonts w:ascii="Arial" w:cs="Arial" w:eastAsia="Arial" w:hAnsi="Arial"/>
                <w:sz w:val="16"/>
                <w:szCs w:val="16"/>
                <w:b w:val="1"/>
                <w:bCs w:val="1"/>
                <w:color w:val="0000EE"/>
                <w:w w:val="94"/>
              </w:rPr>
            </w:pPr>
            <w:hyperlink w:anchor="page67">
              <w:r>
                <w:rPr>
                  <w:rFonts w:ascii="Arial" w:cs="Arial" w:eastAsia="Arial" w:hAnsi="Arial"/>
                  <w:sz w:val="16"/>
                  <w:szCs w:val="16"/>
                  <w:b w:val="1"/>
                  <w:bCs w:val="1"/>
                  <w:color w:val="0000EE"/>
                  <w:w w:val="94"/>
                </w:rPr>
                <w:t>Other Information.</w:t>
              </w:r>
            </w:hyperlink>
          </w:p>
        </w:tc>
        <w:tc>
          <w:tcPr>
            <w:tcW w:w="5560" w:type="dxa"/>
            <w:vAlign w:val="bottom"/>
            <w:gridSpan w:val="4"/>
          </w:tcPr>
          <w:p>
            <w:pPr>
              <w:spacing w:after="0"/>
              <w:rPr>
                <w:sz w:val="15"/>
                <w:szCs w:val="15"/>
                <w:color w:val="auto"/>
              </w:rPr>
            </w:pPr>
          </w:p>
        </w:tc>
        <w:tc>
          <w:tcPr>
            <w:tcW w:w="2920" w:type="dxa"/>
            <w:vAlign w:val="bottom"/>
          </w:tcPr>
          <w:p>
            <w:pPr>
              <w:jc w:val="right"/>
              <w:spacing w:after="0" w:line="174" w:lineRule="exact"/>
              <w:rPr>
                <w:sz w:val="20"/>
                <w:szCs w:val="20"/>
                <w:color w:val="auto"/>
              </w:rPr>
            </w:pPr>
            <w:r>
              <w:rPr>
                <w:rFonts w:ascii="Arial" w:cs="Arial" w:eastAsia="Arial" w:hAnsi="Arial"/>
                <w:sz w:val="16"/>
                <w:szCs w:val="16"/>
                <w:color w:val="auto"/>
              </w:rPr>
              <w:t>67</w:t>
            </w:r>
          </w:p>
        </w:tc>
      </w:tr>
      <w:tr>
        <w:trPr>
          <w:trHeight w:val="174"/>
        </w:trPr>
        <w:tc>
          <w:tcPr>
            <w:tcW w:w="800" w:type="dxa"/>
            <w:vAlign w:val="bottom"/>
          </w:tcPr>
          <w:p>
            <w:pPr>
              <w:spacing w:after="0"/>
              <w:rPr>
                <w:sz w:val="15"/>
                <w:szCs w:val="15"/>
                <w:color w:val="auto"/>
              </w:rPr>
            </w:pPr>
          </w:p>
        </w:tc>
        <w:tc>
          <w:tcPr>
            <w:tcW w:w="500" w:type="dxa"/>
            <w:vAlign w:val="bottom"/>
            <w:tcBorders>
              <w:bottom w:val="single" w:sz="8" w:color="0000EE"/>
            </w:tcBorders>
          </w:tcPr>
          <w:p>
            <w:pPr>
              <w:spacing w:after="0" w:line="174" w:lineRule="exact"/>
              <w:rPr>
                <w:rFonts w:ascii="Arial" w:cs="Arial" w:eastAsia="Arial" w:hAnsi="Arial"/>
                <w:sz w:val="16"/>
                <w:szCs w:val="16"/>
                <w:b w:val="1"/>
                <w:bCs w:val="1"/>
                <w:color w:val="0000EE"/>
                <w:w w:val="94"/>
              </w:rPr>
            </w:pPr>
            <w:hyperlink w:anchor="page68">
              <w:r>
                <w:rPr>
                  <w:rFonts w:ascii="Arial" w:cs="Arial" w:eastAsia="Arial" w:hAnsi="Arial"/>
                  <w:sz w:val="16"/>
                  <w:szCs w:val="16"/>
                  <w:b w:val="1"/>
                  <w:bCs w:val="1"/>
                  <w:color w:val="0000EE"/>
                  <w:w w:val="94"/>
                </w:rPr>
                <w:t>Item 6.</w:t>
              </w:r>
            </w:hyperlink>
          </w:p>
        </w:tc>
        <w:tc>
          <w:tcPr>
            <w:tcW w:w="320" w:type="dxa"/>
            <w:vAlign w:val="bottom"/>
            <w:gridSpan w:val="2"/>
          </w:tcPr>
          <w:p>
            <w:pPr>
              <w:spacing w:after="0"/>
              <w:rPr>
                <w:sz w:val="15"/>
                <w:szCs w:val="15"/>
                <w:color w:val="auto"/>
              </w:rPr>
            </w:pPr>
          </w:p>
        </w:tc>
        <w:tc>
          <w:tcPr>
            <w:tcW w:w="620" w:type="dxa"/>
            <w:vAlign w:val="bottom"/>
            <w:tcBorders>
              <w:bottom w:val="single" w:sz="8" w:color="0000EE"/>
            </w:tcBorders>
          </w:tcPr>
          <w:p>
            <w:pPr>
              <w:spacing w:after="0" w:line="174" w:lineRule="exact"/>
              <w:rPr>
                <w:rFonts w:ascii="Arial" w:cs="Arial" w:eastAsia="Arial" w:hAnsi="Arial"/>
                <w:sz w:val="16"/>
                <w:szCs w:val="16"/>
                <w:b w:val="1"/>
                <w:bCs w:val="1"/>
                <w:color w:val="0000EE"/>
                <w:w w:val="89"/>
              </w:rPr>
            </w:pPr>
            <w:hyperlink w:anchor="page68">
              <w:r>
                <w:rPr>
                  <w:rFonts w:ascii="Arial" w:cs="Arial" w:eastAsia="Arial" w:hAnsi="Arial"/>
                  <w:sz w:val="16"/>
                  <w:szCs w:val="16"/>
                  <w:b w:val="1"/>
                  <w:bCs w:val="1"/>
                  <w:color w:val="0000EE"/>
                  <w:w w:val="89"/>
                </w:rPr>
                <w:t>Exhibits.</w:t>
              </w:r>
            </w:hyperlink>
          </w:p>
        </w:tc>
        <w:tc>
          <w:tcPr>
            <w:tcW w:w="6280" w:type="dxa"/>
            <w:vAlign w:val="bottom"/>
            <w:gridSpan w:val="7"/>
          </w:tcPr>
          <w:p>
            <w:pPr>
              <w:spacing w:after="0"/>
              <w:rPr>
                <w:sz w:val="15"/>
                <w:szCs w:val="15"/>
                <w:color w:val="auto"/>
              </w:rPr>
            </w:pPr>
          </w:p>
        </w:tc>
        <w:tc>
          <w:tcPr>
            <w:tcW w:w="2920" w:type="dxa"/>
            <w:vAlign w:val="bottom"/>
          </w:tcPr>
          <w:p>
            <w:pPr>
              <w:jc w:val="right"/>
              <w:spacing w:after="0" w:line="174" w:lineRule="exact"/>
              <w:rPr>
                <w:sz w:val="20"/>
                <w:szCs w:val="20"/>
                <w:color w:val="auto"/>
              </w:rPr>
            </w:pPr>
            <w:r>
              <w:rPr>
                <w:rFonts w:ascii="Arial" w:cs="Arial" w:eastAsia="Arial" w:hAnsi="Arial"/>
                <w:sz w:val="16"/>
                <w:szCs w:val="16"/>
                <w:color w:val="auto"/>
              </w:rPr>
              <w:t>68</w:t>
            </w:r>
          </w:p>
        </w:tc>
      </w:tr>
      <w:tr>
        <w:trPr>
          <w:trHeight w:val="622"/>
        </w:trPr>
        <w:tc>
          <w:tcPr>
            <w:tcW w:w="800" w:type="dxa"/>
            <w:vAlign w:val="bottom"/>
            <w:tcBorders>
              <w:bottom w:val="single" w:sz="8" w:color="DCDCDC"/>
            </w:tcBorders>
          </w:tcPr>
          <w:p>
            <w:pPr>
              <w:spacing w:after="0"/>
              <w:rPr>
                <w:sz w:val="24"/>
                <w:szCs w:val="24"/>
                <w:color w:val="auto"/>
              </w:rPr>
            </w:pPr>
          </w:p>
        </w:tc>
        <w:tc>
          <w:tcPr>
            <w:tcW w:w="5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4140" w:type="dxa"/>
            <w:vAlign w:val="bottom"/>
            <w:tcBorders>
              <w:bottom w:val="single" w:sz="8" w:color="DCDCDC"/>
            </w:tcBorders>
            <w:gridSpan w:val="7"/>
          </w:tcPr>
          <w:p>
            <w:pPr>
              <w:ind w:left="4060"/>
              <w:spacing w:after="0"/>
              <w:rPr>
                <w:sz w:val="20"/>
                <w:szCs w:val="20"/>
                <w:color w:val="auto"/>
              </w:rPr>
            </w:pPr>
            <w:r>
              <w:rPr>
                <w:rFonts w:ascii="Arial" w:cs="Arial" w:eastAsia="Arial" w:hAnsi="Arial"/>
                <w:sz w:val="15"/>
                <w:szCs w:val="15"/>
                <w:color w:val="auto"/>
                <w:w w:val="71"/>
              </w:rPr>
              <w:t>2</w:t>
            </w:r>
          </w:p>
        </w:tc>
        <w:tc>
          <w:tcPr>
            <w:tcW w:w="2760" w:type="dxa"/>
            <w:vAlign w:val="bottom"/>
            <w:tcBorders>
              <w:bottom w:val="single" w:sz="8" w:color="DCDCDC"/>
            </w:tcBorders>
          </w:tcPr>
          <w:p>
            <w:pPr>
              <w:spacing w:after="0"/>
              <w:rPr>
                <w:sz w:val="24"/>
                <w:szCs w:val="24"/>
                <w:color w:val="auto"/>
              </w:rPr>
            </w:pPr>
          </w:p>
        </w:tc>
        <w:tc>
          <w:tcPr>
            <w:tcW w:w="29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40"/>
          </w:cols>
          <w:pgMar w:left="240" w:top="1251" w:right="21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Part I – Financial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UNITED COMMUNITY BANKS,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 of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7191375"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91375" cy="1524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96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per share data)</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ind w:right="339"/>
              <w:spacing w:after="0"/>
              <w:rPr>
                <w:sz w:val="20"/>
                <w:szCs w:val="20"/>
                <w:color w:val="auto"/>
              </w:rPr>
            </w:pPr>
            <w:r>
              <w:rPr>
                <w:rFonts w:ascii="Arial" w:cs="Arial" w:eastAsia="Arial" w:hAnsi="Arial"/>
                <w:sz w:val="16"/>
                <w:szCs w:val="16"/>
                <w:b w:val="1"/>
                <w:bCs w:val="1"/>
                <w:color w:val="auto"/>
                <w:w w:val="89"/>
              </w:rPr>
              <w:t>2013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Interest revenue:</w:t>
            </w:r>
          </w:p>
        </w:tc>
        <w:tc>
          <w:tcPr>
            <w:tcW w:w="1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400" w:type="dxa"/>
            <w:vAlign w:val="bottom"/>
            <w:tcBorders>
              <w:top w:val="single" w:sz="8" w:color="auto"/>
            </w:tcBorders>
            <w:shd w:val="clear" w:color="auto" w:fill="F0FFFF"/>
          </w:tcPr>
          <w:p>
            <w:pPr>
              <w:spacing w:after="0"/>
              <w:rPr>
                <w:sz w:val="16"/>
                <w:szCs w:val="16"/>
                <w:color w:val="auto"/>
              </w:rPr>
            </w:pPr>
          </w:p>
        </w:tc>
        <w:tc>
          <w:tcPr>
            <w:tcW w:w="7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38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Loans, including fees</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49,653</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50,162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145,602</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151,827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Investment securities, including tax exempt of $177, $202, $558 and $624</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12,346</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9,887</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36,118</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29,905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Deposits in banks and short-term investments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934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1,007</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2,757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2,793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shd w:val="clear" w:color="auto" w:fill="F0FFFF"/>
          </w:tcPr>
          <w:p>
            <w:pPr>
              <w:ind w:left="420"/>
              <w:spacing w:after="0"/>
              <w:rPr>
                <w:sz w:val="20"/>
                <w:szCs w:val="20"/>
                <w:color w:val="auto"/>
              </w:rPr>
            </w:pPr>
            <w:r>
              <w:rPr>
                <w:rFonts w:ascii="Arial" w:cs="Arial" w:eastAsia="Arial" w:hAnsi="Arial"/>
                <w:sz w:val="16"/>
                <w:szCs w:val="16"/>
                <w:color w:val="auto"/>
              </w:rPr>
              <w:t>Total interest revenue</w:t>
            </w: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62,933</w:t>
            </w:r>
          </w:p>
        </w:tc>
        <w:tc>
          <w:tcPr>
            <w:tcW w:w="120" w:type="dxa"/>
            <w:vAlign w:val="bottom"/>
            <w:shd w:val="clear" w:color="auto" w:fill="F0FFFF"/>
          </w:tcPr>
          <w:p>
            <w:pPr>
              <w:spacing w:after="0"/>
              <w:rPr>
                <w:sz w:val="17"/>
                <w:szCs w:val="17"/>
                <w:color w:val="auto"/>
              </w:rPr>
            </w:pPr>
          </w:p>
        </w:tc>
        <w:tc>
          <w:tcPr>
            <w:tcW w:w="40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61,056</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184,477</w:t>
            </w:r>
          </w:p>
        </w:tc>
        <w:tc>
          <w:tcPr>
            <w:tcW w:w="8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184,525</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94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80" w:type="dxa"/>
            <w:vAlign w:val="bottom"/>
            <w:tcBorders>
              <w:top w:val="single" w:sz="8" w:color="F0FF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Interest expense:</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NOW</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365</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413</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1,216</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color w:val="auto"/>
              </w:rPr>
              <w:t>Money market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872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545</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2,192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1,641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Savings</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37</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61</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color w:val="auto"/>
              </w:rPr>
              <w:t>Time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2,630</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5,510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8,871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420"/>
              <w:spacing w:after="0"/>
              <w:rPr>
                <w:sz w:val="20"/>
                <w:szCs w:val="20"/>
                <w:color w:val="auto"/>
              </w:rPr>
            </w:pPr>
            <w:r>
              <w:rPr>
                <w:rFonts w:ascii="Arial" w:cs="Arial" w:eastAsia="Arial" w:hAnsi="Arial"/>
                <w:sz w:val="16"/>
                <w:szCs w:val="16"/>
                <w:color w:val="auto"/>
              </w:rPr>
              <w:t>Total deposit interest expense</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2,978</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3,625</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8,979</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11,907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Short-term borrowings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525</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2,064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1,563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Federal Home Loan Bank advances</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435</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16</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573</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2,642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3,003</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7,914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8,331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Total interest expense</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6,371</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7,169</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19,530</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21,866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color w:val="auto"/>
              </w:rPr>
              <w:t>Net interest revenue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56,562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53,887</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164,947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162,659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Provision for credit losses</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2,000</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3,000</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6,700</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62,500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Arial" w:cs="Arial" w:eastAsia="Arial" w:hAnsi="Arial"/>
                <w:sz w:val="16"/>
                <w:szCs w:val="16"/>
                <w:color w:val="auto"/>
              </w:rPr>
              <w:t>Net interest revenue after provision for credit losses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54,562</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50,887</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158,247</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100,159</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9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400" w:type="dxa"/>
            <w:vAlign w:val="bottom"/>
            <w:tcBorders>
              <w:top w:val="single" w:sz="8" w:color="auto"/>
            </w:tcBorders>
            <w:shd w:val="clear" w:color="auto" w:fill="F0FFFF"/>
          </w:tcPr>
          <w:p>
            <w:pPr>
              <w:spacing w:after="0"/>
              <w:rPr>
                <w:sz w:val="16"/>
                <w:szCs w:val="16"/>
                <w:color w:val="auto"/>
              </w:rPr>
            </w:pPr>
          </w:p>
        </w:tc>
        <w:tc>
          <w:tcPr>
            <w:tcW w:w="7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38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b w:val="1"/>
                <w:bCs w:val="1"/>
                <w:color w:val="auto"/>
              </w:rPr>
              <w:t>Fee revenue: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Service charges and fees</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8,202</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8,456</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24,627</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23,831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Mortgage loan and other related fees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2,178</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2,554</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5,409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8,212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Brokerage fees</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1,209</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1,274</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3,631</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3,104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Securities gains, net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4,663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Loss from prepayment of debt</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(4,446)</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2,812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1,941</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6,847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7,816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Total fee revenue</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14,412</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14,225</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40,731</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43,079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ind w:left="260"/>
              <w:spacing w:after="0"/>
              <w:rPr>
                <w:sz w:val="20"/>
                <w:szCs w:val="20"/>
                <w:color w:val="auto"/>
              </w:rPr>
            </w:pPr>
            <w:r>
              <w:rPr>
                <w:rFonts w:ascii="Arial" w:cs="Arial" w:eastAsia="Arial" w:hAnsi="Arial"/>
                <w:sz w:val="16"/>
                <w:szCs w:val="16"/>
                <w:b w:val="1"/>
                <w:bCs w:val="1"/>
                <w:color w:val="auto"/>
              </w:rPr>
              <w:t>Total revenue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68,974</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65,112</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198,978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143,238</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9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400" w:type="dxa"/>
            <w:vAlign w:val="bottom"/>
            <w:tcBorders>
              <w:top w:val="single" w:sz="8" w:color="auto"/>
            </w:tcBorders>
            <w:shd w:val="clear" w:color="auto" w:fill="F0FFFF"/>
          </w:tcPr>
          <w:p>
            <w:pPr>
              <w:spacing w:after="0"/>
              <w:rPr>
                <w:sz w:val="16"/>
                <w:szCs w:val="16"/>
                <w:color w:val="auto"/>
              </w:rPr>
            </w:pPr>
          </w:p>
        </w:tc>
        <w:tc>
          <w:tcPr>
            <w:tcW w:w="7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38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Salaries and employee benefits</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25,666</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23,090</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74,349</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71,416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Communications and equipment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3,094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3,305</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9,370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9,819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Occupancy</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3,425</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3,379</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10,065</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10,195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Advertising and public relations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894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962</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2,659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2,937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Postage, printing and supplies</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876</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644</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2,456</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2,401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Professional fees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2,274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2,650</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5,873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7,515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Foreclosed property</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194</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503</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7,678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FDIC assessments and other regulatory charges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1,131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2,405</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3,909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7,415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Amortization of intangibles</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313</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427</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1,061</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3,406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3,041</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10,701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11,691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Total operating expenses</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41,364</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40,097</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120,946</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132,690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280"/>
              <w:spacing w:after="0"/>
              <w:rPr>
                <w:sz w:val="20"/>
                <w:szCs w:val="20"/>
                <w:color w:val="auto"/>
              </w:rPr>
            </w:pPr>
            <w:r>
              <w:rPr>
                <w:rFonts w:ascii="Arial" w:cs="Arial" w:eastAsia="Arial" w:hAnsi="Arial"/>
                <w:sz w:val="16"/>
                <w:szCs w:val="16"/>
                <w:color w:val="auto"/>
              </w:rPr>
              <w:t>Net income before income taxes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27,610</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25,015</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78,032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10,548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Income tax expense (benefit)</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9,994</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9,515</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28,659</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(246,681)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b w:val="1"/>
                <w:bCs w:val="1"/>
                <w:color w:val="auto"/>
              </w:rPr>
              <w:t>Net income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17,616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15,500</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49,373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257,229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Preferred stock dividends and discount accretion</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3,059</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439</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9,166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b w:val="1"/>
                <w:bCs w:val="1"/>
                <w:color w:val="auto"/>
              </w:rPr>
              <w:t>Net income available to common shareholders</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17,616</w:t>
            </w:r>
          </w:p>
        </w:tc>
        <w:tc>
          <w:tcPr>
            <w:tcW w:w="5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12,441</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48,934</w:t>
            </w: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248,063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9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40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38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Earnings per common share: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80"/>
              <w:spacing w:after="0"/>
              <w:rPr>
                <w:sz w:val="20"/>
                <w:szCs w:val="20"/>
                <w:color w:val="auto"/>
              </w:rPr>
            </w:pPr>
            <w:r>
              <w:rPr>
                <w:rFonts w:ascii="Arial" w:cs="Arial" w:eastAsia="Arial" w:hAnsi="Arial"/>
                <w:sz w:val="16"/>
                <w:szCs w:val="16"/>
                <w:color w:val="auto"/>
              </w:rPr>
              <w:t>Basic</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.29</w:t>
            </w:r>
          </w:p>
        </w:tc>
        <w:tc>
          <w:tcPr>
            <w:tcW w:w="52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.21</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.81</w:t>
            </w:r>
          </w:p>
        </w:tc>
        <w:tc>
          <w:tcPr>
            <w:tcW w:w="46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6"/>
                <w:szCs w:val="16"/>
                <w:color w:val="auto"/>
              </w:rPr>
              <w:t>Weighted average common shares outstanding:</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80"/>
              <w:spacing w:after="0"/>
              <w:rPr>
                <w:sz w:val="20"/>
                <w:szCs w:val="20"/>
                <w:color w:val="auto"/>
              </w:rPr>
            </w:pPr>
            <w:r>
              <w:rPr>
                <w:rFonts w:ascii="Arial" w:cs="Arial" w:eastAsia="Arial" w:hAnsi="Arial"/>
                <w:sz w:val="16"/>
                <w:szCs w:val="16"/>
                <w:color w:val="auto"/>
              </w:rPr>
              <w:t>Basic</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60,776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59,100</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60,511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58,443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80"/>
              <w:spacing w:after="0"/>
              <w:rPr>
                <w:sz w:val="20"/>
                <w:szCs w:val="20"/>
                <w:color w:val="auto"/>
              </w:rPr>
            </w:pPr>
            <w:r>
              <w:rPr>
                <w:rFonts w:ascii="Arial" w:cs="Arial" w:eastAsia="Arial" w:hAnsi="Arial"/>
                <w:sz w:val="16"/>
                <w:szCs w:val="16"/>
                <w:color w:val="auto"/>
              </w:rPr>
              <w:t>Diluted</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60,779</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59,202</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60,513</w:t>
            </w:r>
          </w:p>
        </w:tc>
        <w:tc>
          <w:tcPr>
            <w:tcW w:w="8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58,444</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620" w:right="219" w:bottom="1440" w:gutter="0" w:footer="0" w:header="0"/>
        </w:sectPr>
      </w:pPr>
    </w:p>
    <w:bookmarkStart w:id="3" w:name="page4"/>
    <w:bookmarkEnd w:id="3"/>
    <w:p>
      <w:pPr>
        <w:spacing w:after="0"/>
        <w:rPr>
          <w:sz w:val="20"/>
          <w:szCs w:val="20"/>
          <w:color w:val="auto"/>
        </w:rPr>
      </w:pPr>
      <w:r>
        <w:rPr>
          <w:rFonts w:ascii="Arial" w:cs="Arial" w:eastAsia="Arial" w:hAnsi="Arial"/>
          <w:sz w:val="16"/>
          <w:szCs w:val="16"/>
          <w:b w:val="1"/>
          <w:bCs w:val="1"/>
          <w:color w:val="auto"/>
        </w:rPr>
        <w:t>UNITED COMMUNITY BANKS, INC.</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 of Comprehensive Income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17145</wp:posOffset>
            </wp:positionV>
            <wp:extent cx="719137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91375" cy="15240"/>
                    </a:xfrm>
                    <a:prstGeom prst="rect">
                      <a:avLst/>
                    </a:prstGeom>
                    <a:noFill/>
                  </pic:spPr>
                </pic:pic>
              </a:graphicData>
            </a:graphic>
          </wp:anchor>
        </w:drawing>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88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gridSpan w:val="9"/>
          </w:tcPr>
          <w:p>
            <w:pPr>
              <w:jc w:val="center"/>
              <w:ind w:right="260"/>
              <w:spacing w:after="0"/>
              <w:rPr>
                <w:sz w:val="20"/>
                <w:szCs w:val="20"/>
                <w:color w:val="auto"/>
              </w:rPr>
            </w:pPr>
            <w:r>
              <w:rPr>
                <w:rFonts w:ascii="Arial" w:cs="Arial" w:eastAsia="Arial" w:hAnsi="Arial"/>
                <w:sz w:val="16"/>
                <w:szCs w:val="16"/>
                <w:b w:val="1"/>
                <w:bCs w:val="1"/>
                <w:color w:val="auto"/>
                <w:w w:val="91"/>
              </w:rPr>
              <w:t>Three Months Ended 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00" w:type="dxa"/>
            <w:vAlign w:val="bottom"/>
            <w:gridSpan w:val="8"/>
          </w:tcPr>
          <w:p>
            <w:pPr>
              <w:jc w:val="center"/>
              <w:ind w:right="220"/>
              <w:spacing w:after="0"/>
              <w:rPr>
                <w:sz w:val="20"/>
                <w:szCs w:val="20"/>
                <w:color w:val="auto"/>
              </w:rPr>
            </w:pPr>
            <w:r>
              <w:rPr>
                <w:rFonts w:ascii="Arial" w:cs="Arial" w:eastAsia="Arial" w:hAnsi="Arial"/>
                <w:sz w:val="16"/>
                <w:szCs w:val="16"/>
                <w:b w:val="1"/>
                <w:bCs w:val="1"/>
                <w:color w:val="auto"/>
                <w:w w:val="91"/>
              </w:rPr>
              <w:t>Nine Months Ended September 30,</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gridSpan w:val="2"/>
          </w:tcPr>
          <w:p>
            <w:pPr>
              <w:jc w:val="center"/>
              <w:ind w:right="420"/>
              <w:spacing w:after="0" w:line="178" w:lineRule="exact"/>
              <w:rPr>
                <w:sz w:val="20"/>
                <w:szCs w:val="20"/>
                <w:color w:val="auto"/>
              </w:rPr>
            </w:pPr>
            <w:r>
              <w:rPr>
                <w:rFonts w:ascii="Arial" w:cs="Arial" w:eastAsia="Arial" w:hAnsi="Arial"/>
                <w:sz w:val="16"/>
                <w:szCs w:val="16"/>
                <w:b w:val="1"/>
                <w:bCs w:val="1"/>
                <w:color w:val="auto"/>
                <w:w w:val="94"/>
              </w:rPr>
              <w:t>Tax</w:t>
            </w: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gridSpan w:val="2"/>
          </w:tcPr>
          <w:p>
            <w:pPr>
              <w:jc w:val="right"/>
              <w:ind w:right="620"/>
              <w:spacing w:after="0" w:line="178" w:lineRule="exact"/>
              <w:rPr>
                <w:sz w:val="20"/>
                <w:szCs w:val="20"/>
                <w:color w:val="auto"/>
              </w:rPr>
            </w:pPr>
            <w:r>
              <w:rPr>
                <w:rFonts w:ascii="Arial" w:cs="Arial" w:eastAsia="Arial" w:hAnsi="Arial"/>
                <w:sz w:val="16"/>
                <w:szCs w:val="16"/>
                <w:b w:val="1"/>
                <w:bCs w:val="1"/>
                <w:color w:val="auto"/>
              </w:rPr>
              <w:t>Tax</w:t>
            </w: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3"/>
              </w:rPr>
              <w:t>Before-tax</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(Expense)</w:t>
            </w:r>
          </w:p>
        </w:tc>
        <w:tc>
          <w:tcPr>
            <w:tcW w:w="120" w:type="dxa"/>
            <w:vAlign w:val="bottom"/>
          </w:tcPr>
          <w:p>
            <w:pPr>
              <w:spacing w:after="0"/>
              <w:rPr>
                <w:sz w:val="16"/>
                <w:szCs w:val="16"/>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5"/>
              </w:rPr>
              <w:t>Net of Tax</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3"/>
              </w:rPr>
              <w:t>Before-tax</w:t>
            </w:r>
          </w:p>
        </w:tc>
        <w:tc>
          <w:tcPr>
            <w:tcW w:w="1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(Expense)</w:t>
            </w:r>
          </w:p>
        </w:tc>
        <w:tc>
          <w:tcPr>
            <w:tcW w:w="12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3"/>
              </w:rPr>
              <w:t>Net of Tax</w:t>
            </w:r>
          </w:p>
        </w:tc>
        <w:tc>
          <w:tcPr>
            <w:tcW w:w="0" w:type="dxa"/>
            <w:vAlign w:val="bottom"/>
          </w:tcPr>
          <w:p>
            <w:pPr>
              <w:spacing w:after="0"/>
              <w:rPr>
                <w:sz w:val="1"/>
                <w:szCs w:val="1"/>
                <w:color w:val="auto"/>
              </w:rPr>
            </w:pPr>
          </w:p>
        </w:tc>
      </w:tr>
      <w:tr>
        <w:trPr>
          <w:trHeight w:val="210"/>
        </w:trPr>
        <w:tc>
          <w:tcPr>
            <w:tcW w:w="3880" w:type="dxa"/>
            <w:vAlign w:val="bottom"/>
            <w:gridSpan w:val="2"/>
          </w:tcPr>
          <w:p>
            <w:pPr>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Benefit</w:t>
            </w:r>
          </w:p>
        </w:tc>
        <w:tc>
          <w:tcPr>
            <w:tcW w:w="12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Amount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6"/>
                <w:szCs w:val="16"/>
                <w:color w:val="auto"/>
              </w:rPr>
              <w:t>Net income</w:t>
            </w:r>
          </w:p>
        </w:tc>
        <w:tc>
          <w:tcPr>
            <w:tcW w:w="26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27,610</w:t>
            </w:r>
          </w:p>
        </w:tc>
        <w:tc>
          <w:tcPr>
            <w:tcW w:w="22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(9,994)</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17,616</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78,032</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(28,659)</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49,373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120"/>
              <w:spacing w:after="0"/>
              <w:rPr>
                <w:sz w:val="20"/>
                <w:szCs w:val="20"/>
                <w:color w:val="auto"/>
              </w:rPr>
            </w:pPr>
            <w:r>
              <w:rPr>
                <w:rFonts w:ascii="Arial" w:cs="Arial" w:eastAsia="Arial" w:hAnsi="Arial"/>
                <w:sz w:val="16"/>
                <w:szCs w:val="16"/>
                <w:color w:val="auto"/>
                <w:w w:val="91"/>
              </w:rPr>
              <w:t>Unrealized gains (losses) on available-for-sale securities:</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Pr>
          <w:p>
            <w:pPr>
              <w:ind w:left="420"/>
              <w:spacing w:after="0" w:line="181" w:lineRule="exact"/>
              <w:rPr>
                <w:sz w:val="20"/>
                <w:szCs w:val="20"/>
                <w:color w:val="auto"/>
              </w:rPr>
            </w:pPr>
            <w:r>
              <w:rPr>
                <w:rFonts w:ascii="Arial" w:cs="Arial" w:eastAsia="Arial" w:hAnsi="Arial"/>
                <w:sz w:val="16"/>
                <w:szCs w:val="16"/>
                <w:color w:val="auto"/>
              </w:rPr>
              <w:t>Unrealized holding gains (losses) arising during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560"/>
              <w:spacing w:after="0"/>
              <w:rPr>
                <w:sz w:val="20"/>
                <w:szCs w:val="20"/>
                <w:color w:val="auto"/>
              </w:rPr>
            </w:pPr>
            <w:r>
              <w:rPr>
                <w:rFonts w:ascii="Arial" w:cs="Arial" w:eastAsia="Arial" w:hAnsi="Arial"/>
                <w:sz w:val="16"/>
                <w:szCs w:val="16"/>
                <w:color w:val="auto"/>
              </w:rPr>
              <w:t>period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(4,357)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1,626</w:t>
            </w: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10,696</w:t>
            </w: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(4,031)</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6,665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shd w:val="clear" w:color="auto" w:fill="F0FFFF"/>
          </w:tcPr>
          <w:p>
            <w:pPr>
              <w:ind w:left="420"/>
              <w:spacing w:after="0" w:line="182" w:lineRule="exact"/>
              <w:rPr>
                <w:sz w:val="20"/>
                <w:szCs w:val="20"/>
                <w:color w:val="auto"/>
              </w:rPr>
            </w:pPr>
            <w:r>
              <w:rPr>
                <w:rFonts w:ascii="Arial" w:cs="Arial" w:eastAsia="Arial" w:hAnsi="Arial"/>
                <w:sz w:val="16"/>
                <w:szCs w:val="16"/>
                <w:color w:val="auto"/>
                <w:w w:val="93"/>
              </w:rPr>
              <w:t>Reclassification adjustment for gains included in net</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shd w:val="clear" w:color="auto" w:fill="F0FFFF"/>
          </w:tcPr>
          <w:p>
            <w:pPr>
              <w:ind w:left="560"/>
              <w:spacing w:after="0"/>
              <w:rPr>
                <w:sz w:val="20"/>
                <w:szCs w:val="20"/>
                <w:color w:val="auto"/>
              </w:rPr>
            </w:pPr>
            <w:r>
              <w:rPr>
                <w:rFonts w:ascii="Arial" w:cs="Arial" w:eastAsia="Arial" w:hAnsi="Arial"/>
                <w:sz w:val="16"/>
                <w:szCs w:val="16"/>
                <w:color w:val="auto"/>
              </w:rPr>
              <w:t>income</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w:t>
            </w:r>
          </w:p>
        </w:tc>
        <w:tc>
          <w:tcPr>
            <w:tcW w:w="1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(4,663)</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1,821</w:t>
            </w:r>
          </w:p>
        </w:tc>
        <w:tc>
          <w:tcPr>
            <w:tcW w:w="12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(2,842)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420"/>
              <w:spacing w:after="0"/>
              <w:rPr>
                <w:sz w:val="20"/>
                <w:szCs w:val="20"/>
                <w:color w:val="auto"/>
              </w:rPr>
            </w:pPr>
            <w:r>
              <w:rPr>
                <w:rFonts w:ascii="Arial" w:cs="Arial" w:eastAsia="Arial" w:hAnsi="Arial"/>
                <w:sz w:val="16"/>
                <w:szCs w:val="16"/>
                <w:color w:val="auto"/>
              </w:rPr>
              <w:t>Net unrealized gains (losses)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(4,368)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1,630</w:t>
            </w:r>
          </w:p>
        </w:tc>
        <w:tc>
          <w:tcPr>
            <w:tcW w:w="1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(2,738)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6,033</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(2,210)</w:t>
            </w: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3,823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F0FFFF"/>
          </w:tcPr>
          <w:p>
            <w:pPr>
              <w:ind w:left="120"/>
              <w:spacing w:after="0" w:line="181" w:lineRule="exact"/>
              <w:rPr>
                <w:sz w:val="20"/>
                <w:szCs w:val="20"/>
                <w:color w:val="auto"/>
              </w:rPr>
            </w:pPr>
            <w:r>
              <w:rPr>
                <w:rFonts w:ascii="Arial" w:cs="Arial" w:eastAsia="Arial" w:hAnsi="Arial"/>
                <w:sz w:val="16"/>
                <w:szCs w:val="16"/>
                <w:color w:val="auto"/>
              </w:rPr>
              <w:t>Amortization of gains included in net income on</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available-for-sale securities transferred to held-to-</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maturity</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468</w:t>
            </w: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292</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1,207</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(453)</w:t>
            </w:r>
          </w:p>
        </w:tc>
        <w:tc>
          <w:tcPr>
            <w:tcW w:w="12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420"/>
              <w:spacing w:after="0"/>
              <w:rPr>
                <w:sz w:val="20"/>
                <w:szCs w:val="20"/>
                <w:color w:val="auto"/>
              </w:rPr>
            </w:pPr>
            <w:r>
              <w:rPr>
                <w:rFonts w:ascii="Arial" w:cs="Arial" w:eastAsia="Arial" w:hAnsi="Arial"/>
                <w:sz w:val="16"/>
                <w:szCs w:val="16"/>
                <w:color w:val="auto"/>
              </w:rPr>
              <w:t>Net unrealized 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468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1,207</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(453)</w:t>
            </w: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754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F0FFFF"/>
          </w:tcPr>
          <w:p>
            <w:pPr>
              <w:ind w:left="120"/>
              <w:spacing w:after="0" w:line="181" w:lineRule="exact"/>
              <w:rPr>
                <w:sz w:val="20"/>
                <w:szCs w:val="20"/>
                <w:color w:val="auto"/>
              </w:rPr>
            </w:pPr>
            <w:r>
              <w:rPr>
                <w:rFonts w:ascii="Arial" w:cs="Arial" w:eastAsia="Arial" w:hAnsi="Arial"/>
                <w:sz w:val="16"/>
                <w:szCs w:val="16"/>
                <w:color w:val="auto"/>
              </w:rPr>
              <w:t>Amounts reclassified into net income on cash flow</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shd w:val="clear" w:color="auto" w:fill="F0FFFF"/>
          </w:tcPr>
          <w:p>
            <w:pPr>
              <w:ind w:left="420"/>
              <w:spacing w:after="0"/>
              <w:rPr>
                <w:sz w:val="20"/>
                <w:szCs w:val="20"/>
                <w:color w:val="auto"/>
              </w:rPr>
            </w:pPr>
            <w:r>
              <w:rPr>
                <w:rFonts w:ascii="Arial" w:cs="Arial" w:eastAsia="Arial" w:hAnsi="Arial"/>
                <w:sz w:val="16"/>
                <w:szCs w:val="16"/>
                <w:color w:val="auto"/>
              </w:rPr>
              <w:t>hedges</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(277)</w:t>
            </w:r>
          </w:p>
        </w:tc>
        <w:tc>
          <w:tcPr>
            <w:tcW w:w="1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434</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1,381</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843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Pr>
          <w:p>
            <w:pPr>
              <w:ind w:left="120"/>
              <w:spacing w:after="0" w:line="181" w:lineRule="exact"/>
              <w:rPr>
                <w:sz w:val="20"/>
                <w:szCs w:val="20"/>
                <w:color w:val="auto"/>
              </w:rPr>
            </w:pPr>
            <w:r>
              <w:rPr>
                <w:rFonts w:ascii="Arial" w:cs="Arial" w:eastAsia="Arial" w:hAnsi="Arial"/>
                <w:sz w:val="16"/>
                <w:szCs w:val="16"/>
                <w:color w:val="auto"/>
              </w:rPr>
              <w:t>Unrealized gains (losses) on derivative financial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260"/>
              <w:spacing w:after="0"/>
              <w:rPr>
                <w:sz w:val="20"/>
                <w:szCs w:val="20"/>
                <w:color w:val="auto"/>
              </w:rPr>
            </w:pPr>
            <w:r>
              <w:rPr>
                <w:rFonts w:ascii="Arial" w:cs="Arial" w:eastAsia="Arial" w:hAnsi="Arial"/>
                <w:sz w:val="16"/>
                <w:szCs w:val="16"/>
                <w:color w:val="auto"/>
              </w:rPr>
              <w:t>instruments accounted for as cash flow hedges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252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(5,967)</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2,322</w:t>
            </w:r>
          </w:p>
        </w:tc>
        <w:tc>
          <w:tcPr>
            <w:tcW w:w="1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(3,645)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420"/>
              <w:spacing w:after="0"/>
              <w:rPr>
                <w:sz w:val="20"/>
                <w:szCs w:val="20"/>
                <w:color w:val="auto"/>
              </w:rPr>
            </w:pPr>
            <w:r>
              <w:rPr>
                <w:rFonts w:ascii="Arial" w:cs="Arial" w:eastAsia="Arial" w:hAnsi="Arial"/>
                <w:sz w:val="16"/>
                <w:szCs w:val="16"/>
                <w:color w:val="auto"/>
              </w:rPr>
              <w:t>Net unrealized gains (losses)</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1,123</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(437)</w:t>
            </w: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686</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(4,586)</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1,784</w:t>
            </w:r>
          </w:p>
        </w:tc>
        <w:tc>
          <w:tcPr>
            <w:tcW w:w="1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(2,802)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120"/>
              <w:spacing w:after="0"/>
              <w:rPr>
                <w:sz w:val="20"/>
                <w:szCs w:val="20"/>
                <w:color w:val="auto"/>
              </w:rPr>
            </w:pPr>
            <w:r>
              <w:rPr>
                <w:rFonts w:ascii="Arial" w:cs="Arial" w:eastAsia="Arial" w:hAnsi="Arial"/>
                <w:sz w:val="16"/>
                <w:szCs w:val="16"/>
                <w:color w:val="auto"/>
              </w:rPr>
              <w:t>Net actuarial gain on defined benefit pension plan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296</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(115)</w:t>
            </w: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F0FFFF"/>
          </w:tcPr>
          <w:p>
            <w:pPr>
              <w:ind w:left="120"/>
              <w:spacing w:after="0" w:line="181" w:lineRule="exact"/>
              <w:rPr>
                <w:sz w:val="20"/>
                <w:szCs w:val="20"/>
                <w:color w:val="auto"/>
              </w:rPr>
            </w:pPr>
            <w:r>
              <w:rPr>
                <w:rFonts w:ascii="Arial" w:cs="Arial" w:eastAsia="Arial" w:hAnsi="Arial"/>
                <w:sz w:val="16"/>
                <w:szCs w:val="16"/>
                <w:color w:val="auto"/>
                <w:w w:val="98"/>
              </w:rPr>
              <w:t>Amortization of prior service cost and actuarial losses</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included in net periodic pension cost for defined</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benefit pension plan</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91</w:t>
            </w: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(36)</w:t>
            </w:r>
          </w:p>
        </w:tc>
        <w:tc>
          <w:tcPr>
            <w:tcW w:w="1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55</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274</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(107)</w:t>
            </w:r>
          </w:p>
        </w:tc>
        <w:tc>
          <w:tcPr>
            <w:tcW w:w="12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420"/>
              <w:spacing w:after="0"/>
              <w:rPr>
                <w:sz w:val="20"/>
                <w:szCs w:val="20"/>
                <w:color w:val="auto"/>
              </w:rPr>
            </w:pPr>
            <w:r>
              <w:rPr>
                <w:rFonts w:ascii="Arial" w:cs="Arial" w:eastAsia="Arial" w:hAnsi="Arial"/>
                <w:sz w:val="16"/>
                <w:szCs w:val="16"/>
                <w:color w:val="auto"/>
              </w:rPr>
              <w:t>Net defined benefit pension plan activity</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570</w:t>
            </w:r>
          </w:p>
        </w:tc>
        <w:tc>
          <w:tcPr>
            <w:tcW w:w="1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(222)</w:t>
            </w:r>
          </w:p>
        </w:tc>
        <w:tc>
          <w:tcPr>
            <w:tcW w:w="1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560"/>
              <w:spacing w:after="0"/>
              <w:rPr>
                <w:sz w:val="20"/>
                <w:szCs w:val="20"/>
                <w:color w:val="auto"/>
              </w:rPr>
            </w:pPr>
            <w:r>
              <w:rPr>
                <w:rFonts w:ascii="Arial" w:cs="Arial" w:eastAsia="Arial" w:hAnsi="Arial"/>
                <w:sz w:val="16"/>
                <w:szCs w:val="16"/>
                <w:color w:val="auto"/>
              </w:rPr>
              <w:t>Total other comprehensive income (loss)</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(2,686)</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(1,705)</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3,224</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(1,101)</w:t>
            </w:r>
          </w:p>
        </w:tc>
        <w:tc>
          <w:tcPr>
            <w:tcW w:w="1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560"/>
              <w:spacing w:after="0"/>
              <w:rPr>
                <w:sz w:val="20"/>
                <w:szCs w:val="20"/>
                <w:color w:val="auto"/>
              </w:rPr>
            </w:pPr>
            <w:r>
              <w:rPr>
                <w:rFonts w:ascii="Arial" w:cs="Arial" w:eastAsia="Arial" w:hAnsi="Arial"/>
                <w:sz w:val="16"/>
                <w:szCs w:val="16"/>
                <w:color w:val="auto"/>
              </w:rPr>
              <w:t>Comprehensive income</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24,924</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(9,013)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15,911</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81,256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(29,760)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51,496</w:t>
            </w:r>
          </w:p>
        </w:tc>
        <w:tc>
          <w:tcPr>
            <w:tcW w:w="0" w:type="dxa"/>
            <w:vAlign w:val="bottom"/>
          </w:tcPr>
          <w:p>
            <w:pPr>
              <w:spacing w:after="0"/>
              <w:rPr>
                <w:sz w:val="1"/>
                <w:szCs w:val="1"/>
                <w:color w:val="auto"/>
              </w:rPr>
            </w:pPr>
          </w:p>
        </w:tc>
      </w:tr>
      <w:tr>
        <w:trPr>
          <w:trHeight w:val="20"/>
        </w:trPr>
        <w:tc>
          <w:tcPr>
            <w:tcW w:w="38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38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86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860" w:type="dxa"/>
            <w:vAlign w:val="bottom"/>
          </w:tcPr>
          <w:p>
            <w:pPr>
              <w:spacing w:after="0"/>
              <w:rPr>
                <w:sz w:val="20"/>
                <w:szCs w:val="20"/>
                <w:color w:val="auto"/>
              </w:rPr>
            </w:pPr>
            <w:r>
              <w:rPr>
                <w:rFonts w:ascii="Arial" w:cs="Arial" w:eastAsia="Arial" w:hAnsi="Arial"/>
                <w:sz w:val="16"/>
                <w:szCs w:val="16"/>
                <w:color w:val="auto"/>
              </w:rPr>
              <w:t>Net income</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25,015</w:t>
            </w: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(9,515)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15,500</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10,548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246,681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257,229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spacing w:after="0"/>
              <w:rPr>
                <w:sz w:val="20"/>
                <w:szCs w:val="20"/>
                <w:color w:val="auto"/>
              </w:rPr>
            </w:pPr>
            <w:r>
              <w:rPr>
                <w:rFonts w:ascii="Arial" w:cs="Arial" w:eastAsia="Arial" w:hAnsi="Arial"/>
                <w:sz w:val="16"/>
                <w:szCs w:val="16"/>
                <w:color w:val="auto"/>
              </w:rPr>
              <w:t>Other comprehensive loss:</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120"/>
              <w:spacing w:after="0"/>
              <w:rPr>
                <w:sz w:val="20"/>
                <w:szCs w:val="20"/>
                <w:color w:val="auto"/>
              </w:rPr>
            </w:pPr>
            <w:r>
              <w:rPr>
                <w:rFonts w:ascii="Arial" w:cs="Arial" w:eastAsia="Arial" w:hAnsi="Arial"/>
                <w:sz w:val="16"/>
                <w:szCs w:val="16"/>
                <w:color w:val="auto"/>
              </w:rPr>
              <w:t>Unrealized losses on available-for-sale securities: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420"/>
              <w:spacing w:after="0"/>
              <w:rPr>
                <w:sz w:val="20"/>
                <w:szCs w:val="20"/>
                <w:color w:val="auto"/>
              </w:rPr>
            </w:pPr>
            <w:r>
              <w:rPr>
                <w:rFonts w:ascii="Arial" w:cs="Arial" w:eastAsia="Arial" w:hAnsi="Arial"/>
                <w:sz w:val="16"/>
                <w:szCs w:val="16"/>
                <w:color w:val="auto"/>
              </w:rPr>
              <w:t>Unrealized holding losses arising during period</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(13,215)</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4,971</w:t>
            </w: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(8,244)</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(26,932)</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10,148</w:t>
            </w:r>
          </w:p>
        </w:tc>
        <w:tc>
          <w:tcPr>
            <w:tcW w:w="1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(16,784)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Pr>
          <w:p>
            <w:pPr>
              <w:ind w:left="420"/>
              <w:spacing w:after="0" w:line="181" w:lineRule="exact"/>
              <w:rPr>
                <w:sz w:val="20"/>
                <w:szCs w:val="20"/>
                <w:color w:val="auto"/>
              </w:rPr>
            </w:pPr>
            <w:r>
              <w:rPr>
                <w:rFonts w:ascii="Arial" w:cs="Arial" w:eastAsia="Arial" w:hAnsi="Arial"/>
                <w:sz w:val="16"/>
                <w:szCs w:val="16"/>
                <w:color w:val="auto"/>
                <w:w w:val="93"/>
              </w:rPr>
              <w:t>Reclassification adjustment for gains included in net</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560"/>
              <w:spacing w:after="0"/>
              <w:rPr>
                <w:sz w:val="20"/>
                <w:szCs w:val="20"/>
                <w:color w:val="auto"/>
              </w:rPr>
            </w:pPr>
            <w:r>
              <w:rPr>
                <w:rFonts w:ascii="Arial" w:cs="Arial" w:eastAsia="Arial" w:hAnsi="Arial"/>
                <w:sz w:val="16"/>
                <w:szCs w:val="16"/>
                <w:color w:val="auto"/>
              </w:rPr>
              <w:t>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(116)</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shd w:val="clear" w:color="auto" w:fill="F0FFFF"/>
          </w:tcPr>
          <w:p>
            <w:pPr>
              <w:ind w:left="420"/>
              <w:spacing w:after="0" w:line="182" w:lineRule="exact"/>
              <w:rPr>
                <w:sz w:val="20"/>
                <w:szCs w:val="20"/>
                <w:color w:val="auto"/>
              </w:rPr>
            </w:pPr>
            <w:r>
              <w:rPr>
                <w:rFonts w:ascii="Arial" w:cs="Arial" w:eastAsia="Arial" w:hAnsi="Arial"/>
                <w:sz w:val="16"/>
                <w:szCs w:val="16"/>
                <w:color w:val="auto"/>
                <w:w w:val="93"/>
              </w:rPr>
              <w:t>Adjustment of valuation allowance for the change in</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560"/>
              <w:spacing w:after="0"/>
              <w:rPr>
                <w:sz w:val="20"/>
                <w:szCs w:val="20"/>
                <w:color w:val="auto"/>
              </w:rPr>
            </w:pPr>
            <w:r>
              <w:rPr>
                <w:rFonts w:ascii="Arial" w:cs="Arial" w:eastAsia="Arial" w:hAnsi="Arial"/>
                <w:sz w:val="16"/>
                <w:szCs w:val="16"/>
                <w:color w:val="auto"/>
                <w:w w:val="95"/>
              </w:rPr>
              <w:t>deferred taxes arising from unrealized gains and</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560"/>
              <w:spacing w:after="0"/>
              <w:rPr>
                <w:sz w:val="20"/>
                <w:szCs w:val="20"/>
                <w:color w:val="auto"/>
              </w:rPr>
            </w:pPr>
            <w:r>
              <w:rPr>
                <w:rFonts w:ascii="Arial" w:cs="Arial" w:eastAsia="Arial" w:hAnsi="Arial"/>
                <w:sz w:val="16"/>
                <w:szCs w:val="16"/>
                <w:color w:val="auto"/>
                <w:w w:val="91"/>
              </w:rPr>
              <w:t>losses on available- for-sale securities and release</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shd w:val="clear" w:color="auto" w:fill="F0FFFF"/>
          </w:tcPr>
          <w:p>
            <w:pPr>
              <w:ind w:left="560"/>
              <w:spacing w:after="0"/>
              <w:rPr>
                <w:sz w:val="20"/>
                <w:szCs w:val="20"/>
                <w:color w:val="auto"/>
              </w:rPr>
            </w:pPr>
            <w:r>
              <w:rPr>
                <w:rFonts w:ascii="Arial" w:cs="Arial" w:eastAsia="Arial" w:hAnsi="Arial"/>
                <w:sz w:val="16"/>
                <w:szCs w:val="16"/>
                <w:color w:val="auto"/>
              </w:rPr>
              <w:t>of valuation allowance</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(2,950)</w:t>
            </w:r>
          </w:p>
        </w:tc>
        <w:tc>
          <w:tcPr>
            <w:tcW w:w="12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420"/>
              <w:spacing w:after="0"/>
              <w:rPr>
                <w:sz w:val="20"/>
                <w:szCs w:val="20"/>
                <w:color w:val="auto"/>
              </w:rPr>
            </w:pPr>
            <w:r>
              <w:rPr>
                <w:rFonts w:ascii="Arial" w:cs="Arial" w:eastAsia="Arial" w:hAnsi="Arial"/>
                <w:sz w:val="16"/>
                <w:szCs w:val="16"/>
                <w:color w:val="auto"/>
              </w:rPr>
              <w:t>Net unrealized losses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(13,215)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4,971</w:t>
            </w:r>
          </w:p>
        </w:tc>
        <w:tc>
          <w:tcPr>
            <w:tcW w:w="1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(8,244)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(27,048)</w:t>
            </w: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7,243</w:t>
            </w:r>
          </w:p>
        </w:tc>
        <w:tc>
          <w:tcPr>
            <w:tcW w:w="1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(19,805)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F0FFFF"/>
          </w:tcPr>
          <w:p>
            <w:pPr>
              <w:ind w:left="120"/>
              <w:spacing w:after="0" w:line="181" w:lineRule="exact"/>
              <w:rPr>
                <w:sz w:val="20"/>
                <w:szCs w:val="20"/>
                <w:color w:val="auto"/>
              </w:rPr>
            </w:pPr>
            <w:r>
              <w:rPr>
                <w:rFonts w:ascii="Arial" w:cs="Arial" w:eastAsia="Arial" w:hAnsi="Arial"/>
                <w:sz w:val="16"/>
                <w:szCs w:val="16"/>
                <w:color w:val="auto"/>
              </w:rPr>
              <w:t>Amortization of gains included in net income on</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available-for-sale securities transferred to held-to-</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maturity</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(132)</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(804)</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309</w:t>
            </w:r>
          </w:p>
        </w:tc>
        <w:tc>
          <w:tcPr>
            <w:tcW w:w="12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(495)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Pr>
          <w:p>
            <w:pPr>
              <w:ind w:left="120"/>
              <w:spacing w:after="0" w:line="181" w:lineRule="exact"/>
              <w:rPr>
                <w:sz w:val="20"/>
                <w:szCs w:val="20"/>
                <w:color w:val="auto"/>
              </w:rPr>
            </w:pPr>
            <w:r>
              <w:rPr>
                <w:rFonts w:ascii="Arial" w:cs="Arial" w:eastAsia="Arial" w:hAnsi="Arial"/>
                <w:sz w:val="16"/>
                <w:szCs w:val="16"/>
                <w:color w:val="auto"/>
              </w:rPr>
              <w:t>Adjustment of valuation allowance for the change 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260"/>
              <w:spacing w:after="0"/>
              <w:rPr>
                <w:sz w:val="20"/>
                <w:szCs w:val="20"/>
                <w:color w:val="auto"/>
              </w:rPr>
            </w:pPr>
            <w:r>
              <w:rPr>
                <w:rFonts w:ascii="Arial" w:cs="Arial" w:eastAsia="Arial" w:hAnsi="Arial"/>
                <w:sz w:val="16"/>
                <w:szCs w:val="16"/>
                <w:color w:val="auto"/>
                <w:w w:val="96"/>
              </w:rPr>
              <w:t>deferred taxes arising from the amortization of gains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260"/>
              <w:spacing w:after="0"/>
              <w:rPr>
                <w:sz w:val="20"/>
                <w:szCs w:val="20"/>
                <w:color w:val="auto"/>
              </w:rPr>
            </w:pPr>
            <w:r>
              <w:rPr>
                <w:rFonts w:ascii="Arial" w:cs="Arial" w:eastAsia="Arial" w:hAnsi="Arial"/>
                <w:sz w:val="16"/>
                <w:szCs w:val="16"/>
                <w:color w:val="auto"/>
                <w:w w:val="94"/>
              </w:rPr>
              <w:t>included in net income on available-for-sale securities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260"/>
              <w:spacing w:after="0"/>
              <w:rPr>
                <w:sz w:val="20"/>
                <w:szCs w:val="20"/>
                <w:color w:val="auto"/>
              </w:rPr>
            </w:pPr>
            <w:r>
              <w:rPr>
                <w:rFonts w:ascii="Arial" w:cs="Arial" w:eastAsia="Arial" w:hAnsi="Arial"/>
                <w:sz w:val="16"/>
                <w:szCs w:val="16"/>
                <w:color w:val="auto"/>
                <w:w w:val="92"/>
              </w:rPr>
              <w:t>transferred to held-to-maturity and release of valuation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260"/>
              <w:spacing w:after="0"/>
              <w:rPr>
                <w:sz w:val="20"/>
                <w:szCs w:val="20"/>
                <w:color w:val="auto"/>
              </w:rPr>
            </w:pPr>
            <w:r>
              <w:rPr>
                <w:rFonts w:ascii="Arial" w:cs="Arial" w:eastAsia="Arial" w:hAnsi="Arial"/>
                <w:sz w:val="16"/>
                <w:szCs w:val="16"/>
                <w:color w:val="auto"/>
              </w:rPr>
              <w:t>allowance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1,293</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1,293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420"/>
              <w:spacing w:after="0"/>
              <w:rPr>
                <w:sz w:val="20"/>
                <w:szCs w:val="20"/>
                <w:color w:val="auto"/>
              </w:rPr>
            </w:pPr>
            <w:r>
              <w:rPr>
                <w:rFonts w:ascii="Arial" w:cs="Arial" w:eastAsia="Arial" w:hAnsi="Arial"/>
                <w:sz w:val="16"/>
                <w:szCs w:val="16"/>
                <w:color w:val="auto"/>
              </w:rPr>
              <w:t>Net unrealized losses</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(214)</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82</w:t>
            </w: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(132)</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(804)</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1,602</w:t>
            </w:r>
          </w:p>
        </w:tc>
        <w:tc>
          <w:tcPr>
            <w:tcW w:w="1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798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Pr>
          <w:p>
            <w:pPr>
              <w:ind w:left="120"/>
              <w:spacing w:after="0" w:line="181" w:lineRule="exact"/>
              <w:rPr>
                <w:sz w:val="20"/>
                <w:szCs w:val="20"/>
                <w:color w:val="auto"/>
              </w:rPr>
            </w:pPr>
            <w:r>
              <w:rPr>
                <w:rFonts w:ascii="Arial" w:cs="Arial" w:eastAsia="Arial" w:hAnsi="Arial"/>
                <w:sz w:val="16"/>
                <w:szCs w:val="16"/>
                <w:color w:val="auto"/>
              </w:rPr>
              <w:t>Amounts reclassified into net income on cash flow</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260"/>
              <w:spacing w:after="0"/>
              <w:rPr>
                <w:sz w:val="20"/>
                <w:szCs w:val="20"/>
                <w:color w:val="auto"/>
              </w:rPr>
            </w:pPr>
            <w:r>
              <w:rPr>
                <w:rFonts w:ascii="Arial" w:cs="Arial" w:eastAsia="Arial" w:hAnsi="Arial"/>
                <w:sz w:val="16"/>
                <w:szCs w:val="16"/>
                <w:color w:val="auto"/>
              </w:rPr>
              <w:t>hedges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(902)</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351</w:t>
            </w:r>
          </w:p>
        </w:tc>
        <w:tc>
          <w:tcPr>
            <w:tcW w:w="1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860" w:type="dxa"/>
            <w:vAlign w:val="bottom"/>
            <w:shd w:val="clear" w:color="auto" w:fill="F0FFFF"/>
          </w:tcPr>
          <w:p>
            <w:pPr>
              <w:ind w:left="120"/>
              <w:spacing w:after="0" w:line="182" w:lineRule="exact"/>
              <w:rPr>
                <w:sz w:val="20"/>
                <w:szCs w:val="20"/>
                <w:color w:val="auto"/>
              </w:rPr>
            </w:pPr>
            <w:r>
              <w:rPr>
                <w:rFonts w:ascii="Arial" w:cs="Arial" w:eastAsia="Arial" w:hAnsi="Arial"/>
                <w:sz w:val="16"/>
                <w:szCs w:val="16"/>
                <w:color w:val="auto"/>
              </w:rPr>
              <w:t>Unrealized gains on derivative financial instruments</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accounted for as cash flow hedges</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(3,369)</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1,321</w:t>
            </w:r>
          </w:p>
        </w:tc>
        <w:tc>
          <w:tcPr>
            <w:tcW w:w="1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(2,048)</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8,733</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(3,386)</w:t>
            </w:r>
          </w:p>
        </w:tc>
        <w:tc>
          <w:tcPr>
            <w:tcW w:w="12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5,347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tcPr>
          <w:p>
            <w:pPr>
              <w:ind w:left="120"/>
              <w:spacing w:after="0" w:line="181" w:lineRule="exact"/>
              <w:rPr>
                <w:sz w:val="20"/>
                <w:szCs w:val="20"/>
                <w:color w:val="auto"/>
              </w:rPr>
            </w:pPr>
            <w:r>
              <w:rPr>
                <w:rFonts w:ascii="Arial" w:cs="Arial" w:eastAsia="Arial" w:hAnsi="Arial"/>
                <w:sz w:val="16"/>
                <w:szCs w:val="16"/>
                <w:color w:val="auto"/>
              </w:rPr>
              <w:t>Adjustment of valuation allowance for the change in</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260"/>
              <w:spacing w:after="0"/>
              <w:rPr>
                <w:sz w:val="20"/>
                <w:szCs w:val="20"/>
                <w:color w:val="auto"/>
              </w:rPr>
            </w:pPr>
            <w:r>
              <w:rPr>
                <w:rFonts w:ascii="Arial" w:cs="Arial" w:eastAsia="Arial" w:hAnsi="Arial"/>
                <w:sz w:val="16"/>
                <w:szCs w:val="16"/>
                <w:color w:val="auto"/>
                <w:w w:val="91"/>
              </w:rPr>
              <w:t>deferred taxes arising from unrealized gains and losses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260"/>
              <w:spacing w:after="0"/>
              <w:rPr>
                <w:sz w:val="20"/>
                <w:szCs w:val="20"/>
                <w:color w:val="auto"/>
              </w:rPr>
            </w:pPr>
            <w:r>
              <w:rPr>
                <w:rFonts w:ascii="Arial" w:cs="Arial" w:eastAsia="Arial" w:hAnsi="Arial"/>
                <w:sz w:val="16"/>
                <w:szCs w:val="16"/>
                <w:color w:val="auto"/>
                <w:w w:val="98"/>
              </w:rPr>
              <w:t>and amortization of gains included in net income on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tcPr>
          <w:p>
            <w:pPr>
              <w:ind w:left="260"/>
              <w:spacing w:after="0"/>
              <w:rPr>
                <w:sz w:val="20"/>
                <w:szCs w:val="20"/>
                <w:color w:val="auto"/>
              </w:rPr>
            </w:pPr>
            <w:r>
              <w:rPr>
                <w:rFonts w:ascii="Arial" w:cs="Arial" w:eastAsia="Arial" w:hAnsi="Arial"/>
                <w:sz w:val="16"/>
                <w:szCs w:val="16"/>
                <w:color w:val="auto"/>
                <w:w w:val="95"/>
              </w:rPr>
              <w:t>cash flow hedges and release of valuation allowance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13,698</w:t>
            </w:r>
          </w:p>
        </w:tc>
        <w:tc>
          <w:tcPr>
            <w:tcW w:w="1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13,698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420"/>
              <w:spacing w:after="0"/>
              <w:rPr>
                <w:sz w:val="20"/>
                <w:szCs w:val="20"/>
                <w:color w:val="auto"/>
              </w:rPr>
            </w:pPr>
            <w:r>
              <w:rPr>
                <w:rFonts w:ascii="Arial" w:cs="Arial" w:eastAsia="Arial" w:hAnsi="Arial"/>
                <w:sz w:val="16"/>
                <w:szCs w:val="16"/>
                <w:color w:val="auto"/>
              </w:rPr>
              <w:t>Net unrealized (losses) gains</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(3,427)</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1,344</w:t>
            </w: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(2,083)</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7,831</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10,663</w:t>
            </w:r>
          </w:p>
        </w:tc>
        <w:tc>
          <w:tcPr>
            <w:tcW w:w="1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18,494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120"/>
              <w:spacing w:after="0"/>
              <w:rPr>
                <w:sz w:val="20"/>
                <w:szCs w:val="20"/>
                <w:color w:val="auto"/>
              </w:rPr>
            </w:pPr>
            <w:r>
              <w:rPr>
                <w:rFonts w:ascii="Arial" w:cs="Arial" w:eastAsia="Arial" w:hAnsi="Arial"/>
                <w:sz w:val="16"/>
                <w:szCs w:val="16"/>
                <w:color w:val="auto"/>
              </w:rPr>
              <w:t>Net actuarial loss on defined benefit pension plan</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(415)</w:t>
            </w: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(254)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860" w:type="dxa"/>
            <w:vAlign w:val="bottom"/>
            <w:shd w:val="clear" w:color="auto" w:fill="F0FFFF"/>
          </w:tcPr>
          <w:p>
            <w:pPr>
              <w:ind w:left="120"/>
              <w:spacing w:after="0" w:line="181" w:lineRule="exact"/>
              <w:rPr>
                <w:sz w:val="20"/>
                <w:szCs w:val="20"/>
                <w:color w:val="auto"/>
              </w:rPr>
            </w:pPr>
            <w:r>
              <w:rPr>
                <w:rFonts w:ascii="Arial" w:cs="Arial" w:eastAsia="Arial" w:hAnsi="Arial"/>
                <w:sz w:val="16"/>
                <w:szCs w:val="16"/>
                <w:color w:val="auto"/>
                <w:w w:val="98"/>
              </w:rPr>
              <w:t>Amortization of prior service cost and actuarial losses</w:t>
            </w: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included in net periodic pension cost for defined</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8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benefit pension plan</w:t>
            </w: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(52)</w:t>
            </w:r>
          </w:p>
        </w:tc>
        <w:tc>
          <w:tcPr>
            <w:tcW w:w="12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81</w:t>
            </w:r>
          </w:p>
        </w:tc>
        <w:tc>
          <w:tcPr>
            <w:tcW w:w="8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398</w:t>
            </w: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420"/>
              <w:spacing w:after="0"/>
              <w:rPr>
                <w:sz w:val="20"/>
                <w:szCs w:val="20"/>
                <w:color w:val="auto"/>
              </w:rPr>
            </w:pPr>
            <w:r>
              <w:rPr>
                <w:rFonts w:ascii="Arial" w:cs="Arial" w:eastAsia="Arial" w:hAnsi="Arial"/>
                <w:sz w:val="16"/>
                <w:szCs w:val="16"/>
                <w:color w:val="auto"/>
              </w:rPr>
              <w:t>Net defined benefit pension plan activity</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shd w:val="clear" w:color="auto" w:fill="F0FFFF"/>
          </w:tcPr>
          <w:p>
            <w:pPr>
              <w:ind w:left="560"/>
              <w:spacing w:after="0"/>
              <w:rPr>
                <w:sz w:val="20"/>
                <w:szCs w:val="20"/>
                <w:color w:val="auto"/>
              </w:rPr>
            </w:pPr>
            <w:r>
              <w:rPr>
                <w:rFonts w:ascii="Arial" w:cs="Arial" w:eastAsia="Arial" w:hAnsi="Arial"/>
                <w:sz w:val="16"/>
                <w:szCs w:val="16"/>
                <w:color w:val="auto"/>
              </w:rPr>
              <w:t>Total other comprehensive loss</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(16,723)</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6,345</w:t>
            </w: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(10,378)</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(20,038)</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19,514</w:t>
            </w:r>
          </w:p>
        </w:tc>
        <w:tc>
          <w:tcPr>
            <w:tcW w:w="1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86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860" w:type="dxa"/>
            <w:vAlign w:val="bottom"/>
          </w:tcPr>
          <w:p>
            <w:pPr>
              <w:ind w:left="560"/>
              <w:spacing w:after="0"/>
              <w:rPr>
                <w:sz w:val="20"/>
                <w:szCs w:val="20"/>
                <w:color w:val="auto"/>
              </w:rPr>
            </w:pPr>
            <w:r>
              <w:rPr>
                <w:rFonts w:ascii="Arial" w:cs="Arial" w:eastAsia="Arial" w:hAnsi="Arial"/>
                <w:sz w:val="16"/>
                <w:szCs w:val="16"/>
                <w:color w:val="auto"/>
              </w:rPr>
              <w:t>Comprehensive income</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8,292</w:t>
            </w:r>
          </w:p>
        </w:tc>
        <w:tc>
          <w:tcPr>
            <w:tcW w:w="14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(3,170)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5,122</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(9,490)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6"/>
                <w:szCs w:val="16"/>
                <w:color w:val="auto"/>
              </w:rPr>
              <w:t>266,195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256,705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1032" w:right="219" w:bottom="139"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UNITED COMMUNITY BANKS,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Balance Sheet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22225</wp:posOffset>
            </wp:positionV>
            <wp:extent cx="719137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1375" cy="15240"/>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90"/>
              </w:rPr>
              <w:t>December 31,</w:t>
            </w:r>
          </w:p>
        </w:tc>
        <w:tc>
          <w:tcPr>
            <w:tcW w:w="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September 30,</w:t>
            </w:r>
          </w:p>
        </w:tc>
      </w:tr>
      <w:tr>
        <w:trPr>
          <w:trHeight w:val="215"/>
        </w:trPr>
        <w:tc>
          <w:tcPr>
            <w:tcW w:w="7320" w:type="dxa"/>
            <w:vAlign w:val="bottom"/>
            <w:gridSpan w:val="2"/>
          </w:tcPr>
          <w:p>
            <w:pPr>
              <w:spacing w:after="0"/>
              <w:rPr>
                <w:sz w:val="20"/>
                <w:szCs w:val="20"/>
                <w:color w:val="auto"/>
              </w:rPr>
            </w:pPr>
            <w:r>
              <w:rPr>
                <w:rFonts w:ascii="Arial" w:cs="Arial" w:eastAsia="Arial" w:hAnsi="Arial"/>
                <w:sz w:val="16"/>
                <w:szCs w:val="16"/>
                <w:i w:val="1"/>
                <w:iCs w:val="1"/>
                <w:color w:val="auto"/>
              </w:rPr>
              <w:t>(in thousands, except share and per share data)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73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F0FFFF"/>
          </w:tcPr>
          <w:p>
            <w:pPr>
              <w:spacing w:after="0"/>
              <w:rPr>
                <w:sz w:val="16"/>
                <w:szCs w:val="16"/>
                <w:color w:val="auto"/>
              </w:rPr>
            </w:pPr>
          </w:p>
        </w:tc>
        <w:tc>
          <w:tcPr>
            <w:tcW w:w="80" w:type="dxa"/>
            <w:vAlign w:val="bottom"/>
            <w:tcBorders>
              <w:top w:val="single" w:sz="8" w:color="auto"/>
            </w:tcBorders>
            <w:shd w:val="clear" w:color="auto" w:fill="F0FFFF"/>
          </w:tcPr>
          <w:p>
            <w:pPr>
              <w:spacing w:after="0"/>
              <w:rPr>
                <w:sz w:val="16"/>
                <w:szCs w:val="16"/>
                <w:color w:val="auto"/>
              </w:rPr>
            </w:pPr>
          </w:p>
        </w:tc>
        <w:tc>
          <w:tcPr>
            <w:tcW w:w="108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tcBorders>
              <w:top w:val="single" w:sz="8" w:color="auto"/>
            </w:tcBorders>
            <w:shd w:val="clear" w:color="auto" w:fill="F0FFFF"/>
          </w:tcPr>
          <w:p>
            <w:pPr>
              <w:spacing w:after="0"/>
              <w:rPr>
                <w:sz w:val="16"/>
                <w:szCs w:val="16"/>
                <w:color w:val="auto"/>
              </w:rPr>
            </w:pPr>
          </w:p>
        </w:tc>
        <w:tc>
          <w:tcPr>
            <w:tcW w:w="106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88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Cash and due from banks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75,268</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71,230</w:t>
            </w:r>
          </w:p>
        </w:tc>
        <w:tc>
          <w:tcPr>
            <w:tcW w:w="32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70,986</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Interest-bearing deposits in banks</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117,399</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119,669</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131,147</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23,397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37,999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62,000</w:t>
            </w:r>
          </w:p>
        </w:tc>
      </w:tr>
      <w:tr>
        <w:trPr>
          <w:trHeight w:val="24"/>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260"/>
              <w:spacing w:after="0"/>
              <w:rPr>
                <w:sz w:val="20"/>
                <w:szCs w:val="20"/>
                <w:color w:val="auto"/>
              </w:rPr>
            </w:pPr>
            <w:r>
              <w:rPr>
                <w:rFonts w:ascii="Arial" w:cs="Arial" w:eastAsia="Arial" w:hAnsi="Arial"/>
                <w:sz w:val="16"/>
                <w:szCs w:val="16"/>
                <w:color w:val="auto"/>
              </w:rPr>
              <w:t>Cash and cash equivalents</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216,064</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228,898</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264,133</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Securities available for sale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1,789,667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1,832,217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1,963,424</w:t>
            </w: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Securities held to maturity (fair value $440,311, $485,585 and $214,651)</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432,418</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479,742</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205,613</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Mortgage loans held for sale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20,004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10,319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11,987</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Loans, net of unearned income</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4,568,886</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4,329,266</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4,267,067</w:t>
            </w:r>
          </w:p>
        </w:tc>
        <w:tc>
          <w:tcPr>
            <w:tcW w:w="120" w:type="dxa"/>
            <w:vAlign w:val="bottom"/>
            <w:shd w:val="clear" w:color="auto" w:fill="F0FF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Less allowance for loan losses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(71,928)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(76,762)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(80,372)</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420"/>
              <w:spacing w:after="0"/>
              <w:rPr>
                <w:sz w:val="20"/>
                <w:szCs w:val="20"/>
                <w:color w:val="auto"/>
              </w:rPr>
            </w:pPr>
            <w:r>
              <w:rPr>
                <w:rFonts w:ascii="Arial" w:cs="Arial" w:eastAsia="Arial" w:hAnsi="Arial"/>
                <w:sz w:val="16"/>
                <w:szCs w:val="16"/>
                <w:color w:val="auto"/>
              </w:rPr>
              <w:t>Loans, net</w:t>
            </w:r>
          </w:p>
        </w:tc>
        <w:tc>
          <w:tcPr>
            <w:tcW w:w="120" w:type="dxa"/>
            <w:vAlign w:val="bottom"/>
            <w:shd w:val="clear" w:color="auto" w:fill="F0FFFF"/>
          </w:tcPr>
          <w:p>
            <w:pPr>
              <w:spacing w:after="0"/>
              <w:rPr>
                <w:sz w:val="16"/>
                <w:szCs w:val="16"/>
                <w:color w:val="auto"/>
              </w:rPr>
            </w:pPr>
          </w:p>
        </w:tc>
        <w:tc>
          <w:tcPr>
            <w:tcW w:w="80" w:type="dxa"/>
            <w:vAlign w:val="bottom"/>
            <w:tcBorders>
              <w:top w:val="single" w:sz="8" w:color="auto"/>
            </w:tcBorders>
            <w:shd w:val="clear" w:color="auto" w:fill="F0FFFF"/>
          </w:tcPr>
          <w:p>
            <w:pPr>
              <w:spacing w:after="0"/>
              <w:rPr>
                <w:sz w:val="16"/>
                <w:szCs w:val="16"/>
                <w:color w:val="auto"/>
              </w:rPr>
            </w:pPr>
          </w:p>
        </w:tc>
        <w:tc>
          <w:tcPr>
            <w:tcW w:w="10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4,496,958</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tcBorders>
              <w:top w:val="single" w:sz="8" w:color="auto"/>
            </w:tcBorders>
            <w:shd w:val="clear" w:color="auto" w:fill="F0FFFF"/>
          </w:tcPr>
          <w:p>
            <w:pPr>
              <w:spacing w:after="0"/>
              <w:rPr>
                <w:sz w:val="16"/>
                <w:szCs w:val="16"/>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4,252,504</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4,186,695</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Assets covered by loss sharing agreements with the FDIC</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3,253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22,882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31,207</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Premises and equipment, net</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160,454</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163,589</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165,993</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Bank owned life insurance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81,101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80,670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80,537</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Accrued interest receivable</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19,908</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19,598</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18,199</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Goodwill and core deposit intangibles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3,910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3,480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3,888</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Foreclosed property</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3,146</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4,221</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4,467</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Net deferred tax asset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224,734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258,518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269,784</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22,221</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23,833</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8,092</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52,051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44,948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29,274</w:t>
            </w:r>
          </w:p>
        </w:tc>
      </w:tr>
      <w:tr>
        <w:trPr>
          <w:trHeight w:val="24"/>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4"/>
        </w:trPr>
        <w:tc>
          <w:tcPr>
            <w:tcW w:w="20" w:type="dxa"/>
            <w:vAlign w:val="bottom"/>
          </w:tcPr>
          <w:p>
            <w:pPr>
              <w:spacing w:after="0"/>
              <w:rPr>
                <w:sz w:val="20"/>
                <w:szCs w:val="20"/>
                <w:color w:val="auto"/>
              </w:rPr>
            </w:pPr>
          </w:p>
        </w:tc>
        <w:tc>
          <w:tcPr>
            <w:tcW w:w="7300" w:type="dxa"/>
            <w:vAlign w:val="bottom"/>
            <w:shd w:val="clear" w:color="auto" w:fill="F0FFFF"/>
          </w:tcPr>
          <w:p>
            <w:pPr>
              <w:ind w:left="220"/>
              <w:spacing w:after="0"/>
              <w:rPr>
                <w:sz w:val="20"/>
                <w:szCs w:val="20"/>
                <w:color w:val="auto"/>
              </w:rPr>
            </w:pPr>
            <w:r>
              <w:rPr>
                <w:rFonts w:ascii="Arial" w:cs="Arial" w:eastAsia="Arial" w:hAnsi="Arial"/>
                <w:sz w:val="16"/>
                <w:szCs w:val="16"/>
                <w:b w:val="1"/>
                <w:bCs w:val="1"/>
                <w:color w:val="auto"/>
              </w:rPr>
              <w:t>Total assets</w:t>
            </w:r>
          </w:p>
        </w:tc>
        <w:tc>
          <w:tcPr>
            <w:tcW w:w="120" w:type="dxa"/>
            <w:vAlign w:val="bottom"/>
            <w:shd w:val="clear" w:color="auto" w:fill="F0FFFF"/>
          </w:tcPr>
          <w:p>
            <w:pPr>
              <w:spacing w:after="0"/>
              <w:rPr>
                <w:sz w:val="20"/>
                <w:szCs w:val="20"/>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7,525,889</w:t>
            </w:r>
          </w:p>
        </w:tc>
        <w:tc>
          <w:tcPr>
            <w:tcW w:w="140" w:type="dxa"/>
            <w:vAlign w:val="bottom"/>
            <w:shd w:val="clear" w:color="auto" w:fill="F0FFFF"/>
          </w:tcPr>
          <w:p>
            <w:pPr>
              <w:spacing w:after="0"/>
              <w:rPr>
                <w:sz w:val="20"/>
                <w:szCs w:val="20"/>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7,425,419</w:t>
            </w:r>
          </w:p>
        </w:tc>
        <w:tc>
          <w:tcPr>
            <w:tcW w:w="32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7,243,293</w:t>
            </w:r>
          </w:p>
        </w:tc>
        <w:tc>
          <w:tcPr>
            <w:tcW w:w="120" w:type="dxa"/>
            <w:vAlign w:val="bottom"/>
            <w:shd w:val="clear" w:color="auto" w:fill="F0FFFF"/>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7300" w:type="dxa"/>
            <w:vAlign w:val="bottom"/>
            <w:tcBorders>
              <w:top w:val="single" w:sz="8" w:color="F0FFFF"/>
            </w:tcBorders>
          </w:tcPr>
          <w:p>
            <w:pPr>
              <w:spacing w:after="0" w:line="183" w:lineRule="exact"/>
              <w:rPr>
                <w:sz w:val="20"/>
                <w:szCs w:val="20"/>
                <w:color w:val="auto"/>
              </w:rPr>
            </w:pPr>
            <w:r>
              <w:rPr>
                <w:rFonts w:ascii="Arial" w:cs="Arial" w:eastAsia="Arial" w:hAnsi="Arial"/>
                <w:sz w:val="16"/>
                <w:szCs w:val="16"/>
                <w:b w:val="1"/>
                <w:bCs w:val="1"/>
                <w:color w:val="auto"/>
              </w:rPr>
              <w:t>LIABILITIES AND SHAREHOLDERS’ EQUITY</w:t>
            </w:r>
          </w:p>
        </w:tc>
        <w:tc>
          <w:tcPr>
            <w:tcW w:w="12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260"/>
              <w:spacing w:after="0"/>
              <w:rPr>
                <w:sz w:val="20"/>
                <w:szCs w:val="20"/>
                <w:color w:val="auto"/>
              </w:rPr>
            </w:pPr>
            <w:r>
              <w:rPr>
                <w:rFonts w:ascii="Arial" w:cs="Arial" w:eastAsia="Arial" w:hAnsi="Arial"/>
                <w:sz w:val="16"/>
                <w:szCs w:val="16"/>
                <w:color w:val="auto"/>
              </w:rPr>
              <w:t>Demand</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1,561,020</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1,388,512</w:t>
            </w:r>
          </w:p>
        </w:tc>
        <w:tc>
          <w:tcPr>
            <w:tcW w:w="32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1,418,782</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NOW</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1,399,449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1,427,939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1,279,134</w:t>
            </w: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260"/>
              <w:spacing w:after="0"/>
              <w:rPr>
                <w:sz w:val="20"/>
                <w:szCs w:val="20"/>
                <w:color w:val="auto"/>
              </w:rPr>
            </w:pPr>
            <w:r>
              <w:rPr>
                <w:rFonts w:ascii="Arial" w:cs="Arial" w:eastAsia="Arial" w:hAnsi="Arial"/>
                <w:sz w:val="16"/>
                <w:szCs w:val="16"/>
                <w:color w:val="auto"/>
              </w:rPr>
              <w:t>Money market</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1,281,526</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1,227,575</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1,197,495</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Savings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287,797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251,125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249,044</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260"/>
              <w:spacing w:after="0"/>
              <w:rPr>
                <w:sz w:val="20"/>
                <w:szCs w:val="20"/>
                <w:color w:val="auto"/>
              </w:rPr>
            </w:pPr>
            <w:r>
              <w:rPr>
                <w:rFonts w:ascii="Arial" w:cs="Arial" w:eastAsia="Arial" w:hAnsi="Arial"/>
                <w:sz w:val="16"/>
                <w:szCs w:val="16"/>
                <w:color w:val="auto"/>
              </w:rPr>
              <w:t>Time:</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460"/>
              <w:spacing w:after="0"/>
              <w:rPr>
                <w:sz w:val="20"/>
                <w:szCs w:val="20"/>
                <w:color w:val="auto"/>
              </w:rPr>
            </w:pPr>
            <w:r>
              <w:rPr>
                <w:rFonts w:ascii="Arial" w:cs="Arial" w:eastAsia="Arial" w:hAnsi="Arial"/>
                <w:sz w:val="16"/>
                <w:szCs w:val="16"/>
                <w:color w:val="auto"/>
              </w:rPr>
              <w:t>Less than $100,000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774,201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892,961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925,089</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460"/>
              <w:spacing w:after="0"/>
              <w:rPr>
                <w:sz w:val="20"/>
                <w:szCs w:val="20"/>
                <w:color w:val="auto"/>
              </w:rPr>
            </w:pPr>
            <w:r>
              <w:rPr>
                <w:rFonts w:ascii="Arial" w:cs="Arial" w:eastAsia="Arial" w:hAnsi="Arial"/>
                <w:sz w:val="16"/>
                <w:szCs w:val="16"/>
                <w:color w:val="auto"/>
              </w:rPr>
              <w:t>Greater than $100,000</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531,428</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588,689</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624,019</w:t>
            </w:r>
          </w:p>
        </w:tc>
      </w:tr>
      <w:tr>
        <w:trPr>
          <w:trHeight w:val="194"/>
        </w:trPr>
        <w:tc>
          <w:tcPr>
            <w:tcW w:w="20" w:type="dxa"/>
            <w:vAlign w:val="bottom"/>
          </w:tcPr>
          <w:p>
            <w:pPr>
              <w:spacing w:after="0"/>
              <w:rPr>
                <w:sz w:val="16"/>
                <w:szCs w:val="16"/>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Brokered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405,308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424,704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419,344</w:t>
            </w:r>
          </w:p>
        </w:tc>
      </w:tr>
      <w:tr>
        <w:trPr>
          <w:trHeight w:val="24"/>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820"/>
              <w:spacing w:after="0"/>
              <w:rPr>
                <w:sz w:val="20"/>
                <w:szCs w:val="20"/>
                <w:color w:val="auto"/>
              </w:rPr>
            </w:pPr>
            <w:r>
              <w:rPr>
                <w:rFonts w:ascii="Arial" w:cs="Arial" w:eastAsia="Arial" w:hAnsi="Arial"/>
                <w:sz w:val="16"/>
                <w:szCs w:val="16"/>
                <w:color w:val="auto"/>
              </w:rPr>
              <w:t>Total deposits</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6,240,729</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6,201,505</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6,112,907</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Short-term borrowings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6,001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53,241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53,769</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Federal Home Loan Bank advances</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330,125</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120,125</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125</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129,865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129,865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129,865</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36,171</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46,232</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37,269</w:t>
            </w: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Unsettled securities purchases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29,562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11,610</w:t>
            </w:r>
          </w:p>
        </w:tc>
      </w:tr>
      <w:tr>
        <w:trPr>
          <w:trHeight w:val="198"/>
        </w:trPr>
        <w:tc>
          <w:tcPr>
            <w:tcW w:w="20" w:type="dxa"/>
            <w:vAlign w:val="bottom"/>
          </w:tcPr>
          <w:p>
            <w:pPr>
              <w:spacing w:after="0"/>
              <w:rPr>
                <w:sz w:val="17"/>
                <w:szCs w:val="17"/>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Accrued expenses and other liabilities</w:t>
            </w: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46,573</w:t>
            </w: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49,174</w:t>
            </w:r>
          </w:p>
        </w:tc>
        <w:tc>
          <w:tcPr>
            <w:tcW w:w="14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45,531</w:t>
            </w:r>
          </w:p>
        </w:tc>
      </w:tr>
      <w:tr>
        <w:trPr>
          <w:trHeight w:val="198"/>
        </w:trPr>
        <w:tc>
          <w:tcPr>
            <w:tcW w:w="20" w:type="dxa"/>
            <w:vAlign w:val="bottom"/>
          </w:tcPr>
          <w:p>
            <w:pPr>
              <w:spacing w:after="0"/>
              <w:rPr>
                <w:sz w:val="17"/>
                <w:szCs w:val="17"/>
                <w:color w:val="auto"/>
              </w:rPr>
            </w:pPr>
          </w:p>
        </w:tc>
        <w:tc>
          <w:tcPr>
            <w:tcW w:w="7300" w:type="dxa"/>
            <w:vAlign w:val="bottom"/>
            <w:tcBorders>
              <w:top w:val="single" w:sz="8" w:color="F0FFFF"/>
            </w:tcBorders>
          </w:tcPr>
          <w:p>
            <w:pPr>
              <w:ind w:left="260"/>
              <w:spacing w:after="0"/>
              <w:rPr>
                <w:sz w:val="20"/>
                <w:szCs w:val="20"/>
                <w:color w:val="auto"/>
              </w:rPr>
            </w:pPr>
            <w:r>
              <w:rPr>
                <w:rFonts w:ascii="Arial" w:cs="Arial" w:eastAsia="Arial" w:hAnsi="Arial"/>
                <w:sz w:val="16"/>
                <w:szCs w:val="16"/>
                <w:b w:val="1"/>
                <w:bCs w:val="1"/>
                <w:color w:val="auto"/>
              </w:rPr>
              <w:t>Total liabilities</w:t>
            </w:r>
          </w:p>
        </w:tc>
        <w:tc>
          <w:tcPr>
            <w:tcW w:w="120" w:type="dxa"/>
            <w:vAlign w:val="bottom"/>
            <w:tcBorders>
              <w:top w:val="single" w:sz="8" w:color="F0FF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6,789,464</w:t>
            </w:r>
          </w:p>
        </w:tc>
        <w:tc>
          <w:tcPr>
            <w:tcW w:w="140" w:type="dxa"/>
            <w:vAlign w:val="bottom"/>
            <w:tcBorders>
              <w:top w:val="single" w:sz="8" w:color="F0FFFF"/>
            </w:tcBorders>
          </w:tcPr>
          <w:p>
            <w:pPr>
              <w:spacing w:after="0"/>
              <w:rPr>
                <w:sz w:val="17"/>
                <w:szCs w:val="17"/>
                <w:color w:val="auto"/>
              </w:rPr>
            </w:pPr>
          </w:p>
        </w:tc>
        <w:tc>
          <w:tcPr>
            <w:tcW w:w="100" w:type="dxa"/>
            <w:vAlign w:val="bottom"/>
            <w:tcBorders>
              <w:top w:val="single" w:sz="8" w:color="F0FF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6,629,704</w:t>
            </w:r>
          </w:p>
        </w:tc>
        <w:tc>
          <w:tcPr>
            <w:tcW w:w="140" w:type="dxa"/>
            <w:vAlign w:val="bottom"/>
            <w:tcBorders>
              <w:top w:val="single" w:sz="8" w:color="F0FFFF"/>
            </w:tcBorders>
          </w:tcPr>
          <w:p>
            <w:pPr>
              <w:spacing w:after="0"/>
              <w:rPr>
                <w:sz w:val="17"/>
                <w:szCs w:val="17"/>
                <w:color w:val="auto"/>
              </w:rPr>
            </w:pPr>
          </w:p>
        </w:tc>
        <w:tc>
          <w:tcPr>
            <w:tcW w:w="80" w:type="dxa"/>
            <w:vAlign w:val="bottom"/>
            <w:tcBorders>
              <w:top w:val="single" w:sz="8" w:color="F0FF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6,391,076</w:t>
            </w:r>
          </w:p>
        </w:tc>
        <w:tc>
          <w:tcPr>
            <w:tcW w:w="120" w:type="dxa"/>
            <w:vAlign w:val="bottom"/>
            <w:tcBorders>
              <w:top w:val="single" w:sz="8" w:color="F0FFFF"/>
            </w:tcBorders>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spacing w:after="0"/>
              <w:rPr>
                <w:sz w:val="20"/>
                <w:szCs w:val="20"/>
                <w:color w:val="auto"/>
              </w:rPr>
            </w:pPr>
            <w:r>
              <w:rPr>
                <w:rFonts w:ascii="Arial" w:cs="Arial" w:eastAsia="Arial" w:hAnsi="Arial"/>
                <w:sz w:val="16"/>
                <w:szCs w:val="16"/>
                <w:color w:val="auto"/>
              </w:rPr>
              <w:t>Shareholders’ equity:</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40"/>
              <w:spacing w:after="0"/>
              <w:rPr>
                <w:sz w:val="20"/>
                <w:szCs w:val="20"/>
                <w:color w:val="auto"/>
              </w:rPr>
            </w:pPr>
            <w:r>
              <w:rPr>
                <w:rFonts w:ascii="Arial" w:cs="Arial" w:eastAsia="Arial" w:hAnsi="Arial"/>
                <w:sz w:val="16"/>
                <w:szCs w:val="16"/>
                <w:color w:val="auto"/>
              </w:rPr>
              <w:t>Preferred stock, $1 par value; 10,000,000 shares authorized;</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340"/>
              <w:spacing w:after="0"/>
              <w:rPr>
                <w:sz w:val="20"/>
                <w:szCs w:val="20"/>
                <w:color w:val="auto"/>
              </w:rPr>
            </w:pPr>
            <w:r>
              <w:rPr>
                <w:rFonts w:ascii="Arial" w:cs="Arial" w:eastAsia="Arial" w:hAnsi="Arial"/>
                <w:sz w:val="16"/>
                <w:szCs w:val="16"/>
                <w:color w:val="auto"/>
              </w:rPr>
              <w:t>Series A; $10 stated value; 0, 0 and 21,700 shares issued and outstanding</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217</w:t>
            </w:r>
          </w:p>
        </w:tc>
      </w:tr>
      <w:tr>
        <w:trPr>
          <w:trHeight w:val="194"/>
        </w:trPr>
        <w:tc>
          <w:tcPr>
            <w:tcW w:w="20" w:type="dxa"/>
            <w:vAlign w:val="bottom"/>
          </w:tcPr>
          <w:p>
            <w:pPr>
              <w:spacing w:after="0"/>
              <w:rPr>
                <w:sz w:val="16"/>
                <w:szCs w:val="16"/>
                <w:color w:val="auto"/>
              </w:rPr>
            </w:pPr>
          </w:p>
        </w:tc>
        <w:tc>
          <w:tcPr>
            <w:tcW w:w="7300" w:type="dxa"/>
            <w:vAlign w:val="bottom"/>
          </w:tcPr>
          <w:p>
            <w:pPr>
              <w:ind w:left="340"/>
              <w:spacing w:after="0"/>
              <w:rPr>
                <w:sz w:val="20"/>
                <w:szCs w:val="20"/>
                <w:color w:val="auto"/>
              </w:rPr>
            </w:pPr>
            <w:r>
              <w:rPr>
                <w:rFonts w:ascii="Arial" w:cs="Arial" w:eastAsia="Arial" w:hAnsi="Arial"/>
                <w:sz w:val="16"/>
                <w:szCs w:val="16"/>
                <w:color w:val="auto"/>
              </w:rPr>
              <w:t>Series B; $1,000 stated value; 0, 105,000 and 180,000 shares issued and outstanding</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105,000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179,714</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340"/>
              <w:spacing w:after="0"/>
              <w:rPr>
                <w:sz w:val="20"/>
                <w:szCs w:val="20"/>
                <w:color w:val="auto"/>
              </w:rPr>
            </w:pPr>
            <w:r>
              <w:rPr>
                <w:rFonts w:ascii="Arial" w:cs="Arial" w:eastAsia="Arial" w:hAnsi="Arial"/>
                <w:sz w:val="16"/>
                <w:szCs w:val="16"/>
                <w:color w:val="auto"/>
              </w:rPr>
              <w:t>Series D; $1,000 stated value; 0, 16,613 and 16,613 shares issued and outstanding</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16,613</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16,613</w:t>
            </w:r>
          </w:p>
        </w:tc>
      </w:tr>
      <w:tr>
        <w:trPr>
          <w:trHeight w:val="181"/>
        </w:trPr>
        <w:tc>
          <w:tcPr>
            <w:tcW w:w="20" w:type="dxa"/>
            <w:vAlign w:val="bottom"/>
          </w:tcPr>
          <w:p>
            <w:pPr>
              <w:spacing w:after="0"/>
              <w:rPr>
                <w:sz w:val="15"/>
                <w:szCs w:val="15"/>
                <w:color w:val="auto"/>
              </w:rPr>
            </w:pPr>
          </w:p>
        </w:tc>
        <w:tc>
          <w:tcPr>
            <w:tcW w:w="7300" w:type="dxa"/>
            <w:vAlign w:val="bottom"/>
          </w:tcPr>
          <w:p>
            <w:pPr>
              <w:ind w:left="120"/>
              <w:spacing w:after="0" w:line="181" w:lineRule="exact"/>
              <w:rPr>
                <w:sz w:val="20"/>
                <w:szCs w:val="20"/>
                <w:color w:val="auto"/>
              </w:rPr>
            </w:pPr>
            <w:r>
              <w:rPr>
                <w:rFonts w:ascii="Arial" w:cs="Arial" w:eastAsia="Arial" w:hAnsi="Arial"/>
                <w:sz w:val="16"/>
                <w:szCs w:val="16"/>
                <w:color w:val="auto"/>
                <w:w w:val="91"/>
              </w:rPr>
              <w:t>Common stock, $1 par value; 100,000,000 shares authorized; 50,167,191, 46,243,345 and 45,222,839 shares</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7300" w:type="dxa"/>
            <w:vAlign w:val="bottom"/>
          </w:tcPr>
          <w:p>
            <w:pPr>
              <w:ind w:left="260"/>
              <w:spacing w:after="0"/>
              <w:rPr>
                <w:sz w:val="20"/>
                <w:szCs w:val="20"/>
                <w:color w:val="auto"/>
              </w:rPr>
            </w:pPr>
            <w:r>
              <w:rPr>
                <w:rFonts w:ascii="Arial" w:cs="Arial" w:eastAsia="Arial" w:hAnsi="Arial"/>
                <w:sz w:val="16"/>
                <w:szCs w:val="16"/>
                <w:color w:val="auto"/>
              </w:rPr>
              <w:t>issued and outstanding</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50,167</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46,243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45,223</w:t>
            </w:r>
          </w:p>
        </w:tc>
      </w:tr>
      <w:tr>
        <w:trPr>
          <w:trHeight w:val="182"/>
        </w:trPr>
        <w:tc>
          <w:tcPr>
            <w:tcW w:w="20" w:type="dxa"/>
            <w:vAlign w:val="bottom"/>
          </w:tcPr>
          <w:p>
            <w:pPr>
              <w:spacing w:after="0"/>
              <w:rPr>
                <w:sz w:val="15"/>
                <w:szCs w:val="15"/>
                <w:color w:val="auto"/>
              </w:rPr>
            </w:pPr>
          </w:p>
        </w:tc>
        <w:tc>
          <w:tcPr>
            <w:tcW w:w="7300" w:type="dxa"/>
            <w:vAlign w:val="bottom"/>
            <w:shd w:val="clear" w:color="auto" w:fill="F0FFFF"/>
          </w:tcPr>
          <w:p>
            <w:pPr>
              <w:ind w:left="140"/>
              <w:spacing w:after="0" w:line="182" w:lineRule="exact"/>
              <w:rPr>
                <w:sz w:val="20"/>
                <w:szCs w:val="20"/>
                <w:color w:val="auto"/>
              </w:rPr>
            </w:pPr>
            <w:r>
              <w:rPr>
                <w:rFonts w:ascii="Arial" w:cs="Arial" w:eastAsia="Arial" w:hAnsi="Arial"/>
                <w:sz w:val="16"/>
                <w:szCs w:val="16"/>
                <w:color w:val="auto"/>
                <w:w w:val="99"/>
              </w:rPr>
              <w:t>Common stock, non-voting, $1 par value; 26,000,000 shares authorized; 10,080,787, 13,188,206 and</w:t>
            </w: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7300" w:type="dxa"/>
            <w:vAlign w:val="bottom"/>
            <w:shd w:val="clear" w:color="auto" w:fill="F0FFFF"/>
          </w:tcPr>
          <w:p>
            <w:pPr>
              <w:ind w:left="260"/>
              <w:spacing w:after="0"/>
              <w:rPr>
                <w:sz w:val="20"/>
                <w:szCs w:val="20"/>
                <w:color w:val="auto"/>
              </w:rPr>
            </w:pPr>
            <w:r>
              <w:rPr>
                <w:rFonts w:ascii="Arial" w:cs="Arial" w:eastAsia="Arial" w:hAnsi="Arial"/>
                <w:sz w:val="16"/>
                <w:szCs w:val="16"/>
                <w:color w:val="auto"/>
              </w:rPr>
              <w:t>14,189,006 shares issued and outstanding</w:t>
            </w:r>
          </w:p>
        </w:tc>
        <w:tc>
          <w:tcPr>
            <w:tcW w:w="12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10,081</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13,188</w:t>
            </w: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14,189</w:t>
            </w:r>
          </w:p>
        </w:tc>
      </w:tr>
      <w:tr>
        <w:trPr>
          <w:trHeight w:val="194"/>
        </w:trPr>
        <w:tc>
          <w:tcPr>
            <w:tcW w:w="20" w:type="dxa"/>
            <w:vAlign w:val="bottom"/>
          </w:tcPr>
          <w:p>
            <w:pPr>
              <w:spacing w:after="0"/>
              <w:rPr>
                <w:sz w:val="16"/>
                <w:szCs w:val="16"/>
                <w:color w:val="auto"/>
              </w:rPr>
            </w:pPr>
          </w:p>
        </w:tc>
        <w:tc>
          <w:tcPr>
            <w:tcW w:w="7300" w:type="dxa"/>
            <w:vAlign w:val="bottom"/>
          </w:tcPr>
          <w:p>
            <w:pPr>
              <w:ind w:left="140"/>
              <w:spacing w:after="0"/>
              <w:rPr>
                <w:sz w:val="20"/>
                <w:szCs w:val="20"/>
                <w:color w:val="auto"/>
              </w:rPr>
            </w:pPr>
            <w:r>
              <w:rPr>
                <w:rFonts w:ascii="Arial" w:cs="Arial" w:eastAsia="Arial" w:hAnsi="Arial"/>
                <w:sz w:val="16"/>
                <w:szCs w:val="16"/>
                <w:color w:val="auto"/>
              </w:rPr>
              <w:t>Common stock issuable; 354,961, 241,832 and 242,262 shares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5,116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3,930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3,979</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Capital surplus</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1,091,555</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1,078,676</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1,077,536</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120"/>
              <w:spacing w:after="0"/>
              <w:rPr>
                <w:sz w:val="20"/>
                <w:szCs w:val="20"/>
                <w:color w:val="auto"/>
              </w:rPr>
            </w:pPr>
            <w:r>
              <w:rPr>
                <w:rFonts w:ascii="Arial" w:cs="Arial" w:eastAsia="Arial" w:hAnsi="Arial"/>
                <w:sz w:val="16"/>
                <w:szCs w:val="16"/>
                <w:color w:val="auto"/>
              </w:rPr>
              <w:t>Accumulated deficit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6"/>
                <w:szCs w:val="16"/>
                <w:color w:val="auto"/>
              </w:rPr>
              <w:t>(402,773)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(448,091)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(461,090)</w:t>
            </w:r>
          </w:p>
        </w:tc>
      </w:tr>
      <w:tr>
        <w:trPr>
          <w:trHeight w:val="194"/>
        </w:trPr>
        <w:tc>
          <w:tcPr>
            <w:tcW w:w="20" w:type="dxa"/>
            <w:vAlign w:val="bottom"/>
          </w:tcPr>
          <w:p>
            <w:pPr>
              <w:spacing w:after="0"/>
              <w:rPr>
                <w:sz w:val="16"/>
                <w:szCs w:val="16"/>
                <w:color w:val="auto"/>
              </w:rPr>
            </w:pPr>
          </w:p>
        </w:tc>
        <w:tc>
          <w:tcPr>
            <w:tcW w:w="73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(17,721)</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(19,844)</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(24,164)</w:t>
            </w:r>
          </w:p>
        </w:tc>
      </w:tr>
      <w:tr>
        <w:trPr>
          <w:trHeight w:val="24"/>
        </w:trPr>
        <w:tc>
          <w:tcPr>
            <w:tcW w:w="20" w:type="dxa"/>
            <w:vAlign w:val="bottom"/>
          </w:tcPr>
          <w:p>
            <w:pPr>
              <w:spacing w:after="0"/>
              <w:rPr>
                <w:sz w:val="2"/>
                <w:szCs w:val="2"/>
                <w:color w:val="auto"/>
              </w:rPr>
            </w:pPr>
          </w:p>
        </w:tc>
        <w:tc>
          <w:tcPr>
            <w:tcW w:w="7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7300" w:type="dxa"/>
            <w:vAlign w:val="bottom"/>
          </w:tcPr>
          <w:p>
            <w:pPr>
              <w:ind w:left="300"/>
              <w:spacing w:after="0"/>
              <w:rPr>
                <w:sz w:val="20"/>
                <w:szCs w:val="20"/>
                <w:color w:val="auto"/>
              </w:rPr>
            </w:pPr>
            <w:r>
              <w:rPr>
                <w:rFonts w:ascii="Arial" w:cs="Arial" w:eastAsia="Arial" w:hAnsi="Arial"/>
                <w:sz w:val="16"/>
                <w:szCs w:val="16"/>
                <w:b w:val="1"/>
                <w:bCs w:val="1"/>
                <w:color w:val="auto"/>
              </w:rPr>
              <w:t>Total shareholders’ equity</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736,425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795,715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852,217</w:t>
            </w:r>
          </w:p>
        </w:tc>
      </w:tr>
      <w:tr>
        <w:trPr>
          <w:trHeight w:val="24"/>
        </w:trPr>
        <w:tc>
          <w:tcPr>
            <w:tcW w:w="20" w:type="dxa"/>
            <w:vAlign w:val="bottom"/>
          </w:tcPr>
          <w:p>
            <w:pPr>
              <w:spacing w:after="0"/>
              <w:rPr>
                <w:sz w:val="2"/>
                <w:szCs w:val="2"/>
                <w:color w:val="auto"/>
              </w:rPr>
            </w:pPr>
          </w:p>
        </w:tc>
        <w:tc>
          <w:tcPr>
            <w:tcW w:w="7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7300" w:type="dxa"/>
            <w:vAlign w:val="bottom"/>
            <w:shd w:val="clear" w:color="auto" w:fill="F0FFFF"/>
          </w:tcPr>
          <w:p>
            <w:pPr>
              <w:ind w:left="300"/>
              <w:spacing w:after="0"/>
              <w:rPr>
                <w:sz w:val="20"/>
                <w:szCs w:val="20"/>
                <w:color w:val="auto"/>
              </w:rPr>
            </w:pPr>
            <w:r>
              <w:rPr>
                <w:rFonts w:ascii="Arial" w:cs="Arial" w:eastAsia="Arial" w:hAnsi="Arial"/>
                <w:sz w:val="16"/>
                <w:szCs w:val="16"/>
                <w:b w:val="1"/>
                <w:bCs w:val="1"/>
                <w:color w:val="auto"/>
              </w:rPr>
              <w:t>Total liabilities and shareholders’ equity</w:t>
            </w: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7,525,889</w:t>
            </w:r>
          </w:p>
        </w:tc>
        <w:tc>
          <w:tcPr>
            <w:tcW w:w="14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7,425,419</w:t>
            </w:r>
          </w:p>
        </w:tc>
        <w:tc>
          <w:tcPr>
            <w:tcW w:w="32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7,243,293</w:t>
            </w:r>
          </w:p>
        </w:tc>
        <w:tc>
          <w:tcPr>
            <w:tcW w:w="120" w:type="dxa"/>
            <w:vAlign w:val="bottom"/>
            <w:shd w:val="clear" w:color="auto" w:fill="F0FF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19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accompanying notes to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color w:val="auto"/>
        </w:rPr>
        <w:t>UNITED COMMUNITY BANKS,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 of Changes in Shareholders’ Equity </w:t>
      </w:r>
      <w:r>
        <w:rPr>
          <w:rFonts w:ascii="Arial" w:cs="Arial" w:eastAsia="Arial" w:hAnsi="Arial"/>
          <w:sz w:val="16"/>
          <w:szCs w:val="16"/>
          <w:i w:val="1"/>
          <w:iCs w:val="1"/>
          <w:color w:val="auto"/>
        </w:rPr>
        <w:t>(Unaudited)</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7260590"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1"/>
              </w:rPr>
              <w:t>Accumulated</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0"/>
              </w:rPr>
              <w:t>Preferred Stock</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spacing w:after="0"/>
              <w:rPr>
                <w:sz w:val="20"/>
                <w:szCs w:val="20"/>
                <w:color w:val="auto"/>
              </w:rPr>
            </w:pPr>
            <w:r>
              <w:rPr>
                <w:rFonts w:ascii="Arial" w:cs="Arial" w:eastAsia="Arial" w:hAnsi="Arial"/>
                <w:sz w:val="16"/>
                <w:szCs w:val="16"/>
                <w:b w:val="1"/>
                <w:bCs w:val="1"/>
                <w:color w:val="auto"/>
              </w:rPr>
              <w:t>Non-Voting</w:t>
            </w:r>
          </w:p>
        </w:tc>
        <w:tc>
          <w:tcPr>
            <w:tcW w:w="840" w:type="dxa"/>
            <w:vAlign w:val="bottom"/>
            <w:gridSpan w:val="3"/>
          </w:tcPr>
          <w:p>
            <w:pPr>
              <w:ind w:left="20"/>
              <w:spacing w:after="0"/>
              <w:rPr>
                <w:sz w:val="20"/>
                <w:szCs w:val="20"/>
                <w:color w:val="auto"/>
              </w:rPr>
            </w:pPr>
            <w:r>
              <w:rPr>
                <w:rFonts w:ascii="Arial" w:cs="Arial" w:eastAsia="Arial" w:hAnsi="Arial"/>
                <w:sz w:val="16"/>
                <w:szCs w:val="16"/>
                <w:b w:val="1"/>
                <w:bCs w:val="1"/>
                <w:color w:val="auto"/>
              </w:rPr>
              <w:t>Common</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Other</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400" w:type="dxa"/>
            <w:vAlign w:val="bottom"/>
            <w:gridSpan w:val="2"/>
          </w:tcPr>
          <w:p>
            <w:pPr>
              <w:spacing w:after="0" w:line="178" w:lineRule="exact"/>
              <w:rPr>
                <w:sz w:val="20"/>
                <w:szCs w:val="20"/>
                <w:color w:val="auto"/>
              </w:rPr>
            </w:pPr>
            <w:r>
              <w:rPr>
                <w:rFonts w:ascii="Arial" w:cs="Arial" w:eastAsia="Arial" w:hAnsi="Arial"/>
                <w:sz w:val="16"/>
                <w:szCs w:val="16"/>
                <w:i w:val="1"/>
                <w:iCs w:val="1"/>
                <w:color w:val="auto"/>
              </w:rPr>
              <w:t>(in thousands, except share</w:t>
            </w:r>
          </w:p>
        </w:tc>
        <w:tc>
          <w:tcPr>
            <w:tcW w:w="60" w:type="dxa"/>
            <w:vAlign w:val="bottom"/>
          </w:tcPr>
          <w:p>
            <w:pPr>
              <w:spacing w:after="0"/>
              <w:rPr>
                <w:sz w:val="15"/>
                <w:szCs w:val="15"/>
                <w:color w:val="auto"/>
              </w:rPr>
            </w:pPr>
          </w:p>
        </w:tc>
        <w:tc>
          <w:tcPr>
            <w:tcW w:w="520" w:type="dxa"/>
            <w:vAlign w:val="bottom"/>
            <w:gridSpan w:val="2"/>
          </w:tcPr>
          <w:p>
            <w:pPr>
              <w:jc w:val="right"/>
              <w:spacing w:after="0" w:line="178" w:lineRule="exact"/>
              <w:rPr>
                <w:sz w:val="20"/>
                <w:szCs w:val="20"/>
                <w:color w:val="auto"/>
              </w:rPr>
            </w:pPr>
            <w:r>
              <w:rPr>
                <w:rFonts w:ascii="Arial" w:cs="Arial" w:eastAsia="Arial" w:hAnsi="Arial"/>
                <w:sz w:val="16"/>
                <w:szCs w:val="16"/>
                <w:b w:val="1"/>
                <w:bCs w:val="1"/>
                <w:color w:val="auto"/>
                <w:w w:val="91"/>
              </w:rPr>
              <w:t>Series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280"/>
              <w:spacing w:after="0" w:line="178" w:lineRule="exact"/>
              <w:rPr>
                <w:sz w:val="20"/>
                <w:szCs w:val="20"/>
                <w:color w:val="auto"/>
              </w:rPr>
            </w:pPr>
            <w:r>
              <w:rPr>
                <w:rFonts w:ascii="Arial" w:cs="Arial" w:eastAsia="Arial" w:hAnsi="Arial"/>
                <w:sz w:val="16"/>
                <w:szCs w:val="16"/>
                <w:b w:val="1"/>
                <w:bCs w:val="1"/>
                <w:color w:val="auto"/>
                <w:w w:val="91"/>
              </w:rPr>
              <w:t>Series</w:t>
            </w:r>
          </w:p>
        </w:tc>
        <w:tc>
          <w:tcPr>
            <w:tcW w:w="120" w:type="dxa"/>
            <w:vAlign w:val="bottom"/>
          </w:tcPr>
          <w:p>
            <w:pPr>
              <w:spacing w:after="0"/>
              <w:rPr>
                <w:sz w:val="15"/>
                <w:szCs w:val="15"/>
                <w:color w:val="auto"/>
              </w:rPr>
            </w:pPr>
          </w:p>
        </w:tc>
        <w:tc>
          <w:tcPr>
            <w:tcW w:w="520" w:type="dxa"/>
            <w:vAlign w:val="bottom"/>
          </w:tcPr>
          <w:p>
            <w:pPr>
              <w:jc w:val="right"/>
              <w:ind w:right="39"/>
              <w:spacing w:after="0" w:line="178" w:lineRule="exact"/>
              <w:rPr>
                <w:sz w:val="20"/>
                <w:szCs w:val="20"/>
                <w:color w:val="auto"/>
              </w:rPr>
            </w:pPr>
            <w:r>
              <w:rPr>
                <w:rFonts w:ascii="Arial" w:cs="Arial" w:eastAsia="Arial" w:hAnsi="Arial"/>
                <w:sz w:val="16"/>
                <w:szCs w:val="16"/>
                <w:b w:val="1"/>
                <w:bCs w:val="1"/>
                <w:color w:val="auto"/>
                <w:w w:val="79"/>
              </w:rPr>
              <w:t>Series</w:t>
            </w:r>
          </w:p>
        </w:tc>
        <w:tc>
          <w:tcPr>
            <w:tcW w:w="160" w:type="dxa"/>
            <w:vAlign w:val="bottom"/>
          </w:tcPr>
          <w:p>
            <w:pPr>
              <w:spacing w:after="0"/>
              <w:rPr>
                <w:sz w:val="15"/>
                <w:szCs w:val="15"/>
                <w:color w:val="auto"/>
              </w:rPr>
            </w:pPr>
          </w:p>
        </w:tc>
        <w:tc>
          <w:tcPr>
            <w:tcW w:w="760" w:type="dxa"/>
            <w:vAlign w:val="bottom"/>
            <w:gridSpan w:val="3"/>
          </w:tcPr>
          <w:p>
            <w:pPr>
              <w:ind w:left="20"/>
              <w:spacing w:after="0" w:line="178" w:lineRule="exact"/>
              <w:rPr>
                <w:sz w:val="20"/>
                <w:szCs w:val="20"/>
                <w:color w:val="auto"/>
              </w:rPr>
            </w:pPr>
            <w:r>
              <w:rPr>
                <w:rFonts w:ascii="Arial" w:cs="Arial" w:eastAsia="Arial" w:hAnsi="Arial"/>
                <w:sz w:val="16"/>
                <w:szCs w:val="16"/>
                <w:b w:val="1"/>
                <w:bCs w:val="1"/>
                <w:color w:val="auto"/>
              </w:rPr>
              <w:t>Common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240"/>
              <w:spacing w:after="0" w:line="178" w:lineRule="exact"/>
              <w:rPr>
                <w:sz w:val="20"/>
                <w:szCs w:val="20"/>
                <w:color w:val="auto"/>
              </w:rPr>
            </w:pPr>
            <w:r>
              <w:rPr>
                <w:rFonts w:ascii="Arial" w:cs="Arial" w:eastAsia="Arial" w:hAnsi="Arial"/>
                <w:sz w:val="16"/>
                <w:szCs w:val="16"/>
                <w:b w:val="1"/>
                <w:bCs w:val="1"/>
                <w:color w:val="auto"/>
                <w:w w:val="89"/>
              </w:rPr>
              <w:t>Common</w:t>
            </w:r>
          </w:p>
        </w:tc>
        <w:tc>
          <w:tcPr>
            <w:tcW w:w="120" w:type="dxa"/>
            <w:vAlign w:val="bottom"/>
          </w:tcPr>
          <w:p>
            <w:pPr>
              <w:spacing w:after="0"/>
              <w:rPr>
                <w:sz w:val="15"/>
                <w:szCs w:val="15"/>
                <w:color w:val="auto"/>
              </w:rPr>
            </w:pPr>
          </w:p>
        </w:tc>
        <w:tc>
          <w:tcPr>
            <w:tcW w:w="720" w:type="dxa"/>
            <w:vAlign w:val="bottom"/>
            <w:gridSpan w:val="2"/>
          </w:tcPr>
          <w:p>
            <w:pPr>
              <w:jc w:val="right"/>
              <w:ind w:right="300"/>
              <w:spacing w:after="0" w:line="178" w:lineRule="exact"/>
              <w:rPr>
                <w:sz w:val="20"/>
                <w:szCs w:val="20"/>
                <w:color w:val="auto"/>
              </w:rPr>
            </w:pPr>
            <w:r>
              <w:rPr>
                <w:rFonts w:ascii="Arial" w:cs="Arial" w:eastAsia="Arial" w:hAnsi="Arial"/>
                <w:sz w:val="16"/>
                <w:szCs w:val="16"/>
                <w:b w:val="1"/>
                <w:bCs w:val="1"/>
                <w:color w:val="auto"/>
                <w:w w:val="91"/>
              </w:rPr>
              <w:t>Stock</w:t>
            </w:r>
          </w:p>
        </w:tc>
        <w:tc>
          <w:tcPr>
            <w:tcW w:w="920" w:type="dxa"/>
            <w:vAlign w:val="bottom"/>
            <w:gridSpan w:val="2"/>
          </w:tcPr>
          <w:p>
            <w:pPr>
              <w:jc w:val="right"/>
              <w:ind w:right="280"/>
              <w:spacing w:after="0" w:line="178" w:lineRule="exact"/>
              <w:rPr>
                <w:sz w:val="20"/>
                <w:szCs w:val="20"/>
                <w:color w:val="auto"/>
              </w:rPr>
            </w:pPr>
            <w:r>
              <w:rPr>
                <w:rFonts w:ascii="Arial" w:cs="Arial" w:eastAsia="Arial" w:hAnsi="Arial"/>
                <w:sz w:val="16"/>
                <w:szCs w:val="16"/>
                <w:b w:val="1"/>
                <w:bCs w:val="1"/>
                <w:color w:val="auto"/>
              </w:rPr>
              <w:t>Capital</w:t>
            </w:r>
          </w:p>
        </w:tc>
        <w:tc>
          <w:tcPr>
            <w:tcW w:w="108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Accumulated</w:t>
            </w:r>
          </w:p>
        </w:tc>
        <w:tc>
          <w:tcPr>
            <w:tcW w:w="124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w w:val="99"/>
              </w:rPr>
              <w:t>Comprehensive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400" w:type="dxa"/>
            <w:vAlign w:val="bottom"/>
            <w:gridSpan w:val="2"/>
          </w:tcPr>
          <w:p>
            <w:pPr>
              <w:spacing w:after="0"/>
              <w:rPr>
                <w:sz w:val="20"/>
                <w:szCs w:val="20"/>
                <w:color w:val="auto"/>
              </w:rPr>
            </w:pPr>
            <w:r>
              <w:rPr>
                <w:rFonts w:ascii="Arial" w:cs="Arial" w:eastAsia="Arial" w:hAnsi="Arial"/>
                <w:sz w:val="16"/>
                <w:szCs w:val="16"/>
                <w:i w:val="1"/>
                <w:iCs w:val="1"/>
                <w:color w:val="auto"/>
              </w:rPr>
              <w:t>and per share data)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ind w:right="79"/>
              <w:spacing w:after="0"/>
              <w:rPr>
                <w:sz w:val="20"/>
                <w:szCs w:val="20"/>
                <w:color w:val="auto"/>
              </w:rPr>
            </w:pPr>
            <w:r>
              <w:rPr>
                <w:rFonts w:ascii="Arial" w:cs="Arial" w:eastAsia="Arial" w:hAnsi="Arial"/>
                <w:sz w:val="16"/>
                <w:szCs w:val="16"/>
                <w:b w:val="1"/>
                <w:bCs w:val="1"/>
                <w:color w:val="auto"/>
              </w:rPr>
              <w: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B</w:t>
            </w:r>
          </w:p>
        </w:tc>
        <w:tc>
          <w:tcPr>
            <w:tcW w:w="12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w:t>
            </w:r>
          </w:p>
        </w:tc>
        <w:tc>
          <w:tcPr>
            <w:tcW w:w="1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87"/>
              </w:rPr>
              <w:t>Stock</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rPr>
              <w:t>Stock</w:t>
            </w:r>
          </w:p>
        </w:tc>
        <w:tc>
          <w:tcPr>
            <w:tcW w:w="840" w:type="dxa"/>
            <w:vAlign w:val="bottom"/>
            <w:gridSpan w:val="3"/>
          </w:tcPr>
          <w:p>
            <w:pPr>
              <w:ind w:left="60"/>
              <w:spacing w:after="0"/>
              <w:rPr>
                <w:sz w:val="20"/>
                <w:szCs w:val="20"/>
                <w:color w:val="auto"/>
              </w:rPr>
            </w:pPr>
            <w:r>
              <w:rPr>
                <w:rFonts w:ascii="Arial" w:cs="Arial" w:eastAsia="Arial" w:hAnsi="Arial"/>
                <w:sz w:val="16"/>
                <w:szCs w:val="16"/>
                <w:b w:val="1"/>
                <w:bCs w:val="1"/>
                <w:color w:val="auto"/>
              </w:rPr>
              <w:t>Issuable</w:t>
            </w:r>
          </w:p>
        </w:tc>
        <w:tc>
          <w:tcPr>
            <w:tcW w:w="92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rPr>
              <w:t>Surplus</w:t>
            </w:r>
          </w:p>
        </w:tc>
        <w:tc>
          <w:tcPr>
            <w:tcW w:w="16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Deficit</w:t>
            </w:r>
          </w:p>
        </w:tc>
        <w:tc>
          <w:tcPr>
            <w:tcW w:w="12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8"/>
              </w:rPr>
              <w:t>Income (Loss)</w:t>
            </w: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2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Balance, December 31, 2012</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217</w:t>
            </w:r>
          </w:p>
        </w:tc>
        <w:tc>
          <w:tcPr>
            <w:tcW w:w="24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w w:val="96"/>
              </w:rPr>
              <w:t>178,557</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16,613</w:t>
            </w:r>
          </w:p>
        </w:tc>
        <w:tc>
          <w:tcPr>
            <w:tcW w:w="12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42,424</w:t>
            </w:r>
          </w:p>
        </w:tc>
        <w:tc>
          <w:tcPr>
            <w:tcW w:w="160" w:type="dxa"/>
            <w:vAlign w:val="bottom"/>
            <w:gridSpan w:val="2"/>
            <w:shd w:val="clear" w:color="auto" w:fill="F0FFFF"/>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15,317</w:t>
            </w:r>
          </w:p>
        </w:tc>
        <w:tc>
          <w:tcPr>
            <w:tcW w:w="12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3,119</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7"/>
              </w:rPr>
              <w:t>$ 1,057,951</w:t>
            </w:r>
          </w:p>
        </w:tc>
        <w:tc>
          <w:tcPr>
            <w:tcW w:w="1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(709,153)</w:t>
            </w:r>
          </w:p>
        </w:tc>
        <w:tc>
          <w:tcPr>
            <w:tcW w:w="22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(23,640)</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581,405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Net income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257,229</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257,229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Other comprehensive income</w:t>
            </w:r>
          </w:p>
        </w:tc>
        <w:tc>
          <w:tcPr>
            <w:tcW w:w="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(524)</w:t>
            </w:r>
          </w:p>
        </w:tc>
        <w:tc>
          <w:tcPr>
            <w:tcW w:w="10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spacing w:after="0" w:line="181" w:lineRule="exact"/>
              <w:rPr>
                <w:sz w:val="20"/>
                <w:szCs w:val="20"/>
                <w:color w:val="auto"/>
              </w:rPr>
            </w:pPr>
            <w:r>
              <w:rPr>
                <w:rFonts w:ascii="Arial" w:cs="Arial" w:eastAsia="Arial" w:hAnsi="Arial"/>
                <w:sz w:val="16"/>
                <w:szCs w:val="16"/>
                <w:color w:val="auto"/>
                <w:w w:val="98"/>
              </w:rPr>
              <w:t>Common stock issued to dividend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w w:val="96"/>
              </w:rPr>
              <w:t>reinvestment plan and employee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benefit plans (49,830 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532</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80" w:type="dxa"/>
            <w:vAlign w:val="bottom"/>
            <w:shd w:val="clear" w:color="auto" w:fill="F0FFFF"/>
          </w:tcPr>
          <w:p>
            <w:pPr>
              <w:spacing w:after="0" w:line="182" w:lineRule="exact"/>
              <w:rPr>
                <w:sz w:val="20"/>
                <w:szCs w:val="20"/>
                <w:color w:val="auto"/>
              </w:rPr>
            </w:pPr>
            <w:r>
              <w:rPr>
                <w:rFonts w:ascii="Arial" w:cs="Arial" w:eastAsia="Arial" w:hAnsi="Arial"/>
                <w:sz w:val="16"/>
                <w:szCs w:val="16"/>
                <w:color w:val="auto"/>
                <w:w w:val="96"/>
              </w:rPr>
              <w:t>Conversion of non-voting common</w:t>
            </w: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w w:val="92"/>
              </w:rPr>
              <w:t>stock to voting (1,127,788 shares)</w:t>
            </w: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6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1,128</w:t>
            </w: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8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(1,128)</w:t>
            </w:r>
          </w:p>
        </w:tc>
        <w:tc>
          <w:tcPr>
            <w:tcW w:w="12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w w:val="90"/>
              </w:rPr>
              <w:t>Warrant exercise (1,551,126 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1,551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17,838</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19,389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shd w:val="clear" w:color="auto" w:fill="F0FFFF"/>
          </w:tcPr>
          <w:p>
            <w:pPr>
              <w:spacing w:after="0" w:line="181" w:lineRule="exact"/>
              <w:rPr>
                <w:sz w:val="20"/>
                <w:szCs w:val="20"/>
                <w:color w:val="auto"/>
              </w:rPr>
            </w:pPr>
            <w:r>
              <w:rPr>
                <w:rFonts w:ascii="Arial" w:cs="Arial" w:eastAsia="Arial" w:hAnsi="Arial"/>
                <w:sz w:val="16"/>
                <w:szCs w:val="16"/>
                <w:color w:val="auto"/>
              </w:rPr>
              <w:t>Amortization of stock options and</w:t>
            </w: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restricted stock awards</w:t>
            </w: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2,168</w:t>
            </w:r>
          </w:p>
        </w:tc>
        <w:tc>
          <w:tcPr>
            <w:tcW w:w="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spacing w:after="0" w:line="181" w:lineRule="exact"/>
              <w:rPr>
                <w:sz w:val="20"/>
                <w:szCs w:val="20"/>
                <w:color w:val="auto"/>
              </w:rPr>
            </w:pPr>
            <w:r>
              <w:rPr>
                <w:rFonts w:ascii="Arial" w:cs="Arial" w:eastAsia="Arial" w:hAnsi="Arial"/>
                <w:sz w:val="16"/>
                <w:szCs w:val="16"/>
                <w:color w:val="auto"/>
                <w:w w:val="97"/>
              </w:rPr>
              <w:t>Vesting of restricted stock (51,995</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shares issued, 115,664 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deferred)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1,693</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(1,900)</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80" w:type="dxa"/>
            <w:vAlign w:val="bottom"/>
            <w:shd w:val="clear" w:color="auto" w:fill="F0FFFF"/>
          </w:tcPr>
          <w:p>
            <w:pPr>
              <w:spacing w:after="0" w:line="182" w:lineRule="exact"/>
              <w:rPr>
                <w:sz w:val="20"/>
                <w:szCs w:val="20"/>
                <w:color w:val="auto"/>
              </w:rPr>
            </w:pPr>
            <w:r>
              <w:rPr>
                <w:rFonts w:ascii="Arial" w:cs="Arial" w:eastAsia="Arial" w:hAnsi="Arial"/>
                <w:sz w:val="16"/>
                <w:szCs w:val="16"/>
                <w:color w:val="auto"/>
                <w:w w:val="99"/>
              </w:rPr>
              <w:t>Deferred compensation plan, net,</w:t>
            </w: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including dividend equivalents</w:t>
            </w: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132</w:t>
            </w: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spacing w:after="0" w:line="181" w:lineRule="exact"/>
              <w:rPr>
                <w:sz w:val="20"/>
                <w:szCs w:val="20"/>
                <w:color w:val="auto"/>
              </w:rPr>
            </w:pPr>
            <w:r>
              <w:rPr>
                <w:rFonts w:ascii="Arial" w:cs="Arial" w:eastAsia="Arial" w:hAnsi="Arial"/>
                <w:sz w:val="16"/>
                <w:szCs w:val="16"/>
                <w:color w:val="auto"/>
              </w:rPr>
              <w:t>Shares issued from deferred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w w:val="89"/>
              </w:rPr>
              <w:t>compensation plan (18,230 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(965)</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947</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Preferred stock dividends:</w:t>
            </w:r>
          </w:p>
        </w:tc>
        <w:tc>
          <w:tcPr>
            <w:tcW w:w="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Series A</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Series B</w:t>
            </w:r>
          </w:p>
        </w:tc>
        <w:tc>
          <w:tcPr>
            <w:tcW w:w="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1,157</w:t>
            </w:r>
          </w:p>
        </w:tc>
        <w:tc>
          <w:tcPr>
            <w:tcW w:w="120" w:type="dxa"/>
            <w:vAlign w:val="bottom"/>
            <w:shd w:val="clear" w:color="auto" w:fill="F0FFFF"/>
          </w:tcPr>
          <w:p>
            <w:pPr>
              <w:spacing w:after="0"/>
              <w:rPr>
                <w:sz w:val="16"/>
                <w:szCs w:val="16"/>
                <w:color w:val="auto"/>
              </w:rPr>
            </w:pPr>
          </w:p>
        </w:tc>
        <w:tc>
          <w:tcPr>
            <w:tcW w:w="5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(7,907)</w:t>
            </w:r>
          </w:p>
        </w:tc>
        <w:tc>
          <w:tcPr>
            <w:tcW w:w="2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(6,750)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Series D</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(1,250)</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vMerge w:val="continue"/>
          </w:tcPr>
          <w:p>
            <w:pPr>
              <w:spacing w:after="0"/>
              <w:rPr>
                <w:sz w:val="18"/>
                <w:szCs w:val="18"/>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Balance, September 30, 2013</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217</w:t>
            </w:r>
          </w:p>
        </w:tc>
        <w:tc>
          <w:tcPr>
            <w:tcW w:w="24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w w:val="96"/>
              </w:rPr>
              <w:t>179,714</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16,613</w:t>
            </w:r>
          </w:p>
        </w:tc>
        <w:tc>
          <w:tcPr>
            <w:tcW w:w="12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6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45,223</w:t>
            </w:r>
          </w:p>
        </w:tc>
        <w:tc>
          <w:tcPr>
            <w:tcW w:w="160" w:type="dxa"/>
            <w:vAlign w:val="bottom"/>
            <w:gridSpan w:val="2"/>
            <w:shd w:val="clear" w:color="auto" w:fill="F0FFFF"/>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14,189</w:t>
            </w:r>
          </w:p>
        </w:tc>
        <w:tc>
          <w:tcPr>
            <w:tcW w:w="12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3,979</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7"/>
              </w:rPr>
              <w:t>$ 1,077,536</w:t>
            </w:r>
          </w:p>
        </w:tc>
        <w:tc>
          <w:tcPr>
            <w:tcW w:w="160" w:type="dxa"/>
            <w:vAlign w:val="bottom"/>
            <w:shd w:val="clear" w:color="auto" w:fill="F0FFFF"/>
          </w:tcPr>
          <w:p>
            <w:pPr>
              <w:spacing w:after="0"/>
              <w:rPr>
                <w:sz w:val="18"/>
                <w:szCs w:val="18"/>
                <w:color w:val="auto"/>
              </w:rPr>
            </w:pPr>
          </w:p>
        </w:tc>
        <w:tc>
          <w:tcPr>
            <w:tcW w:w="16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(461,090)</w:t>
            </w:r>
          </w:p>
        </w:tc>
        <w:tc>
          <w:tcPr>
            <w:tcW w:w="22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(24,164)</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852,217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2380" w:type="dxa"/>
            <w:vAlign w:val="bottom"/>
          </w:tcPr>
          <w:p>
            <w:pPr>
              <w:spacing w:after="0" w:line="183" w:lineRule="exact"/>
              <w:rPr>
                <w:sz w:val="20"/>
                <w:szCs w:val="20"/>
                <w:color w:val="auto"/>
              </w:rPr>
            </w:pPr>
            <w:r>
              <w:rPr>
                <w:rFonts w:ascii="Arial" w:cs="Arial" w:eastAsia="Arial" w:hAnsi="Arial"/>
                <w:sz w:val="16"/>
                <w:szCs w:val="16"/>
                <w:b w:val="1"/>
                <w:bCs w:val="1"/>
                <w:color w:val="auto"/>
              </w:rPr>
              <w:t>Balance, December 31, 2013</w:t>
            </w:r>
          </w:p>
        </w:tc>
        <w:tc>
          <w:tcPr>
            <w:tcW w:w="220" w:type="dxa"/>
            <w:vAlign w:val="bottom"/>
            <w:gridSpan w:val="2"/>
          </w:tcPr>
          <w:p>
            <w:pPr>
              <w:jc w:val="right"/>
              <w:spacing w:after="0" w:line="183" w:lineRule="exact"/>
              <w:rPr>
                <w:sz w:val="20"/>
                <w:szCs w:val="20"/>
                <w:color w:val="auto"/>
              </w:rPr>
            </w:pPr>
            <w:r>
              <w:rPr>
                <w:rFonts w:ascii="Arial" w:cs="Arial" w:eastAsia="Arial" w:hAnsi="Arial"/>
                <w:sz w:val="16"/>
                <w:szCs w:val="16"/>
                <w:color w:val="auto"/>
              </w:rPr>
              <w:t>$</w:t>
            </w:r>
          </w:p>
        </w:tc>
        <w:tc>
          <w:tcPr>
            <w:tcW w:w="3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w w:val="96"/>
              </w:rPr>
              <w:t>105,000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16,613</w:t>
            </w: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46,243</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13,188</w:t>
            </w:r>
          </w:p>
        </w:tc>
        <w:tc>
          <w:tcPr>
            <w:tcW w:w="1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3,930</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w w:val="87"/>
              </w:rPr>
              <w:t>$ 1,078,676</w:t>
            </w:r>
          </w:p>
        </w:tc>
        <w:tc>
          <w:tcPr>
            <w:tcW w:w="160" w:type="dxa"/>
            <w:vAlign w:val="bottom"/>
          </w:tcPr>
          <w:p>
            <w:pPr>
              <w:spacing w:after="0"/>
              <w:rPr>
                <w:sz w:val="15"/>
                <w:szCs w:val="15"/>
                <w:color w:val="auto"/>
              </w:rPr>
            </w:pPr>
          </w:p>
        </w:tc>
        <w:tc>
          <w:tcPr>
            <w:tcW w:w="16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(448,091)</w:t>
            </w:r>
          </w:p>
        </w:tc>
        <w:tc>
          <w:tcPr>
            <w:tcW w:w="220" w:type="dxa"/>
            <w:vAlign w:val="bottom"/>
          </w:tcPr>
          <w:p>
            <w:pPr>
              <w:spacing w:after="0" w:line="183" w:lineRule="exact"/>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(19,844)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line="183" w:lineRule="exact"/>
              <w:rPr>
                <w:sz w:val="20"/>
                <w:szCs w:val="20"/>
                <w:color w:val="auto"/>
              </w:rPr>
            </w:pPr>
            <w:r>
              <w:rPr>
                <w:rFonts w:ascii="Arial" w:cs="Arial" w:eastAsia="Arial" w:hAnsi="Arial"/>
                <w:sz w:val="16"/>
                <w:szCs w:val="16"/>
                <w:color w:val="auto"/>
              </w:rPr>
              <w:t>795,715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Net income</w:t>
            </w:r>
          </w:p>
        </w:tc>
        <w:tc>
          <w:tcPr>
            <w:tcW w:w="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49,373</w:t>
            </w:r>
          </w:p>
        </w:tc>
        <w:tc>
          <w:tcPr>
            <w:tcW w:w="2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49,373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6"/>
                <w:szCs w:val="16"/>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2,123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shd w:val="clear" w:color="auto" w:fill="F0FFFF"/>
          </w:tcPr>
          <w:p>
            <w:pPr>
              <w:spacing w:after="0" w:line="181" w:lineRule="exact"/>
              <w:rPr>
                <w:sz w:val="20"/>
                <w:szCs w:val="20"/>
                <w:color w:val="auto"/>
              </w:rPr>
            </w:pPr>
            <w:r>
              <w:rPr>
                <w:rFonts w:ascii="Arial" w:cs="Arial" w:eastAsia="Arial" w:hAnsi="Arial"/>
                <w:sz w:val="16"/>
                <w:szCs w:val="16"/>
                <w:color w:val="auto"/>
                <w:w w:val="99"/>
              </w:rPr>
              <w:t>Redemption of Series B preferred</w:t>
            </w: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stock (105,000 shares)</w:t>
            </w: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w w:val="90"/>
              </w:rPr>
              <w:t>(105,000)</w:t>
            </w:r>
          </w:p>
        </w:tc>
        <w:tc>
          <w:tcPr>
            <w:tcW w:w="12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w w:val="90"/>
              </w:rPr>
              <w:t>(105,000)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spacing w:after="0" w:line="181" w:lineRule="exact"/>
              <w:rPr>
                <w:sz w:val="20"/>
                <w:szCs w:val="20"/>
                <w:color w:val="auto"/>
              </w:rPr>
            </w:pPr>
            <w:r>
              <w:rPr>
                <w:rFonts w:ascii="Arial" w:cs="Arial" w:eastAsia="Arial" w:hAnsi="Arial"/>
                <w:sz w:val="16"/>
                <w:szCs w:val="16"/>
                <w:color w:val="auto"/>
                <w:w w:val="98"/>
              </w:rPr>
              <w:t>Redemption of Series D preferred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stock (16,613 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(16,613)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(16,613)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80" w:type="dxa"/>
            <w:vAlign w:val="bottom"/>
            <w:shd w:val="clear" w:color="auto" w:fill="F0FFFF"/>
          </w:tcPr>
          <w:p>
            <w:pPr>
              <w:spacing w:after="0" w:line="182" w:lineRule="exact"/>
              <w:rPr>
                <w:sz w:val="20"/>
                <w:szCs w:val="20"/>
                <w:color w:val="auto"/>
              </w:rPr>
            </w:pPr>
            <w:r>
              <w:rPr>
                <w:rFonts w:ascii="Arial" w:cs="Arial" w:eastAsia="Arial" w:hAnsi="Arial"/>
                <w:sz w:val="16"/>
                <w:szCs w:val="16"/>
                <w:color w:val="auto"/>
                <w:w w:val="89"/>
              </w:rPr>
              <w:t>Cash dividends declared on common</w:t>
            </w: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stock ($.06 per share)</w:t>
            </w: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(3,616)</w:t>
            </w: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(3,616)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spacing w:after="0" w:line="181" w:lineRule="exact"/>
              <w:rPr>
                <w:sz w:val="20"/>
                <w:szCs w:val="20"/>
                <w:color w:val="auto"/>
              </w:rPr>
            </w:pPr>
            <w:r>
              <w:rPr>
                <w:rFonts w:ascii="Arial" w:cs="Arial" w:eastAsia="Arial" w:hAnsi="Arial"/>
                <w:sz w:val="16"/>
                <w:szCs w:val="16"/>
                <w:color w:val="auto"/>
              </w:rPr>
              <w:t>Common stock issued at market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(640,000 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640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11,566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12,206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80" w:type="dxa"/>
            <w:vAlign w:val="bottom"/>
            <w:shd w:val="clear" w:color="auto" w:fill="F0FFFF"/>
          </w:tcPr>
          <w:p>
            <w:pPr>
              <w:spacing w:after="0" w:line="182" w:lineRule="exact"/>
              <w:rPr>
                <w:sz w:val="20"/>
                <w:szCs w:val="20"/>
                <w:color w:val="auto"/>
              </w:rPr>
            </w:pPr>
            <w:r>
              <w:rPr>
                <w:rFonts w:ascii="Arial" w:cs="Arial" w:eastAsia="Arial" w:hAnsi="Arial"/>
                <w:sz w:val="16"/>
                <w:szCs w:val="16"/>
                <w:color w:val="auto"/>
                <w:w w:val="98"/>
              </w:rPr>
              <w:t>Common stock issued to dividend</w:t>
            </w: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reinvestment plan and to</w:t>
            </w:r>
          </w:p>
        </w:tc>
        <w:tc>
          <w:tcPr>
            <w:tcW w:w="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employee benefit plans (25,284</w:t>
            </w:r>
          </w:p>
        </w:tc>
        <w:tc>
          <w:tcPr>
            <w:tcW w:w="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shares)</w:t>
            </w: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9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399</w:t>
            </w: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spacing w:after="0" w:line="181" w:lineRule="exact"/>
              <w:rPr>
                <w:sz w:val="20"/>
                <w:szCs w:val="20"/>
                <w:color w:val="auto"/>
              </w:rPr>
            </w:pPr>
            <w:r>
              <w:rPr>
                <w:rFonts w:ascii="Arial" w:cs="Arial" w:eastAsia="Arial" w:hAnsi="Arial"/>
                <w:sz w:val="16"/>
                <w:szCs w:val="16"/>
                <w:color w:val="auto"/>
                <w:w w:val="96"/>
              </w:rPr>
              <w:t>Conversion of non-voting common</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w w:val="92"/>
              </w:rPr>
              <w:t>stock to voting (3,107,419 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3,107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(3,107)</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80" w:type="dxa"/>
            <w:vAlign w:val="bottom"/>
            <w:shd w:val="clear" w:color="auto" w:fill="F0FFFF"/>
          </w:tcPr>
          <w:p>
            <w:pPr>
              <w:spacing w:after="0" w:line="182" w:lineRule="exact"/>
              <w:rPr>
                <w:sz w:val="20"/>
                <w:szCs w:val="20"/>
                <w:color w:val="auto"/>
              </w:rPr>
            </w:pPr>
            <w:r>
              <w:rPr>
                <w:rFonts w:ascii="Arial" w:cs="Arial" w:eastAsia="Arial" w:hAnsi="Arial"/>
                <w:sz w:val="16"/>
                <w:szCs w:val="16"/>
                <w:color w:val="auto"/>
              </w:rPr>
              <w:t>Amortization of stock options and</w:t>
            </w: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restricted stock awards</w:t>
            </w: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3,315</w:t>
            </w:r>
          </w:p>
        </w:tc>
        <w:tc>
          <w:tcPr>
            <w:tcW w:w="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3,315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spacing w:after="0" w:line="181" w:lineRule="exact"/>
              <w:rPr>
                <w:sz w:val="20"/>
                <w:szCs w:val="20"/>
                <w:color w:val="auto"/>
              </w:rPr>
            </w:pPr>
            <w:r>
              <w:rPr>
                <w:rFonts w:ascii="Arial" w:cs="Arial" w:eastAsia="Arial" w:hAnsi="Arial"/>
                <w:sz w:val="16"/>
                <w:szCs w:val="16"/>
                <w:color w:val="auto"/>
              </w:rPr>
              <w:t>Vesting of restricted stock, net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shares surrendered to cover</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payroll taxes (137,920 shares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w w:val="95"/>
              </w:rPr>
              <w:t>issued, 115,609 shares deferred)</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1,275</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(2,658)</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380" w:type="dxa"/>
            <w:vAlign w:val="bottom"/>
            <w:shd w:val="clear" w:color="auto" w:fill="F0FFFF"/>
          </w:tcPr>
          <w:p>
            <w:pPr>
              <w:spacing w:after="0" w:line="182" w:lineRule="exact"/>
              <w:rPr>
                <w:sz w:val="20"/>
                <w:szCs w:val="20"/>
                <w:color w:val="auto"/>
              </w:rPr>
            </w:pPr>
            <w:r>
              <w:rPr>
                <w:rFonts w:ascii="Arial" w:cs="Arial" w:eastAsia="Arial" w:hAnsi="Arial"/>
                <w:sz w:val="16"/>
                <w:szCs w:val="16"/>
                <w:color w:val="auto"/>
                <w:w w:val="99"/>
              </w:rPr>
              <w:t>Deferred compensation plan, net,</w:t>
            </w:r>
          </w:p>
        </w:tc>
        <w:tc>
          <w:tcPr>
            <w:tcW w:w="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3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58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72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5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160" w:type="dxa"/>
            <w:vAlign w:val="bottom"/>
            <w:tcBorders>
              <w:right w:val="single" w:sz="8" w:color="F0FFFF"/>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6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including dividend equivalents</w:t>
            </w:r>
          </w:p>
        </w:tc>
        <w:tc>
          <w:tcPr>
            <w:tcW w:w="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3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58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5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80" w:type="dxa"/>
            <w:vAlign w:val="bottom"/>
            <w:shd w:val="clear" w:color="auto" w:fill="F0FFFF"/>
          </w:tcPr>
          <w:p>
            <w:pPr>
              <w:spacing w:after="0"/>
              <w:rPr>
                <w:sz w:val="17"/>
                <w:szCs w:val="17"/>
                <w:color w:val="auto"/>
              </w:rPr>
            </w:pPr>
          </w:p>
        </w:tc>
        <w:tc>
          <w:tcPr>
            <w:tcW w:w="72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7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182</w:t>
            </w: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76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860" w:type="dxa"/>
            <w:vAlign w:val="bottom"/>
            <w:shd w:val="clear" w:color="auto" w:fill="F0FFFF"/>
          </w:tcPr>
          <w:p>
            <w:pPr>
              <w:spacing w:after="0"/>
              <w:rPr>
                <w:sz w:val="17"/>
                <w:szCs w:val="17"/>
                <w:color w:val="auto"/>
              </w:rPr>
            </w:pPr>
          </w:p>
        </w:tc>
        <w:tc>
          <w:tcPr>
            <w:tcW w:w="160" w:type="dxa"/>
            <w:vAlign w:val="bottom"/>
            <w:tcBorders>
              <w:right w:val="single" w:sz="8" w:color="F0FFFF"/>
            </w:tcBorders>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7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380" w:type="dxa"/>
            <w:vAlign w:val="bottom"/>
          </w:tcPr>
          <w:p>
            <w:pPr>
              <w:spacing w:after="0" w:line="181" w:lineRule="exact"/>
              <w:rPr>
                <w:sz w:val="20"/>
                <w:szCs w:val="20"/>
                <w:color w:val="auto"/>
              </w:rPr>
            </w:pPr>
            <w:r>
              <w:rPr>
                <w:rFonts w:ascii="Arial" w:cs="Arial" w:eastAsia="Arial" w:hAnsi="Arial"/>
                <w:sz w:val="16"/>
                <w:szCs w:val="16"/>
                <w:color w:val="auto"/>
              </w:rPr>
              <w:t>Shares issued from deferred</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w w:val="89"/>
              </w:rPr>
              <w:t>compensation plan (13,223 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6"/>
                <w:szCs w:val="16"/>
                <w:color w:val="auto"/>
              </w:rPr>
              <w:t>(271)</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257</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Preferred stock dividends:</w:t>
            </w:r>
          </w:p>
        </w:tc>
        <w:tc>
          <w:tcPr>
            <w:tcW w:w="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6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Series B</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(159)</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Series D</w:t>
            </w:r>
          </w:p>
        </w:tc>
        <w:tc>
          <w:tcPr>
            <w:tcW w:w="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5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5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(280)</w:t>
            </w:r>
          </w:p>
        </w:tc>
        <w:tc>
          <w:tcPr>
            <w:tcW w:w="2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60" w:type="dxa"/>
            <w:vAlign w:val="bottom"/>
            <w:tcBorders>
              <w:right w:val="single" w:sz="8" w:color="F0FFFF"/>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380" w:type="dxa"/>
            <w:vAlign w:val="bottom"/>
            <w:shd w:val="clear" w:color="auto" w:fill="F0FFFF"/>
          </w:tcPr>
          <w:p>
            <w:pPr>
              <w:spacing w:after="0"/>
              <w:rPr>
                <w:sz w:val="2"/>
                <w:szCs w:val="2"/>
                <w:color w:val="auto"/>
              </w:rPr>
            </w:pPr>
          </w:p>
        </w:tc>
        <w:tc>
          <w:tcPr>
            <w:tcW w:w="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b w:val="1"/>
                <w:bCs w:val="1"/>
                <w:color w:val="auto"/>
              </w:rPr>
              <w:t>Balance, September 30, 2014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50,167</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color w:val="auto"/>
              </w:rPr>
              <w:t>10,081</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5,116</w:t>
            </w:r>
          </w:p>
        </w:tc>
        <w:tc>
          <w:tcPr>
            <w:tcW w:w="760" w:type="dxa"/>
            <w:vAlign w:val="bottom"/>
          </w:tcPr>
          <w:p>
            <w:pPr>
              <w:jc w:val="right"/>
              <w:spacing w:after="0"/>
              <w:rPr>
                <w:sz w:val="20"/>
                <w:szCs w:val="20"/>
                <w:color w:val="auto"/>
              </w:rPr>
            </w:pPr>
            <w:r>
              <w:rPr>
                <w:rFonts w:ascii="Arial" w:cs="Arial" w:eastAsia="Arial" w:hAnsi="Arial"/>
                <w:sz w:val="16"/>
                <w:szCs w:val="16"/>
                <w:color w:val="auto"/>
                <w:w w:val="87"/>
              </w:rPr>
              <w:t>$ 1,091,555</w:t>
            </w:r>
          </w:p>
        </w:tc>
        <w:tc>
          <w:tcPr>
            <w:tcW w:w="1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(402,773)</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(17,721)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6"/>
                <w:szCs w:val="16"/>
                <w:color w:val="auto"/>
              </w:rPr>
              <w:t>736,425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620" w:right="2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UNITED COMMUNITY BANKS, INC.</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Consolidated Statement of Cash Flows </w:t>
      </w:r>
      <w:r>
        <w:rPr>
          <w:rFonts w:ascii="Arial" w:cs="Arial" w:eastAsia="Arial" w:hAnsi="Arial"/>
          <w:sz w:val="16"/>
          <w:szCs w:val="16"/>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7260590"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6"/>
          </w:tcPr>
          <w:p>
            <w:pPr>
              <w:jc w:val="right"/>
              <w:ind w:right="68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820" w:type="dxa"/>
            <w:vAlign w:val="bottom"/>
            <w:gridSpan w:val="3"/>
          </w:tcPr>
          <w:p>
            <w:pPr>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7"/>
                <w:szCs w:val="17"/>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jc w:val="right"/>
              <w:ind w:right="31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6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Operating activities:</w:t>
            </w:r>
          </w:p>
        </w:tc>
        <w:tc>
          <w:tcPr>
            <w:tcW w:w="1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8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Net income</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49,373</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257,229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Depreciation, amortization and accretion</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15,098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20,847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Provision for credit losses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6,700</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62,500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Stock based compensation</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3,315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2,168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Deferred income tax expense (benefit)</w:t>
            </w: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28,112</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(250,054)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Securities gains, net</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(4,663)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Loss on prepayment of borrowings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4,446</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Net (gains) losses on sales of foreclosed property</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(518)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5,141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Changes in assets and liabilities:</w:t>
            </w: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420"/>
              <w:spacing w:after="0"/>
              <w:rPr>
                <w:sz w:val="20"/>
                <w:szCs w:val="20"/>
                <w:color w:val="auto"/>
              </w:rPr>
            </w:pPr>
            <w:r>
              <w:rPr>
                <w:rFonts w:ascii="Arial" w:cs="Arial" w:eastAsia="Arial" w:hAnsi="Arial"/>
                <w:sz w:val="16"/>
                <w:szCs w:val="16"/>
                <w:color w:val="auto"/>
              </w:rPr>
              <w:t>Other assets and accrued interest receivable</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(12,334)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16,225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420"/>
              <w:spacing w:after="0"/>
              <w:rPr>
                <w:sz w:val="20"/>
                <w:szCs w:val="20"/>
                <w:color w:val="auto"/>
              </w:rPr>
            </w:pPr>
            <w:r>
              <w:rPr>
                <w:rFonts w:ascii="Arial" w:cs="Arial" w:eastAsia="Arial" w:hAnsi="Arial"/>
                <w:sz w:val="16"/>
                <w:szCs w:val="16"/>
                <w:color w:val="auto"/>
              </w:rPr>
              <w:t>Accrued expenses and other liabilities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(16,813)</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31,562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420"/>
              <w:spacing w:after="0"/>
              <w:rPr>
                <w:sz w:val="20"/>
                <w:szCs w:val="20"/>
                <w:color w:val="auto"/>
              </w:rPr>
            </w:pPr>
            <w:r>
              <w:rPr>
                <w:rFonts w:ascii="Arial" w:cs="Arial" w:eastAsia="Arial" w:hAnsi="Arial"/>
                <w:sz w:val="16"/>
                <w:szCs w:val="16"/>
                <w:color w:val="auto"/>
              </w:rPr>
              <w:t>Mortgage loans held for sale</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(9,685)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16,834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63,031</w:t>
            </w:r>
          </w:p>
        </w:tc>
        <w:tc>
          <w:tcPr>
            <w:tcW w:w="1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162,336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tcBorders>
              <w:top w:val="single" w:sz="8" w:color="F0FFFF"/>
            </w:tcBorders>
            <w:gridSpan w:val="2"/>
          </w:tcPr>
          <w:p>
            <w:pPr>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Investment securities held-to-maturity:</w:t>
            </w: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Proceeds from maturities and calls</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47,567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45,578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Purchases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(8,481)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Investment securities available-for-sale: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Proceeds from sales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403,517</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20,751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Proceeds from maturities and calls</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176,423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399,304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Purchases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(552,025)</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(574,020)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Net increase in loans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(220,061)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(288,514)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Proceeds from note sales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4,561</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91,913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Cash paid for acquisition</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(31,243)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Funds collected from FDIC under loss sharing agreements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2,890</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5,121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Proceeds from sales of premises and equipment</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3,550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Purchases of premises and equipment</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(3,260)</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(7,533)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Proceeds from sale of other real estate</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7,920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24,049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(161,396)</w:t>
            </w:r>
          </w:p>
        </w:tc>
        <w:tc>
          <w:tcPr>
            <w:tcW w:w="100" w:type="dxa"/>
            <w:vAlign w:val="bottom"/>
            <w:shd w:val="clear" w:color="auto" w:fill="F0FFFF"/>
          </w:tcPr>
          <w:p>
            <w:pPr>
              <w:spacing w:after="0"/>
              <w:rPr>
                <w:sz w:val="17"/>
                <w:szCs w:val="17"/>
                <w:color w:val="auto"/>
              </w:rPr>
            </w:pPr>
          </w:p>
        </w:tc>
        <w:tc>
          <w:tcPr>
            <w:tcW w:w="380" w:type="dxa"/>
            <w:vAlign w:val="bottom"/>
            <w:shd w:val="clear" w:color="auto" w:fill="F0FFFF"/>
          </w:tcPr>
          <w:p>
            <w:pPr>
              <w:spacing w:after="0"/>
              <w:rPr>
                <w:sz w:val="17"/>
                <w:szCs w:val="17"/>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(288,282)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tcBorders>
              <w:top w:val="single" w:sz="8" w:color="F0FFFF"/>
            </w:tcBorders>
            <w:gridSpan w:val="2"/>
          </w:tcPr>
          <w:p>
            <w:pPr>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Net change in deposits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39,224</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160,767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Net change in short-term borrowings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(51,686)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Proceeds from Federal Home Loan Bank advances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930,000</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650,000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Repayment of Federal Home Loan Bank advances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(720,000)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(690,000)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Proceeds from issuance of senior debt</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40,000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Repayment of subordinated debentures</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(35,000)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Proceeds from issuance of common stock for dividend reinvestment and employee benefit plans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Retirement of preferred stock</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(121,613)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Issuance of common stock</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12,206</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Proceeds from warrant exercise</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19,389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Cash dividends on common stock</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(1,810)</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Cash dividends on preferred stock</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(8,003)</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800" w:type="dxa"/>
            <w:vAlign w:val="bottom"/>
            <w:gridSpan w:val="2"/>
            <w:shd w:val="clear" w:color="auto" w:fill="F0FFFF"/>
          </w:tcPr>
          <w:p>
            <w:pPr>
              <w:spacing w:after="0"/>
              <w:rPr>
                <w:sz w:val="20"/>
                <w:szCs w:val="20"/>
                <w:color w:val="auto"/>
              </w:rPr>
            </w:pPr>
            <w:r>
              <w:rPr>
                <w:rFonts w:ascii="Arial" w:cs="Arial" w:eastAsia="Arial" w:hAnsi="Arial"/>
                <w:sz w:val="16"/>
                <w:szCs w:val="16"/>
                <w:b w:val="1"/>
                <w:bCs w:val="1"/>
                <w:color w:val="auto"/>
              </w:rPr>
              <w:t>Net cash provided by financing activities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85,531</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138,930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Net change in cash and cash equivalents</w:t>
            </w: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(12,834)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12,984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Cash and cash equivalents at beginning of period</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228,898</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251,149</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6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8800" w:type="dxa"/>
            <w:vAlign w:val="bottom"/>
            <w:gridSpan w:val="2"/>
          </w:tcPr>
          <w:p>
            <w:pPr>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216,064</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264,133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800" w:type="dxa"/>
            <w:vAlign w:val="bottom"/>
            <w:gridSpan w:val="2"/>
            <w:shd w:val="clear" w:color="auto" w:fill="F0FFFF"/>
          </w:tcPr>
          <w:p>
            <w:pPr>
              <w:spacing w:after="0" w:line="183"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38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Cash paid during the period for:</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Interest</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20,598</w:t>
            </w:r>
          </w:p>
        </w:tc>
        <w:tc>
          <w:tcPr>
            <w:tcW w:w="48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26,517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tcPr>
          <w:p>
            <w:pPr>
              <w:ind w:left="26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2,497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2,361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80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Unsettled securities purchases</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11,610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800" w:type="dxa"/>
            <w:vAlign w:val="bottom"/>
            <w:gridSpan w:val="2"/>
          </w:tcPr>
          <w:p>
            <w:pPr>
              <w:ind w:left="120"/>
              <w:spacing w:after="0"/>
              <w:rPr>
                <w:sz w:val="20"/>
                <w:szCs w:val="20"/>
                <w:color w:val="auto"/>
              </w:rPr>
            </w:pPr>
            <w:r>
              <w:rPr>
                <w:rFonts w:ascii="Arial" w:cs="Arial" w:eastAsia="Arial" w:hAnsi="Arial"/>
                <w:sz w:val="16"/>
                <w:szCs w:val="16"/>
                <w:color w:val="auto"/>
              </w:rPr>
              <w:t>Transfers of loans to foreclosed property</w:t>
            </w:r>
          </w:p>
        </w:tc>
        <w:tc>
          <w:tcPr>
            <w:tcW w:w="240" w:type="dxa"/>
            <w:vAlign w:val="bottom"/>
          </w:tcPr>
          <w:p>
            <w:pPr>
              <w:spacing w:after="0"/>
              <w:rPr>
                <w:sz w:val="17"/>
                <w:szCs w:val="17"/>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8,216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18,460</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consolidated financial statements.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14"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 Accounting Policies</w:t>
      </w:r>
    </w:p>
    <w:p>
      <w:pPr>
        <w:spacing w:after="0" w:line="21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2013.</w:t>
      </w:r>
    </w:p>
    <w:p>
      <w:pPr>
        <w:spacing w:after="0" w:line="191"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Reclassifications</w:t>
      </w:r>
    </w:p>
    <w:p>
      <w:pPr>
        <w:spacing w:after="0" w:line="232" w:lineRule="exact"/>
        <w:rPr>
          <w:sz w:val="20"/>
          <w:szCs w:val="20"/>
          <w:color w:val="auto"/>
        </w:rPr>
      </w:pPr>
    </w:p>
    <w:p>
      <w:pPr>
        <w:jc w:val="both"/>
        <w:ind w:right="20"/>
        <w:spacing w:after="0" w:line="316" w:lineRule="auto"/>
        <w:rPr>
          <w:sz w:val="20"/>
          <w:szCs w:val="20"/>
          <w:color w:val="auto"/>
        </w:rPr>
      </w:pPr>
      <w:r>
        <w:rPr>
          <w:rFonts w:ascii="Arial" w:cs="Arial" w:eastAsia="Arial" w:hAnsi="Arial"/>
          <w:sz w:val="15"/>
          <w:szCs w:val="15"/>
          <w:color w:val="auto"/>
        </w:rPr>
        <w:t>Certain 2013 amounts have been reclassified to conform to the 2014 presentation. During the fourth quarter of 2013, United reclassified hedge ineffectiveness gains and losses from other fee revenue to net interest revenue. The impact of the reclassification has been reflected in all periods and was not material to any period.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–Accounting Standards Updates and Recently Adopted Standards</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No. 2014-09,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This ASU provides guidance on the recognition of revenue from contracts with customers. The core principle of the guidance is that an entity should recognize revenue to depict the transfer of promised goods or services to customers in an amount that reflects the consideration to which the entity expects to be entitled in exchange for those goods or services. This guidance is effective for public entities for annual reporting periods beginning after December 15, 2016, including interim periods within that reporting period, and will be applied retrospectively either to each prior reporting period or with a cumulative effect recognized at the date of initial application. United is in the process of evaluating this guidance, but its effect on United’s financial condition or results of operations is not expected to be material.</w:t>
      </w:r>
    </w:p>
    <w:p>
      <w:pPr>
        <w:spacing w:after="0" w:line="179"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 xml:space="preserve">In June 2014, FASB issued ASU No. 2014-11, </w:t>
      </w:r>
      <w:r>
        <w:rPr>
          <w:rFonts w:ascii="Arial" w:cs="Arial" w:eastAsia="Arial" w:hAnsi="Arial"/>
          <w:sz w:val="15"/>
          <w:szCs w:val="15"/>
          <w:i w:val="1"/>
          <w:iCs w:val="1"/>
          <w:color w:val="auto"/>
        </w:rPr>
        <w:t>Repurchase-to-Maturity Transactions, Repurchase Financings and Disclosures.</w:t>
      </w:r>
      <w:r>
        <w:rPr>
          <w:rFonts w:ascii="Arial" w:cs="Arial" w:eastAsia="Arial" w:hAnsi="Arial"/>
          <w:sz w:val="15"/>
          <w:szCs w:val="15"/>
          <w:color w:val="auto"/>
        </w:rPr>
        <w:t xml:space="preserve"> This ASU changes the accounting for repurchase-to-maturity transactions to secured borrowing accounting. For repurchase financing arrangements, the amendments require separate accounting for a transfer of a financial asset executed contemporaneously with a repurchase agreement with the same counterparty, which will result in secured borrowing accounting. The ASU also requires new disclosures for repurchase agreements, securities lending transactions and repurchase-to-maturity transactions. The Update is effective for the first interim or annual period beginning after December 15, 2014. United is currently evaluating the guidance’s impact on its financial position, results of operation and disclosures.</w:t>
      </w:r>
    </w:p>
    <w:p>
      <w:pPr>
        <w:spacing w:after="0" w:line="179" w:lineRule="exact"/>
        <w:rPr>
          <w:sz w:val="20"/>
          <w:szCs w:val="20"/>
          <w:color w:val="auto"/>
        </w:rPr>
      </w:pPr>
    </w:p>
    <w:p>
      <w:pPr>
        <w:jc w:val="both"/>
        <w:ind w:firstLine="53"/>
        <w:spacing w:after="0" w:line="260" w:lineRule="auto"/>
        <w:rPr>
          <w:sz w:val="20"/>
          <w:szCs w:val="20"/>
          <w:color w:val="auto"/>
        </w:rPr>
      </w:pPr>
      <w:r>
        <w:rPr>
          <w:rFonts w:ascii="Arial" w:cs="Arial" w:eastAsia="Arial" w:hAnsi="Arial"/>
          <w:sz w:val="16"/>
          <w:szCs w:val="16"/>
          <w:color w:val="auto"/>
        </w:rPr>
        <w:t xml:space="preserve">In June 2014, FASB issued ASU No. 2014-12, </w:t>
      </w:r>
      <w:r>
        <w:rPr>
          <w:rFonts w:ascii="Arial" w:cs="Arial" w:eastAsia="Arial" w:hAnsi="Arial"/>
          <w:sz w:val="16"/>
          <w:szCs w:val="16"/>
          <w:i w:val="1"/>
          <w:iCs w:val="1"/>
          <w:color w:val="auto"/>
        </w:rPr>
        <w:t>Accounting for Share-Based Payments When the Terms of an Award Provide That a Performance Target Could Be Achieved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after the Requisite Service Period. </w:t>
      </w:r>
      <w:r>
        <w:rPr>
          <w:rFonts w:ascii="Arial" w:cs="Arial" w:eastAsia="Arial" w:hAnsi="Arial"/>
          <w:sz w:val="16"/>
          <w:szCs w:val="16"/>
          <w:color w:val="auto"/>
        </w:rPr>
        <w:t>This ASU requires that a performance target that affects vesting and that could be achieved after the requisite service period be treated as a</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condition and should not be reflected in estimating the grant-date fair value of the award. The standard is effective for annual periods and interim periods within those annual periods beginning after December 15, 2015. This guidance is not expected to have a material impact on United’s financial position, results of operations or disclosures.</w:t>
      </w:r>
    </w:p>
    <w:p>
      <w:pPr>
        <w:spacing w:after="0" w:line="19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In August 2014, the FASB issued ASU No. 2014-13, </w:t>
      </w:r>
      <w:r>
        <w:rPr>
          <w:rFonts w:ascii="Arial" w:cs="Arial" w:eastAsia="Arial" w:hAnsi="Arial"/>
          <w:sz w:val="16"/>
          <w:szCs w:val="16"/>
          <w:i w:val="1"/>
          <w:iCs w:val="1"/>
          <w:color w:val="auto"/>
        </w:rPr>
        <w:t>Consolidation, Measuring the Financial Assets and the Financial Liabilities of a Consolidated Collateralized Financing</w:t>
      </w:r>
      <w:r>
        <w:rPr>
          <w:rFonts w:ascii="Arial" w:cs="Arial" w:eastAsia="Arial" w:hAnsi="Arial"/>
          <w:sz w:val="16"/>
          <w:szCs w:val="16"/>
          <w:color w:val="auto"/>
        </w:rPr>
        <w:t xml:space="preserve"> </w:t>
      </w:r>
      <w:r>
        <w:rPr>
          <w:rFonts w:ascii="Arial" w:cs="Arial" w:eastAsia="Arial" w:hAnsi="Arial"/>
          <w:sz w:val="16"/>
          <w:szCs w:val="16"/>
          <w:i w:val="1"/>
          <w:iCs w:val="1"/>
          <w:color w:val="auto"/>
        </w:rPr>
        <w:t>Entity</w:t>
      </w:r>
      <w:r>
        <w:rPr>
          <w:rFonts w:ascii="Arial" w:cs="Arial" w:eastAsia="Arial" w:hAnsi="Arial"/>
          <w:sz w:val="16"/>
          <w:szCs w:val="16"/>
          <w:color w:val="auto"/>
        </w:rPr>
        <w:t>. This ASU addresses measurement differences in practice in both the initial consolidation and subsequent measurement of the financial assets and financial liabilities of a</w:t>
      </w:r>
      <w:r>
        <w:rPr>
          <w:rFonts w:ascii="Arial" w:cs="Arial" w:eastAsia="Arial" w:hAnsi="Arial"/>
          <w:sz w:val="16"/>
          <w:szCs w:val="16"/>
          <w:i w:val="1"/>
          <w:iCs w:val="1"/>
          <w:color w:val="auto"/>
        </w:rPr>
        <w:t xml:space="preserve"> </w:t>
      </w:r>
      <w:r>
        <w:rPr>
          <w:rFonts w:ascii="Arial" w:cs="Arial" w:eastAsia="Arial" w:hAnsi="Arial"/>
          <w:sz w:val="16"/>
          <w:szCs w:val="16"/>
          <w:color w:val="auto"/>
        </w:rPr>
        <w:t>collateralized financing entity for a reporting entity that consolidates a collateralized financing entity. Collateralized financing entities include collateralized debt obligations (“CDOs”) and collateralized loan obligations (“CLOs”). This ASU becomes effective for public business entities for annual periods and interim periods within those annual periods, beginning after December 15, 2015. Although United holds CLOs in its investment securities portfolio, United is not required to consolidate any of the CLOs it currently holds. Therefore this ASU is not currently applicable to United.</w:t>
      </w:r>
    </w:p>
    <w:p>
      <w:pPr>
        <w:spacing w:after="0" w:line="196"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 xml:space="preserve">In August 2014, the FASB issued ASU No. 2014-14, </w:t>
      </w:r>
      <w:r>
        <w:rPr>
          <w:rFonts w:ascii="Arial" w:cs="Arial" w:eastAsia="Arial" w:hAnsi="Arial"/>
          <w:sz w:val="15"/>
          <w:szCs w:val="15"/>
          <w:i w:val="1"/>
          <w:iCs w:val="1"/>
          <w:color w:val="auto"/>
        </w:rPr>
        <w:t>Receivables – Troubled Debt Restructurings by Creditors, Classification of Certain Government Guaranteed Mortgage</w:t>
      </w:r>
      <w:r>
        <w:rPr>
          <w:rFonts w:ascii="Arial" w:cs="Arial" w:eastAsia="Arial" w:hAnsi="Arial"/>
          <w:sz w:val="15"/>
          <w:szCs w:val="15"/>
          <w:color w:val="auto"/>
        </w:rPr>
        <w:t xml:space="preserve"> </w:t>
      </w:r>
      <w:r>
        <w:rPr>
          <w:rFonts w:ascii="Arial" w:cs="Arial" w:eastAsia="Arial" w:hAnsi="Arial"/>
          <w:sz w:val="15"/>
          <w:szCs w:val="15"/>
          <w:i w:val="1"/>
          <w:iCs w:val="1"/>
          <w:color w:val="auto"/>
        </w:rPr>
        <w:t>Loans upon Foreclosure</w:t>
      </w:r>
      <w:r>
        <w:rPr>
          <w:rFonts w:ascii="Arial" w:cs="Arial" w:eastAsia="Arial" w:hAnsi="Arial"/>
          <w:sz w:val="15"/>
          <w:szCs w:val="15"/>
          <w:color w:val="auto"/>
        </w:rPr>
        <w:t>. This ASU addresses diversity in practice related to how creditors classify government-guaranteed mortgage loans, including Federal Housing</w:t>
      </w:r>
      <w:r>
        <w:rPr>
          <w:rFonts w:ascii="Arial" w:cs="Arial" w:eastAsia="Arial" w:hAnsi="Arial"/>
          <w:sz w:val="15"/>
          <w:szCs w:val="15"/>
          <w:i w:val="1"/>
          <w:iCs w:val="1"/>
          <w:color w:val="auto"/>
        </w:rPr>
        <w:t xml:space="preserve"> </w:t>
      </w:r>
      <w:r>
        <w:rPr>
          <w:rFonts w:ascii="Arial" w:cs="Arial" w:eastAsia="Arial" w:hAnsi="Arial"/>
          <w:sz w:val="15"/>
          <w:szCs w:val="15"/>
          <w:color w:val="auto"/>
        </w:rPr>
        <w:t>Administration or U.S. Department of Veterans Affairs guaranteed loans upon foreclosure. The amendments in this ASU require that a mortgage loan be derecognized and that a separate other receivable be recognized upon foreclosure if the following conditions are met: 1) The loan has a government guarantee that is not separable from the loan before foreclosure, 2) At the time of foreclosure, the creditor has the intent to convey the real estate property to the guarantor and make a claim on the guarantee, and the creditor has the ability to recover under that claim, and 3) At the time of foreclosure, any amount of the claim that is determined on the basis of the fair value of the real estate is fixed. Upon foreclosure, the separate other receivable should be measured based on the amount of the loan balance (principal and interest) expected to be recovered from the guarantor. This guidance is not expected to have a material impact on United’s financial position, results of operations or disclosures.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38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 xml:space="preserve">In November 2014, the FASB issued ASU No. 2014-16, </w:t>
      </w:r>
      <w:r>
        <w:rPr>
          <w:rFonts w:ascii="Arial" w:cs="Arial" w:eastAsia="Arial" w:hAnsi="Arial"/>
          <w:sz w:val="16"/>
          <w:szCs w:val="16"/>
          <w:i w:val="1"/>
          <w:iCs w:val="1"/>
          <w:color w:val="auto"/>
        </w:rPr>
        <w:t>Derivatives and Hedging – Determining Whether the Host Contract in a Hybrid Financial Instrument Issued in the</w:t>
      </w:r>
      <w:r>
        <w:rPr>
          <w:rFonts w:ascii="Arial" w:cs="Arial" w:eastAsia="Arial" w:hAnsi="Arial"/>
          <w:sz w:val="16"/>
          <w:szCs w:val="16"/>
          <w:color w:val="auto"/>
        </w:rPr>
        <w:t xml:space="preserve"> </w:t>
      </w:r>
      <w:r>
        <w:rPr>
          <w:rFonts w:ascii="Arial" w:cs="Arial" w:eastAsia="Arial" w:hAnsi="Arial"/>
          <w:sz w:val="16"/>
          <w:szCs w:val="16"/>
          <w:i w:val="1"/>
          <w:iCs w:val="1"/>
          <w:color w:val="auto"/>
        </w:rPr>
        <w:t>Form of a Share Is More Akin to Debt or to Equity</w:t>
      </w:r>
      <w:r>
        <w:rPr>
          <w:rFonts w:ascii="Arial" w:cs="Arial" w:eastAsia="Arial" w:hAnsi="Arial"/>
          <w:sz w:val="16"/>
          <w:szCs w:val="16"/>
          <w:color w:val="auto"/>
        </w:rPr>
        <w:t>. This ASU was issued to eliminate the use of different methods currently used in practice to account for hybrid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issued in the form of a share. The amendments in this ASU apply to all entities that are issuers of, or investors in, hybrid financial instruments that are issued in the form of a share. The amendments in this ASU are to be applied on a modified retrospective basis to existing hybrid financial instruments issued in the form of a share as of the beginning of the fiscal year for which the amendments are effective. Retrospective application is permitted to all relevant periods. The amendments in this ASU are effective for public business entities for fiscal years, and interim periods within those fiscal years, beginning after December 15, 2015. Early adoption, including adoption in an interim period, is permitted. United is not an issuer of or an investor in hybrid financial instruments issued in the form of a share and therefore this ASU is not currently applicable to United.</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 Acquisition</w:t>
      </w:r>
    </w:p>
    <w:p>
      <w:pPr>
        <w:spacing w:after="0" w:line="232"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On June 26, 2014, United completed the acquisition of substantially all of the assets of Business Carolina, Inc., a specialty Small Business Administration (“SBA”) / United States Department of Agriculture (“USDA”) lender headquartered in Columbia, South Carolina. On the closing date, United paid $31.2 million in cash for loans having a fair value on the purchase date of $24.8 million, accrued interest of $83,000, servicing rights with a fair value on the purchase date of $2.13 million, premises and equipment with a fair value on the purchase date of $2.60 million and goodwill in the amount of $1.49 million representing the premium paid over the fair value of the separately identifiable assets and liabilities acquired. United has not identified any material separately identifiable intangible assets resulting from the acquisition.</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 Balance Sheet Offsetting</w:t>
      </w:r>
    </w:p>
    <w:p>
      <w:pPr>
        <w:spacing w:after="0" w:line="2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6"/>
          <w:szCs w:val="16"/>
          <w:i w:val="1"/>
          <w:iCs w:val="1"/>
          <w:color w:val="auto"/>
        </w:rPr>
        <w:t>Offsetting.</w:t>
      </w:r>
    </w:p>
    <w:p>
      <w:pPr>
        <w:spacing w:after="0" w:line="186" w:lineRule="exact"/>
        <w:rPr>
          <w:sz w:val="20"/>
          <w:szCs w:val="20"/>
          <w:color w:val="auto"/>
        </w:rPr>
      </w:pPr>
    </w:p>
    <w:p>
      <w:pPr>
        <w:jc w:val="both"/>
        <w:ind w:right="20"/>
        <w:spacing w:after="0" w:line="316" w:lineRule="auto"/>
        <w:rPr>
          <w:sz w:val="20"/>
          <w:szCs w:val="20"/>
          <w:color w:val="auto"/>
        </w:rPr>
      </w:pPr>
      <w:r>
        <w:rPr>
          <w:rFonts w:ascii="Arial" w:cs="Arial" w:eastAsia="Arial" w:hAnsi="Arial"/>
          <w:sz w:val="15"/>
          <w:szCs w:val="15"/>
          <w:color w:val="auto"/>
        </w:rPr>
        <w:t xml:space="preserve">The following table presents a summary of amounts outstanding under reverse repurchase agreements and derivative financial instruments including those entered into in connection with the same counterparty under master netting agreements as of September 30, 2014, December 31, 2013 and September 30, 2013 </w:t>
      </w:r>
      <w:r>
        <w:rPr>
          <w:rFonts w:ascii="Arial" w:cs="Arial" w:eastAsia="Arial" w:hAnsi="Arial"/>
          <w:sz w:val="15"/>
          <w:szCs w:val="15"/>
          <w:i w:val="1"/>
          <w:iCs w:val="1"/>
          <w:color w:val="auto"/>
        </w:rPr>
        <w:t>(in thousands)</w:t>
      </w:r>
      <w:r>
        <w:rPr>
          <w:rFonts w:ascii="Arial" w:cs="Arial" w:eastAsia="Arial" w:hAnsi="Arial"/>
          <w:sz w:val="15"/>
          <w:szCs w:val="15"/>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Gross Amounts not Offset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Amounts of</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on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in the Balance Sheet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September 30, 2014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Recognized</w:t>
            </w: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Balance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Net Asset</w:t>
            </w: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5"/>
              </w:rPr>
              <w:t>Financial</w:t>
            </w: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Sheet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Received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00" w:type="dxa"/>
            <w:vAlign w:val="bottom"/>
            <w:shd w:val="clear" w:color="auto" w:fill="F0FFFF"/>
          </w:tcPr>
          <w:p>
            <w:pPr>
              <w:spacing w:after="0" w:line="181" w:lineRule="exact"/>
              <w:rPr>
                <w:sz w:val="20"/>
                <w:szCs w:val="20"/>
                <w:color w:val="auto"/>
              </w:rPr>
            </w:pPr>
            <w:r>
              <w:rPr>
                <w:rFonts w:ascii="Arial" w:cs="Arial" w:eastAsia="Arial" w:hAnsi="Arial"/>
                <w:sz w:val="16"/>
                <w:szCs w:val="16"/>
                <w:color w:val="auto"/>
                <w:w w:val="97"/>
              </w:rPr>
              <w:t>Repurchase agreements / reverse repurchase</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9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agreements</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F0FFFF"/>
          </w:tcPr>
          <w:p>
            <w:pPr>
              <w:jc w:val="right"/>
              <w:ind w:right="280"/>
              <w:spacing w:after="0"/>
              <w:rPr>
                <w:sz w:val="20"/>
                <w:szCs w:val="20"/>
                <w:color w:val="auto"/>
              </w:rPr>
            </w:pPr>
            <w:r>
              <w:rPr>
                <w:rFonts w:ascii="Arial" w:cs="Arial" w:eastAsia="Arial" w:hAnsi="Arial"/>
                <w:sz w:val="16"/>
                <w:szCs w:val="16"/>
                <w:color w:val="auto"/>
              </w:rPr>
              <w:t>392,000</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(375,000)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17,000</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(17,985)</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22,221</w:t>
            </w: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22,221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(2,093)</w:t>
            </w: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(3,427)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16,701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F0FFFF"/>
          </w:tcPr>
          <w:p>
            <w:pPr>
              <w:jc w:val="right"/>
              <w:ind w:right="280"/>
              <w:spacing w:after="0"/>
              <w:rPr>
                <w:sz w:val="20"/>
                <w:szCs w:val="20"/>
                <w:color w:val="auto"/>
              </w:rPr>
            </w:pPr>
            <w:r>
              <w:rPr>
                <w:rFonts w:ascii="Arial" w:cs="Arial" w:eastAsia="Arial" w:hAnsi="Arial"/>
                <w:sz w:val="16"/>
                <w:szCs w:val="16"/>
                <w:color w:val="auto"/>
              </w:rPr>
              <w:t>414,221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(375,000)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39,221</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(2,093)</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(21,412)</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16,701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tcBorders>
              <w:top w:val="single" w:sz="8" w:color="F0FFFF"/>
            </w:tcBorders>
          </w:tcPr>
          <w:p>
            <w:pPr>
              <w:spacing w:after="0" w:line="170" w:lineRule="exact"/>
              <w:rPr>
                <w:sz w:val="20"/>
                <w:szCs w:val="20"/>
                <w:color w:val="auto"/>
              </w:rPr>
            </w:pPr>
            <w:r>
              <w:rPr>
                <w:rFonts w:ascii="Arial" w:cs="Arial" w:eastAsia="Arial" w:hAnsi="Arial"/>
                <w:sz w:val="16"/>
                <w:szCs w:val="16"/>
                <w:color w:val="auto"/>
              </w:rPr>
              <w:t>Weighted average interest rate of reverse</w:t>
            </w: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F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tcPr>
          <w:p>
            <w:pPr>
              <w:ind w:left="1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Amounts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Gross Amounts not Offset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Amounts of</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Offset on the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in the Balance Sheet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400"/>
              <w:spacing w:after="0" w:line="178" w:lineRule="exact"/>
              <w:rPr>
                <w:sz w:val="20"/>
                <w:szCs w:val="20"/>
                <w:color w:val="auto"/>
              </w:rPr>
            </w:pPr>
            <w:r>
              <w:rPr>
                <w:rFonts w:ascii="Arial" w:cs="Arial" w:eastAsia="Arial" w:hAnsi="Arial"/>
                <w:sz w:val="16"/>
                <w:szCs w:val="16"/>
                <w:b w:val="1"/>
                <w:bCs w:val="1"/>
                <w:color w:val="auto"/>
                <w:w w:val="86"/>
              </w:rPr>
              <w:t>Recognized</w:t>
            </w:r>
          </w:p>
        </w:tc>
        <w:tc>
          <w:tcPr>
            <w:tcW w:w="100" w:type="dxa"/>
            <w:vAlign w:val="bottom"/>
          </w:tcPr>
          <w:p>
            <w:pPr>
              <w:spacing w:after="0"/>
              <w:rPr>
                <w:sz w:val="15"/>
                <w:szCs w:val="15"/>
                <w:color w:val="auto"/>
              </w:rPr>
            </w:pPr>
          </w:p>
        </w:tc>
        <w:tc>
          <w:tcPr>
            <w:tcW w:w="1180" w:type="dxa"/>
            <w:vAlign w:val="bottom"/>
            <w:gridSpan w:val="2"/>
          </w:tcPr>
          <w:p>
            <w:pPr>
              <w:jc w:val="center"/>
              <w:ind w:right="220"/>
              <w:spacing w:after="0" w:line="178" w:lineRule="exact"/>
              <w:rPr>
                <w:sz w:val="20"/>
                <w:szCs w:val="20"/>
                <w:color w:val="auto"/>
              </w:rPr>
            </w:pPr>
            <w:r>
              <w:rPr>
                <w:rFonts w:ascii="Arial" w:cs="Arial" w:eastAsia="Arial" w:hAnsi="Arial"/>
                <w:sz w:val="16"/>
                <w:szCs w:val="16"/>
                <w:b w:val="1"/>
                <w:bCs w:val="1"/>
                <w:color w:val="auto"/>
                <w:w w:val="91"/>
              </w:rPr>
              <w:t>Balance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360"/>
              <w:spacing w:after="0" w:line="178" w:lineRule="exact"/>
              <w:rPr>
                <w:sz w:val="20"/>
                <w:szCs w:val="20"/>
                <w:color w:val="auto"/>
              </w:rPr>
            </w:pPr>
            <w:r>
              <w:rPr>
                <w:rFonts w:ascii="Arial" w:cs="Arial" w:eastAsia="Arial" w:hAnsi="Arial"/>
                <w:sz w:val="16"/>
                <w:szCs w:val="16"/>
                <w:b w:val="1"/>
                <w:bCs w:val="1"/>
                <w:color w:val="auto"/>
                <w:w w:val="99"/>
              </w:rPr>
              <w:t>Liability</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00"/>
              <w:spacing w:after="0" w:line="178" w:lineRule="exact"/>
              <w:rPr>
                <w:sz w:val="20"/>
                <w:szCs w:val="20"/>
                <w:color w:val="auto"/>
              </w:rPr>
            </w:pPr>
            <w:r>
              <w:rPr>
                <w:rFonts w:ascii="Arial" w:cs="Arial" w:eastAsia="Arial" w:hAnsi="Arial"/>
                <w:sz w:val="16"/>
                <w:szCs w:val="16"/>
                <w:b w:val="1"/>
                <w:bCs w:val="1"/>
                <w:color w:val="auto"/>
                <w:w w:val="95"/>
              </w:rPr>
              <w:t>Financial</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center"/>
              <w:ind w:right="79"/>
              <w:spacing w:after="0" w:line="178" w:lineRule="exact"/>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Sheet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Pledged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00" w:type="dxa"/>
            <w:vAlign w:val="bottom"/>
            <w:shd w:val="clear" w:color="auto" w:fill="F0FFFF"/>
          </w:tcPr>
          <w:p>
            <w:pPr>
              <w:spacing w:after="0" w:line="181" w:lineRule="exact"/>
              <w:rPr>
                <w:sz w:val="20"/>
                <w:szCs w:val="20"/>
                <w:color w:val="auto"/>
              </w:rPr>
            </w:pPr>
            <w:r>
              <w:rPr>
                <w:rFonts w:ascii="Arial" w:cs="Arial" w:eastAsia="Arial" w:hAnsi="Arial"/>
                <w:sz w:val="16"/>
                <w:szCs w:val="16"/>
                <w:color w:val="auto"/>
                <w:w w:val="97"/>
              </w:rPr>
              <w:t>Repurchase agreements / reverse repurchase</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9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agreements</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F0FFFF"/>
          </w:tcPr>
          <w:p>
            <w:pPr>
              <w:jc w:val="right"/>
              <w:ind w:right="280"/>
              <w:spacing w:after="0"/>
              <w:rPr>
                <w:sz w:val="20"/>
                <w:szCs w:val="20"/>
                <w:color w:val="auto"/>
              </w:rPr>
            </w:pPr>
            <w:r>
              <w:rPr>
                <w:rFonts w:ascii="Arial" w:cs="Arial" w:eastAsia="Arial" w:hAnsi="Arial"/>
                <w:sz w:val="16"/>
                <w:szCs w:val="16"/>
                <w:color w:val="auto"/>
              </w:rPr>
              <w:t>375,000</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(375,000)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36,171</w:t>
            </w:r>
          </w:p>
        </w:tc>
        <w:tc>
          <w:tcPr>
            <w:tcW w:w="1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36,171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(2,093)</w:t>
            </w:r>
          </w:p>
        </w:tc>
        <w:tc>
          <w:tcPr>
            <w:tcW w:w="16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(38,195)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F0FFFF"/>
          </w:tcPr>
          <w:p>
            <w:pPr>
              <w:jc w:val="right"/>
              <w:ind w:right="280"/>
              <w:spacing w:after="0"/>
              <w:rPr>
                <w:sz w:val="20"/>
                <w:szCs w:val="20"/>
                <w:color w:val="auto"/>
              </w:rPr>
            </w:pPr>
            <w:r>
              <w:rPr>
                <w:rFonts w:ascii="Arial" w:cs="Arial" w:eastAsia="Arial" w:hAnsi="Arial"/>
                <w:sz w:val="16"/>
                <w:szCs w:val="16"/>
                <w:color w:val="auto"/>
              </w:rPr>
              <w:t>411,171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(375,000)</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36,171</w:t>
            </w:r>
          </w:p>
        </w:tc>
        <w:tc>
          <w:tcPr>
            <w:tcW w:w="1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(2,093)</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(38,195)</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tcBorders>
              <w:top w:val="single" w:sz="8" w:color="F0FFFF"/>
            </w:tcBorders>
          </w:tcPr>
          <w:p>
            <w:pPr>
              <w:spacing w:after="0" w:line="170" w:lineRule="exact"/>
              <w:rPr>
                <w:sz w:val="20"/>
                <w:szCs w:val="20"/>
                <w:color w:val="auto"/>
              </w:rPr>
            </w:pPr>
            <w:r>
              <w:rPr>
                <w:rFonts w:ascii="Arial" w:cs="Arial" w:eastAsia="Arial" w:hAnsi="Arial"/>
                <w:sz w:val="16"/>
                <w:szCs w:val="16"/>
                <w:color w:val="auto"/>
                <w:w w:val="99"/>
              </w:rPr>
              <w:t>Weighted average interest rate of repurchase</w:t>
            </w: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F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tcPr>
          <w:p>
            <w:pPr>
              <w:ind w:left="120"/>
              <w:spacing w:after="0"/>
              <w:rPr>
                <w:sz w:val="20"/>
                <w:szCs w:val="20"/>
                <w:color w:val="auto"/>
              </w:rPr>
            </w:pPr>
            <w:r>
              <w:rPr>
                <w:rFonts w:ascii="Arial" w:cs="Arial" w:eastAsia="Arial" w:hAnsi="Arial"/>
                <w:sz w:val="16"/>
                <w:szCs w:val="16"/>
                <w:color w:val="auto"/>
              </w:rPr>
              <w:t>agreements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3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jc w:val="right"/>
              <w:ind w:right="79"/>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38" w:right="219" w:bottom="1440" w:gutter="0" w:footer="0" w:header="0"/>
        </w:sectPr>
      </w:pPr>
    </w:p>
    <w:bookmarkStart w:id="9" w:name="page10"/>
    <w:bookmarkEnd w:id="9"/>
    <w:p>
      <w:pPr>
        <w:jc w:val="center"/>
        <w:ind w:right="-2"/>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ind w:right="-2"/>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88" w:lineRule="exact"/>
        <w:rPr>
          <w:sz w:val="20"/>
          <w:szCs w:val="20"/>
          <w:color w:val="auto"/>
        </w:rPr>
      </w:pPr>
    </w:p>
    <w:tbl>
      <w:tblPr>
        <w:tblLayout w:type="fixed"/>
        <w:tblInd w:w="3"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Gross Amounts not Offset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Amounts of</w:t>
            </w: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Offset on the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in the Balance Sheet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400"/>
              <w:spacing w:after="0" w:line="178" w:lineRule="exact"/>
              <w:rPr>
                <w:sz w:val="20"/>
                <w:szCs w:val="20"/>
                <w:color w:val="auto"/>
              </w:rPr>
            </w:pPr>
            <w:r>
              <w:rPr>
                <w:rFonts w:ascii="Arial" w:cs="Arial" w:eastAsia="Arial" w:hAnsi="Arial"/>
                <w:sz w:val="16"/>
                <w:szCs w:val="16"/>
                <w:b w:val="1"/>
                <w:bCs w:val="1"/>
                <w:color w:val="auto"/>
                <w:w w:val="86"/>
              </w:rPr>
              <w:t>Recognized</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line="178" w:lineRule="exact"/>
              <w:rPr>
                <w:sz w:val="20"/>
                <w:szCs w:val="20"/>
                <w:color w:val="auto"/>
              </w:rPr>
            </w:pPr>
            <w:r>
              <w:rPr>
                <w:rFonts w:ascii="Arial" w:cs="Arial" w:eastAsia="Arial" w:hAnsi="Arial"/>
                <w:sz w:val="16"/>
                <w:szCs w:val="16"/>
                <w:b w:val="1"/>
                <w:bCs w:val="1"/>
                <w:color w:val="auto"/>
                <w:w w:val="91"/>
              </w:rPr>
              <w:t>Balance</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line="178" w:lineRule="exact"/>
              <w:rPr>
                <w:sz w:val="20"/>
                <w:szCs w:val="20"/>
                <w:color w:val="auto"/>
              </w:rPr>
            </w:pPr>
            <w:r>
              <w:rPr>
                <w:rFonts w:ascii="Arial" w:cs="Arial" w:eastAsia="Arial" w:hAnsi="Arial"/>
                <w:sz w:val="16"/>
                <w:szCs w:val="16"/>
                <w:b w:val="1"/>
                <w:bCs w:val="1"/>
                <w:color w:val="auto"/>
                <w:w w:val="86"/>
              </w:rPr>
              <w:t>Net Asset</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00"/>
              <w:spacing w:after="0" w:line="178" w:lineRule="exact"/>
              <w:rPr>
                <w:sz w:val="20"/>
                <w:szCs w:val="20"/>
                <w:color w:val="auto"/>
              </w:rPr>
            </w:pPr>
            <w:r>
              <w:rPr>
                <w:rFonts w:ascii="Arial" w:cs="Arial" w:eastAsia="Arial" w:hAnsi="Arial"/>
                <w:sz w:val="16"/>
                <w:szCs w:val="16"/>
                <w:b w:val="1"/>
                <w:bCs w:val="1"/>
                <w:color w:val="auto"/>
                <w:w w:val="95"/>
              </w:rPr>
              <w:t>Financial</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59"/>
              <w:spacing w:after="0" w:line="178" w:lineRule="exact"/>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December 31, 2013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Sheet</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Instruments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Received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00" w:type="dxa"/>
            <w:vAlign w:val="bottom"/>
            <w:shd w:val="clear" w:color="auto" w:fill="F0FFFF"/>
          </w:tcPr>
          <w:p>
            <w:pPr>
              <w:spacing w:after="0" w:line="181" w:lineRule="exact"/>
              <w:rPr>
                <w:sz w:val="20"/>
                <w:szCs w:val="20"/>
                <w:color w:val="auto"/>
              </w:rPr>
            </w:pPr>
            <w:r>
              <w:rPr>
                <w:rFonts w:ascii="Arial" w:cs="Arial" w:eastAsia="Arial" w:hAnsi="Arial"/>
                <w:sz w:val="16"/>
                <w:szCs w:val="16"/>
                <w:color w:val="auto"/>
                <w:w w:val="97"/>
              </w:rPr>
              <w:t>Repurchase agreements / reverse repurchase</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385,000</w:t>
            </w:r>
          </w:p>
        </w:tc>
        <w:tc>
          <w:tcPr>
            <w:tcW w:w="28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(350,000)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35,000</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(38,982)</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23,833</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23,833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(4,378)</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(2,912)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16,543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408,833</w:t>
            </w:r>
          </w:p>
        </w:tc>
        <w:tc>
          <w:tcPr>
            <w:tcW w:w="280" w:type="dxa"/>
            <w:vAlign w:val="bottom"/>
            <w:shd w:val="clear" w:color="auto" w:fill="F0FFFF"/>
          </w:tcPr>
          <w:p>
            <w:pPr>
              <w:spacing w:after="0"/>
              <w:rPr>
                <w:sz w:val="20"/>
                <w:szCs w:val="20"/>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(350,000)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58,833</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(4,378)</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(41,894)</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16,543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tcBorders>
              <w:top w:val="single" w:sz="8" w:color="F0FFFF"/>
            </w:tcBorders>
          </w:tcPr>
          <w:p>
            <w:pPr>
              <w:spacing w:after="0" w:line="170" w:lineRule="exact"/>
              <w:rPr>
                <w:sz w:val="20"/>
                <w:szCs w:val="20"/>
                <w:color w:val="auto"/>
              </w:rPr>
            </w:pPr>
            <w:r>
              <w:rPr>
                <w:rFonts w:ascii="Arial" w:cs="Arial" w:eastAsia="Arial" w:hAnsi="Arial"/>
                <w:sz w:val="16"/>
                <w:szCs w:val="16"/>
                <w:color w:val="auto"/>
              </w:rPr>
              <w:t>Weighted average interest rate of reverse</w:t>
            </w: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F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tcPr>
          <w:p>
            <w:pPr>
              <w:ind w:left="1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Gross Amounts not Offset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Amounts of</w:t>
            </w: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Offset on the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in the Balance Sheet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400"/>
              <w:spacing w:after="0" w:line="178" w:lineRule="exact"/>
              <w:rPr>
                <w:sz w:val="20"/>
                <w:szCs w:val="20"/>
                <w:color w:val="auto"/>
              </w:rPr>
            </w:pPr>
            <w:r>
              <w:rPr>
                <w:rFonts w:ascii="Arial" w:cs="Arial" w:eastAsia="Arial" w:hAnsi="Arial"/>
                <w:sz w:val="16"/>
                <w:szCs w:val="16"/>
                <w:b w:val="1"/>
                <w:bCs w:val="1"/>
                <w:color w:val="auto"/>
                <w:w w:val="86"/>
              </w:rPr>
              <w:t>Recognized</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line="178" w:lineRule="exact"/>
              <w:rPr>
                <w:sz w:val="20"/>
                <w:szCs w:val="20"/>
                <w:color w:val="auto"/>
              </w:rPr>
            </w:pPr>
            <w:r>
              <w:rPr>
                <w:rFonts w:ascii="Arial" w:cs="Arial" w:eastAsia="Arial" w:hAnsi="Arial"/>
                <w:sz w:val="16"/>
                <w:szCs w:val="16"/>
                <w:b w:val="1"/>
                <w:bCs w:val="1"/>
                <w:color w:val="auto"/>
                <w:w w:val="91"/>
              </w:rPr>
              <w:t>Balance</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line="178" w:lineRule="exact"/>
              <w:rPr>
                <w:sz w:val="20"/>
                <w:szCs w:val="20"/>
                <w:color w:val="auto"/>
              </w:rPr>
            </w:pPr>
            <w:r>
              <w:rPr>
                <w:rFonts w:ascii="Arial" w:cs="Arial" w:eastAsia="Arial" w:hAnsi="Arial"/>
                <w:sz w:val="16"/>
                <w:szCs w:val="16"/>
                <w:b w:val="1"/>
                <w:bCs w:val="1"/>
                <w:color w:val="auto"/>
                <w:w w:val="99"/>
              </w:rPr>
              <w:t>Liability</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00"/>
              <w:spacing w:after="0" w:line="178" w:lineRule="exact"/>
              <w:rPr>
                <w:sz w:val="20"/>
                <w:szCs w:val="20"/>
                <w:color w:val="auto"/>
              </w:rPr>
            </w:pPr>
            <w:r>
              <w:rPr>
                <w:rFonts w:ascii="Arial" w:cs="Arial" w:eastAsia="Arial" w:hAnsi="Arial"/>
                <w:sz w:val="16"/>
                <w:szCs w:val="16"/>
                <w:b w:val="1"/>
                <w:bCs w:val="1"/>
                <w:color w:val="auto"/>
                <w:w w:val="95"/>
              </w:rPr>
              <w:t>Financial</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59"/>
              <w:spacing w:after="0" w:line="178" w:lineRule="exact"/>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Sheet</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Instruments</w:t>
            </w: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Pledged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00" w:type="dxa"/>
            <w:vAlign w:val="bottom"/>
            <w:shd w:val="clear" w:color="auto" w:fill="F0FFFF"/>
          </w:tcPr>
          <w:p>
            <w:pPr>
              <w:spacing w:after="0" w:line="181" w:lineRule="exact"/>
              <w:rPr>
                <w:sz w:val="20"/>
                <w:szCs w:val="20"/>
                <w:color w:val="auto"/>
              </w:rPr>
            </w:pPr>
            <w:r>
              <w:rPr>
                <w:rFonts w:ascii="Arial" w:cs="Arial" w:eastAsia="Arial" w:hAnsi="Arial"/>
                <w:sz w:val="16"/>
                <w:szCs w:val="16"/>
                <w:color w:val="auto"/>
                <w:w w:val="97"/>
              </w:rPr>
              <w:t>Repurchase agreements / reverse repurchase</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350,000</w:t>
            </w:r>
          </w:p>
        </w:tc>
        <w:tc>
          <w:tcPr>
            <w:tcW w:w="28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(350,000)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46,232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46,232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(4,378)</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(38,145)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3,709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396,232</w:t>
            </w:r>
          </w:p>
        </w:tc>
        <w:tc>
          <w:tcPr>
            <w:tcW w:w="280" w:type="dxa"/>
            <w:vAlign w:val="bottom"/>
            <w:shd w:val="clear" w:color="auto" w:fill="F0FFFF"/>
          </w:tcPr>
          <w:p>
            <w:pPr>
              <w:spacing w:after="0"/>
              <w:rPr>
                <w:sz w:val="20"/>
                <w:szCs w:val="20"/>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(350,000)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46,232</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(4,378)</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(38,145)</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3,709</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tcBorders>
              <w:top w:val="single" w:sz="8" w:color="F0FFFF"/>
            </w:tcBorders>
          </w:tcPr>
          <w:p>
            <w:pPr>
              <w:spacing w:after="0" w:line="170" w:lineRule="exact"/>
              <w:rPr>
                <w:sz w:val="20"/>
                <w:szCs w:val="20"/>
                <w:color w:val="auto"/>
              </w:rPr>
            </w:pPr>
            <w:r>
              <w:rPr>
                <w:rFonts w:ascii="Arial" w:cs="Arial" w:eastAsia="Arial" w:hAnsi="Arial"/>
                <w:sz w:val="16"/>
                <w:szCs w:val="16"/>
                <w:color w:val="auto"/>
                <w:w w:val="99"/>
              </w:rPr>
              <w:t>Weighted average interest rate of repurchase</w:t>
            </w: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F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tcPr>
          <w:p>
            <w:pPr>
              <w:ind w:left="120"/>
              <w:spacing w:after="0"/>
              <w:rPr>
                <w:sz w:val="20"/>
                <w:szCs w:val="20"/>
                <w:color w:val="auto"/>
              </w:rPr>
            </w:pPr>
            <w:r>
              <w:rPr>
                <w:rFonts w:ascii="Arial" w:cs="Arial" w:eastAsia="Arial" w:hAnsi="Arial"/>
                <w:sz w:val="16"/>
                <w:szCs w:val="16"/>
                <w:color w:val="auto"/>
              </w:rPr>
              <w:t>agreements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Gross Amounts not Offset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Amounts of</w:t>
            </w: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Offset on the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in the Balance Sheet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400"/>
              <w:spacing w:after="0" w:line="181" w:lineRule="exact"/>
              <w:rPr>
                <w:sz w:val="20"/>
                <w:szCs w:val="20"/>
                <w:color w:val="auto"/>
              </w:rPr>
            </w:pPr>
            <w:r>
              <w:rPr>
                <w:rFonts w:ascii="Arial" w:cs="Arial" w:eastAsia="Arial" w:hAnsi="Arial"/>
                <w:sz w:val="16"/>
                <w:szCs w:val="16"/>
                <w:b w:val="1"/>
                <w:bCs w:val="1"/>
                <w:color w:val="auto"/>
                <w:w w:val="86"/>
              </w:rPr>
              <w:t>Recognized</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line="181" w:lineRule="exact"/>
              <w:rPr>
                <w:sz w:val="20"/>
                <w:szCs w:val="20"/>
                <w:color w:val="auto"/>
              </w:rPr>
            </w:pPr>
            <w:r>
              <w:rPr>
                <w:rFonts w:ascii="Arial" w:cs="Arial" w:eastAsia="Arial" w:hAnsi="Arial"/>
                <w:sz w:val="16"/>
                <w:szCs w:val="16"/>
                <w:b w:val="1"/>
                <w:bCs w:val="1"/>
                <w:color w:val="auto"/>
                <w:w w:val="91"/>
              </w:rPr>
              <w:t>Balance</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line="181" w:lineRule="exact"/>
              <w:rPr>
                <w:sz w:val="20"/>
                <w:szCs w:val="20"/>
                <w:color w:val="auto"/>
              </w:rPr>
            </w:pPr>
            <w:r>
              <w:rPr>
                <w:rFonts w:ascii="Arial" w:cs="Arial" w:eastAsia="Arial" w:hAnsi="Arial"/>
                <w:sz w:val="16"/>
                <w:szCs w:val="16"/>
                <w:b w:val="1"/>
                <w:bCs w:val="1"/>
                <w:color w:val="auto"/>
                <w:w w:val="86"/>
              </w:rPr>
              <w:t>Net Asset</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00"/>
              <w:spacing w:after="0" w:line="181" w:lineRule="exact"/>
              <w:rPr>
                <w:sz w:val="20"/>
                <w:szCs w:val="20"/>
                <w:color w:val="auto"/>
              </w:rPr>
            </w:pPr>
            <w:r>
              <w:rPr>
                <w:rFonts w:ascii="Arial" w:cs="Arial" w:eastAsia="Arial" w:hAnsi="Arial"/>
                <w:sz w:val="16"/>
                <w:szCs w:val="16"/>
                <w:b w:val="1"/>
                <w:bCs w:val="1"/>
                <w:color w:val="auto"/>
                <w:w w:val="95"/>
              </w:rPr>
              <w:t>Financial</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59"/>
              <w:spacing w:after="0" w:line="181" w:lineRule="exact"/>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September 30, 2013 </w:t>
            </w:r>
            <w:r>
              <w:rPr>
                <w:rFonts w:ascii="Arial" w:cs="Arial" w:eastAsia="Arial" w:hAnsi="Arial"/>
                <w:sz w:val="16"/>
                <w:szCs w:val="16"/>
                <w:color w:val="auto"/>
              </w:rPr>
              <w:t>-</w:t>
            </w:r>
            <w:r>
              <w:rPr>
                <w:rFonts w:ascii="Arial" w:cs="Arial" w:eastAsia="Arial" w:hAnsi="Arial"/>
                <w:sz w:val="16"/>
                <w:szCs w:val="16"/>
                <w:b w:val="1"/>
                <w:bCs w:val="1"/>
                <w:color w:val="auto"/>
              </w:rPr>
              <w:t xml:space="preserve"> Revised</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79"/>
              </w:rPr>
              <w:t>Assets</w:t>
            </w:r>
          </w:p>
        </w:tc>
        <w:tc>
          <w:tcPr>
            <w:tcW w:w="10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Sheet</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21"/>
                <w:szCs w:val="21"/>
                <w:color w:val="auto"/>
              </w:rPr>
            </w:pPr>
          </w:p>
        </w:tc>
        <w:tc>
          <w:tcPr>
            <w:tcW w:w="1340" w:type="dxa"/>
            <w:vAlign w:val="bottom"/>
            <w:gridSpan w:val="3"/>
          </w:tcPr>
          <w:p>
            <w:pPr>
              <w:ind w:left="20"/>
              <w:spacing w:after="0" w:line="243" w:lineRule="exact"/>
              <w:rPr>
                <w:sz w:val="20"/>
                <w:szCs w:val="20"/>
                <w:color w:val="auto"/>
              </w:rPr>
            </w:pPr>
            <w:r>
              <w:rPr>
                <w:rFonts w:ascii="Arial" w:cs="Arial" w:eastAsia="Arial" w:hAnsi="Arial"/>
                <w:sz w:val="16"/>
                <w:szCs w:val="16"/>
                <w:b w:val="1"/>
                <w:bCs w:val="1"/>
                <w:color w:val="auto"/>
              </w:rPr>
              <w:t>Instruments</w:t>
            </w:r>
            <w:r>
              <w:rPr>
                <w:rFonts w:ascii="Arial" w:cs="Arial" w:eastAsia="Arial" w:hAnsi="Arial"/>
                <w:sz w:val="26"/>
                <w:szCs w:val="26"/>
                <w:b w:val="1"/>
                <w:bCs w:val="1"/>
                <w:color w:val="auto"/>
                <w:vertAlign w:val="superscript"/>
              </w:rPr>
              <w:t>(1)</w:t>
            </w: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Arial" w:cs="Arial" w:eastAsia="Arial" w:hAnsi="Arial"/>
                <w:sz w:val="16"/>
                <w:szCs w:val="16"/>
                <w:b w:val="1"/>
                <w:bCs w:val="1"/>
                <w:color w:val="auto"/>
                <w:w w:val="85"/>
              </w:rPr>
              <w:t>Received</w:t>
            </w:r>
            <w:r>
              <w:rPr>
                <w:rFonts w:ascii="Arial" w:cs="Arial" w:eastAsia="Arial" w:hAnsi="Arial"/>
                <w:sz w:val="26"/>
                <w:szCs w:val="26"/>
                <w:b w:val="1"/>
                <w:bCs w:val="1"/>
                <w:color w:val="auto"/>
                <w:w w:val="85"/>
                <w:vertAlign w:val="superscript"/>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194"/>
        </w:trPr>
        <w:tc>
          <w:tcPr>
            <w:tcW w:w="20" w:type="dxa"/>
            <w:vAlign w:val="bottom"/>
            <w:tcBorders>
              <w:top w:val="single" w:sz="8" w:color="auto"/>
            </w:tcBorders>
            <w:vMerge w:val="restart"/>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00" w:type="dxa"/>
            <w:vAlign w:val="bottom"/>
            <w:shd w:val="clear" w:color="auto" w:fill="F0FFFF"/>
          </w:tcPr>
          <w:p>
            <w:pPr>
              <w:spacing w:after="0" w:line="181" w:lineRule="exact"/>
              <w:rPr>
                <w:sz w:val="20"/>
                <w:szCs w:val="20"/>
                <w:color w:val="auto"/>
              </w:rPr>
            </w:pPr>
            <w:r>
              <w:rPr>
                <w:rFonts w:ascii="Arial" w:cs="Arial" w:eastAsia="Arial" w:hAnsi="Arial"/>
                <w:sz w:val="16"/>
                <w:szCs w:val="16"/>
                <w:color w:val="auto"/>
                <w:w w:val="97"/>
              </w:rPr>
              <w:t>Repurchase agreements / reverse repurchase</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405,000</w:t>
            </w:r>
          </w:p>
        </w:tc>
        <w:tc>
          <w:tcPr>
            <w:tcW w:w="28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(350,000)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55,000</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(59,685)</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8,092</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8,092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(3,765)</w:t>
            </w:r>
          </w:p>
        </w:tc>
        <w:tc>
          <w:tcPr>
            <w:tcW w:w="140" w:type="dxa"/>
            <w:vAlign w:val="bottom"/>
          </w:tcPr>
          <w:p>
            <w:pPr>
              <w:spacing w:after="0"/>
              <w:rPr>
                <w:sz w:val="17"/>
                <w:szCs w:val="17"/>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(2,205)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2,122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Borders>
              <w:bottom w:val="single" w:sz="8" w:color="F0FFFF"/>
            </w:tcBorders>
            <w:shd w:val="clear" w:color="auto" w:fill="F0FFFF"/>
          </w:tcPr>
          <w:p>
            <w:pPr>
              <w:ind w:left="12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413,092</w:t>
            </w:r>
          </w:p>
        </w:tc>
        <w:tc>
          <w:tcPr>
            <w:tcW w:w="2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(350,000)</w:t>
            </w:r>
          </w:p>
        </w:tc>
        <w:tc>
          <w:tcPr>
            <w:tcW w:w="240" w:type="dxa"/>
            <w:vAlign w:val="bottom"/>
            <w:tcBorders>
              <w:bottom w:val="single" w:sz="8" w:color="F0FFFF"/>
            </w:tcBorders>
            <w:shd w:val="clear" w:color="auto" w:fill="F0FFFF"/>
          </w:tcPr>
          <w:p>
            <w:pPr>
              <w:spacing w:after="0"/>
              <w:rPr>
                <w:sz w:val="20"/>
                <w:szCs w:val="20"/>
                <w:color w:val="auto"/>
              </w:rPr>
            </w:pPr>
          </w:p>
        </w:tc>
        <w:tc>
          <w:tcPr>
            <w:tcW w:w="160" w:type="dxa"/>
            <w:vAlign w:val="bottom"/>
            <w:tcBorders>
              <w:top w:val="single" w:sz="8" w:color="auto"/>
              <w:bottom w:val="single" w:sz="8" w:color="auto"/>
            </w:tcBorders>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63,092</w:t>
            </w:r>
          </w:p>
        </w:tc>
        <w:tc>
          <w:tcPr>
            <w:tcW w:w="12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(3,765)</w:t>
            </w:r>
          </w:p>
        </w:tc>
        <w:tc>
          <w:tcPr>
            <w:tcW w:w="200" w:type="dxa"/>
            <w:vAlign w:val="bottom"/>
            <w:tcBorders>
              <w:bottom w:val="single" w:sz="8" w:color="F0FFFF"/>
            </w:tcBorders>
            <w:shd w:val="clear" w:color="auto" w:fill="F0FFFF"/>
          </w:tcPr>
          <w:p>
            <w:pPr>
              <w:spacing w:after="0"/>
              <w:rPr>
                <w:sz w:val="20"/>
                <w:szCs w:val="20"/>
                <w:color w:val="auto"/>
              </w:rPr>
            </w:pPr>
          </w:p>
        </w:tc>
        <w:tc>
          <w:tcPr>
            <w:tcW w:w="1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(61,890)</w:t>
            </w:r>
          </w:p>
        </w:tc>
        <w:tc>
          <w:tcPr>
            <w:tcW w:w="100" w:type="dxa"/>
            <w:vAlign w:val="bottom"/>
            <w:tcBorders>
              <w:bottom w:val="single" w:sz="8" w:color="F0FFFF"/>
            </w:tcBorders>
            <w:shd w:val="clear" w:color="auto" w:fill="F0FFFF"/>
          </w:tcPr>
          <w:p>
            <w:pPr>
              <w:spacing w:after="0"/>
              <w:rPr>
                <w:sz w:val="20"/>
                <w:szCs w:val="20"/>
                <w:color w:val="auto"/>
              </w:rPr>
            </w:pPr>
          </w:p>
        </w:tc>
        <w:tc>
          <w:tcPr>
            <w:tcW w:w="12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2,122</w:t>
            </w:r>
          </w:p>
        </w:tc>
        <w:tc>
          <w:tcPr>
            <w:tcW w:w="12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tcPr>
          <w:p>
            <w:pPr>
              <w:spacing w:after="0" w:line="170" w:lineRule="exact"/>
              <w:rPr>
                <w:sz w:val="20"/>
                <w:szCs w:val="20"/>
                <w:color w:val="auto"/>
              </w:rPr>
            </w:pPr>
            <w:r>
              <w:rPr>
                <w:rFonts w:ascii="Arial" w:cs="Arial" w:eastAsia="Arial" w:hAnsi="Arial"/>
                <w:sz w:val="16"/>
                <w:szCs w:val="16"/>
                <w:color w:val="auto"/>
              </w:rPr>
              <w:t>Weighted average interest rate of reverse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tcPr>
          <w:p>
            <w:pPr>
              <w:ind w:left="120"/>
              <w:spacing w:after="0"/>
              <w:rPr>
                <w:sz w:val="20"/>
                <w:szCs w:val="20"/>
                <w:color w:val="auto"/>
              </w:rPr>
            </w:pPr>
            <w:r>
              <w:rPr>
                <w:rFonts w:ascii="Arial" w:cs="Arial" w:eastAsia="Arial" w:hAnsi="Arial"/>
                <w:sz w:val="16"/>
                <w:szCs w:val="16"/>
                <w:color w:val="auto"/>
              </w:rPr>
              <w:t>repurchase agreements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6"/>
              </w:rPr>
              <w:t>Gross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6"/>
              </w:rPr>
              <w:t>Gross</w:t>
            </w:r>
          </w:p>
        </w:tc>
        <w:tc>
          <w:tcPr>
            <w:tcW w:w="10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Amounts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w w:val="98"/>
              </w:rPr>
              <w:t>Gross Amounts not Offset</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Amounts of</w:t>
            </w:r>
          </w:p>
        </w:tc>
        <w:tc>
          <w:tcPr>
            <w:tcW w:w="10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Offset on the</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Net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in the Balance Sheet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400"/>
              <w:spacing w:after="0" w:line="181" w:lineRule="exact"/>
              <w:rPr>
                <w:sz w:val="20"/>
                <w:szCs w:val="20"/>
                <w:color w:val="auto"/>
              </w:rPr>
            </w:pPr>
            <w:r>
              <w:rPr>
                <w:rFonts w:ascii="Arial" w:cs="Arial" w:eastAsia="Arial" w:hAnsi="Arial"/>
                <w:sz w:val="16"/>
                <w:szCs w:val="16"/>
                <w:b w:val="1"/>
                <w:bCs w:val="1"/>
                <w:color w:val="auto"/>
                <w:w w:val="86"/>
              </w:rPr>
              <w:t>Recognized</w:t>
            </w:r>
          </w:p>
        </w:tc>
        <w:tc>
          <w:tcPr>
            <w:tcW w:w="100" w:type="dxa"/>
            <w:vAlign w:val="bottom"/>
          </w:tcPr>
          <w:p>
            <w:pPr>
              <w:spacing w:after="0"/>
              <w:rPr>
                <w:sz w:val="15"/>
                <w:szCs w:val="15"/>
                <w:color w:val="auto"/>
              </w:rPr>
            </w:pPr>
          </w:p>
        </w:tc>
        <w:tc>
          <w:tcPr>
            <w:tcW w:w="1300" w:type="dxa"/>
            <w:vAlign w:val="bottom"/>
            <w:gridSpan w:val="2"/>
          </w:tcPr>
          <w:p>
            <w:pPr>
              <w:jc w:val="center"/>
              <w:ind w:right="340"/>
              <w:spacing w:after="0" w:line="181" w:lineRule="exact"/>
              <w:rPr>
                <w:sz w:val="20"/>
                <w:szCs w:val="20"/>
                <w:color w:val="auto"/>
              </w:rPr>
            </w:pPr>
            <w:r>
              <w:rPr>
                <w:rFonts w:ascii="Arial" w:cs="Arial" w:eastAsia="Arial" w:hAnsi="Arial"/>
                <w:sz w:val="16"/>
                <w:szCs w:val="16"/>
                <w:b w:val="1"/>
                <w:bCs w:val="1"/>
                <w:color w:val="auto"/>
                <w:w w:val="91"/>
              </w:rPr>
              <w:t>Balance</w:t>
            </w:r>
          </w:p>
        </w:tc>
        <w:tc>
          <w:tcPr>
            <w:tcW w:w="160" w:type="dxa"/>
            <w:vAlign w:val="bottom"/>
          </w:tcPr>
          <w:p>
            <w:pPr>
              <w:spacing w:after="0"/>
              <w:rPr>
                <w:sz w:val="15"/>
                <w:szCs w:val="15"/>
                <w:color w:val="auto"/>
              </w:rPr>
            </w:pPr>
          </w:p>
        </w:tc>
        <w:tc>
          <w:tcPr>
            <w:tcW w:w="1080" w:type="dxa"/>
            <w:vAlign w:val="bottom"/>
            <w:gridSpan w:val="2"/>
          </w:tcPr>
          <w:p>
            <w:pPr>
              <w:jc w:val="center"/>
              <w:ind w:right="280"/>
              <w:spacing w:after="0" w:line="181" w:lineRule="exact"/>
              <w:rPr>
                <w:sz w:val="20"/>
                <w:szCs w:val="20"/>
                <w:color w:val="auto"/>
              </w:rPr>
            </w:pPr>
            <w:r>
              <w:rPr>
                <w:rFonts w:ascii="Arial" w:cs="Arial" w:eastAsia="Arial" w:hAnsi="Arial"/>
                <w:sz w:val="16"/>
                <w:szCs w:val="16"/>
                <w:b w:val="1"/>
                <w:bCs w:val="1"/>
                <w:color w:val="auto"/>
                <w:w w:val="99"/>
              </w:rPr>
              <w:t>Liability</w:t>
            </w:r>
          </w:p>
        </w:tc>
        <w:tc>
          <w:tcPr>
            <w:tcW w:w="1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gridSpan w:val="2"/>
          </w:tcPr>
          <w:p>
            <w:pPr>
              <w:jc w:val="center"/>
              <w:ind w:right="400"/>
              <w:spacing w:after="0" w:line="181" w:lineRule="exact"/>
              <w:rPr>
                <w:sz w:val="20"/>
                <w:szCs w:val="20"/>
                <w:color w:val="auto"/>
              </w:rPr>
            </w:pPr>
            <w:r>
              <w:rPr>
                <w:rFonts w:ascii="Arial" w:cs="Arial" w:eastAsia="Arial" w:hAnsi="Arial"/>
                <w:sz w:val="16"/>
                <w:szCs w:val="16"/>
                <w:b w:val="1"/>
                <w:bCs w:val="1"/>
                <w:color w:val="auto"/>
                <w:w w:val="95"/>
              </w:rPr>
              <w:t>Financial</w:t>
            </w: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59"/>
              <w:spacing w:after="0" w:line="181" w:lineRule="exact"/>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4"/>
              </w:rPr>
              <w:t>Liabilities</w:t>
            </w:r>
          </w:p>
        </w:tc>
        <w:tc>
          <w:tcPr>
            <w:tcW w:w="10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Sheet</w:t>
            </w:r>
          </w:p>
        </w:tc>
        <w:tc>
          <w:tcPr>
            <w:tcW w:w="160" w:type="dxa"/>
            <w:vAlign w:val="bottom"/>
          </w:tcPr>
          <w:p>
            <w:pPr>
              <w:spacing w:after="0"/>
              <w:rPr>
                <w:sz w:val="21"/>
                <w:szCs w:val="2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Balance</w:t>
            </w:r>
          </w:p>
        </w:tc>
        <w:tc>
          <w:tcPr>
            <w:tcW w:w="100" w:type="dxa"/>
            <w:vAlign w:val="bottom"/>
          </w:tcPr>
          <w:p>
            <w:pPr>
              <w:spacing w:after="0"/>
              <w:rPr>
                <w:sz w:val="21"/>
                <w:szCs w:val="21"/>
                <w:color w:val="auto"/>
              </w:rPr>
            </w:pPr>
          </w:p>
        </w:tc>
        <w:tc>
          <w:tcPr>
            <w:tcW w:w="1340" w:type="dxa"/>
            <w:vAlign w:val="bottom"/>
            <w:gridSpan w:val="3"/>
          </w:tcPr>
          <w:p>
            <w:pPr>
              <w:ind w:left="20"/>
              <w:spacing w:after="0" w:line="243" w:lineRule="exact"/>
              <w:rPr>
                <w:sz w:val="20"/>
                <w:szCs w:val="20"/>
                <w:color w:val="auto"/>
              </w:rPr>
            </w:pPr>
            <w:r>
              <w:rPr>
                <w:rFonts w:ascii="Arial" w:cs="Arial" w:eastAsia="Arial" w:hAnsi="Arial"/>
                <w:sz w:val="16"/>
                <w:szCs w:val="16"/>
                <w:b w:val="1"/>
                <w:bCs w:val="1"/>
                <w:color w:val="auto"/>
              </w:rPr>
              <w:t>Instruments</w:t>
            </w:r>
            <w:r>
              <w:rPr>
                <w:rFonts w:ascii="Arial" w:cs="Arial" w:eastAsia="Arial" w:hAnsi="Arial"/>
                <w:sz w:val="26"/>
                <w:szCs w:val="26"/>
                <w:b w:val="1"/>
                <w:bCs w:val="1"/>
                <w:color w:val="auto"/>
                <w:vertAlign w:val="superscript"/>
              </w:rPr>
              <w:t>(1)</w:t>
            </w:r>
          </w:p>
        </w:tc>
        <w:tc>
          <w:tcPr>
            <w:tcW w:w="140" w:type="dxa"/>
            <w:vAlign w:val="bottom"/>
          </w:tcPr>
          <w:p>
            <w:pPr>
              <w:spacing w:after="0"/>
              <w:rPr>
                <w:sz w:val="21"/>
                <w:szCs w:val="21"/>
                <w:color w:val="auto"/>
              </w:rPr>
            </w:pPr>
          </w:p>
        </w:tc>
        <w:tc>
          <w:tcPr>
            <w:tcW w:w="1100" w:type="dxa"/>
            <w:vAlign w:val="bottom"/>
            <w:gridSpan w:val="2"/>
          </w:tcPr>
          <w:p>
            <w:pPr>
              <w:jc w:val="center"/>
              <w:ind w:right="240"/>
              <w:spacing w:after="0" w:line="243" w:lineRule="exact"/>
              <w:rPr>
                <w:sz w:val="20"/>
                <w:szCs w:val="20"/>
                <w:color w:val="auto"/>
              </w:rPr>
            </w:pPr>
            <w:r>
              <w:rPr>
                <w:rFonts w:ascii="Arial" w:cs="Arial" w:eastAsia="Arial" w:hAnsi="Arial"/>
                <w:sz w:val="16"/>
                <w:szCs w:val="16"/>
                <w:b w:val="1"/>
                <w:bCs w:val="1"/>
                <w:color w:val="auto"/>
                <w:w w:val="83"/>
              </w:rPr>
              <w:t>Pledged</w:t>
            </w:r>
            <w:r>
              <w:rPr>
                <w:rFonts w:ascii="Arial" w:cs="Arial" w:eastAsia="Arial" w:hAnsi="Arial"/>
                <w:sz w:val="26"/>
                <w:szCs w:val="26"/>
                <w:b w:val="1"/>
                <w:bCs w:val="1"/>
                <w:color w:val="auto"/>
                <w:w w:val="83"/>
                <w:vertAlign w:val="superscript"/>
              </w:rPr>
              <w:t>(2)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w w:val="90"/>
              </w:rPr>
              <w:t>Net Amount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3200" w:type="dxa"/>
            <w:vAlign w:val="bottom"/>
            <w:shd w:val="clear" w:color="auto" w:fill="F0FFFF"/>
          </w:tcPr>
          <w:p>
            <w:pPr>
              <w:spacing w:after="0" w:line="181" w:lineRule="exact"/>
              <w:rPr>
                <w:sz w:val="20"/>
                <w:szCs w:val="20"/>
                <w:color w:val="auto"/>
              </w:rPr>
            </w:pPr>
            <w:r>
              <w:rPr>
                <w:rFonts w:ascii="Arial" w:cs="Arial" w:eastAsia="Arial" w:hAnsi="Arial"/>
                <w:sz w:val="16"/>
                <w:szCs w:val="16"/>
                <w:color w:val="auto"/>
                <w:w w:val="97"/>
              </w:rPr>
              <w:t>Repurchase agreements / reverse repurchase</w:t>
            </w: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agreements</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350,000</w:t>
            </w:r>
          </w:p>
        </w:tc>
        <w:tc>
          <w:tcPr>
            <w:tcW w:w="280" w:type="dxa"/>
            <w:vAlign w:val="bottom"/>
            <w:shd w:val="clear" w:color="auto" w:fill="F0FFFF"/>
          </w:tcPr>
          <w:p>
            <w:pPr>
              <w:spacing w:after="0"/>
              <w:rPr>
                <w:sz w:val="17"/>
                <w:szCs w:val="17"/>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(350,000)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Derivatives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37,269</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37,269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(3,765)</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(29,011)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4,493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387,269</w:t>
            </w:r>
          </w:p>
        </w:tc>
        <w:tc>
          <w:tcPr>
            <w:tcW w:w="280" w:type="dxa"/>
            <w:vAlign w:val="bottom"/>
            <w:shd w:val="clear" w:color="auto" w:fill="F0FFFF"/>
          </w:tcPr>
          <w:p>
            <w:pPr>
              <w:spacing w:after="0"/>
              <w:rPr>
                <w:sz w:val="20"/>
                <w:szCs w:val="20"/>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(350,000)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37,269</w:t>
            </w:r>
          </w:p>
        </w:tc>
        <w:tc>
          <w:tcPr>
            <w:tcW w:w="180" w:type="dxa"/>
            <w:vAlign w:val="bottom"/>
            <w:gridSpan w:val="2"/>
            <w:shd w:val="clear" w:color="auto" w:fill="F0FFFF"/>
          </w:tcPr>
          <w:p>
            <w:pPr>
              <w:ind w:left="100"/>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(3,765)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(29,011)</w:t>
            </w: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4,493</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00" w:type="dxa"/>
            <w:vAlign w:val="bottom"/>
            <w:tcBorders>
              <w:top w:val="single" w:sz="8" w:color="F0FFFF"/>
            </w:tcBorders>
          </w:tcPr>
          <w:p>
            <w:pPr>
              <w:spacing w:after="0" w:line="170" w:lineRule="exact"/>
              <w:rPr>
                <w:sz w:val="20"/>
                <w:szCs w:val="20"/>
                <w:color w:val="auto"/>
              </w:rPr>
            </w:pPr>
            <w:r>
              <w:rPr>
                <w:rFonts w:ascii="Arial" w:cs="Arial" w:eastAsia="Arial" w:hAnsi="Arial"/>
                <w:sz w:val="16"/>
                <w:szCs w:val="16"/>
                <w:color w:val="auto"/>
                <w:w w:val="99"/>
              </w:rPr>
              <w:t>Weighted average interest rate of repurchase</w:t>
            </w:r>
          </w:p>
        </w:tc>
        <w:tc>
          <w:tcPr>
            <w:tcW w:w="120" w:type="dxa"/>
            <w:vAlign w:val="bottom"/>
            <w:tcBorders>
              <w:top w:val="single" w:sz="8" w:color="F0FF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280" w:type="dxa"/>
            <w:vAlign w:val="bottom"/>
            <w:tcBorders>
              <w:top w:val="single" w:sz="8" w:color="F0FF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4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20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20" w:type="dxa"/>
            <w:vAlign w:val="bottom"/>
            <w:tcBorders>
              <w:top w:val="single" w:sz="8" w:color="F0FF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00" w:type="dxa"/>
            <w:vAlign w:val="bottom"/>
          </w:tcPr>
          <w:p>
            <w:pPr>
              <w:ind w:left="120"/>
              <w:spacing w:after="0"/>
              <w:rPr>
                <w:sz w:val="20"/>
                <w:szCs w:val="20"/>
                <w:color w:val="auto"/>
              </w:rPr>
            </w:pPr>
            <w:r>
              <w:rPr>
                <w:rFonts w:ascii="Arial" w:cs="Arial" w:eastAsia="Arial" w:hAnsi="Arial"/>
                <w:sz w:val="16"/>
                <w:szCs w:val="16"/>
                <w:color w:val="auto"/>
              </w:rPr>
              <w:t>agreements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43" w:lineRule="exact"/>
        <w:rPr>
          <w:sz w:val="20"/>
          <w:szCs w:val="20"/>
          <w:color w:val="auto"/>
        </w:rPr>
      </w:pPr>
    </w:p>
    <w:p>
      <w:pPr>
        <w:jc w:val="both"/>
        <w:ind w:left="3" w:right="160" w:hanging="3"/>
        <w:spacing w:after="0" w:line="219" w:lineRule="auto"/>
        <w:tabs>
          <w:tab w:leader="none" w:pos="241" w:val="left"/>
        </w:tabs>
        <w:numPr>
          <w:ilvl w:val="0"/>
          <w:numId w:val="1"/>
        </w:numPr>
        <w:rPr>
          <w:rFonts w:ascii="Arial" w:cs="Arial" w:eastAsia="Arial" w:hAnsi="Arial"/>
          <w:sz w:val="27"/>
          <w:szCs w:val="27"/>
          <w:color w:val="auto"/>
          <w:vertAlign w:val="superscript"/>
        </w:rPr>
      </w:pPr>
      <w:r>
        <w:rPr>
          <w:rFonts w:ascii="Arial" w:cs="Arial" w:eastAsia="Arial" w:hAnsi="Arial"/>
          <w:sz w:val="16"/>
          <w:szCs w:val="16"/>
          <w:color w:val="auto"/>
        </w:rPr>
        <w:t>United's original filings for the third, second and first quarters of 2013 contained an error and did not include amounts available for offset under master netting agreements for derivative financial instruments. Those amounts were $3.77 million, $4.30 million and $57,000, respectively, for the third, second and first quarters of 2013 and have been added to the balance sheet offsetting table for each respective period. United considers these revisions to be immaterial to the presentation of the financial statements for those quarters.</w:t>
      </w:r>
    </w:p>
    <w:p>
      <w:pPr>
        <w:spacing w:after="0" w:line="158" w:lineRule="exact"/>
        <w:rPr>
          <w:rFonts w:ascii="Arial" w:cs="Arial" w:eastAsia="Arial" w:hAnsi="Arial"/>
          <w:sz w:val="27"/>
          <w:szCs w:val="27"/>
          <w:color w:val="auto"/>
          <w:vertAlign w:val="superscript"/>
        </w:rPr>
      </w:pPr>
    </w:p>
    <w:p>
      <w:pPr>
        <w:ind w:left="3" w:right="20" w:hanging="3"/>
        <w:spacing w:after="0" w:line="232" w:lineRule="auto"/>
        <w:tabs>
          <w:tab w:leader="none" w:pos="241" w:val="left"/>
        </w:tabs>
        <w:numPr>
          <w:ilvl w:val="0"/>
          <w:numId w:val="1"/>
        </w:numPr>
        <w:rPr>
          <w:rFonts w:ascii="Arial" w:cs="Arial" w:eastAsia="Arial" w:hAnsi="Arial"/>
          <w:sz w:val="27"/>
          <w:szCs w:val="27"/>
          <w:color w:val="auto"/>
          <w:vertAlign w:val="superscript"/>
        </w:rPr>
      </w:pPr>
      <w:r>
        <w:rPr>
          <w:rFonts w:ascii="Arial" w:cs="Arial" w:eastAsia="Arial" w:hAnsi="Arial"/>
          <w:sz w:val="16"/>
          <w:szCs w:val="16"/>
          <w:color w:val="auto"/>
        </w:rPr>
        <w:t>United's original filings for the third, second and first quarters of 2013 contained an error and did not include amounts pledged by counterparties as collateral on reverse repurchase agreement positions. Those amounts were $59.7 million, $53.7 million and $87.5 million, respectively, for the third, second and first quarters of 2013 and have been added to the balance sheet offsetting table for each respective period in the current year presentation. In addition, in the original filings for the third and second quarters of 2013, the amounts reported by United as collateral pledged on derivative financial positions were reported net of collateral received on asset derivative positions. The amounts for those periods have been reported separately as collateral received and collateral pledged in the current year presentation. Additionally, upon further analysis, United updated collateral balances for the third quarter 2013 resulting in a net increase in the collateral pledged position of $1.23 million. United considers these revisions to be immaterial to the presentation of the financial statements for those quarters.</w:t>
      </w:r>
    </w:p>
    <w:p>
      <w:pPr>
        <w:spacing w:after="0" w:line="1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059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3"/>
          </w:cols>
          <w:pgMar w:left="237" w:top="838" w:right="21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 Securities</w:t>
      </w:r>
    </w:p>
    <w:p>
      <w:pPr>
        <w:spacing w:after="0" w:line="2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The amortized cost basis, gross unrealized gains and losses and fair value of securities held-to-maturity at September 30, 2014, December 31, 2013 and September 30, 2013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460" w:type="dxa"/>
        <w:tblCellMar>
          <w:top w:w="0" w:type="dxa"/>
          <w:left w:w="0" w:type="dxa"/>
          <w:bottom w:w="0" w:type="dxa"/>
          <w:right w:w="0" w:type="dxa"/>
        </w:tblCellMar>
      </w:tblPr>
      <w:tr>
        <w:trPr>
          <w:trHeight w:val="194"/>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Gross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4"/>
              </w:rPr>
              <w:t>Amortized</w:t>
            </w:r>
          </w:p>
        </w:tc>
        <w:tc>
          <w:tcPr>
            <w:tcW w:w="140" w:type="dxa"/>
            <w:vAlign w:val="bottom"/>
          </w:tcPr>
          <w:p>
            <w:pPr>
              <w:spacing w:after="0"/>
              <w:rPr>
                <w:sz w:val="16"/>
                <w:szCs w:val="16"/>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Unrealized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Unrealized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Fair</w:t>
            </w:r>
          </w:p>
        </w:tc>
      </w:tr>
      <w:tr>
        <w:trPr>
          <w:trHeight w:val="174"/>
        </w:trPr>
        <w:tc>
          <w:tcPr>
            <w:tcW w:w="5060" w:type="dxa"/>
            <w:vAlign w:val="bottom"/>
            <w:gridSpan w:val="3"/>
          </w:tcPr>
          <w:p>
            <w:pPr>
              <w:spacing w:after="0" w:line="175" w:lineRule="exact"/>
              <w:rPr>
                <w:sz w:val="20"/>
                <w:szCs w:val="20"/>
                <w:color w:val="auto"/>
              </w:rPr>
            </w:pPr>
            <w:r>
              <w:rPr>
                <w:rFonts w:ascii="Arial" w:cs="Arial" w:eastAsia="Arial" w:hAnsi="Arial"/>
                <w:sz w:val="16"/>
                <w:szCs w:val="16"/>
                <w:color w:val="auto"/>
              </w:rPr>
              <w:t>As of September 30, 2014</w:t>
            </w:r>
          </w:p>
        </w:tc>
        <w:tc>
          <w:tcPr>
            <w:tcW w:w="140" w:type="dxa"/>
            <w:vAlign w:val="bottom"/>
          </w:tcPr>
          <w:p>
            <w:pPr>
              <w:spacing w:after="0"/>
              <w:rPr>
                <w:sz w:val="15"/>
                <w:szCs w:val="15"/>
                <w:color w:val="auto"/>
              </w:rPr>
            </w:pPr>
          </w:p>
        </w:tc>
        <w:tc>
          <w:tcPr>
            <w:tcW w:w="1240" w:type="dxa"/>
            <w:vAlign w:val="bottom"/>
            <w:gridSpan w:val="2"/>
          </w:tcPr>
          <w:p>
            <w:pPr>
              <w:jc w:val="center"/>
              <w:ind w:right="360"/>
              <w:spacing w:after="0" w:line="175" w:lineRule="exact"/>
              <w:rPr>
                <w:sz w:val="20"/>
                <w:szCs w:val="20"/>
                <w:color w:val="auto"/>
              </w:rPr>
            </w:pPr>
            <w:r>
              <w:rPr>
                <w:rFonts w:ascii="Arial" w:cs="Arial" w:eastAsia="Arial" w:hAnsi="Arial"/>
                <w:sz w:val="16"/>
                <w:szCs w:val="16"/>
                <w:b w:val="1"/>
                <w:bCs w:val="1"/>
                <w:color w:val="auto"/>
                <w:w w:val="89"/>
              </w:rPr>
              <w:t>Cost</w:t>
            </w:r>
          </w:p>
        </w:tc>
        <w:tc>
          <w:tcPr>
            <w:tcW w:w="140" w:type="dxa"/>
            <w:vAlign w:val="bottom"/>
          </w:tcPr>
          <w:p>
            <w:pPr>
              <w:spacing w:after="0"/>
              <w:rPr>
                <w:sz w:val="15"/>
                <w:szCs w:val="15"/>
                <w:color w:val="auto"/>
              </w:rPr>
            </w:pPr>
          </w:p>
        </w:tc>
        <w:tc>
          <w:tcPr>
            <w:tcW w:w="102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89"/>
              </w:rPr>
              <w:t>Gains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5" w:lineRule="exact"/>
              <w:rPr>
                <w:sz w:val="20"/>
                <w:szCs w:val="20"/>
                <w:color w:val="auto"/>
              </w:rPr>
            </w:pPr>
            <w:r>
              <w:rPr>
                <w:rFonts w:ascii="Arial" w:cs="Arial" w:eastAsia="Arial" w:hAnsi="Arial"/>
                <w:sz w:val="16"/>
                <w:szCs w:val="16"/>
                <w:b w:val="1"/>
                <w:bCs w:val="1"/>
                <w:color w:val="auto"/>
                <w:w w:val="83"/>
              </w:rPr>
              <w:t>Losses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right"/>
              <w:ind w:right="520"/>
              <w:spacing w:after="0" w:line="175" w:lineRule="exact"/>
              <w:rPr>
                <w:sz w:val="20"/>
                <w:szCs w:val="20"/>
                <w:color w:val="auto"/>
              </w:rPr>
            </w:pPr>
            <w:r>
              <w:rPr>
                <w:rFonts w:ascii="Arial" w:cs="Arial" w:eastAsia="Arial" w:hAnsi="Arial"/>
                <w:sz w:val="16"/>
                <w:szCs w:val="16"/>
                <w:b w:val="1"/>
                <w:bCs w:val="1"/>
                <w:color w:val="auto"/>
              </w:rPr>
              <w:t>Value</w:t>
            </w:r>
          </w:p>
        </w:tc>
      </w:tr>
      <w:tr>
        <w:trPr>
          <w:trHeight w:val="21"/>
        </w:trPr>
        <w:tc>
          <w:tcPr>
            <w:tcW w:w="16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4"/>
        </w:trPr>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194"/>
        </w:trPr>
        <w:tc>
          <w:tcPr>
            <w:tcW w:w="5060" w:type="dxa"/>
            <w:vAlign w:val="bottom"/>
            <w:gridSpan w:val="3"/>
            <w:shd w:val="clear" w:color="auto" w:fill="F0FFFF"/>
          </w:tcPr>
          <w:p>
            <w:pPr>
              <w:ind w:left="28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50,248</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3,849</w:t>
            </w:r>
          </w:p>
        </w:tc>
        <w:tc>
          <w:tcPr>
            <w:tcW w:w="3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54,097</w:t>
            </w:r>
          </w:p>
        </w:tc>
      </w:tr>
      <w:tr>
        <w:trPr>
          <w:trHeight w:val="198"/>
        </w:trPr>
        <w:tc>
          <w:tcPr>
            <w:tcW w:w="5060" w:type="dxa"/>
            <w:vAlign w:val="bottom"/>
            <w:gridSpan w:val="3"/>
          </w:tcPr>
          <w:p>
            <w:pPr>
              <w:ind w:left="280"/>
              <w:spacing w:after="0" w:line="194"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2"/>
                <w:szCs w:val="22"/>
                <w:color w:val="auto"/>
                <w:vertAlign w:val="superscript"/>
              </w:rPr>
              <w:t>(1)</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382,170</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7,299</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386,214</w:t>
            </w:r>
          </w:p>
        </w:tc>
      </w:tr>
      <w:tr>
        <w:trPr>
          <w:trHeight w:val="194"/>
        </w:trPr>
        <w:tc>
          <w:tcPr>
            <w:tcW w:w="1660" w:type="dxa"/>
            <w:vAlign w:val="bottom"/>
            <w:shd w:val="clear" w:color="auto" w:fill="F0FFFF"/>
          </w:tcPr>
          <w:p>
            <w:pPr>
              <w:spacing w:after="0"/>
              <w:rPr>
                <w:sz w:val="16"/>
                <w:szCs w:val="16"/>
                <w:color w:val="auto"/>
              </w:rPr>
            </w:pPr>
          </w:p>
        </w:tc>
        <w:tc>
          <w:tcPr>
            <w:tcW w:w="20" w:type="dxa"/>
            <w:vAlign w:val="bottom"/>
            <w:shd w:val="clear" w:color="auto" w:fill="F0FFFF"/>
          </w:tcPr>
          <w:p>
            <w:pPr>
              <w:spacing w:after="0"/>
              <w:rPr>
                <w:sz w:val="16"/>
                <w:szCs w:val="16"/>
                <w:color w:val="auto"/>
              </w:rPr>
            </w:pPr>
          </w:p>
        </w:tc>
        <w:tc>
          <w:tcPr>
            <w:tcW w:w="338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40" w:type="dxa"/>
            <w:vAlign w:val="bottom"/>
            <w:tcBorders>
              <w:top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r>
      <w:tr>
        <w:trPr>
          <w:trHeight w:val="194"/>
        </w:trPr>
        <w:tc>
          <w:tcPr>
            <w:tcW w:w="5060" w:type="dxa"/>
            <w:vAlign w:val="bottom"/>
            <w:gridSpan w:val="3"/>
          </w:tcPr>
          <w:p>
            <w:pPr>
              <w:ind w:left="44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432,418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11,148</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3,255</w:t>
            </w:r>
          </w:p>
        </w:tc>
        <w:tc>
          <w:tcPr>
            <w:tcW w:w="1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440,311</w:t>
            </w:r>
          </w:p>
        </w:tc>
      </w:tr>
      <w:tr>
        <w:trPr>
          <w:trHeight w:val="20"/>
        </w:trPr>
        <w:tc>
          <w:tcPr>
            <w:tcW w:w="1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83"/>
        </w:trPr>
        <w:tc>
          <w:tcPr>
            <w:tcW w:w="166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33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r>
      <w:tr>
        <w:trPr>
          <w:trHeight w:val="166"/>
        </w:trPr>
        <w:tc>
          <w:tcPr>
            <w:tcW w:w="5060" w:type="dxa"/>
            <w:vAlign w:val="bottom"/>
            <w:gridSpan w:val="3"/>
          </w:tcPr>
          <w:p>
            <w:pPr>
              <w:spacing w:after="0" w:line="158" w:lineRule="exact"/>
              <w:rPr>
                <w:sz w:val="20"/>
                <w:szCs w:val="20"/>
                <w:color w:val="auto"/>
              </w:rPr>
            </w:pPr>
            <w:r>
              <w:rPr>
                <w:rFonts w:ascii="Arial" w:cs="Arial" w:eastAsia="Arial" w:hAnsi="Arial"/>
                <w:sz w:val="16"/>
                <w:szCs w:val="16"/>
                <w:color w:val="auto"/>
              </w:rPr>
              <w:t>As of December 31, 2013</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02"/>
        </w:trPr>
        <w:tc>
          <w:tcPr>
            <w:tcW w:w="1660" w:type="dxa"/>
            <w:vAlign w:val="bottom"/>
            <w:tcBorders>
              <w:top w:val="single" w:sz="8" w:color="auto"/>
            </w:tcBorders>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33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4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r>
      <w:tr>
        <w:trPr>
          <w:trHeight w:val="194"/>
        </w:trPr>
        <w:tc>
          <w:tcPr>
            <w:tcW w:w="5060" w:type="dxa"/>
            <w:vAlign w:val="bottom"/>
            <w:gridSpan w:val="3"/>
          </w:tcPr>
          <w:p>
            <w:pPr>
              <w:ind w:left="28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51,733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2,718</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54,409</w:t>
            </w:r>
          </w:p>
        </w:tc>
      </w:tr>
      <w:tr>
        <w:trPr>
          <w:trHeight w:val="198"/>
        </w:trPr>
        <w:tc>
          <w:tcPr>
            <w:tcW w:w="5060" w:type="dxa"/>
            <w:vAlign w:val="bottom"/>
            <w:gridSpan w:val="3"/>
            <w:shd w:val="clear" w:color="auto" w:fill="F0FFFF"/>
          </w:tcPr>
          <w:p>
            <w:pPr>
              <w:ind w:left="280"/>
              <w:spacing w:after="0" w:line="194"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2"/>
                <w:szCs w:val="22"/>
                <w:color w:val="auto"/>
                <w:vertAlign w:val="superscript"/>
              </w:rPr>
              <w:t>(1)</w:t>
            </w:r>
          </w:p>
        </w:tc>
        <w:tc>
          <w:tcPr>
            <w:tcW w:w="140" w:type="dxa"/>
            <w:vAlign w:val="bottom"/>
            <w:shd w:val="clear" w:color="auto" w:fill="F0FFFF"/>
          </w:tcPr>
          <w:p>
            <w:pPr>
              <w:spacing w:after="0"/>
              <w:rPr>
                <w:sz w:val="17"/>
                <w:szCs w:val="17"/>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428,009</w:t>
            </w: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6,690</w:t>
            </w:r>
          </w:p>
        </w:tc>
        <w:tc>
          <w:tcPr>
            <w:tcW w:w="2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3,523</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431,176</w:t>
            </w:r>
          </w:p>
        </w:tc>
      </w:tr>
      <w:tr>
        <w:trPr>
          <w:trHeight w:val="194"/>
        </w:trPr>
        <w:tc>
          <w:tcPr>
            <w:tcW w:w="1660" w:type="dxa"/>
            <w:vAlign w:val="bottom"/>
            <w:tcBorders>
              <w:top w:val="single" w:sz="8" w:color="F0FFFF"/>
            </w:tcBorders>
          </w:tcPr>
          <w:p>
            <w:pPr>
              <w:spacing w:after="0"/>
              <w:rPr>
                <w:sz w:val="16"/>
                <w:szCs w:val="16"/>
                <w:color w:val="auto"/>
              </w:rPr>
            </w:pPr>
          </w:p>
        </w:tc>
        <w:tc>
          <w:tcPr>
            <w:tcW w:w="20" w:type="dxa"/>
            <w:vAlign w:val="bottom"/>
            <w:tcBorders>
              <w:top w:val="single" w:sz="8" w:color="F0FFFF"/>
            </w:tcBorders>
          </w:tcPr>
          <w:p>
            <w:pPr>
              <w:spacing w:after="0"/>
              <w:rPr>
                <w:sz w:val="16"/>
                <w:szCs w:val="16"/>
                <w:color w:val="auto"/>
              </w:rPr>
            </w:pPr>
          </w:p>
        </w:tc>
        <w:tc>
          <w:tcPr>
            <w:tcW w:w="338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r>
      <w:tr>
        <w:trPr>
          <w:trHeight w:val="234"/>
        </w:trPr>
        <w:tc>
          <w:tcPr>
            <w:tcW w:w="5060" w:type="dxa"/>
            <w:vAlign w:val="bottom"/>
            <w:gridSpan w:val="3"/>
            <w:shd w:val="clear" w:color="auto" w:fill="F0FFFF"/>
          </w:tcPr>
          <w:p>
            <w:pPr>
              <w:ind w:left="4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479,742</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9,408</w:t>
            </w:r>
          </w:p>
        </w:tc>
        <w:tc>
          <w:tcPr>
            <w:tcW w:w="3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3,565</w:t>
            </w:r>
          </w:p>
        </w:tc>
        <w:tc>
          <w:tcPr>
            <w:tcW w:w="100" w:type="dxa"/>
            <w:vAlign w:val="bottom"/>
            <w:shd w:val="clear" w:color="auto" w:fill="F0FFFF"/>
          </w:tcPr>
          <w:p>
            <w:pPr>
              <w:spacing w:after="0"/>
              <w:rPr>
                <w:sz w:val="20"/>
                <w:szCs w:val="20"/>
                <w:color w:val="auto"/>
              </w:rPr>
            </w:pP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485,585</w:t>
            </w:r>
          </w:p>
        </w:tc>
      </w:tr>
      <w:tr>
        <w:trPr>
          <w:trHeight w:val="183"/>
        </w:trPr>
        <w:tc>
          <w:tcPr>
            <w:tcW w:w="1660" w:type="dxa"/>
            <w:vAlign w:val="bottom"/>
            <w:tcBorders>
              <w:top w:val="single" w:sz="8" w:color="F0FFFF"/>
            </w:tcBorders>
          </w:tcPr>
          <w:p>
            <w:pPr>
              <w:spacing w:after="0"/>
              <w:rPr>
                <w:sz w:val="15"/>
                <w:szCs w:val="15"/>
                <w:color w:val="auto"/>
              </w:rPr>
            </w:pPr>
          </w:p>
        </w:tc>
        <w:tc>
          <w:tcPr>
            <w:tcW w:w="20" w:type="dxa"/>
            <w:vAlign w:val="bottom"/>
            <w:tcBorders>
              <w:top w:val="single" w:sz="8" w:color="F0FFFF"/>
            </w:tcBorders>
          </w:tcPr>
          <w:p>
            <w:pPr>
              <w:spacing w:after="0"/>
              <w:rPr>
                <w:sz w:val="15"/>
                <w:szCs w:val="15"/>
                <w:color w:val="auto"/>
              </w:rPr>
            </w:pPr>
          </w:p>
        </w:tc>
        <w:tc>
          <w:tcPr>
            <w:tcW w:w="338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r>
      <w:tr>
        <w:trPr>
          <w:trHeight w:val="174"/>
        </w:trPr>
        <w:tc>
          <w:tcPr>
            <w:tcW w:w="5060" w:type="dxa"/>
            <w:vAlign w:val="bottom"/>
            <w:gridSpan w:val="3"/>
            <w:shd w:val="clear" w:color="auto" w:fill="F0FFFF"/>
          </w:tcPr>
          <w:p>
            <w:pPr>
              <w:spacing w:after="0" w:line="158" w:lineRule="exact"/>
              <w:rPr>
                <w:sz w:val="20"/>
                <w:szCs w:val="20"/>
                <w:color w:val="auto"/>
              </w:rPr>
            </w:pPr>
            <w:r>
              <w:rPr>
                <w:rFonts w:ascii="Arial" w:cs="Arial" w:eastAsia="Arial" w:hAnsi="Arial"/>
                <w:sz w:val="16"/>
                <w:szCs w:val="16"/>
                <w:color w:val="auto"/>
              </w:rPr>
              <w:t>As of September 30, 2013</w:t>
            </w:r>
          </w:p>
        </w:tc>
        <w:tc>
          <w:tcPr>
            <w:tcW w:w="14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r>
      <w:tr>
        <w:trPr>
          <w:trHeight w:val="194"/>
        </w:trPr>
        <w:tc>
          <w:tcPr>
            <w:tcW w:w="16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380" w:type="dxa"/>
            <w:vAlign w:val="bottom"/>
            <w:tcBorders>
              <w:top w:val="single" w:sz="8" w:color="F0FFFF"/>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020" w:type="dxa"/>
            <w:vAlign w:val="bottom"/>
            <w:tcBorders>
              <w:top w:val="single" w:sz="8" w:color="F0FFFF"/>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020" w:type="dxa"/>
            <w:vAlign w:val="bottom"/>
            <w:tcBorders>
              <w:top w:val="single" w:sz="8" w:color="F0FFFF"/>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c>
          <w:tcPr>
            <w:tcW w:w="104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240" w:type="dxa"/>
            <w:vAlign w:val="bottom"/>
            <w:tcBorders>
              <w:top w:val="single" w:sz="8" w:color="F0FFFF"/>
            </w:tcBorders>
          </w:tcPr>
          <w:p>
            <w:pPr>
              <w:spacing w:after="0"/>
              <w:rPr>
                <w:sz w:val="16"/>
                <w:szCs w:val="16"/>
                <w:color w:val="auto"/>
              </w:rPr>
            </w:pPr>
          </w:p>
        </w:tc>
        <w:tc>
          <w:tcPr>
            <w:tcW w:w="920" w:type="dxa"/>
            <w:vAlign w:val="bottom"/>
            <w:tcBorders>
              <w:top w:val="single" w:sz="8" w:color="F0FFFF"/>
            </w:tcBorders>
          </w:tcPr>
          <w:p>
            <w:pPr>
              <w:spacing w:after="0"/>
              <w:rPr>
                <w:sz w:val="16"/>
                <w:szCs w:val="16"/>
                <w:color w:val="auto"/>
              </w:rPr>
            </w:pPr>
          </w:p>
        </w:tc>
        <w:tc>
          <w:tcPr>
            <w:tcW w:w="140" w:type="dxa"/>
            <w:vAlign w:val="bottom"/>
            <w:tcBorders>
              <w:top w:val="single" w:sz="8" w:color="F0FFFF"/>
            </w:tcBorders>
          </w:tcPr>
          <w:p>
            <w:pPr>
              <w:spacing w:after="0"/>
              <w:rPr>
                <w:sz w:val="16"/>
                <w:szCs w:val="16"/>
                <w:color w:val="auto"/>
              </w:rPr>
            </w:pPr>
          </w:p>
        </w:tc>
      </w:tr>
      <w:tr>
        <w:trPr>
          <w:trHeight w:val="194"/>
        </w:trPr>
        <w:tc>
          <w:tcPr>
            <w:tcW w:w="5060" w:type="dxa"/>
            <w:vAlign w:val="bottom"/>
            <w:gridSpan w:val="3"/>
            <w:shd w:val="clear" w:color="auto" w:fill="F0FFFF"/>
          </w:tcPr>
          <w:p>
            <w:pPr>
              <w:ind w:left="280"/>
              <w:spacing w:after="0"/>
              <w:rPr>
                <w:sz w:val="20"/>
                <w:szCs w:val="20"/>
                <w:color w:val="auto"/>
              </w:rPr>
            </w:pPr>
            <w:r>
              <w:rPr>
                <w:rFonts w:ascii="Arial" w:cs="Arial" w:eastAsia="Arial" w:hAnsi="Arial"/>
                <w:sz w:val="16"/>
                <w:szCs w:val="16"/>
                <w:color w:val="auto"/>
              </w:rPr>
              <w:t>State and political subdivisions</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51,745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2,723</w:t>
            </w:r>
          </w:p>
        </w:tc>
        <w:tc>
          <w:tcPr>
            <w:tcW w:w="3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53</w:t>
            </w:r>
          </w:p>
        </w:tc>
        <w:tc>
          <w:tcPr>
            <w:tcW w:w="100" w:type="dxa"/>
            <w:vAlign w:val="bottom"/>
            <w:shd w:val="clear" w:color="auto" w:fill="F0FFFF"/>
          </w:tcPr>
          <w:p>
            <w:pPr>
              <w:spacing w:after="0"/>
              <w:rPr>
                <w:sz w:val="16"/>
                <w:szCs w:val="16"/>
                <w:color w:val="auto"/>
              </w:rPr>
            </w:pP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54,415</w:t>
            </w:r>
          </w:p>
        </w:tc>
      </w:tr>
      <w:tr>
        <w:trPr>
          <w:trHeight w:val="198"/>
        </w:trPr>
        <w:tc>
          <w:tcPr>
            <w:tcW w:w="5060" w:type="dxa"/>
            <w:vAlign w:val="bottom"/>
            <w:gridSpan w:val="3"/>
          </w:tcPr>
          <w:p>
            <w:pPr>
              <w:ind w:left="280"/>
              <w:spacing w:after="0" w:line="194"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2"/>
                <w:szCs w:val="22"/>
                <w:color w:val="auto"/>
                <w:vertAlign w:val="superscript"/>
              </w:rPr>
              <w:t>(1)</w:t>
            </w:r>
          </w:p>
        </w:tc>
        <w:tc>
          <w:tcPr>
            <w:tcW w:w="14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153,868</w:t>
            </w: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6,767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160,236</w:t>
            </w:r>
          </w:p>
        </w:tc>
      </w:tr>
      <w:tr>
        <w:trPr>
          <w:trHeight w:val="194"/>
        </w:trPr>
        <w:tc>
          <w:tcPr>
            <w:tcW w:w="1660" w:type="dxa"/>
            <w:vAlign w:val="bottom"/>
            <w:shd w:val="clear" w:color="auto" w:fill="F0FFFF"/>
          </w:tcPr>
          <w:p>
            <w:pPr>
              <w:spacing w:after="0"/>
              <w:rPr>
                <w:sz w:val="16"/>
                <w:szCs w:val="16"/>
                <w:color w:val="auto"/>
              </w:rPr>
            </w:pPr>
          </w:p>
        </w:tc>
        <w:tc>
          <w:tcPr>
            <w:tcW w:w="20" w:type="dxa"/>
            <w:vAlign w:val="bottom"/>
            <w:shd w:val="clear" w:color="auto" w:fill="F0FFFF"/>
          </w:tcPr>
          <w:p>
            <w:pPr>
              <w:spacing w:after="0"/>
              <w:rPr>
                <w:sz w:val="16"/>
                <w:szCs w:val="16"/>
                <w:color w:val="auto"/>
              </w:rPr>
            </w:pPr>
          </w:p>
        </w:tc>
        <w:tc>
          <w:tcPr>
            <w:tcW w:w="338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2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1040" w:type="dxa"/>
            <w:vAlign w:val="bottom"/>
            <w:tcBorders>
              <w:top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r>
      <w:tr>
        <w:trPr>
          <w:trHeight w:val="206"/>
        </w:trPr>
        <w:tc>
          <w:tcPr>
            <w:tcW w:w="5060" w:type="dxa"/>
            <w:vAlign w:val="bottom"/>
            <w:gridSpan w:val="3"/>
          </w:tcPr>
          <w:p>
            <w:pPr>
              <w:ind w:left="44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205,613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9,490</w:t>
            </w:r>
          </w:p>
        </w:tc>
        <w:tc>
          <w:tcPr>
            <w:tcW w:w="3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452</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214,651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-6985</wp:posOffset>
            </wp:positionV>
            <wp:extent cx="3387725"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87725" cy="7620"/>
                    </a:xfrm>
                    <a:prstGeom prst="rect">
                      <a:avLst/>
                    </a:prstGeom>
                    <a:noFill/>
                  </pic:spPr>
                </pic:pic>
              </a:graphicData>
            </a:graphic>
          </wp:anchor>
        </w:drawing>
      </w:r>
    </w:p>
    <w:p>
      <w:pPr>
        <w:ind w:left="760" w:hanging="302"/>
        <w:spacing w:after="0" w:line="208" w:lineRule="auto"/>
        <w:tabs>
          <w:tab w:leader="none" w:pos="760" w:val="left"/>
        </w:tabs>
        <w:numPr>
          <w:ilvl w:val="0"/>
          <w:numId w:val="2"/>
        </w:numPr>
        <w:rPr>
          <w:rFonts w:ascii="Arial" w:cs="Arial" w:eastAsia="Arial" w:hAnsi="Arial"/>
          <w:sz w:val="23"/>
          <w:szCs w:val="23"/>
          <w:color w:val="auto"/>
          <w:vertAlign w:val="superscript"/>
        </w:rPr>
      </w:pPr>
      <w:r>
        <w:rPr>
          <w:rFonts w:ascii="Arial" w:cs="Arial" w:eastAsia="Arial" w:hAnsi="Arial"/>
          <w:sz w:val="16"/>
          <w:szCs w:val="16"/>
          <w:color w:val="auto"/>
        </w:rPr>
        <w:t>All are residential type mortgage-backed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-129540</wp:posOffset>
            </wp:positionV>
            <wp:extent cx="33877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87725" cy="762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held-to-maturity securities in an unrealized loss position as of September 30, 2014, December 31, 2013 and September 30, 2013 (</w:t>
      </w:r>
      <w:r>
        <w:rPr>
          <w:rFonts w:ascii="Arial" w:cs="Arial" w:eastAsia="Arial" w:hAnsi="Arial"/>
          <w:sz w:val="14"/>
          <w:szCs w:val="14"/>
          <w:i w:val="1"/>
          <w:iCs w:val="1"/>
          <w:color w:val="auto"/>
        </w:rPr>
        <w:t>in thousands)</w:t>
      </w:r>
      <w:r>
        <w:rPr>
          <w:rFonts w:ascii="Arial" w:cs="Arial" w:eastAsia="Arial" w:hAnsi="Arial"/>
          <w:sz w:val="14"/>
          <w:szCs w:val="14"/>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5"/>
          </w:tcPr>
          <w:p>
            <w:pPr>
              <w:ind w:left="500"/>
              <w:spacing w:after="0"/>
              <w:rPr>
                <w:sz w:val="20"/>
                <w:szCs w:val="20"/>
                <w:color w:val="auto"/>
              </w:rPr>
            </w:pPr>
            <w:r>
              <w:rPr>
                <w:rFonts w:ascii="Arial" w:cs="Arial" w:eastAsia="Arial" w:hAnsi="Arial"/>
                <w:sz w:val="16"/>
                <w:szCs w:val="16"/>
                <w:b w:val="1"/>
                <w:bCs w:val="1"/>
                <w:color w:val="auto"/>
              </w:rPr>
              <w:t>Less than 12 Months</w:t>
            </w:r>
          </w:p>
        </w:tc>
        <w:tc>
          <w:tcPr>
            <w:tcW w:w="180" w:type="dxa"/>
            <w:vAlign w:val="bottom"/>
          </w:tcPr>
          <w:p>
            <w:pPr>
              <w:spacing w:after="0"/>
              <w:rPr>
                <w:sz w:val="18"/>
                <w:szCs w:val="18"/>
                <w:color w:val="auto"/>
              </w:rPr>
            </w:pPr>
          </w:p>
        </w:tc>
        <w:tc>
          <w:tcPr>
            <w:tcW w:w="236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12 Months or More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Total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center"/>
              <w:ind w:right="99"/>
              <w:spacing w:after="0" w:line="178" w:lineRule="exact"/>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6"/>
                <w:szCs w:val="16"/>
                <w:b w:val="1"/>
                <w:bCs w:val="1"/>
                <w:color w:val="auto"/>
              </w:rPr>
              <w:t>Unrealized</w:t>
            </w:r>
          </w:p>
        </w:tc>
        <w:tc>
          <w:tcPr>
            <w:tcW w:w="2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center"/>
              <w:ind w:right="99"/>
              <w:spacing w:after="0" w:line="178" w:lineRule="exact"/>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420" w:type="dxa"/>
            <w:vAlign w:val="bottom"/>
            <w:gridSpan w:val="4"/>
          </w:tcPr>
          <w:p>
            <w:pPr>
              <w:spacing w:after="0" w:line="175" w:lineRule="exact"/>
              <w:rPr>
                <w:sz w:val="20"/>
                <w:szCs w:val="20"/>
                <w:color w:val="auto"/>
              </w:rPr>
            </w:pPr>
            <w:r>
              <w:rPr>
                <w:rFonts w:ascii="Arial" w:cs="Arial" w:eastAsia="Arial" w:hAnsi="Arial"/>
                <w:sz w:val="16"/>
                <w:szCs w:val="16"/>
                <w:color w:val="auto"/>
              </w:rPr>
              <w:t>As of September 30, 2014</w:t>
            </w:r>
          </w:p>
        </w:tc>
        <w:tc>
          <w:tcPr>
            <w:tcW w:w="180" w:type="dxa"/>
            <w:vAlign w:val="bottom"/>
          </w:tcPr>
          <w:p>
            <w:pPr>
              <w:spacing w:after="0"/>
              <w:rPr>
                <w:sz w:val="15"/>
                <w:szCs w:val="15"/>
                <w:color w:val="auto"/>
              </w:rPr>
            </w:pPr>
          </w:p>
        </w:tc>
        <w:tc>
          <w:tcPr>
            <w:tcW w:w="13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Fair Value</w:t>
            </w:r>
          </w:p>
        </w:tc>
        <w:tc>
          <w:tcPr>
            <w:tcW w:w="180" w:type="dxa"/>
            <w:vAlign w:val="bottom"/>
          </w:tcPr>
          <w:p>
            <w:pPr>
              <w:spacing w:after="0"/>
              <w:rPr>
                <w:sz w:val="15"/>
                <w:szCs w:val="15"/>
                <w:color w:val="auto"/>
              </w:rPr>
            </w:pPr>
          </w:p>
        </w:tc>
        <w:tc>
          <w:tcPr>
            <w:tcW w:w="1340" w:type="dxa"/>
            <w:vAlign w:val="bottom"/>
            <w:gridSpan w:val="2"/>
          </w:tcPr>
          <w:p>
            <w:pPr>
              <w:jc w:val="center"/>
              <w:ind w:right="420"/>
              <w:spacing w:after="0" w:line="175" w:lineRule="exact"/>
              <w:rPr>
                <w:sz w:val="20"/>
                <w:szCs w:val="20"/>
                <w:color w:val="auto"/>
              </w:rPr>
            </w:pPr>
            <w:r>
              <w:rPr>
                <w:rFonts w:ascii="Arial" w:cs="Arial" w:eastAsia="Arial" w:hAnsi="Arial"/>
                <w:sz w:val="16"/>
                <w:szCs w:val="16"/>
                <w:b w:val="1"/>
                <w:bCs w:val="1"/>
                <w:color w:val="auto"/>
                <w:w w:val="85"/>
              </w:rPr>
              <w:t>Loss</w:t>
            </w:r>
          </w:p>
        </w:tc>
        <w:tc>
          <w:tcPr>
            <w:tcW w:w="180" w:type="dxa"/>
            <w:vAlign w:val="bottom"/>
          </w:tcPr>
          <w:p>
            <w:pPr>
              <w:spacing w:after="0"/>
              <w:rPr>
                <w:sz w:val="15"/>
                <w:szCs w:val="15"/>
                <w:color w:val="auto"/>
              </w:rPr>
            </w:pPr>
          </w:p>
        </w:tc>
        <w:tc>
          <w:tcPr>
            <w:tcW w:w="122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5"/>
                <w:szCs w:val="15"/>
                <w:color w:val="auto"/>
              </w:rPr>
            </w:pPr>
          </w:p>
        </w:tc>
        <w:tc>
          <w:tcPr>
            <w:tcW w:w="1020" w:type="dxa"/>
            <w:vAlign w:val="bottom"/>
          </w:tcPr>
          <w:p>
            <w:pPr>
              <w:jc w:val="right"/>
              <w:ind w:right="139"/>
              <w:spacing w:after="0" w:line="175" w:lineRule="exact"/>
              <w:rPr>
                <w:sz w:val="20"/>
                <w:szCs w:val="20"/>
                <w:color w:val="auto"/>
              </w:rPr>
            </w:pPr>
            <w:r>
              <w:rPr>
                <w:rFonts w:ascii="Arial" w:cs="Arial" w:eastAsia="Arial" w:hAnsi="Arial"/>
                <w:sz w:val="16"/>
                <w:szCs w:val="16"/>
                <w:b w:val="1"/>
                <w:bCs w:val="1"/>
                <w:color w:val="auto"/>
              </w:rPr>
              <w:t>Loss</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w w:val="80"/>
              </w:rPr>
              <w:t>Loss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189,223</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3,147</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2,798</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859"/>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w w:val="89"/>
              </w:rPr>
              <w:t>108</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192,021</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3,255</w:t>
            </w:r>
          </w:p>
        </w:tc>
        <w:tc>
          <w:tcPr>
            <w:tcW w:w="14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 w:type="dxa"/>
            <w:vAlign w:val="bottom"/>
            <w:shd w:val="clear" w:color="auto" w:fill="F0FFFF"/>
          </w:tcPr>
          <w:p>
            <w:pPr>
              <w:spacing w:after="0"/>
              <w:rPr>
                <w:sz w:val="2"/>
                <w:szCs w:val="2"/>
                <w:color w:val="auto"/>
              </w:rPr>
            </w:pPr>
          </w:p>
        </w:tc>
        <w:tc>
          <w:tcPr>
            <w:tcW w:w="7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400" w:type="dxa"/>
            <w:vAlign w:val="bottom"/>
            <w:gridSpan w:val="3"/>
          </w:tcPr>
          <w:p>
            <w:pPr>
              <w:ind w:left="120"/>
              <w:spacing w:after="0"/>
              <w:rPr>
                <w:sz w:val="20"/>
                <w:szCs w:val="20"/>
                <w:color w:val="auto"/>
              </w:rPr>
            </w:pPr>
            <w:r>
              <w:rPr>
                <w:rFonts w:ascii="Arial" w:cs="Arial" w:eastAsia="Arial" w:hAnsi="Arial"/>
                <w:sz w:val="16"/>
                <w:szCs w:val="16"/>
                <w:color w:val="auto"/>
              </w:rPr>
              <w:t>Total unrealized loss position</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189,223</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3,147</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2,798</w:t>
            </w:r>
          </w:p>
        </w:tc>
        <w:tc>
          <w:tcPr>
            <w:tcW w:w="120" w:type="dxa"/>
            <w:vAlign w:val="bottom"/>
          </w:tcPr>
          <w:p>
            <w:pPr>
              <w:spacing w:after="0"/>
              <w:rPr>
                <w:sz w:val="16"/>
                <w:szCs w:val="16"/>
                <w:color w:val="auto"/>
              </w:rPr>
            </w:pPr>
          </w:p>
        </w:tc>
        <w:tc>
          <w:tcPr>
            <w:tcW w:w="114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108</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192,021</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3,255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64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400" w:type="dxa"/>
            <w:vAlign w:val="bottom"/>
            <w:gridSpan w:val="3"/>
          </w:tcPr>
          <w:p>
            <w:pPr>
              <w:spacing w:after="0" w:line="158" w:lineRule="exact"/>
              <w:rPr>
                <w:sz w:val="20"/>
                <w:szCs w:val="20"/>
                <w:color w:val="auto"/>
              </w:rPr>
            </w:pPr>
            <w:r>
              <w:rPr>
                <w:rFonts w:ascii="Arial" w:cs="Arial" w:eastAsia="Arial" w:hAnsi="Arial"/>
                <w:sz w:val="16"/>
                <w:szCs w:val="16"/>
                <w:color w:val="auto"/>
              </w:rPr>
              <w:t>As of December 31, 2013</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40" w:type="dxa"/>
            <w:vAlign w:val="bottom"/>
            <w:tcBorders>
              <w:top w:val="single" w:sz="8" w:color="auto"/>
            </w:tcBorders>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gridSpan w:val="3"/>
          </w:tcPr>
          <w:p>
            <w:pPr>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1,595</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1,595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0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F0FFFF"/>
          </w:tcPr>
          <w:p>
            <w:pPr>
              <w:spacing w:after="0"/>
              <w:rPr>
                <w:sz w:val="16"/>
                <w:szCs w:val="16"/>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259,870</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3,523</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3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259,870</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3,523</w:t>
            </w:r>
          </w:p>
        </w:tc>
        <w:tc>
          <w:tcPr>
            <w:tcW w:w="14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 w:type="dxa"/>
            <w:vAlign w:val="bottom"/>
            <w:shd w:val="clear" w:color="auto" w:fill="F0FFFF"/>
          </w:tcPr>
          <w:p>
            <w:pPr>
              <w:spacing w:after="0"/>
              <w:rPr>
                <w:sz w:val="2"/>
                <w:szCs w:val="2"/>
                <w:color w:val="auto"/>
              </w:rPr>
            </w:pPr>
          </w:p>
        </w:tc>
        <w:tc>
          <w:tcPr>
            <w:tcW w:w="7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400" w:type="dxa"/>
            <w:vAlign w:val="bottom"/>
            <w:gridSpan w:val="3"/>
          </w:tcPr>
          <w:p>
            <w:pPr>
              <w:ind w:left="120"/>
              <w:spacing w:after="0"/>
              <w:rPr>
                <w:sz w:val="20"/>
                <w:szCs w:val="20"/>
                <w:color w:val="auto"/>
              </w:rPr>
            </w:pPr>
            <w:r>
              <w:rPr>
                <w:rFonts w:ascii="Arial" w:cs="Arial" w:eastAsia="Arial" w:hAnsi="Arial"/>
                <w:sz w:val="16"/>
                <w:szCs w:val="16"/>
                <w:color w:val="auto"/>
              </w:rPr>
              <w:t>Total unrealized loss position</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261,465</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3,565</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261,465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3,565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64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400" w:type="dxa"/>
            <w:vAlign w:val="bottom"/>
            <w:gridSpan w:val="3"/>
          </w:tcPr>
          <w:p>
            <w:pPr>
              <w:spacing w:after="0" w:line="158" w:lineRule="exact"/>
              <w:rPr>
                <w:sz w:val="20"/>
                <w:szCs w:val="20"/>
                <w:color w:val="auto"/>
              </w:rPr>
            </w:pPr>
            <w:r>
              <w:rPr>
                <w:rFonts w:ascii="Arial" w:cs="Arial" w:eastAsia="Arial" w:hAnsi="Arial"/>
                <w:sz w:val="16"/>
                <w:szCs w:val="16"/>
                <w:color w:val="auto"/>
              </w:rPr>
              <w:t>As of September 30, 2013</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40" w:type="dxa"/>
            <w:vAlign w:val="bottom"/>
            <w:tcBorders>
              <w:top w:val="single" w:sz="8" w:color="auto"/>
            </w:tcBorders>
            <w:shd w:val="clear" w:color="auto" w:fill="F0FFFF"/>
          </w:tcPr>
          <w:p>
            <w:pPr>
              <w:spacing w:after="0"/>
              <w:rPr>
                <w:sz w:val="17"/>
                <w:szCs w:val="17"/>
                <w:color w:val="auto"/>
              </w:rPr>
            </w:pPr>
          </w:p>
        </w:tc>
        <w:tc>
          <w:tcPr>
            <w:tcW w:w="20" w:type="dxa"/>
            <w:vAlign w:val="bottom"/>
            <w:tcBorders>
              <w:top w:val="single" w:sz="8" w:color="auto"/>
            </w:tcBorders>
            <w:shd w:val="clear" w:color="auto" w:fill="F0FFFF"/>
          </w:tcPr>
          <w:p>
            <w:pPr>
              <w:spacing w:after="0"/>
              <w:rPr>
                <w:sz w:val="17"/>
                <w:szCs w:val="17"/>
                <w:color w:val="auto"/>
              </w:rPr>
            </w:pPr>
          </w:p>
        </w:tc>
        <w:tc>
          <w:tcPr>
            <w:tcW w:w="7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0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400" w:type="dxa"/>
            <w:vAlign w:val="bottom"/>
            <w:gridSpan w:val="3"/>
          </w:tcPr>
          <w:p>
            <w:pPr>
              <w:spacing w:after="0"/>
              <w:rPr>
                <w:sz w:val="20"/>
                <w:szCs w:val="20"/>
                <w:color w:val="auto"/>
              </w:rPr>
            </w:pPr>
            <w:r>
              <w:rPr>
                <w:rFonts w:ascii="Arial" w:cs="Arial" w:eastAsia="Arial" w:hAnsi="Arial"/>
                <w:sz w:val="16"/>
                <w:szCs w:val="16"/>
                <w:color w:val="auto"/>
              </w:rPr>
              <w:t>State and political subdivisions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4,825</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53</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4,825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40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Mortgage-backed securities</w:t>
            </w:r>
          </w:p>
        </w:tc>
        <w:tc>
          <w:tcPr>
            <w:tcW w:w="180" w:type="dxa"/>
            <w:vAlign w:val="bottom"/>
            <w:shd w:val="clear" w:color="auto" w:fill="F0FFFF"/>
          </w:tcPr>
          <w:p>
            <w:pPr>
              <w:spacing w:after="0"/>
              <w:rPr>
                <w:sz w:val="16"/>
                <w:szCs w:val="16"/>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8,009</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399</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3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8,009</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399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 w:type="dxa"/>
            <w:vAlign w:val="bottom"/>
            <w:shd w:val="clear" w:color="auto" w:fill="F0FFFF"/>
          </w:tcPr>
          <w:p>
            <w:pPr>
              <w:spacing w:after="0"/>
              <w:rPr>
                <w:sz w:val="2"/>
                <w:szCs w:val="2"/>
                <w:color w:val="auto"/>
              </w:rPr>
            </w:pPr>
          </w:p>
        </w:tc>
        <w:tc>
          <w:tcPr>
            <w:tcW w:w="7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400" w:type="dxa"/>
            <w:vAlign w:val="bottom"/>
            <w:gridSpan w:val="3"/>
          </w:tcPr>
          <w:p>
            <w:pPr>
              <w:ind w:left="120"/>
              <w:spacing w:after="0"/>
              <w:rPr>
                <w:sz w:val="20"/>
                <w:szCs w:val="20"/>
                <w:color w:val="auto"/>
              </w:rPr>
            </w:pPr>
            <w:r>
              <w:rPr>
                <w:rFonts w:ascii="Arial" w:cs="Arial" w:eastAsia="Arial" w:hAnsi="Arial"/>
                <w:sz w:val="16"/>
                <w:szCs w:val="16"/>
                <w:color w:val="auto"/>
              </w:rPr>
              <w:t>Total unrealized loss position</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12,834</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452</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12,834</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6"/>
                <w:szCs w:val="16"/>
                <w:color w:val="auto"/>
              </w:rPr>
              <w:t>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Management evaluates securities for other-than-temporary impairment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nine months ended September 30, 2014 or 2013.</w:t>
      </w:r>
    </w:p>
    <w:p>
      <w:pPr>
        <w:spacing w:after="0" w:line="19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In the fourth quarter of 2013, securities available-for-sale with a fair value of $301 million were transferred to held-to-maturity. The securities were transferred at their fair value on the date of transfer. The unrealized loss of $8.31 million on the transferred securities is being amortized into interest revenue as an adjustment to the yield on those securities over the remaining life of the transferred securities.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The cost basis, unrealized gains and losses, and fair value of securities available-for-sale at September 30, 2014, December 31, 2013 and September 30, 2013 are presented below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39"/>
              <w:spacing w:after="0"/>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w w:val="99"/>
              </w:rPr>
              <w:t>Amortized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174"/>
        </w:trPr>
        <w:tc>
          <w:tcPr>
            <w:tcW w:w="3540" w:type="dxa"/>
            <w:vAlign w:val="bottom"/>
            <w:gridSpan w:val="4"/>
          </w:tcPr>
          <w:p>
            <w:pPr>
              <w:spacing w:after="0" w:line="175" w:lineRule="exact"/>
              <w:rPr>
                <w:sz w:val="20"/>
                <w:szCs w:val="20"/>
                <w:color w:val="auto"/>
              </w:rPr>
            </w:pPr>
            <w:r>
              <w:rPr>
                <w:rFonts w:ascii="Arial" w:cs="Arial" w:eastAsia="Arial" w:hAnsi="Arial"/>
                <w:sz w:val="16"/>
                <w:szCs w:val="16"/>
                <w:color w:val="auto"/>
              </w:rPr>
              <w:t>As of September 30, 2014</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39"/>
              <w:spacing w:after="0" w:line="175" w:lineRule="exact"/>
              <w:rPr>
                <w:sz w:val="20"/>
                <w:szCs w:val="20"/>
                <w:color w:val="auto"/>
              </w:rPr>
            </w:pPr>
            <w:r>
              <w:rPr>
                <w:rFonts w:ascii="Arial" w:cs="Arial" w:eastAsia="Arial" w:hAnsi="Arial"/>
                <w:sz w:val="16"/>
                <w:szCs w:val="16"/>
                <w:b w:val="1"/>
                <w:bCs w:val="1"/>
                <w:color w:val="auto"/>
              </w:rPr>
              <w:t>Cost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89"/>
              </w:rPr>
              <w:t>Gains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83"/>
              </w:rPr>
              <w:t>Losses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center"/>
              <w:ind w:right="360"/>
              <w:spacing w:after="0" w:line="175" w:lineRule="exact"/>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U.S. Treasury securities</w:t>
            </w:r>
          </w:p>
        </w:tc>
        <w:tc>
          <w:tcPr>
            <w:tcW w:w="15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105,385</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245</w:t>
            </w:r>
          </w:p>
        </w:tc>
        <w:tc>
          <w:tcPr>
            <w:tcW w:w="3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608</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105,022</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color w:val="auto"/>
              </w:rPr>
              <w:t>State and political subdivisions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19,686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20,321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shd w:val="clear" w:color="auto" w:fill="F0FFFF"/>
          </w:tcPr>
          <w:p>
            <w:pPr>
              <w:ind w:left="120"/>
              <w:spacing w:after="0" w:line="194"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2"/>
                <w:szCs w:val="22"/>
                <w:color w:val="auto"/>
                <w:vertAlign w:val="superscript"/>
              </w:rPr>
              <w:t>(1)</w:t>
            </w:r>
          </w:p>
        </w:tc>
        <w:tc>
          <w:tcPr>
            <w:tcW w:w="14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1,029,881</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15,010</w:t>
            </w: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9,899</w:t>
            </w: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1,034,992</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color w:val="auto"/>
              </w:rPr>
              <w:t>Corporate bonds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165,558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1,427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1,733</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165,252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Asset-backed securities</w:t>
            </w:r>
          </w:p>
        </w:tc>
        <w:tc>
          <w:tcPr>
            <w:tcW w:w="14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458,569</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3,629</w:t>
            </w: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154</w:t>
            </w: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462,044</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color w:val="auto"/>
              </w:rPr>
              <w:t>Other</w:t>
            </w: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40" w:type="dxa"/>
            <w:vAlign w:val="bottom"/>
            <w:shd w:val="clear" w:color="auto" w:fill="F0FFFF"/>
          </w:tcPr>
          <w:p>
            <w:pPr>
              <w:spacing w:after="0"/>
              <w:rPr>
                <w:sz w:val="16"/>
                <w:szCs w:val="16"/>
                <w:color w:val="auto"/>
              </w:rPr>
            </w:pPr>
          </w:p>
        </w:tc>
        <w:tc>
          <w:tcPr>
            <w:tcW w:w="20" w:type="dxa"/>
            <w:vAlign w:val="bottom"/>
            <w:shd w:val="clear" w:color="auto" w:fill="F0FFFF"/>
          </w:tcPr>
          <w:p>
            <w:pPr>
              <w:spacing w:after="0"/>
              <w:rPr>
                <w:sz w:val="16"/>
                <w:szCs w:val="16"/>
                <w:color w:val="auto"/>
              </w:rPr>
            </w:pPr>
          </w:p>
        </w:tc>
        <w:tc>
          <w:tcPr>
            <w:tcW w:w="1860" w:type="dxa"/>
            <w:vAlign w:val="bottom"/>
            <w:shd w:val="clear" w:color="auto" w:fill="F0FFFF"/>
          </w:tcPr>
          <w:p>
            <w:pPr>
              <w:spacing w:after="0"/>
              <w:rPr>
                <w:sz w:val="16"/>
                <w:szCs w:val="16"/>
                <w:color w:val="auto"/>
              </w:rPr>
            </w:pPr>
          </w:p>
        </w:tc>
        <w:tc>
          <w:tcPr>
            <w:tcW w:w="14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Total</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1,781,115</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20,977</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12,425</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1,789,667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64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1860" w:type="dxa"/>
            <w:vAlign w:val="bottom"/>
            <w:shd w:val="clear" w:color="auto" w:fill="F0FFFF"/>
          </w:tcPr>
          <w:p>
            <w:pPr>
              <w:spacing w:after="0"/>
              <w:rPr>
                <w:sz w:val="15"/>
                <w:szCs w:val="15"/>
                <w:color w:val="auto"/>
              </w:rPr>
            </w:pPr>
          </w:p>
        </w:tc>
        <w:tc>
          <w:tcPr>
            <w:tcW w:w="14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520" w:type="dxa"/>
            <w:vAlign w:val="bottom"/>
            <w:gridSpan w:val="3"/>
          </w:tcPr>
          <w:p>
            <w:pPr>
              <w:spacing w:after="0" w:line="158" w:lineRule="exact"/>
              <w:rPr>
                <w:sz w:val="20"/>
                <w:szCs w:val="20"/>
                <w:color w:val="auto"/>
              </w:rPr>
            </w:pPr>
            <w:r>
              <w:rPr>
                <w:rFonts w:ascii="Arial" w:cs="Arial" w:eastAsia="Arial" w:hAnsi="Arial"/>
                <w:sz w:val="16"/>
                <w:szCs w:val="16"/>
                <w:color w:val="auto"/>
              </w:rPr>
              <w:t>As of December 31, 2013</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860" w:type="dxa"/>
            <w:vAlign w:val="bottom"/>
            <w:shd w:val="clear" w:color="auto" w:fill="F0FFFF"/>
          </w:tcPr>
          <w:p>
            <w:pPr>
              <w:spacing w:after="0"/>
              <w:rPr>
                <w:sz w:val="17"/>
                <w:szCs w:val="17"/>
                <w:color w:val="auto"/>
              </w:rPr>
            </w:pPr>
          </w:p>
        </w:tc>
        <w:tc>
          <w:tcPr>
            <w:tcW w:w="14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color w:val="auto"/>
              </w:rPr>
              <w:t>State and political subdivisions</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22,558</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823</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139</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23,242</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shd w:val="clear" w:color="auto" w:fill="F0FFFF"/>
          </w:tcPr>
          <w:p>
            <w:pPr>
              <w:ind w:left="120"/>
              <w:spacing w:after="0" w:line="194"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2"/>
                <w:szCs w:val="22"/>
                <w:color w:val="auto"/>
                <w:vertAlign w:val="superscript"/>
              </w:rPr>
              <w:t>(1)</w:t>
            </w:r>
          </w:p>
        </w:tc>
        <w:tc>
          <w:tcPr>
            <w:tcW w:w="14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1,145,800</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13,296</w:t>
            </w: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13,749</w:t>
            </w: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1,145,347</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color w:val="auto"/>
              </w:rPr>
              <w:t>Corporate bonds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255,316</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6,324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250,296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Asset-backed securities</w:t>
            </w:r>
          </w:p>
        </w:tc>
        <w:tc>
          <w:tcPr>
            <w:tcW w:w="14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409,086</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2,535</w:t>
            </w: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988</w:t>
            </w: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410,633</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color w:val="auto"/>
              </w:rPr>
              <w:t>Other</w:t>
            </w: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40" w:type="dxa"/>
            <w:vAlign w:val="bottom"/>
            <w:shd w:val="clear" w:color="auto" w:fill="F0FFFF"/>
          </w:tcPr>
          <w:p>
            <w:pPr>
              <w:spacing w:after="0"/>
              <w:rPr>
                <w:sz w:val="16"/>
                <w:szCs w:val="16"/>
                <w:color w:val="auto"/>
              </w:rPr>
            </w:pPr>
          </w:p>
        </w:tc>
        <w:tc>
          <w:tcPr>
            <w:tcW w:w="20" w:type="dxa"/>
            <w:vAlign w:val="bottom"/>
            <w:shd w:val="clear" w:color="auto" w:fill="F0FFFF"/>
          </w:tcPr>
          <w:p>
            <w:pPr>
              <w:spacing w:after="0"/>
              <w:rPr>
                <w:sz w:val="16"/>
                <w:szCs w:val="16"/>
                <w:color w:val="auto"/>
              </w:rPr>
            </w:pPr>
          </w:p>
        </w:tc>
        <w:tc>
          <w:tcPr>
            <w:tcW w:w="1860" w:type="dxa"/>
            <w:vAlign w:val="bottom"/>
            <w:shd w:val="clear" w:color="auto" w:fill="F0FFFF"/>
          </w:tcPr>
          <w:p>
            <w:pPr>
              <w:spacing w:after="0"/>
              <w:rPr>
                <w:sz w:val="16"/>
                <w:szCs w:val="16"/>
                <w:color w:val="auto"/>
              </w:rPr>
            </w:pPr>
          </w:p>
        </w:tc>
        <w:tc>
          <w:tcPr>
            <w:tcW w:w="14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Total</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1,835,459</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17,958</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21,200</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1,832,217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64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1860" w:type="dxa"/>
            <w:vAlign w:val="bottom"/>
            <w:shd w:val="clear" w:color="auto" w:fill="F0FFFF"/>
          </w:tcPr>
          <w:p>
            <w:pPr>
              <w:spacing w:after="0"/>
              <w:rPr>
                <w:sz w:val="15"/>
                <w:szCs w:val="15"/>
                <w:color w:val="auto"/>
              </w:rPr>
            </w:pPr>
          </w:p>
        </w:tc>
        <w:tc>
          <w:tcPr>
            <w:tcW w:w="14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3520" w:type="dxa"/>
            <w:vAlign w:val="bottom"/>
            <w:gridSpan w:val="3"/>
          </w:tcPr>
          <w:p>
            <w:pPr>
              <w:spacing w:after="0" w:line="158" w:lineRule="exact"/>
              <w:rPr>
                <w:sz w:val="20"/>
                <w:szCs w:val="20"/>
                <w:color w:val="auto"/>
              </w:rPr>
            </w:pPr>
            <w:r>
              <w:rPr>
                <w:rFonts w:ascii="Arial" w:cs="Arial" w:eastAsia="Arial" w:hAnsi="Arial"/>
                <w:sz w:val="16"/>
                <w:szCs w:val="16"/>
                <w:color w:val="auto"/>
              </w:rPr>
              <w:t>As of September 30, 2013</w:t>
            </w: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shd w:val="clear" w:color="auto" w:fill="F0FFFF"/>
          </w:tcPr>
          <w:p>
            <w:pPr>
              <w:spacing w:after="0"/>
              <w:rPr>
                <w:sz w:val="17"/>
                <w:szCs w:val="17"/>
                <w:color w:val="auto"/>
              </w:rPr>
            </w:pPr>
          </w:p>
        </w:tc>
        <w:tc>
          <w:tcPr>
            <w:tcW w:w="20" w:type="dxa"/>
            <w:vAlign w:val="bottom"/>
            <w:tcBorders>
              <w:top w:val="single" w:sz="8" w:color="auto"/>
            </w:tcBorders>
            <w:shd w:val="clear" w:color="auto" w:fill="F0FFFF"/>
          </w:tcPr>
          <w:p>
            <w:pPr>
              <w:spacing w:after="0"/>
              <w:rPr>
                <w:sz w:val="17"/>
                <w:szCs w:val="17"/>
                <w:color w:val="auto"/>
              </w:rPr>
            </w:pPr>
          </w:p>
        </w:tc>
        <w:tc>
          <w:tcPr>
            <w:tcW w:w="1860" w:type="dxa"/>
            <w:vAlign w:val="bottom"/>
            <w:shd w:val="clear" w:color="auto" w:fill="F0FFFF"/>
          </w:tcPr>
          <w:p>
            <w:pPr>
              <w:spacing w:after="0"/>
              <w:rPr>
                <w:sz w:val="17"/>
                <w:szCs w:val="17"/>
                <w:color w:val="auto"/>
              </w:rPr>
            </w:pPr>
          </w:p>
        </w:tc>
        <w:tc>
          <w:tcPr>
            <w:tcW w:w="14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9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color w:val="auto"/>
              </w:rPr>
              <w:t>State and political subdivisions</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22,781</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893</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150</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23,524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shd w:val="clear" w:color="auto" w:fill="F0FFFF"/>
          </w:tcPr>
          <w:p>
            <w:pPr>
              <w:ind w:left="120"/>
              <w:spacing w:after="0" w:line="194" w:lineRule="exact"/>
              <w:rPr>
                <w:sz w:val="20"/>
                <w:szCs w:val="20"/>
                <w:color w:val="auto"/>
              </w:rPr>
            </w:pPr>
            <w:r>
              <w:rPr>
                <w:rFonts w:ascii="Arial" w:cs="Arial" w:eastAsia="Arial" w:hAnsi="Arial"/>
                <w:sz w:val="16"/>
                <w:szCs w:val="16"/>
                <w:color w:val="auto"/>
              </w:rPr>
              <w:t xml:space="preserve">Mortgage-backed securities </w:t>
            </w:r>
            <w:r>
              <w:rPr>
                <w:rFonts w:ascii="Arial" w:cs="Arial" w:eastAsia="Arial" w:hAnsi="Arial"/>
                <w:sz w:val="22"/>
                <w:szCs w:val="22"/>
                <w:color w:val="auto"/>
                <w:vertAlign w:val="superscript"/>
              </w:rPr>
              <w:t>(1)</w:t>
            </w:r>
          </w:p>
        </w:tc>
        <w:tc>
          <w:tcPr>
            <w:tcW w:w="14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1,390,280</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14,469</w:t>
            </w: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21,432</w:t>
            </w: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1,383,317</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color w:val="auto"/>
              </w:rPr>
              <w:t>Corporate bonds</w:t>
            </w: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255,391</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936</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9,376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246,951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Asset-backed securities</w:t>
            </w:r>
          </w:p>
        </w:tc>
        <w:tc>
          <w:tcPr>
            <w:tcW w:w="14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306,961</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1,836</w:t>
            </w: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1,559</w:t>
            </w: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307,238</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gridSpan w:val="3"/>
          </w:tcPr>
          <w:p>
            <w:pPr>
              <w:ind w:left="120"/>
              <w:spacing w:after="0"/>
              <w:rPr>
                <w:sz w:val="20"/>
                <w:szCs w:val="20"/>
                <w:color w:val="auto"/>
              </w:rPr>
            </w:pPr>
            <w:r>
              <w:rPr>
                <w:rFonts w:ascii="Arial" w:cs="Arial" w:eastAsia="Arial" w:hAnsi="Arial"/>
                <w:sz w:val="16"/>
                <w:szCs w:val="16"/>
                <w:color w:val="auto"/>
              </w:rPr>
              <w:t>Other</w:t>
            </w:r>
          </w:p>
        </w:tc>
        <w:tc>
          <w:tcPr>
            <w:tcW w:w="1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640" w:type="dxa"/>
            <w:vAlign w:val="bottom"/>
            <w:shd w:val="clear" w:color="auto" w:fill="F0FFFF"/>
          </w:tcPr>
          <w:p>
            <w:pPr>
              <w:spacing w:after="0"/>
              <w:rPr>
                <w:sz w:val="16"/>
                <w:szCs w:val="16"/>
                <w:color w:val="auto"/>
              </w:rPr>
            </w:pPr>
          </w:p>
        </w:tc>
        <w:tc>
          <w:tcPr>
            <w:tcW w:w="20" w:type="dxa"/>
            <w:vAlign w:val="bottom"/>
            <w:shd w:val="clear" w:color="auto" w:fill="F0FFFF"/>
          </w:tcPr>
          <w:p>
            <w:pPr>
              <w:spacing w:after="0"/>
              <w:rPr>
                <w:sz w:val="16"/>
                <w:szCs w:val="16"/>
                <w:color w:val="auto"/>
              </w:rPr>
            </w:pPr>
          </w:p>
        </w:tc>
        <w:tc>
          <w:tcPr>
            <w:tcW w:w="1860" w:type="dxa"/>
            <w:vAlign w:val="bottom"/>
            <w:shd w:val="clear" w:color="auto" w:fill="F0FFFF"/>
          </w:tcPr>
          <w:p>
            <w:pPr>
              <w:spacing w:after="0"/>
              <w:rPr>
                <w:sz w:val="16"/>
                <w:szCs w:val="16"/>
                <w:color w:val="auto"/>
              </w:rPr>
            </w:pPr>
          </w:p>
        </w:tc>
        <w:tc>
          <w:tcPr>
            <w:tcW w:w="14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gridSpan w:val="3"/>
          </w:tcPr>
          <w:p>
            <w:pPr>
              <w:ind w:left="260"/>
              <w:spacing w:after="0"/>
              <w:rPr>
                <w:sz w:val="20"/>
                <w:szCs w:val="20"/>
                <w:color w:val="auto"/>
              </w:rPr>
            </w:pPr>
            <w:r>
              <w:rPr>
                <w:rFonts w:ascii="Arial" w:cs="Arial" w:eastAsia="Arial" w:hAnsi="Arial"/>
                <w:sz w:val="16"/>
                <w:szCs w:val="16"/>
                <w:color w:val="auto"/>
              </w:rPr>
              <w:t>Total</w:t>
            </w:r>
          </w:p>
        </w:tc>
        <w:tc>
          <w:tcPr>
            <w:tcW w:w="152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1,977,807</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18,134</w:t>
            </w: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32,517</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1,963,424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-6985</wp:posOffset>
            </wp:positionV>
            <wp:extent cx="331851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8510" cy="7620"/>
                    </a:xfrm>
                    <a:prstGeom prst="rect">
                      <a:avLst/>
                    </a:prstGeom>
                    <a:noFill/>
                  </pic:spPr>
                </pic:pic>
              </a:graphicData>
            </a:graphic>
          </wp:anchor>
        </w:drawing>
      </w:r>
    </w:p>
    <w:p>
      <w:pPr>
        <w:ind w:left="860" w:hanging="287"/>
        <w:spacing w:after="0" w:line="208" w:lineRule="auto"/>
        <w:tabs>
          <w:tab w:leader="none" w:pos="860"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All are residential type mortgage-backed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-129540</wp:posOffset>
            </wp:positionV>
            <wp:extent cx="6529070" cy="130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29070" cy="130810"/>
                    </a:xfrm>
                    <a:prstGeom prst="rect">
                      <a:avLst/>
                    </a:prstGeom>
                    <a:noFill/>
                  </pic:spPr>
                </pic:pic>
              </a:graphicData>
            </a:graphic>
          </wp:anchor>
        </w:drawing>
      </w:r>
    </w:p>
    <w:p>
      <w:pPr>
        <w:spacing w:after="0" w:line="18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The following table summarizes available-for-sale securities in an unrealized loss position as of September 30, 2014, December 31, 2013 and September 30, 2013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6"/>
          </w:tcPr>
          <w:p>
            <w:pPr>
              <w:ind w:left="40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580" w:type="dxa"/>
            <w:vAlign w:val="bottom"/>
            <w:gridSpan w:val="6"/>
          </w:tcPr>
          <w:p>
            <w:pPr>
              <w:ind w:left="44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9"/>
              <w:spacing w:after="0" w:line="178" w:lineRule="exact"/>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59"/>
              <w:spacing w:after="0" w:line="178" w:lineRule="exact"/>
              <w:rPr>
                <w:sz w:val="20"/>
                <w:szCs w:val="20"/>
                <w:color w:val="auto"/>
              </w:rPr>
            </w:pPr>
            <w:r>
              <w:rPr>
                <w:rFonts w:ascii="Arial" w:cs="Arial" w:eastAsia="Arial" w:hAnsi="Arial"/>
                <w:sz w:val="16"/>
                <w:szCs w:val="16"/>
                <w:b w:val="1"/>
                <w:bCs w:val="1"/>
                <w:color w:val="auto"/>
                <w:w w:val="91"/>
              </w:rPr>
              <w:t>Unrealized</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9"/>
              <w:spacing w:after="0" w:line="178" w:lineRule="exact"/>
              <w:rPr>
                <w:sz w:val="20"/>
                <w:szCs w:val="20"/>
                <w:color w:val="auto"/>
              </w:rPr>
            </w:pPr>
            <w:r>
              <w:rPr>
                <w:rFonts w:ascii="Arial" w:cs="Arial" w:eastAsia="Arial" w:hAnsi="Arial"/>
                <w:sz w:val="16"/>
                <w:szCs w:val="16"/>
                <w:b w:val="1"/>
                <w:bCs w:val="1"/>
                <w:color w:val="auto"/>
                <w:w w:val="98"/>
              </w:rPr>
              <w:t>Unrealized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80" w:type="dxa"/>
            <w:vAlign w:val="bottom"/>
            <w:gridSpan w:val="4"/>
          </w:tcPr>
          <w:p>
            <w:pPr>
              <w:spacing w:after="0" w:line="175" w:lineRule="exact"/>
              <w:rPr>
                <w:sz w:val="20"/>
                <w:szCs w:val="20"/>
                <w:color w:val="auto"/>
              </w:rPr>
            </w:pPr>
            <w:r>
              <w:rPr>
                <w:rFonts w:ascii="Arial" w:cs="Arial" w:eastAsia="Arial" w:hAnsi="Arial"/>
                <w:sz w:val="16"/>
                <w:szCs w:val="16"/>
                <w:color w:val="auto"/>
              </w:rPr>
              <w:t>As of September 30, 2014</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20"/>
              <w:spacing w:after="0" w:line="175" w:lineRule="exact"/>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380"/>
              <w:spacing w:after="0" w:line="175" w:lineRule="exact"/>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5"/>
                <w:szCs w:val="15"/>
                <w:color w:val="auto"/>
              </w:rPr>
            </w:pPr>
          </w:p>
        </w:tc>
        <w:tc>
          <w:tcPr>
            <w:tcW w:w="11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60"/>
              <w:spacing w:after="0" w:line="175" w:lineRule="exact"/>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5"/>
                <w:szCs w:val="15"/>
                <w:color w:val="auto"/>
              </w:rPr>
            </w:pPr>
          </w:p>
        </w:tc>
        <w:tc>
          <w:tcPr>
            <w:tcW w:w="110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20"/>
              <w:spacing w:after="0" w:line="175" w:lineRule="exact"/>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6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U.S. Treasury securities</w:t>
            </w: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104,777</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608</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104,777</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auto"/>
              </w:rPr>
              <w:t>State and political subdivisions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3,638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31</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3,638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Mortgage-backed securities</w:t>
            </w:r>
          </w:p>
        </w:tc>
        <w:tc>
          <w:tcPr>
            <w:tcW w:w="6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126,445</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844</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265,426</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9,055</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391,871</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9,899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auto"/>
              </w:rPr>
              <w:t>Corporate bonds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49,547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414</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34,657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1,319</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84,204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Asset-backed securities</w:t>
            </w:r>
          </w:p>
        </w:tc>
        <w:tc>
          <w:tcPr>
            <w:tcW w:w="6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57,716</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137</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9,952</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17</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67,668</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 w:type="dxa"/>
            <w:vAlign w:val="bottom"/>
            <w:shd w:val="clear" w:color="auto" w:fill="F0FFFF"/>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66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3"/>
          </w:tcPr>
          <w:p>
            <w:pPr>
              <w:ind w:left="120"/>
              <w:spacing w:after="0"/>
              <w:rPr>
                <w:sz w:val="20"/>
                <w:szCs w:val="20"/>
                <w:color w:val="auto"/>
              </w:rPr>
            </w:pPr>
            <w:r>
              <w:rPr>
                <w:rFonts w:ascii="Arial" w:cs="Arial" w:eastAsia="Arial" w:hAnsi="Arial"/>
                <w:sz w:val="16"/>
                <w:szCs w:val="16"/>
                <w:color w:val="auto"/>
              </w:rPr>
              <w:t>Total unrealized loss position</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338,485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2,003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313,673</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10,422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652,158</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12,425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640" w:type="dxa"/>
            <w:vAlign w:val="bottom"/>
            <w:shd w:val="clear" w:color="auto" w:fill="F0FFFF"/>
          </w:tcPr>
          <w:p>
            <w:pPr>
              <w:spacing w:after="0"/>
              <w:rPr>
                <w:sz w:val="15"/>
                <w:szCs w:val="15"/>
                <w:color w:val="auto"/>
              </w:rPr>
            </w:pPr>
          </w:p>
        </w:tc>
        <w:tc>
          <w:tcPr>
            <w:tcW w:w="2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2660" w:type="dxa"/>
            <w:vAlign w:val="bottom"/>
            <w:gridSpan w:val="3"/>
          </w:tcPr>
          <w:p>
            <w:pPr>
              <w:spacing w:after="0" w:line="158" w:lineRule="exact"/>
              <w:rPr>
                <w:sz w:val="20"/>
                <w:szCs w:val="20"/>
                <w:color w:val="auto"/>
              </w:rPr>
            </w:pPr>
            <w:r>
              <w:rPr>
                <w:rFonts w:ascii="Arial" w:cs="Arial" w:eastAsia="Arial" w:hAnsi="Arial"/>
                <w:sz w:val="16"/>
                <w:szCs w:val="16"/>
                <w:color w:val="auto"/>
              </w:rPr>
              <w:t>As of December 31, 2013</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640" w:type="dxa"/>
            <w:vAlign w:val="bottom"/>
            <w:tcBorders>
              <w:top w:val="single" w:sz="8" w:color="auto"/>
            </w:tcBorders>
            <w:shd w:val="clear" w:color="auto" w:fill="F0FFFF"/>
          </w:tcPr>
          <w:p>
            <w:pPr>
              <w:spacing w:after="0"/>
              <w:rPr>
                <w:sz w:val="17"/>
                <w:szCs w:val="17"/>
                <w:color w:val="auto"/>
              </w:rPr>
            </w:pPr>
          </w:p>
        </w:tc>
        <w:tc>
          <w:tcPr>
            <w:tcW w:w="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66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2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0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auto"/>
              </w:rPr>
              <w:t>State and political subdivisions</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4,539</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4,539</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Mortgage-backed securities</w:t>
            </w:r>
          </w:p>
        </w:tc>
        <w:tc>
          <w:tcPr>
            <w:tcW w:w="6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334,996</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6,480</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175,865</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7,269</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510,861</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13,749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3"/>
          </w:tcPr>
          <w:p>
            <w:pPr>
              <w:spacing w:after="0"/>
              <w:rPr>
                <w:sz w:val="20"/>
                <w:szCs w:val="20"/>
                <w:color w:val="auto"/>
              </w:rPr>
            </w:pPr>
            <w:r>
              <w:rPr>
                <w:rFonts w:ascii="Arial" w:cs="Arial" w:eastAsia="Arial" w:hAnsi="Arial"/>
                <w:sz w:val="16"/>
                <w:szCs w:val="16"/>
                <w:color w:val="auto"/>
              </w:rPr>
              <w:t>Corporate bonds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137,318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4,494</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54,130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1,830</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191,448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6,324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Asset-backed securities</w:t>
            </w:r>
          </w:p>
        </w:tc>
        <w:tc>
          <w:tcPr>
            <w:tcW w:w="6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164,933</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722</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22,370</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266</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187,303</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988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0" w:type="dxa"/>
            <w:vAlign w:val="bottom"/>
            <w:shd w:val="clear" w:color="auto" w:fill="F0FFFF"/>
          </w:tcPr>
          <w:p>
            <w:pPr>
              <w:spacing w:after="0"/>
              <w:rPr>
                <w:sz w:val="2"/>
                <w:szCs w:val="2"/>
                <w:color w:val="auto"/>
              </w:rPr>
            </w:pPr>
          </w:p>
        </w:tc>
        <w:tc>
          <w:tcPr>
            <w:tcW w:w="1000" w:type="dxa"/>
            <w:vAlign w:val="bottom"/>
            <w:shd w:val="clear" w:color="auto" w:fill="F0FFFF"/>
          </w:tcPr>
          <w:p>
            <w:pPr>
              <w:spacing w:after="0"/>
              <w:rPr>
                <w:sz w:val="2"/>
                <w:szCs w:val="2"/>
                <w:color w:val="auto"/>
              </w:rPr>
            </w:pPr>
          </w:p>
        </w:tc>
        <w:tc>
          <w:tcPr>
            <w:tcW w:w="66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3"/>
          </w:tcPr>
          <w:p>
            <w:pPr>
              <w:ind w:left="120"/>
              <w:spacing w:after="0"/>
              <w:rPr>
                <w:sz w:val="20"/>
                <w:szCs w:val="20"/>
                <w:color w:val="auto"/>
              </w:rPr>
            </w:pPr>
            <w:r>
              <w:rPr>
                <w:rFonts w:ascii="Arial" w:cs="Arial" w:eastAsia="Arial" w:hAnsi="Arial"/>
                <w:sz w:val="16"/>
                <w:szCs w:val="16"/>
                <w:color w:val="auto"/>
              </w:rPr>
              <w:t>Total unrealized loss position</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641,786</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11,835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252,365</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9,365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894,151</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21,200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164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jc w:val="right"/>
              <w:spacing w:after="0"/>
              <w:rPr>
                <w:sz w:val="20"/>
                <w:szCs w:val="20"/>
                <w:color w:val="auto"/>
              </w:rPr>
            </w:pPr>
            <w:r>
              <w:rPr>
                <w:rFonts w:ascii="Arial" w:cs="Arial" w:eastAsia="Arial" w:hAnsi="Arial"/>
                <w:sz w:val="16"/>
                <w:szCs w:val="16"/>
                <w:color w:val="auto"/>
              </w:rPr>
              <w:t>12</w:t>
            </w:r>
          </w:p>
        </w:tc>
        <w:tc>
          <w:tcPr>
            <w:tcW w:w="2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38" w:right="21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40" w:type="dxa"/>
            <w:vAlign w:val="bottom"/>
            <w:gridSpan w:val="6"/>
          </w:tcPr>
          <w:p>
            <w:pPr>
              <w:ind w:left="400"/>
              <w:spacing w:after="0"/>
              <w:rPr>
                <w:sz w:val="20"/>
                <w:szCs w:val="20"/>
                <w:color w:val="auto"/>
              </w:rPr>
            </w:pPr>
            <w:r>
              <w:rPr>
                <w:rFonts w:ascii="Arial" w:cs="Arial" w:eastAsia="Arial" w:hAnsi="Arial"/>
                <w:sz w:val="16"/>
                <w:szCs w:val="16"/>
                <w:b w:val="1"/>
                <w:bCs w:val="1"/>
                <w:color w:val="auto"/>
              </w:rPr>
              <w:t>Less than 12 Months</w:t>
            </w:r>
          </w:p>
        </w:tc>
        <w:tc>
          <w:tcPr>
            <w:tcW w:w="140" w:type="dxa"/>
            <w:vAlign w:val="bottom"/>
          </w:tcPr>
          <w:p>
            <w:pPr>
              <w:spacing w:after="0"/>
              <w:rPr>
                <w:sz w:val="18"/>
                <w:szCs w:val="18"/>
                <w:color w:val="auto"/>
              </w:rPr>
            </w:pPr>
          </w:p>
        </w:tc>
        <w:tc>
          <w:tcPr>
            <w:tcW w:w="2580" w:type="dxa"/>
            <w:vAlign w:val="bottom"/>
            <w:gridSpan w:val="6"/>
          </w:tcPr>
          <w:p>
            <w:pPr>
              <w:ind w:left="440"/>
              <w:spacing w:after="0"/>
              <w:rPr>
                <w:sz w:val="20"/>
                <w:szCs w:val="20"/>
                <w:color w:val="auto"/>
              </w:rPr>
            </w:pPr>
            <w:r>
              <w:rPr>
                <w:rFonts w:ascii="Arial" w:cs="Arial" w:eastAsia="Arial" w:hAnsi="Arial"/>
                <w:sz w:val="16"/>
                <w:szCs w:val="16"/>
                <w:b w:val="1"/>
                <w:bCs w:val="1"/>
                <w:color w:val="auto"/>
              </w:rPr>
              <w:t>12 Months or More</w:t>
            </w:r>
          </w:p>
        </w:tc>
        <w:tc>
          <w:tcPr>
            <w:tcW w:w="140" w:type="dxa"/>
            <w:vAlign w:val="bottom"/>
          </w:tcPr>
          <w:p>
            <w:pPr>
              <w:spacing w:after="0"/>
              <w:rPr>
                <w:sz w:val="18"/>
                <w:szCs w:val="18"/>
                <w:color w:val="auto"/>
              </w:rPr>
            </w:pPr>
          </w:p>
        </w:tc>
        <w:tc>
          <w:tcPr>
            <w:tcW w:w="1340" w:type="dxa"/>
            <w:vAlign w:val="bottom"/>
            <w:gridSpan w:val="4"/>
          </w:tcPr>
          <w:p>
            <w:pPr>
              <w:jc w:val="right"/>
              <w:ind w:right="60"/>
              <w:spacing w:after="0"/>
              <w:rPr>
                <w:sz w:val="20"/>
                <w:szCs w:val="20"/>
                <w:color w:val="auto"/>
              </w:rPr>
            </w:pPr>
            <w:r>
              <w:rPr>
                <w:rFonts w:ascii="Arial" w:cs="Arial" w:eastAsia="Arial" w:hAnsi="Arial"/>
                <w:sz w:val="16"/>
                <w:szCs w:val="16"/>
                <w:b w:val="1"/>
                <w:bCs w:val="1"/>
                <w:color w:val="auto"/>
              </w:rPr>
              <w:t>Total</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59"/>
              <w:spacing w:after="0" w:line="178" w:lineRule="exact"/>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center"/>
              <w:ind w:right="59"/>
              <w:spacing w:after="0" w:line="178" w:lineRule="exact"/>
              <w:rPr>
                <w:sz w:val="20"/>
                <w:szCs w:val="20"/>
                <w:color w:val="auto"/>
              </w:rPr>
            </w:pPr>
            <w:r>
              <w:rPr>
                <w:rFonts w:ascii="Arial" w:cs="Arial" w:eastAsia="Arial" w:hAnsi="Arial"/>
                <w:sz w:val="16"/>
                <w:szCs w:val="16"/>
                <w:b w:val="1"/>
                <w:bCs w:val="1"/>
                <w:color w:val="auto"/>
                <w:w w:val="91"/>
              </w:rPr>
              <w:t>Unrealized</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9"/>
              <w:spacing w:after="0" w:line="178" w:lineRule="exact"/>
              <w:rPr>
                <w:sz w:val="20"/>
                <w:szCs w:val="20"/>
                <w:color w:val="auto"/>
              </w:rPr>
            </w:pPr>
            <w:r>
              <w:rPr>
                <w:rFonts w:ascii="Arial" w:cs="Arial" w:eastAsia="Arial" w:hAnsi="Arial"/>
                <w:sz w:val="16"/>
                <w:szCs w:val="16"/>
                <w:b w:val="1"/>
                <w:bCs w:val="1"/>
                <w:color w:val="auto"/>
                <w:w w:val="98"/>
              </w:rPr>
              <w:t>Unrealized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80" w:type="dxa"/>
            <w:vAlign w:val="bottom"/>
            <w:gridSpan w:val="3"/>
          </w:tcPr>
          <w:p>
            <w:pPr>
              <w:spacing w:after="0" w:line="175" w:lineRule="exact"/>
              <w:rPr>
                <w:sz w:val="20"/>
                <w:szCs w:val="20"/>
                <w:color w:val="auto"/>
              </w:rPr>
            </w:pPr>
            <w:r>
              <w:rPr>
                <w:rFonts w:ascii="Arial" w:cs="Arial" w:eastAsia="Arial" w:hAnsi="Arial"/>
                <w:sz w:val="16"/>
                <w:szCs w:val="16"/>
                <w:color w:val="auto"/>
              </w:rPr>
              <w:t>As of September 30, 2013</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right"/>
              <w:ind w:right="320"/>
              <w:spacing w:after="0" w:line="175" w:lineRule="exact"/>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380"/>
              <w:spacing w:after="0" w:line="175" w:lineRule="exact"/>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5"/>
                <w:szCs w:val="15"/>
                <w:color w:val="auto"/>
              </w:rPr>
            </w:pPr>
          </w:p>
        </w:tc>
        <w:tc>
          <w:tcPr>
            <w:tcW w:w="1120" w:type="dxa"/>
            <w:vAlign w:val="bottom"/>
            <w:gridSpan w:val="2"/>
          </w:tcPr>
          <w:p>
            <w:pPr>
              <w:ind w:left="80"/>
              <w:spacing w:after="0" w:line="175" w:lineRule="exact"/>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360"/>
              <w:spacing w:after="0" w:line="175" w:lineRule="exact"/>
              <w:rPr>
                <w:sz w:val="20"/>
                <w:szCs w:val="20"/>
                <w:color w:val="auto"/>
              </w:rPr>
            </w:pPr>
            <w:r>
              <w:rPr>
                <w:rFonts w:ascii="Arial" w:cs="Arial" w:eastAsia="Arial" w:hAnsi="Arial"/>
                <w:sz w:val="16"/>
                <w:szCs w:val="16"/>
                <w:b w:val="1"/>
                <w:bCs w:val="1"/>
                <w:color w:val="auto"/>
                <w:w w:val="85"/>
              </w:rPr>
              <w:t>Loss</w:t>
            </w:r>
          </w:p>
        </w:tc>
        <w:tc>
          <w:tcPr>
            <w:tcW w:w="140" w:type="dxa"/>
            <w:vAlign w:val="bottom"/>
          </w:tcPr>
          <w:p>
            <w:pPr>
              <w:spacing w:after="0"/>
              <w:rPr>
                <w:sz w:val="15"/>
                <w:szCs w:val="15"/>
                <w:color w:val="auto"/>
              </w:rPr>
            </w:pPr>
          </w:p>
        </w:tc>
        <w:tc>
          <w:tcPr>
            <w:tcW w:w="1100" w:type="dxa"/>
            <w:vAlign w:val="bottom"/>
            <w:gridSpan w:val="2"/>
          </w:tcPr>
          <w:p>
            <w:pPr>
              <w:ind w:left="60"/>
              <w:spacing w:after="0" w:line="175" w:lineRule="exact"/>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520"/>
              <w:spacing w:after="0" w:line="175" w:lineRule="exact"/>
              <w:rPr>
                <w:sz w:val="20"/>
                <w:szCs w:val="20"/>
                <w:color w:val="auto"/>
              </w:rPr>
            </w:pPr>
            <w:r>
              <w:rPr>
                <w:rFonts w:ascii="Arial" w:cs="Arial" w:eastAsia="Arial" w:hAnsi="Arial"/>
                <w:sz w:val="16"/>
                <w:szCs w:val="16"/>
                <w:b w:val="1"/>
                <w:bCs w:val="1"/>
                <w:color w:val="auto"/>
              </w:rPr>
              <w:t>Loss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66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State and political subdivisions</w:t>
            </w: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4,533</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148</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F0FFFF"/>
          </w:tcPr>
          <w:p>
            <w:pPr>
              <w:spacing w:after="0"/>
              <w:rPr>
                <w:sz w:val="16"/>
                <w:szCs w:val="16"/>
                <w:color w:val="auto"/>
              </w:rPr>
            </w:pP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4,543</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auto"/>
              </w:rPr>
              <w:t>Mortgage-backed securities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533,681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17,958</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100,534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3,474</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634,215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21,432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Corporate bonds</w:t>
            </w:r>
          </w:p>
        </w:tc>
        <w:tc>
          <w:tcPr>
            <w:tcW w:w="6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115,511</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6,463</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53,042</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2,913</w:t>
            </w: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168,553</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9,376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Arial" w:cs="Arial" w:eastAsia="Arial" w:hAnsi="Arial"/>
                <w:sz w:val="16"/>
                <w:szCs w:val="16"/>
                <w:color w:val="auto"/>
              </w:rPr>
              <w:t>Asset-backed securities</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79,015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869</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56,181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690</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135,196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1,559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66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Total unrealized loss position</w:t>
            </w: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732,740</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25,438</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209,767</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7,079</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942,507</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32,517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60" w:type="dxa"/>
            <w:vAlign w:val="bottom"/>
            <w:tcBorders>
              <w:top w:val="single" w:sz="8" w:color="F0FFFF"/>
            </w:tcBorders>
            <w:shd w:val="clear" w:color="auto" w:fill="F0FFFF"/>
          </w:tcPr>
          <w:p>
            <w:pPr>
              <w:spacing w:after="0" w:line="20" w:lineRule="exact"/>
              <w:rPr>
                <w:sz w:val="1"/>
                <w:szCs w:val="1"/>
                <w:color w:val="auto"/>
              </w:rPr>
            </w:pPr>
          </w:p>
        </w:tc>
        <w:tc>
          <w:tcPr>
            <w:tcW w:w="1000" w:type="dxa"/>
            <w:vAlign w:val="bottom"/>
            <w:tcBorders>
              <w:top w:val="single" w:sz="8" w:color="F0FFFF"/>
            </w:tcBorders>
            <w:shd w:val="clear" w:color="auto" w:fill="F0FFFF"/>
          </w:tcPr>
          <w:p>
            <w:pPr>
              <w:spacing w:after="0" w:line="20" w:lineRule="exact"/>
              <w:rPr>
                <w:sz w:val="1"/>
                <w:szCs w:val="1"/>
                <w:color w:val="auto"/>
              </w:rPr>
            </w:pPr>
          </w:p>
        </w:tc>
        <w:tc>
          <w:tcPr>
            <w:tcW w:w="66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At September 30, 2014, there were 90 available-for-sale securities and 25 held-to-maturity securities that were in an unrealized loss position. United does not intend to sell nor believes it will be required to sell securities in an unrealized loss position prior to the recovery of their amortized cost basis. Unrealized losses at September 30, 2014 and December 31, 2013 were primarily attributable to changes in interest rates. Unrealized losses at September 30, 2013 were primarily related to changes in interest rates; however, the unrealized losses in corporate bonds also reflect downgrades in the underlying securities ratings since the time of acquisition. The bonds remain above investment grade and have recovered much of their initial market value loss. Therefore, United does not consider them to be impaired.</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amortized cost and fair value of held-to-maturity and available-for-sale securities at September 30, 2014, by contractual maturity, are presented in the following table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80" w:type="dxa"/>
            <w:vAlign w:val="bottom"/>
            <w:gridSpan w:val="6"/>
          </w:tcPr>
          <w:p>
            <w:pPr>
              <w:ind w:left="360"/>
              <w:spacing w:after="0"/>
              <w:rPr>
                <w:sz w:val="20"/>
                <w:szCs w:val="20"/>
                <w:color w:val="auto"/>
              </w:rPr>
            </w:pPr>
            <w:r>
              <w:rPr>
                <w:rFonts w:ascii="Arial" w:cs="Arial" w:eastAsia="Arial" w:hAnsi="Arial"/>
                <w:sz w:val="16"/>
                <w:szCs w:val="16"/>
                <w:b w:val="1"/>
                <w:bCs w:val="1"/>
                <w:color w:val="auto"/>
              </w:rPr>
              <w:t>Available-for-Sale</w:t>
            </w:r>
          </w:p>
        </w:tc>
        <w:tc>
          <w:tcPr>
            <w:tcW w:w="360" w:type="dxa"/>
            <w:vAlign w:val="bottom"/>
          </w:tcPr>
          <w:p>
            <w:pPr>
              <w:spacing w:after="0"/>
              <w:rPr>
                <w:sz w:val="18"/>
                <w:szCs w:val="18"/>
                <w:color w:val="auto"/>
              </w:rPr>
            </w:pPr>
          </w:p>
        </w:tc>
        <w:tc>
          <w:tcPr>
            <w:tcW w:w="2240" w:type="dxa"/>
            <w:vAlign w:val="bottom"/>
            <w:gridSpan w:val="6"/>
          </w:tcPr>
          <w:p>
            <w:pPr>
              <w:jc w:val="right"/>
              <w:ind w:right="760"/>
              <w:spacing w:after="0"/>
              <w:rPr>
                <w:sz w:val="20"/>
                <w:szCs w:val="20"/>
                <w:color w:val="auto"/>
              </w:rPr>
            </w:pPr>
            <w:r>
              <w:rPr>
                <w:rFonts w:ascii="Arial" w:cs="Arial" w:eastAsia="Arial" w:hAnsi="Arial"/>
                <w:sz w:val="16"/>
                <w:szCs w:val="16"/>
                <w:b w:val="1"/>
                <w:bCs w:val="1"/>
                <w:color w:val="auto"/>
              </w:rPr>
              <w:t>Held-to-Maturity</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6"/>
                <w:szCs w:val="16"/>
                <w:b w:val="1"/>
                <w:bCs w:val="1"/>
                <w:color w:val="auto"/>
                <w:w w:val="93"/>
              </w:rPr>
              <w:t>Amortized Cost</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9"/>
              </w:rPr>
              <w:t>Fair Value</w:t>
            </w:r>
          </w:p>
        </w:tc>
        <w:tc>
          <w:tcPr>
            <w:tcW w:w="220" w:type="dxa"/>
            <w:vAlign w:val="bottom"/>
          </w:tcPr>
          <w:p>
            <w:pPr>
              <w:spacing w:after="0"/>
              <w:rPr>
                <w:sz w:val="17"/>
                <w:szCs w:val="17"/>
                <w:color w:val="auto"/>
              </w:rPr>
            </w:pPr>
          </w:p>
        </w:tc>
        <w:tc>
          <w:tcPr>
            <w:tcW w:w="12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Amortized Cost</w:t>
            </w: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5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U.S. Treasury Securities:</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1 to 5 years</w:t>
            </w:r>
          </w:p>
        </w:tc>
        <w:tc>
          <w:tcPr>
            <w:tcW w:w="178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86,203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85,841</w:t>
            </w:r>
          </w:p>
        </w:tc>
        <w:tc>
          <w:tcPr>
            <w:tcW w:w="360" w:type="dxa"/>
            <w:vAlign w:val="bottom"/>
          </w:tcPr>
          <w:p>
            <w:pPr>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5 to 10 years</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19,182</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19,181</w:t>
            </w:r>
          </w:p>
        </w:tc>
        <w:tc>
          <w:tcPr>
            <w:tcW w:w="3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shd w:val="clear" w:color="auto" w:fill="F0FFFF"/>
          </w:tcPr>
          <w:p>
            <w:pPr>
              <w:spacing w:after="0"/>
              <w:rPr>
                <w:sz w:val="2"/>
                <w:szCs w:val="2"/>
                <w:color w:val="auto"/>
              </w:rPr>
            </w:pPr>
          </w:p>
        </w:tc>
        <w:tc>
          <w:tcPr>
            <w:tcW w:w="150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105,385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105,022</w:t>
            </w: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State and political subdivisions:</w:t>
            </w:r>
          </w:p>
        </w:tc>
        <w:tc>
          <w:tcPr>
            <w:tcW w:w="1500" w:type="dxa"/>
            <w:vAlign w:val="bottom"/>
            <w:shd w:val="clear" w:color="auto" w:fill="F0FFFF"/>
          </w:tcPr>
          <w:p>
            <w:pPr>
              <w:spacing w:after="0"/>
              <w:rPr>
                <w:sz w:val="16"/>
                <w:szCs w:val="16"/>
                <w:color w:val="auto"/>
              </w:rPr>
            </w:pPr>
          </w:p>
        </w:tc>
        <w:tc>
          <w:tcPr>
            <w:tcW w:w="280" w:type="dxa"/>
            <w:vAlign w:val="bottom"/>
            <w:tcBorders>
              <w:top w:val="single" w:sz="8" w:color="auto"/>
            </w:tcBorders>
            <w:shd w:val="clear" w:color="auto" w:fill="F0FFFF"/>
          </w:tcPr>
          <w:p>
            <w:pPr>
              <w:spacing w:after="0"/>
              <w:rPr>
                <w:sz w:val="16"/>
                <w:szCs w:val="16"/>
                <w:color w:val="auto"/>
              </w:rPr>
            </w:pPr>
          </w:p>
        </w:tc>
        <w:tc>
          <w:tcPr>
            <w:tcW w:w="86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00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36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98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Within 1 year</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6,330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6,427</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1 to 5 years</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10,414</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10,863</w:t>
            </w:r>
          </w:p>
        </w:tc>
        <w:tc>
          <w:tcPr>
            <w:tcW w:w="3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18,595</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19,949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5 to 10 years</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2,130</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20,161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21,726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More than 10 years</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848</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901</w:t>
            </w:r>
          </w:p>
        </w:tc>
        <w:tc>
          <w:tcPr>
            <w:tcW w:w="3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10,492</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11,399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shd w:val="clear" w:color="auto" w:fill="F0FFFF"/>
          </w:tcPr>
          <w:p>
            <w:pPr>
              <w:spacing w:after="0"/>
              <w:rPr>
                <w:sz w:val="2"/>
                <w:szCs w:val="2"/>
                <w:color w:val="auto"/>
              </w:rPr>
            </w:pPr>
          </w:p>
        </w:tc>
        <w:tc>
          <w:tcPr>
            <w:tcW w:w="150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19,686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20,321</w:t>
            </w: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50,248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54,097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Corporate bonds:</w:t>
            </w:r>
          </w:p>
        </w:tc>
        <w:tc>
          <w:tcPr>
            <w:tcW w:w="1500" w:type="dxa"/>
            <w:vAlign w:val="bottom"/>
            <w:shd w:val="clear" w:color="auto" w:fill="F0FFFF"/>
          </w:tcPr>
          <w:p>
            <w:pPr>
              <w:spacing w:after="0"/>
              <w:rPr>
                <w:sz w:val="16"/>
                <w:szCs w:val="16"/>
                <w:color w:val="auto"/>
              </w:rPr>
            </w:pPr>
          </w:p>
        </w:tc>
        <w:tc>
          <w:tcPr>
            <w:tcW w:w="280" w:type="dxa"/>
            <w:vAlign w:val="bottom"/>
            <w:tcBorders>
              <w:top w:val="single" w:sz="8" w:color="auto"/>
            </w:tcBorders>
            <w:shd w:val="clear" w:color="auto" w:fill="F0FFFF"/>
          </w:tcPr>
          <w:p>
            <w:pPr>
              <w:spacing w:after="0"/>
              <w:rPr>
                <w:sz w:val="16"/>
                <w:szCs w:val="16"/>
                <w:color w:val="auto"/>
              </w:rPr>
            </w:pPr>
          </w:p>
        </w:tc>
        <w:tc>
          <w:tcPr>
            <w:tcW w:w="86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00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36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98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1 to 5 years</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48,756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48,189</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5 to 10 years</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115,802</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116,763</w:t>
            </w:r>
          </w:p>
        </w:tc>
        <w:tc>
          <w:tcPr>
            <w:tcW w:w="3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More than 10 years</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300</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F0FFFF"/>
          </w:tcPr>
          <w:p>
            <w:pPr>
              <w:spacing w:after="0"/>
              <w:rPr>
                <w:sz w:val="17"/>
                <w:szCs w:val="17"/>
                <w:color w:val="auto"/>
              </w:rPr>
            </w:pPr>
          </w:p>
        </w:tc>
        <w:tc>
          <w:tcPr>
            <w:tcW w:w="15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165,558</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165,252</w:t>
            </w:r>
          </w:p>
        </w:tc>
        <w:tc>
          <w:tcPr>
            <w:tcW w:w="36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top w:val="single" w:sz="8" w:color="F0FFFF"/>
            </w:tcBorders>
          </w:tcPr>
          <w:p>
            <w:pPr>
              <w:spacing w:after="0"/>
              <w:rPr>
                <w:sz w:val="20"/>
                <w:szCs w:val="20"/>
                <w:color w:val="auto"/>
              </w:rPr>
            </w:pPr>
            <w:r>
              <w:rPr>
                <w:rFonts w:ascii="Arial" w:cs="Arial" w:eastAsia="Arial" w:hAnsi="Arial"/>
                <w:sz w:val="16"/>
                <w:szCs w:val="16"/>
                <w:color w:val="auto"/>
              </w:rPr>
              <w:t>Asset-backed securities:</w:t>
            </w:r>
          </w:p>
        </w:tc>
        <w:tc>
          <w:tcPr>
            <w:tcW w:w="1500" w:type="dxa"/>
            <w:vAlign w:val="bottom"/>
            <w:tcBorders>
              <w:top w:val="single" w:sz="8" w:color="F0FF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Within 1 year</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9,993</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10,007</w:t>
            </w:r>
          </w:p>
        </w:tc>
        <w:tc>
          <w:tcPr>
            <w:tcW w:w="3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1 to 5 years</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86,608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87,916</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5 to 10 years</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242,393</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244,069</w:t>
            </w:r>
          </w:p>
        </w:tc>
        <w:tc>
          <w:tcPr>
            <w:tcW w:w="3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More than 10 years</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119,575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120,052</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shd w:val="clear" w:color="auto" w:fill="F0FFFF"/>
          </w:tcPr>
          <w:p>
            <w:pPr>
              <w:spacing w:after="0"/>
              <w:rPr>
                <w:sz w:val="17"/>
                <w:szCs w:val="17"/>
                <w:color w:val="auto"/>
              </w:rPr>
            </w:pPr>
          </w:p>
        </w:tc>
        <w:tc>
          <w:tcPr>
            <w:tcW w:w="150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458,569</w:t>
            </w:r>
          </w:p>
        </w:tc>
        <w:tc>
          <w:tcPr>
            <w:tcW w:w="120" w:type="dxa"/>
            <w:vAlign w:val="bottom"/>
            <w:shd w:val="clear" w:color="auto" w:fill="F0FFFF"/>
          </w:tcPr>
          <w:p>
            <w:pPr>
              <w:spacing w:after="0"/>
              <w:rPr>
                <w:sz w:val="17"/>
                <w:szCs w:val="17"/>
                <w:color w:val="auto"/>
              </w:rPr>
            </w:pPr>
          </w:p>
        </w:tc>
        <w:tc>
          <w:tcPr>
            <w:tcW w:w="16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462,044</w:t>
            </w:r>
          </w:p>
        </w:tc>
        <w:tc>
          <w:tcPr>
            <w:tcW w:w="360" w:type="dxa"/>
            <w:vAlign w:val="bottom"/>
            <w:shd w:val="clear" w:color="auto" w:fill="F0FFFF"/>
          </w:tcPr>
          <w:p>
            <w:pPr>
              <w:spacing w:after="0"/>
              <w:rPr>
                <w:sz w:val="17"/>
                <w:szCs w:val="17"/>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top w:val="single" w:sz="8" w:color="F0FFFF"/>
            </w:tcBorders>
          </w:tcPr>
          <w:p>
            <w:pPr>
              <w:spacing w:after="0"/>
              <w:rPr>
                <w:sz w:val="20"/>
                <w:szCs w:val="20"/>
                <w:color w:val="auto"/>
              </w:rPr>
            </w:pPr>
            <w:r>
              <w:rPr>
                <w:rFonts w:ascii="Arial" w:cs="Arial" w:eastAsia="Arial" w:hAnsi="Arial"/>
                <w:sz w:val="16"/>
                <w:szCs w:val="16"/>
                <w:color w:val="auto"/>
              </w:rPr>
              <w:t>Other:</w:t>
            </w:r>
          </w:p>
        </w:tc>
        <w:tc>
          <w:tcPr>
            <w:tcW w:w="1500" w:type="dxa"/>
            <w:vAlign w:val="bottom"/>
            <w:tcBorders>
              <w:top w:val="single" w:sz="8" w:color="F0FF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More than 10 years</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2,036</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2,036</w:t>
            </w:r>
          </w:p>
        </w:tc>
        <w:tc>
          <w:tcPr>
            <w:tcW w:w="3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shd w:val="clear" w:color="auto" w:fill="F0FFFF"/>
          </w:tcPr>
          <w:p>
            <w:pPr>
              <w:spacing w:after="0"/>
              <w:rPr>
                <w:sz w:val="2"/>
                <w:szCs w:val="2"/>
                <w:color w:val="auto"/>
              </w:rPr>
            </w:pPr>
          </w:p>
        </w:tc>
        <w:tc>
          <w:tcPr>
            <w:tcW w:w="1500" w:type="dxa"/>
            <w:vAlign w:val="bottom"/>
            <w:shd w:val="clear" w:color="auto" w:fill="F0FF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2,036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2,036</w:t>
            </w:r>
          </w:p>
        </w:tc>
        <w:tc>
          <w:tcPr>
            <w:tcW w:w="36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Total securities other than mortgage-backed securities:</w:t>
            </w:r>
          </w:p>
        </w:tc>
        <w:tc>
          <w:tcPr>
            <w:tcW w:w="1500" w:type="dxa"/>
            <w:vAlign w:val="bottom"/>
            <w:shd w:val="clear" w:color="auto" w:fill="F0FFFF"/>
          </w:tcPr>
          <w:p>
            <w:pPr>
              <w:spacing w:after="0"/>
              <w:rPr>
                <w:sz w:val="16"/>
                <w:szCs w:val="16"/>
                <w:color w:val="auto"/>
              </w:rPr>
            </w:pPr>
          </w:p>
        </w:tc>
        <w:tc>
          <w:tcPr>
            <w:tcW w:w="280" w:type="dxa"/>
            <w:vAlign w:val="bottom"/>
            <w:tcBorders>
              <w:top w:val="single" w:sz="8" w:color="auto"/>
            </w:tcBorders>
            <w:shd w:val="clear" w:color="auto" w:fill="F0FFFF"/>
          </w:tcPr>
          <w:p>
            <w:pPr>
              <w:spacing w:after="0"/>
              <w:rPr>
                <w:sz w:val="16"/>
                <w:szCs w:val="16"/>
                <w:color w:val="auto"/>
              </w:rPr>
            </w:pPr>
          </w:p>
        </w:tc>
        <w:tc>
          <w:tcPr>
            <w:tcW w:w="86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100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360" w:type="dxa"/>
            <w:vAlign w:val="bottom"/>
            <w:tcBorders>
              <w:top w:val="single" w:sz="8" w:color="auto"/>
            </w:tcBorders>
            <w:shd w:val="clear" w:color="auto" w:fill="F0FFFF"/>
          </w:tcPr>
          <w:p>
            <w:pPr>
              <w:spacing w:after="0"/>
              <w:rPr>
                <w:sz w:val="16"/>
                <w:szCs w:val="16"/>
                <w:color w:val="auto"/>
              </w:rPr>
            </w:pPr>
          </w:p>
        </w:tc>
        <w:tc>
          <w:tcPr>
            <w:tcW w:w="780" w:type="dxa"/>
            <w:vAlign w:val="bottom"/>
            <w:tcBorders>
              <w:top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98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Within 1 year</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16,323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16,434</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1,023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1 to 5 years</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231,981</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232,809</w:t>
            </w:r>
          </w:p>
        </w:tc>
        <w:tc>
          <w:tcPr>
            <w:tcW w:w="3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18,595</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19,949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5 to 10 years</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379,471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382,143</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20,161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21,726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More than 10 years</w:t>
            </w:r>
          </w:p>
        </w:tc>
        <w:tc>
          <w:tcPr>
            <w:tcW w:w="150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123,459</w:t>
            </w:r>
          </w:p>
        </w:tc>
        <w:tc>
          <w:tcPr>
            <w:tcW w:w="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123,289</w:t>
            </w:r>
          </w:p>
        </w:tc>
        <w:tc>
          <w:tcPr>
            <w:tcW w:w="3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10,492</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11,399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Mortgage-backed securities</w:t>
            </w: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1,029,881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1,034,992</w:t>
            </w:r>
          </w:p>
        </w:tc>
        <w:tc>
          <w:tcPr>
            <w:tcW w:w="36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382,170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386,214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F0FFFF"/>
          </w:tcPr>
          <w:p>
            <w:pPr>
              <w:spacing w:after="0"/>
              <w:rPr>
                <w:sz w:val="20"/>
                <w:szCs w:val="20"/>
                <w:color w:val="auto"/>
              </w:rPr>
            </w:pPr>
          </w:p>
        </w:tc>
        <w:tc>
          <w:tcPr>
            <w:tcW w:w="178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1,781,115</w:t>
            </w:r>
          </w:p>
        </w:tc>
        <w:tc>
          <w:tcPr>
            <w:tcW w:w="2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1,789,667</w:t>
            </w:r>
          </w:p>
        </w:tc>
        <w:tc>
          <w:tcPr>
            <w:tcW w:w="36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432,418</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440,311</w:t>
            </w:r>
          </w:p>
        </w:tc>
        <w:tc>
          <w:tcPr>
            <w:tcW w:w="0" w:type="dxa"/>
            <w:vAlign w:val="bottom"/>
          </w:tcPr>
          <w:p>
            <w:pPr>
              <w:spacing w:after="0"/>
              <w:rPr>
                <w:sz w:val="1"/>
                <w:szCs w:val="1"/>
                <w:color w:val="auto"/>
              </w:rPr>
            </w:pPr>
          </w:p>
        </w:tc>
      </w:tr>
      <w:tr>
        <w:trPr>
          <w:trHeight w:val="570"/>
        </w:trPr>
        <w:tc>
          <w:tcPr>
            <w:tcW w:w="20" w:type="dxa"/>
            <w:vAlign w:val="bottom"/>
          </w:tcPr>
          <w:p>
            <w:pPr>
              <w:spacing w:after="0"/>
              <w:rPr>
                <w:sz w:val="24"/>
                <w:szCs w:val="24"/>
                <w:color w:val="auto"/>
              </w:rPr>
            </w:pPr>
          </w:p>
        </w:tc>
        <w:tc>
          <w:tcPr>
            <w:tcW w:w="4560" w:type="dxa"/>
            <w:vAlign w:val="bottom"/>
            <w:tcBorders>
              <w:top w:val="single" w:sz="8" w:color="F0FFFF"/>
              <w:bottom w:val="single" w:sz="8" w:color="DCDCDC"/>
            </w:tcBorders>
          </w:tcPr>
          <w:p>
            <w:pPr>
              <w:spacing w:after="0"/>
              <w:rPr>
                <w:sz w:val="24"/>
                <w:szCs w:val="24"/>
                <w:color w:val="auto"/>
              </w:rPr>
            </w:pPr>
          </w:p>
        </w:tc>
        <w:tc>
          <w:tcPr>
            <w:tcW w:w="1500" w:type="dxa"/>
            <w:vAlign w:val="bottom"/>
            <w:tcBorders>
              <w:top w:val="single" w:sz="8" w:color="F0FFFF"/>
              <w:bottom w:val="single" w:sz="8" w:color="DCDCDC"/>
            </w:tcBorders>
          </w:tcPr>
          <w:p>
            <w:pPr>
              <w:jc w:val="right"/>
              <w:ind w:right="199"/>
              <w:spacing w:after="0"/>
              <w:rPr>
                <w:sz w:val="20"/>
                <w:szCs w:val="20"/>
                <w:color w:val="auto"/>
              </w:rPr>
            </w:pPr>
            <w:r>
              <w:rPr>
                <w:rFonts w:ascii="Arial" w:cs="Arial" w:eastAsia="Arial" w:hAnsi="Arial"/>
                <w:sz w:val="16"/>
                <w:szCs w:val="16"/>
                <w:color w:val="auto"/>
              </w:rPr>
              <w:t>13</w:t>
            </w:r>
          </w:p>
        </w:tc>
        <w:tc>
          <w:tcPr>
            <w:tcW w:w="280" w:type="dxa"/>
            <w:vAlign w:val="bottom"/>
            <w:tcBorders>
              <w:top w:val="single" w:sz="8" w:color="auto"/>
              <w:bottom w:val="single" w:sz="8" w:color="DCDCDC"/>
            </w:tcBorders>
          </w:tcPr>
          <w:p>
            <w:pPr>
              <w:spacing w:after="0"/>
              <w:rPr>
                <w:sz w:val="24"/>
                <w:szCs w:val="24"/>
                <w:color w:val="auto"/>
              </w:rPr>
            </w:pPr>
          </w:p>
        </w:tc>
        <w:tc>
          <w:tcPr>
            <w:tcW w:w="86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6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220" w:type="dxa"/>
            <w:vAlign w:val="bottom"/>
            <w:tcBorders>
              <w:top w:val="single" w:sz="8" w:color="F0FFFF"/>
              <w:bottom w:val="single" w:sz="8" w:color="DCDCDC"/>
            </w:tcBorders>
          </w:tcPr>
          <w:p>
            <w:pPr>
              <w:spacing w:after="0"/>
              <w:rPr>
                <w:sz w:val="24"/>
                <w:szCs w:val="24"/>
                <w:color w:val="auto"/>
              </w:rPr>
            </w:pPr>
          </w:p>
        </w:tc>
        <w:tc>
          <w:tcPr>
            <w:tcW w:w="360" w:type="dxa"/>
            <w:vAlign w:val="bottom"/>
            <w:tcBorders>
              <w:top w:val="single" w:sz="8" w:color="auto"/>
              <w:bottom w:val="single" w:sz="8" w:color="DCDCDC"/>
            </w:tcBorders>
          </w:tcPr>
          <w:p>
            <w:pPr>
              <w:spacing w:after="0"/>
              <w:rPr>
                <w:sz w:val="24"/>
                <w:szCs w:val="24"/>
                <w:color w:val="auto"/>
              </w:rPr>
            </w:pPr>
          </w:p>
        </w:tc>
        <w:tc>
          <w:tcPr>
            <w:tcW w:w="78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98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38" w:right="21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Expected maturities may differ from contractual maturities because issuers and borrowers may have the right to call or prepay obligations with or without call or prepayment penalties.</w:t>
      </w:r>
    </w:p>
    <w:p>
      <w:pPr>
        <w:spacing w:after="0" w:line="17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Realized gains and losses are derived using the specific identification method for determining the cost of securities sold. The following table summarizes securities sales activity for the three and nine months ended September 30, 2014 and 2013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0" w:type="dxa"/>
            <w:vAlign w:val="bottom"/>
            <w:gridSpan w:val="6"/>
          </w:tcPr>
          <w:p>
            <w:pPr>
              <w:ind w:left="32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22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6"/>
                <w:szCs w:val="16"/>
                <w:color w:val="auto"/>
              </w:rPr>
              <w:t>Proceeds from sales</w:t>
            </w:r>
          </w:p>
        </w:tc>
        <w:tc>
          <w:tcPr>
            <w:tcW w:w="18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13,290</w:t>
            </w:r>
          </w:p>
        </w:tc>
        <w:tc>
          <w:tcPr>
            <w:tcW w:w="960" w:type="dxa"/>
            <w:vAlign w:val="bottom"/>
            <w:gridSpan w:val="2"/>
            <w:shd w:val="clear" w:color="auto" w:fill="F0FFFF"/>
          </w:tcPr>
          <w:p>
            <w:pPr>
              <w:jc w:val="right"/>
              <w:ind w:right="579"/>
              <w:spacing w:after="0"/>
              <w:rPr>
                <w:sz w:val="20"/>
                <w:szCs w:val="20"/>
                <w:color w:val="auto"/>
              </w:rPr>
            </w:pPr>
            <w:r>
              <w:rPr>
                <w:rFonts w:ascii="Arial" w:cs="Arial" w:eastAsia="Arial" w:hAnsi="Arial"/>
                <w:sz w:val="16"/>
                <w:szCs w:val="16"/>
                <w:color w:val="auto"/>
              </w:rPr>
              <w:t>$</w:t>
            </w:r>
          </w:p>
        </w:tc>
        <w:tc>
          <w:tcPr>
            <w:tcW w:w="400" w:type="dxa"/>
            <w:vAlign w:val="bottom"/>
            <w:shd w:val="clear" w:color="auto" w:fill="F0FFFF"/>
          </w:tcPr>
          <w:p>
            <w:pPr>
              <w:jc w:val="right"/>
              <w:spacing w:after="0"/>
              <w:rPr>
                <w:sz w:val="20"/>
                <w:szCs w:val="20"/>
                <w:color w:val="auto"/>
              </w:rPr>
            </w:pPr>
            <w:r>
              <w:rPr>
                <w:rFonts w:ascii="Arial" w:cs="Arial" w:eastAsia="Arial" w:hAnsi="Arial"/>
                <w:sz w:val="16"/>
                <w:szCs w:val="16"/>
                <w:color w:val="auto"/>
                <w:w w:val="94"/>
              </w:rPr>
              <w:t>5,000</w:t>
            </w:r>
          </w:p>
        </w:tc>
        <w:tc>
          <w:tcPr>
            <w:tcW w:w="4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403,517</w:t>
            </w:r>
          </w:p>
        </w:tc>
        <w:tc>
          <w:tcPr>
            <w:tcW w:w="12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320"/>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20,751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80" w:type="dxa"/>
            <w:vAlign w:val="bottom"/>
            <w:tcBorders>
              <w:top w:val="single" w:sz="8" w:color="F0FFFF"/>
            </w:tcBorders>
            <w:shd w:val="clear" w:color="auto" w:fill="F0FFFF"/>
          </w:tcPr>
          <w:p>
            <w:pPr>
              <w:spacing w:after="0" w:line="20" w:lineRule="exact"/>
              <w:rPr>
                <w:sz w:val="1"/>
                <w:szCs w:val="1"/>
                <w:color w:val="auto"/>
              </w:rPr>
            </w:pPr>
          </w:p>
        </w:tc>
        <w:tc>
          <w:tcPr>
            <w:tcW w:w="164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4180" w:type="dxa"/>
            <w:vAlign w:val="bottom"/>
          </w:tcPr>
          <w:p>
            <w:pPr>
              <w:spacing w:after="0" w:line="183" w:lineRule="exact"/>
              <w:rPr>
                <w:sz w:val="20"/>
                <w:szCs w:val="20"/>
                <w:color w:val="auto"/>
              </w:rPr>
            </w:pPr>
            <w:r>
              <w:rPr>
                <w:rFonts w:ascii="Arial" w:cs="Arial" w:eastAsia="Arial" w:hAnsi="Arial"/>
                <w:sz w:val="16"/>
                <w:szCs w:val="16"/>
                <w:color w:val="auto"/>
              </w:rPr>
              <w:t>Gross gains on sales</w:t>
            </w:r>
          </w:p>
        </w:tc>
        <w:tc>
          <w:tcPr>
            <w:tcW w:w="188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11</w:t>
            </w:r>
          </w:p>
        </w:tc>
        <w:tc>
          <w:tcPr>
            <w:tcW w:w="960" w:type="dxa"/>
            <w:vAlign w:val="bottom"/>
            <w:gridSpan w:val="2"/>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5,795</w:t>
            </w:r>
          </w:p>
        </w:tc>
        <w:tc>
          <w:tcPr>
            <w:tcW w:w="120" w:type="dxa"/>
            <w:vAlign w:val="bottom"/>
          </w:tcPr>
          <w:p>
            <w:pPr>
              <w:spacing w:after="0"/>
              <w:rPr>
                <w:sz w:val="15"/>
                <w:szCs w:val="15"/>
                <w:color w:val="auto"/>
              </w:rPr>
            </w:pPr>
          </w:p>
        </w:tc>
        <w:tc>
          <w:tcPr>
            <w:tcW w:w="500" w:type="dxa"/>
            <w:vAlign w:val="bottom"/>
            <w:gridSpan w:val="2"/>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116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shd w:val="clear" w:color="auto" w:fill="F0FFFF"/>
          </w:tcPr>
          <w:p>
            <w:pPr>
              <w:spacing w:after="0"/>
              <w:rPr>
                <w:sz w:val="20"/>
                <w:szCs w:val="20"/>
                <w:color w:val="auto"/>
              </w:rPr>
            </w:pPr>
            <w:r>
              <w:rPr>
                <w:rFonts w:ascii="Arial" w:cs="Arial" w:eastAsia="Arial" w:hAnsi="Arial"/>
                <w:sz w:val="16"/>
                <w:szCs w:val="16"/>
                <w:color w:val="auto"/>
              </w:rPr>
              <w:t>Gross losses on sales</w:t>
            </w:r>
          </w:p>
        </w:tc>
        <w:tc>
          <w:tcPr>
            <w:tcW w:w="16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4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180" w:type="dxa"/>
            <w:vAlign w:val="bottom"/>
            <w:shd w:val="clear" w:color="auto" w:fill="F0FFFF"/>
          </w:tcPr>
          <w:p>
            <w:pPr>
              <w:spacing w:after="0"/>
              <w:rPr>
                <w:sz w:val="2"/>
                <w:szCs w:val="2"/>
                <w:color w:val="auto"/>
              </w:rPr>
            </w:pPr>
          </w:p>
        </w:tc>
        <w:tc>
          <w:tcPr>
            <w:tcW w:w="16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180" w:type="dxa"/>
            <w:vAlign w:val="bottom"/>
          </w:tcPr>
          <w:p>
            <w:pPr>
              <w:ind w:left="120"/>
              <w:spacing w:after="0"/>
              <w:rPr>
                <w:sz w:val="20"/>
                <w:szCs w:val="20"/>
                <w:color w:val="auto"/>
              </w:rPr>
            </w:pPr>
            <w:r>
              <w:rPr>
                <w:rFonts w:ascii="Arial" w:cs="Arial" w:eastAsia="Arial" w:hAnsi="Arial"/>
                <w:sz w:val="16"/>
                <w:szCs w:val="16"/>
                <w:color w:val="auto"/>
              </w:rPr>
              <w:t>Net gains on sales of securities</w:t>
            </w:r>
          </w:p>
        </w:tc>
        <w:tc>
          <w:tcPr>
            <w:tcW w:w="18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w:t>
            </w:r>
          </w:p>
        </w:tc>
        <w:tc>
          <w:tcPr>
            <w:tcW w:w="960" w:type="dxa"/>
            <w:vAlign w:val="bottom"/>
            <w:gridSpan w:val="2"/>
          </w:tcPr>
          <w:p>
            <w:pPr>
              <w:jc w:val="right"/>
              <w:ind w:right="57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4,663</w:t>
            </w:r>
          </w:p>
        </w:tc>
        <w:tc>
          <w:tcPr>
            <w:tcW w:w="120" w:type="dxa"/>
            <w:vAlign w:val="bottom"/>
          </w:tcPr>
          <w:p>
            <w:pPr>
              <w:spacing w:after="0"/>
              <w:rPr>
                <w:sz w:val="16"/>
                <w:szCs w:val="16"/>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shd w:val="clear" w:color="auto" w:fill="F0FFFF"/>
          </w:tcPr>
          <w:p>
            <w:pPr>
              <w:spacing w:after="0" w:line="183" w:lineRule="exact"/>
              <w:rPr>
                <w:sz w:val="20"/>
                <w:szCs w:val="20"/>
                <w:color w:val="auto"/>
              </w:rPr>
            </w:pPr>
            <w:r>
              <w:rPr>
                <w:rFonts w:ascii="Arial" w:cs="Arial" w:eastAsia="Arial" w:hAnsi="Arial"/>
                <w:sz w:val="16"/>
                <w:szCs w:val="16"/>
                <w:color w:val="auto"/>
              </w:rPr>
              <w:t>Income tax expense attributable to sales</w:t>
            </w:r>
          </w:p>
        </w:tc>
        <w:tc>
          <w:tcPr>
            <w:tcW w:w="1880" w:type="dxa"/>
            <w:vAlign w:val="bottom"/>
            <w:gridSpan w:val="2"/>
            <w:shd w:val="clear" w:color="auto" w:fill="F0FF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line="183" w:lineRule="exact"/>
              <w:rPr>
                <w:sz w:val="20"/>
                <w:szCs w:val="20"/>
                <w:color w:val="auto"/>
              </w:rPr>
            </w:pPr>
            <w:r>
              <w:rPr>
                <w:rFonts w:ascii="Arial" w:cs="Arial" w:eastAsia="Arial" w:hAnsi="Arial"/>
                <w:sz w:val="16"/>
                <w:szCs w:val="16"/>
                <w:color w:val="auto"/>
              </w:rPr>
              <w:t>4</w:t>
            </w:r>
          </w:p>
        </w:tc>
        <w:tc>
          <w:tcPr>
            <w:tcW w:w="960" w:type="dxa"/>
            <w:vAlign w:val="bottom"/>
            <w:gridSpan w:val="2"/>
            <w:shd w:val="clear" w:color="auto" w:fill="F0FFFF"/>
          </w:tcPr>
          <w:p>
            <w:pPr>
              <w:jc w:val="right"/>
              <w:ind w:right="579"/>
              <w:spacing w:after="0" w:line="183" w:lineRule="exact"/>
              <w:rPr>
                <w:sz w:val="20"/>
                <w:szCs w:val="20"/>
                <w:color w:val="auto"/>
              </w:rPr>
            </w:pPr>
            <w:r>
              <w:rPr>
                <w:rFonts w:ascii="Arial" w:cs="Arial" w:eastAsia="Arial" w:hAnsi="Arial"/>
                <w:sz w:val="16"/>
                <w:szCs w:val="16"/>
                <w:color w:val="auto"/>
              </w:rPr>
              <w:t>$</w:t>
            </w:r>
          </w:p>
        </w:tc>
        <w:tc>
          <w:tcPr>
            <w:tcW w:w="400" w:type="dxa"/>
            <w:vAlign w:val="bottom"/>
            <w:shd w:val="clear" w:color="auto" w:fill="F0FFFF"/>
          </w:tcPr>
          <w:p>
            <w:pPr>
              <w:jc w:val="right"/>
              <w:spacing w:after="0" w:line="183" w:lineRule="exact"/>
              <w:rPr>
                <w:sz w:val="20"/>
                <w:szCs w:val="20"/>
                <w:color w:val="auto"/>
              </w:rPr>
            </w:pPr>
            <w:r>
              <w:rPr>
                <w:rFonts w:ascii="Arial" w:cs="Arial" w:eastAsia="Arial" w:hAnsi="Arial"/>
                <w:sz w:val="16"/>
                <w:szCs w:val="16"/>
                <w:color w:val="auto"/>
              </w:rPr>
              <w:t>—</w:t>
            </w:r>
          </w:p>
        </w:tc>
        <w:tc>
          <w:tcPr>
            <w:tcW w:w="460" w:type="dxa"/>
            <w:vAlign w:val="bottom"/>
            <w:gridSpan w:val="2"/>
            <w:shd w:val="clear" w:color="auto" w:fill="F0FF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line="183" w:lineRule="exact"/>
              <w:rPr>
                <w:sz w:val="20"/>
                <w:szCs w:val="20"/>
                <w:color w:val="auto"/>
              </w:rPr>
            </w:pPr>
            <w:r>
              <w:rPr>
                <w:rFonts w:ascii="Arial" w:cs="Arial" w:eastAsia="Arial" w:hAnsi="Arial"/>
                <w:sz w:val="16"/>
                <w:szCs w:val="16"/>
                <w:color w:val="auto"/>
              </w:rPr>
              <w:t>1,821</w:t>
            </w:r>
          </w:p>
        </w:tc>
        <w:tc>
          <w:tcPr>
            <w:tcW w:w="120" w:type="dxa"/>
            <w:vAlign w:val="bottom"/>
            <w:shd w:val="clear" w:color="auto" w:fill="F0FFFF"/>
          </w:tcPr>
          <w:p>
            <w:pPr>
              <w:spacing w:after="0"/>
              <w:rPr>
                <w:sz w:val="17"/>
                <w:szCs w:val="17"/>
                <w:color w:val="auto"/>
              </w:rPr>
            </w:pPr>
          </w:p>
        </w:tc>
        <w:tc>
          <w:tcPr>
            <w:tcW w:w="500" w:type="dxa"/>
            <w:vAlign w:val="bottom"/>
            <w:gridSpan w:val="2"/>
            <w:shd w:val="clear" w:color="auto" w:fill="F0FFFF"/>
          </w:tcPr>
          <w:p>
            <w:pPr>
              <w:jc w:val="right"/>
              <w:ind w:right="320"/>
              <w:spacing w:after="0" w:line="183" w:lineRule="exact"/>
              <w:rPr>
                <w:sz w:val="20"/>
                <w:szCs w:val="20"/>
                <w:color w:val="auto"/>
              </w:rPr>
            </w:pPr>
            <w:r>
              <w:rPr>
                <w:rFonts w:ascii="Arial" w:cs="Arial" w:eastAsia="Arial" w:hAnsi="Arial"/>
                <w:sz w:val="16"/>
                <w:szCs w:val="16"/>
                <w:color w:val="auto"/>
              </w:rPr>
              <w:t>$</w:t>
            </w:r>
          </w:p>
        </w:tc>
        <w:tc>
          <w:tcPr>
            <w:tcW w:w="760" w:type="dxa"/>
            <w:vAlign w:val="bottom"/>
            <w:shd w:val="clear" w:color="auto" w:fill="F0FFFF"/>
          </w:tcPr>
          <w:p>
            <w:pPr>
              <w:jc w:val="right"/>
              <w:spacing w:after="0" w:line="183" w:lineRule="exact"/>
              <w:rPr>
                <w:sz w:val="20"/>
                <w:szCs w:val="20"/>
                <w:color w:val="auto"/>
              </w:rPr>
            </w:pPr>
            <w:r>
              <w:rPr>
                <w:rFonts w:ascii="Arial" w:cs="Arial" w:eastAsia="Arial" w:hAnsi="Arial"/>
                <w:sz w:val="16"/>
                <w:szCs w:val="16"/>
                <w:color w:val="auto"/>
              </w:rPr>
              <w:t>45</w:t>
            </w:r>
          </w:p>
        </w:tc>
        <w:tc>
          <w:tcPr>
            <w:tcW w:w="120" w:type="dxa"/>
            <w:vAlign w:val="bottom"/>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Borders>
              <w:top w:val="single" w:sz="8" w:color="F0FFFF"/>
            </w:tcBorders>
            <w:shd w:val="clear" w:color="auto" w:fill="F0FFFF"/>
          </w:tcPr>
          <w:p>
            <w:pPr>
              <w:spacing w:after="0" w:line="20" w:lineRule="exact"/>
              <w:rPr>
                <w:sz w:val="1"/>
                <w:szCs w:val="1"/>
                <w:color w:val="auto"/>
              </w:rPr>
            </w:pPr>
          </w:p>
        </w:tc>
        <w:tc>
          <w:tcPr>
            <w:tcW w:w="164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Securities with a carrying value of $1.38 billion, $1.53 billion and $1.34 billion were pledged to secure public deposits and other secured borrowings at September 30, 2014, December 31, 2013 and September 30, 2013,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 Loans and Allowance for Loan Losses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Major classifications of loans as of September 30, 2014, December 31, 2013 and September 30, 2013,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12" w:lineRule="exact"/>
        <w:rPr>
          <w:sz w:val="20"/>
          <w:szCs w:val="20"/>
          <w:color w:val="auto"/>
        </w:rPr>
      </w:pPr>
    </w:p>
    <w:tbl>
      <w:tblPr>
        <w:tblLayout w:type="fixed"/>
        <w:tblInd w:w="460" w:type="dxa"/>
        <w:tblCellMar>
          <w:top w:w="0" w:type="dxa"/>
          <w:left w:w="0" w:type="dxa"/>
          <w:bottom w:w="0" w:type="dxa"/>
          <w:right w:w="0" w:type="dxa"/>
        </w:tblCellMar>
      </w:tblPr>
      <w:tr>
        <w:trPr>
          <w:trHeight w:val="194"/>
        </w:trPr>
        <w:tc>
          <w:tcPr>
            <w:tcW w:w="4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September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88"/>
              </w:rPr>
              <w:t>December 31,</w:t>
            </w:r>
          </w:p>
        </w:tc>
        <w:tc>
          <w:tcPr>
            <w:tcW w:w="8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September 30,</w:t>
            </w:r>
          </w:p>
        </w:tc>
      </w:tr>
      <w:tr>
        <w:trPr>
          <w:trHeight w:val="215"/>
        </w:trPr>
        <w:tc>
          <w:tcPr>
            <w:tcW w:w="45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r>
      <w:tr>
        <w:trPr>
          <w:trHeight w:val="194"/>
        </w:trPr>
        <w:tc>
          <w:tcPr>
            <w:tcW w:w="45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222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1,153,933</w:t>
            </w:r>
          </w:p>
        </w:tc>
        <w:tc>
          <w:tcPr>
            <w:tcW w:w="120" w:type="dxa"/>
            <w:vAlign w:val="bottom"/>
            <w:shd w:val="clear" w:color="auto" w:fill="F0FFFF"/>
          </w:tcPr>
          <w:p>
            <w:pPr>
              <w:spacing w:after="0"/>
              <w:rPr>
                <w:sz w:val="16"/>
                <w:szCs w:val="16"/>
                <w:color w:val="auto"/>
              </w:rPr>
            </w:pP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1,133,543</w:t>
            </w:r>
          </w:p>
        </w:tc>
        <w:tc>
          <w:tcPr>
            <w:tcW w:w="220" w:type="dxa"/>
            <w:vAlign w:val="bottom"/>
            <w:shd w:val="clear" w:color="auto" w:fill="F0FFFF"/>
          </w:tcPr>
          <w:p>
            <w:pPr>
              <w:spacing w:after="0"/>
              <w:rPr>
                <w:sz w:val="16"/>
                <w:szCs w:val="16"/>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1,129,152</w:t>
            </w:r>
          </w:p>
        </w:tc>
      </w:tr>
      <w:tr>
        <w:trPr>
          <w:trHeight w:val="194"/>
        </w:trPr>
        <w:tc>
          <w:tcPr>
            <w:tcW w:w="4560" w:type="dxa"/>
            <w:vAlign w:val="bottom"/>
          </w:tcPr>
          <w:p>
            <w:pPr>
              <w:spacing w:after="0"/>
              <w:rPr>
                <w:sz w:val="20"/>
                <w:szCs w:val="20"/>
                <w:color w:val="auto"/>
              </w:rPr>
            </w:pPr>
            <w:r>
              <w:rPr>
                <w:rFonts w:ascii="Arial" w:cs="Arial" w:eastAsia="Arial" w:hAnsi="Arial"/>
                <w:sz w:val="16"/>
                <w:szCs w:val="16"/>
                <w:color w:val="auto"/>
              </w:rPr>
              <w:t>Income producing ommercial real estate</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604,727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623,167</w:t>
            </w:r>
          </w:p>
        </w:tc>
        <w:tc>
          <w:tcPr>
            <w:tcW w:w="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613,619</w:t>
            </w:r>
          </w:p>
        </w:tc>
      </w:tr>
      <w:tr>
        <w:trPr>
          <w:trHeight w:val="194"/>
        </w:trPr>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19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649,853</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471,961</w:t>
            </w: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457,414</w:t>
            </w:r>
          </w:p>
        </w:tc>
      </w:tr>
      <w:tr>
        <w:trPr>
          <w:trHeight w:val="194"/>
        </w:trPr>
        <w:tc>
          <w:tcPr>
            <w:tcW w:w="4560" w:type="dxa"/>
            <w:vAlign w:val="bottom"/>
          </w:tcPr>
          <w:p>
            <w:pPr>
              <w:spacing w:after="0"/>
              <w:rPr>
                <w:sz w:val="20"/>
                <w:szCs w:val="20"/>
                <w:color w:val="auto"/>
              </w:rPr>
            </w:pPr>
            <w:r>
              <w:rPr>
                <w:rFonts w:ascii="Arial" w:cs="Arial" w:eastAsia="Arial" w:hAnsi="Arial"/>
                <w:sz w:val="16"/>
                <w:szCs w:val="16"/>
                <w:color w:val="auto"/>
              </w:rPr>
              <w:t>Commercial construction</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180,794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148,903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137,146</w:t>
            </w:r>
          </w:p>
        </w:tc>
      </w:tr>
      <w:tr>
        <w:trPr>
          <w:trHeight w:val="24"/>
        </w:trPr>
        <w:tc>
          <w:tcPr>
            <w:tcW w:w="4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4560" w:type="dxa"/>
            <w:vAlign w:val="bottom"/>
            <w:shd w:val="clear" w:color="auto" w:fill="F0FFFF"/>
          </w:tcPr>
          <w:p>
            <w:pPr>
              <w:ind w:left="280"/>
              <w:spacing w:after="0"/>
              <w:rPr>
                <w:sz w:val="20"/>
                <w:szCs w:val="20"/>
                <w:color w:val="auto"/>
              </w:rPr>
            </w:pPr>
            <w:r>
              <w:rPr>
                <w:rFonts w:ascii="Arial" w:cs="Arial" w:eastAsia="Arial" w:hAnsi="Arial"/>
                <w:sz w:val="16"/>
                <w:szCs w:val="16"/>
                <w:color w:val="auto"/>
              </w:rPr>
              <w:t>Total commercial</w:t>
            </w:r>
          </w:p>
        </w:tc>
        <w:tc>
          <w:tcPr>
            <w:tcW w:w="19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2,589,307</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2,377,574</w:t>
            </w:r>
          </w:p>
        </w:tc>
        <w:tc>
          <w:tcPr>
            <w:tcW w:w="2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2,337,331</w:t>
            </w:r>
          </w:p>
        </w:tc>
      </w:tr>
      <w:tr>
        <w:trPr>
          <w:trHeight w:val="194"/>
        </w:trPr>
        <w:tc>
          <w:tcPr>
            <w:tcW w:w="4560" w:type="dxa"/>
            <w:vAlign w:val="bottom"/>
          </w:tcPr>
          <w:p>
            <w:pPr>
              <w:spacing w:after="0"/>
              <w:rPr>
                <w:sz w:val="20"/>
                <w:szCs w:val="20"/>
                <w:color w:val="auto"/>
              </w:rPr>
            </w:pPr>
            <w:r>
              <w:rPr>
                <w:rFonts w:ascii="Arial" w:cs="Arial" w:eastAsia="Arial" w:hAnsi="Arial"/>
                <w:sz w:val="16"/>
                <w:szCs w:val="16"/>
                <w:color w:val="auto"/>
              </w:rPr>
              <w:t>Residential mortgage</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865,568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875,077</w:t>
            </w:r>
          </w:p>
        </w:tc>
        <w:tc>
          <w:tcPr>
            <w:tcW w:w="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888,679</w:t>
            </w:r>
          </w:p>
        </w:tc>
      </w:tr>
      <w:tr>
        <w:trPr>
          <w:trHeight w:val="194"/>
        </w:trPr>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Home equity lines of credit</w:t>
            </w:r>
          </w:p>
        </w:tc>
        <w:tc>
          <w:tcPr>
            <w:tcW w:w="19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458,819</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440,887</w:t>
            </w: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420,616</w:t>
            </w:r>
          </w:p>
        </w:tc>
      </w:tr>
      <w:tr>
        <w:trPr>
          <w:trHeight w:val="194"/>
        </w:trPr>
        <w:tc>
          <w:tcPr>
            <w:tcW w:w="4560" w:type="dxa"/>
            <w:vAlign w:val="bottom"/>
          </w:tcPr>
          <w:p>
            <w:pPr>
              <w:spacing w:after="0"/>
              <w:rPr>
                <w:sz w:val="20"/>
                <w:szCs w:val="20"/>
                <w:color w:val="auto"/>
              </w:rPr>
            </w:pPr>
            <w:r>
              <w:rPr>
                <w:rFonts w:ascii="Arial" w:cs="Arial" w:eastAsia="Arial" w:hAnsi="Arial"/>
                <w:sz w:val="16"/>
                <w:szCs w:val="16"/>
                <w:color w:val="auto"/>
              </w:rPr>
              <w:t>Residential construction</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307,178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328,579</w:t>
            </w:r>
          </w:p>
        </w:tc>
        <w:tc>
          <w:tcPr>
            <w:tcW w:w="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317,789</w:t>
            </w:r>
          </w:p>
        </w:tc>
      </w:tr>
      <w:tr>
        <w:trPr>
          <w:trHeight w:val="194"/>
        </w:trPr>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Consumer installment</w:t>
            </w:r>
          </w:p>
        </w:tc>
        <w:tc>
          <w:tcPr>
            <w:tcW w:w="19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105,345</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111,045</w:t>
            </w: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116,535</w:t>
            </w:r>
          </w:p>
        </w:tc>
      </w:tr>
      <w:tr>
        <w:trPr>
          <w:trHeight w:val="194"/>
        </w:trPr>
        <w:tc>
          <w:tcPr>
            <w:tcW w:w="4560" w:type="dxa"/>
            <w:vAlign w:val="bottom"/>
          </w:tcPr>
          <w:p>
            <w:pPr>
              <w:spacing w:after="0"/>
              <w:rPr>
                <w:sz w:val="20"/>
                <w:szCs w:val="20"/>
                <w:color w:val="auto"/>
              </w:rPr>
            </w:pPr>
            <w:r>
              <w:rPr>
                <w:rFonts w:ascii="Arial" w:cs="Arial" w:eastAsia="Arial" w:hAnsi="Arial"/>
                <w:sz w:val="16"/>
                <w:szCs w:val="16"/>
                <w:color w:val="auto"/>
              </w:rPr>
              <w:t>Indirect auto</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242,669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196,104</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186,117</w:t>
            </w:r>
          </w:p>
        </w:tc>
      </w:tr>
      <w:tr>
        <w:trPr>
          <w:trHeight w:val="24"/>
        </w:trPr>
        <w:tc>
          <w:tcPr>
            <w:tcW w:w="4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4560" w:type="dxa"/>
            <w:vAlign w:val="bottom"/>
            <w:shd w:val="clear" w:color="auto" w:fill="F0FFFF"/>
          </w:tcPr>
          <w:p>
            <w:pPr>
              <w:ind w:left="140"/>
              <w:spacing w:after="0"/>
              <w:rPr>
                <w:sz w:val="20"/>
                <w:szCs w:val="20"/>
                <w:color w:val="auto"/>
              </w:rPr>
            </w:pPr>
            <w:r>
              <w:rPr>
                <w:rFonts w:ascii="Arial" w:cs="Arial" w:eastAsia="Arial" w:hAnsi="Arial"/>
                <w:sz w:val="16"/>
                <w:szCs w:val="16"/>
                <w:color w:val="auto"/>
              </w:rPr>
              <w:t>Total loans</w:t>
            </w:r>
          </w:p>
        </w:tc>
        <w:tc>
          <w:tcPr>
            <w:tcW w:w="19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4,568,886</w:t>
            </w:r>
          </w:p>
        </w:tc>
        <w:tc>
          <w:tcPr>
            <w:tcW w:w="1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4,329,266</w:t>
            </w:r>
          </w:p>
        </w:tc>
        <w:tc>
          <w:tcPr>
            <w:tcW w:w="22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4,267,067</w:t>
            </w:r>
          </w:p>
        </w:tc>
      </w:tr>
      <w:tr>
        <w:trPr>
          <w:trHeight w:val="194"/>
        </w:trPr>
        <w:tc>
          <w:tcPr>
            <w:tcW w:w="4560" w:type="dxa"/>
            <w:vAlign w:val="bottom"/>
          </w:tcPr>
          <w:p>
            <w:pPr>
              <w:spacing w:after="0"/>
              <w:rPr>
                <w:sz w:val="20"/>
                <w:szCs w:val="20"/>
                <w:color w:val="auto"/>
              </w:rPr>
            </w:pPr>
            <w:r>
              <w:rPr>
                <w:rFonts w:ascii="Arial" w:cs="Arial" w:eastAsia="Arial" w:hAnsi="Arial"/>
                <w:sz w:val="16"/>
                <w:szCs w:val="16"/>
                <w:color w:val="auto"/>
              </w:rPr>
              <w:t>Less allowance for loan losses</w:t>
            </w:r>
          </w:p>
        </w:tc>
        <w:tc>
          <w:tcPr>
            <w:tcW w:w="1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(71,928)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(76,762)</w:t>
            </w:r>
          </w:p>
        </w:tc>
        <w:tc>
          <w:tcPr>
            <w:tcW w:w="8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(80,372)</w:t>
            </w:r>
          </w:p>
        </w:tc>
      </w:tr>
      <w:tr>
        <w:trPr>
          <w:trHeight w:val="24"/>
        </w:trPr>
        <w:tc>
          <w:tcPr>
            <w:tcW w:w="45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4"/>
        </w:trPr>
        <w:tc>
          <w:tcPr>
            <w:tcW w:w="4560" w:type="dxa"/>
            <w:vAlign w:val="bottom"/>
            <w:shd w:val="clear" w:color="auto" w:fill="F0FFFF"/>
          </w:tcPr>
          <w:p>
            <w:pPr>
              <w:ind w:left="140"/>
              <w:spacing w:after="0"/>
              <w:rPr>
                <w:sz w:val="20"/>
                <w:szCs w:val="20"/>
                <w:color w:val="auto"/>
              </w:rPr>
            </w:pPr>
            <w:r>
              <w:rPr>
                <w:rFonts w:ascii="Arial" w:cs="Arial" w:eastAsia="Arial" w:hAnsi="Arial"/>
                <w:sz w:val="16"/>
                <w:szCs w:val="16"/>
                <w:color w:val="auto"/>
              </w:rPr>
              <w:t>Loans, net</w:t>
            </w:r>
          </w:p>
        </w:tc>
        <w:tc>
          <w:tcPr>
            <w:tcW w:w="222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4,496,958</w:t>
            </w:r>
          </w:p>
        </w:tc>
        <w:tc>
          <w:tcPr>
            <w:tcW w:w="120" w:type="dxa"/>
            <w:vAlign w:val="bottom"/>
            <w:shd w:val="clear" w:color="auto" w:fill="F0FFFF"/>
          </w:tcPr>
          <w:p>
            <w:pPr>
              <w:spacing w:after="0"/>
              <w:rPr>
                <w:sz w:val="18"/>
                <w:szCs w:val="18"/>
                <w:color w:val="auto"/>
              </w:rPr>
            </w:pP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4,252,504</w:t>
            </w:r>
          </w:p>
        </w:tc>
        <w:tc>
          <w:tcPr>
            <w:tcW w:w="22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4,186,695</w:t>
            </w:r>
          </w:p>
        </w:tc>
      </w:tr>
      <w:tr>
        <w:trPr>
          <w:trHeight w:val="20"/>
        </w:trPr>
        <w:tc>
          <w:tcPr>
            <w:tcW w:w="4560" w:type="dxa"/>
            <w:vAlign w:val="bottom"/>
            <w:tcBorders>
              <w:top w:val="single" w:sz="8" w:color="F0FFFF"/>
            </w:tcBorders>
            <w:shd w:val="clear" w:color="auto" w:fill="F0FFFF"/>
          </w:tcPr>
          <w:p>
            <w:pPr>
              <w:spacing w:after="0" w:line="20" w:lineRule="exact"/>
              <w:rPr>
                <w:sz w:val="1"/>
                <w:szCs w:val="1"/>
                <w:color w:val="auto"/>
              </w:rPr>
            </w:pPr>
          </w:p>
        </w:tc>
        <w:tc>
          <w:tcPr>
            <w:tcW w:w="19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At September 30, 2014, December 31, 2013 and September 30, 2013, loans with a carrying value of $2.21 billion, $1.77 billion and $1.94 billion, respectively, were pledged as collateral to secure FHLB advances and other contingent funding sources.</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allowance for loan losses represents management’s estimate of probable incurred losses in the loan portfolio as of the end of the period. In 2013, United established an allowance for unfunded commitments separate from the allowance for loan losses due to significant growth in unfunded loan commitments. The allowance for unfunded commitments is included in other liabilities in the consolidated balance sheet. Combined, the allowance for loan losses and allowance for unfunded commitments are referred to as the allowance for credit losses.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The following table presents the balance and activity in the allowance for credit losses by portfolio segment for the three and nine months ended September 30, 2014 and 2013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line="178" w:lineRule="exact"/>
              <w:rPr>
                <w:sz w:val="20"/>
                <w:szCs w:val="20"/>
                <w:color w:val="auto"/>
              </w:rPr>
            </w:pPr>
            <w:r>
              <w:rPr>
                <w:rFonts w:ascii="Arial" w:cs="Arial" w:eastAsia="Arial" w:hAnsi="Arial"/>
                <w:sz w:val="16"/>
                <w:szCs w:val="16"/>
                <w:b w:val="1"/>
                <w:bCs w:val="1"/>
                <w:color w:val="auto"/>
                <w:w w:val="90"/>
              </w:rPr>
              <w:t>Allocation</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Charge-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Ending</w:t>
            </w:r>
          </w:p>
        </w:tc>
        <w:tc>
          <w:tcPr>
            <w:tcW w:w="0" w:type="dxa"/>
            <w:vAlign w:val="bottom"/>
          </w:tcPr>
          <w:p>
            <w:pPr>
              <w:spacing w:after="0"/>
              <w:rPr>
                <w:sz w:val="1"/>
                <w:szCs w:val="1"/>
                <w:color w:val="auto"/>
              </w:rPr>
            </w:pPr>
          </w:p>
        </w:tc>
      </w:tr>
      <w:tr>
        <w:trPr>
          <w:trHeight w:val="223"/>
        </w:trPr>
        <w:tc>
          <w:tcPr>
            <w:tcW w:w="32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7"/>
              </w:rPr>
              <w:t>Offs</w:t>
            </w:r>
          </w:p>
        </w:tc>
        <w:tc>
          <w:tcPr>
            <w:tcW w:w="14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Recoveries</w:t>
            </w:r>
          </w:p>
        </w:tc>
        <w:tc>
          <w:tcPr>
            <w:tcW w:w="1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Unallocated</w:t>
            </w:r>
          </w:p>
        </w:tc>
        <w:tc>
          <w:tcPr>
            <w:tcW w:w="16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8"/>
              </w:rPr>
              <w:t>Provision</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Balance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17,804</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(832)</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(1,758)</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11,761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(598)</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494</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(866)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10,791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3,885</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(30)</w:t>
            </w:r>
          </w:p>
        </w:tc>
        <w:tc>
          <w:tcPr>
            <w:tcW w:w="14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372</w:t>
            </w: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(1,009)</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3,218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4,067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(104)</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1,686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5,650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Residential mortgage</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16,763</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(1,357)</w:t>
            </w:r>
          </w:p>
        </w:tc>
        <w:tc>
          <w:tcPr>
            <w:tcW w:w="14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240</w:t>
            </w: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1,940</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17,586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Home equity lines of credit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6,338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(405)</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(1,144)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4,839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11,208</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(753)</w:t>
            </w:r>
          </w:p>
        </w:tc>
        <w:tc>
          <w:tcPr>
            <w:tcW w:w="14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41</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2,358</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12,854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Consumer installment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(449)</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256</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333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Indirect auto</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823</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(178)</w:t>
            </w:r>
          </w:p>
        </w:tc>
        <w:tc>
          <w:tcPr>
            <w:tcW w:w="14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295</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Unallocated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 allowance for loan losses</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73,248</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(4,706)</w:t>
            </w:r>
          </w:p>
        </w:tc>
        <w:tc>
          <w:tcPr>
            <w:tcW w:w="14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1,551</w:t>
            </w: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1,835</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71,928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Allowance for unfunded commitments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2,165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 allowance for credit losses</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75,413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(4,706)</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1,551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2,000</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74,258</w:t>
            </w: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3200" w:type="dxa"/>
            <w:vAlign w:val="bottom"/>
            <w:tcBorders>
              <w:top w:val="single" w:sz="8" w:color="F0FFFF"/>
            </w:tcBorders>
          </w:tcPr>
          <w:p>
            <w:pPr>
              <w:spacing w:after="0"/>
              <w:rPr>
                <w:sz w:val="24"/>
                <w:szCs w:val="24"/>
                <w:color w:val="auto"/>
              </w:rPr>
            </w:pPr>
          </w:p>
        </w:tc>
        <w:tc>
          <w:tcPr>
            <w:tcW w:w="120" w:type="dxa"/>
            <w:vAlign w:val="bottom"/>
            <w:tcBorders>
              <w:top w:val="single" w:sz="8" w:color="F0FF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F0FFFF"/>
            </w:tcBorders>
          </w:tcPr>
          <w:p>
            <w:pPr>
              <w:spacing w:after="0"/>
              <w:rPr>
                <w:sz w:val="24"/>
                <w:szCs w:val="24"/>
                <w:color w:val="auto"/>
              </w:rPr>
            </w:pPr>
          </w:p>
        </w:tc>
        <w:tc>
          <w:tcPr>
            <w:tcW w:w="120" w:type="dxa"/>
            <w:vAlign w:val="bottom"/>
            <w:tcBorders>
              <w:top w:val="single" w:sz="8" w:color="F0FF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F0FF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F0FF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0"/>
              </w:rPr>
              <w:t>Allocation</w:t>
            </w:r>
          </w:p>
        </w:tc>
        <w:tc>
          <w:tcPr>
            <w:tcW w:w="200" w:type="dxa"/>
            <w:vAlign w:val="bottom"/>
            <w:tcBorders>
              <w:top w:val="single" w:sz="8" w:color="F0FF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F0FFFF"/>
            </w:tcBorders>
          </w:tcPr>
          <w:p>
            <w:pPr>
              <w:spacing w:after="0"/>
              <w:rPr>
                <w:sz w:val="24"/>
                <w:szCs w:val="24"/>
                <w:color w:val="auto"/>
              </w:rPr>
            </w:pPr>
          </w:p>
        </w:tc>
        <w:tc>
          <w:tcPr>
            <w:tcW w:w="80" w:type="dxa"/>
            <w:vAlign w:val="bottom"/>
            <w:tcBorders>
              <w:top w:val="single" w:sz="8" w:color="F0FF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F0FFFF"/>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Beginning</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Charge-</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of</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Ending</w:t>
            </w:r>
          </w:p>
        </w:tc>
        <w:tc>
          <w:tcPr>
            <w:tcW w:w="0" w:type="dxa"/>
            <w:vAlign w:val="bottom"/>
          </w:tcPr>
          <w:p>
            <w:pPr>
              <w:spacing w:after="0"/>
              <w:rPr>
                <w:sz w:val="1"/>
                <w:szCs w:val="1"/>
                <w:color w:val="auto"/>
              </w:rPr>
            </w:pPr>
          </w:p>
        </w:tc>
      </w:tr>
      <w:tr>
        <w:trPr>
          <w:trHeight w:val="215"/>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Balance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87"/>
              </w:rPr>
              <w:t>Offs</w:t>
            </w: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6"/>
                <w:szCs w:val="16"/>
                <w:b w:val="1"/>
                <w:bCs w:val="1"/>
                <w:color w:val="auto"/>
              </w:rPr>
              <w:t>Recoveries</w:t>
            </w: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Unallocated</w:t>
            </w:r>
          </w:p>
        </w:tc>
        <w:tc>
          <w:tcPr>
            <w:tcW w:w="16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w w:val="98"/>
              </w:rPr>
              <w:t>Provision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Balance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17,164</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(2,116)</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2,929</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1,278</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(3,955)</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15,300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7,174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(1,435)</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688</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3,673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10,791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6,527</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(2,005)</w:t>
            </w:r>
          </w:p>
        </w:tc>
        <w:tc>
          <w:tcPr>
            <w:tcW w:w="14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318</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(2,885)</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3,218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3,669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(236)</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388</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1,828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5,650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Residential mortgage</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15,446</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(5,738)</w:t>
            </w:r>
          </w:p>
        </w:tc>
        <w:tc>
          <w:tcPr>
            <w:tcW w:w="14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597</w:t>
            </w: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1,452</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5,829</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17,586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Home equity lines of credit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5,528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(2,032)</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391</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734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4,839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12,532</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(3,004)</w:t>
            </w:r>
          </w:p>
        </w:tc>
        <w:tc>
          <w:tcPr>
            <w:tcW w:w="14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1,728</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1,188</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12,854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Consumer installment</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(1,580)</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974</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spacing w:after="0"/>
              <w:rPr>
                <w:sz w:val="20"/>
                <w:szCs w:val="20"/>
                <w:color w:val="auto"/>
              </w:rPr>
            </w:pPr>
            <w:r>
              <w:rPr>
                <w:rFonts w:ascii="Arial" w:cs="Arial" w:eastAsia="Arial" w:hAnsi="Arial"/>
                <w:sz w:val="16"/>
                <w:szCs w:val="16"/>
                <w:color w:val="auto"/>
              </w:rPr>
              <w:t>Indirect auto</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1,126</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(344)</w:t>
            </w:r>
          </w:p>
        </w:tc>
        <w:tc>
          <w:tcPr>
            <w:tcW w:w="14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w:t>
            </w:r>
          </w:p>
        </w:tc>
        <w:tc>
          <w:tcPr>
            <w:tcW w:w="2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131</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Unallocated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6,243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(6,243)</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 allowance for loan losses</w:t>
            </w: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76,762</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(18,490)</w:t>
            </w:r>
          </w:p>
        </w:tc>
        <w:tc>
          <w:tcPr>
            <w:tcW w:w="14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7,121</w:t>
            </w: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6,535</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71,928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6"/>
                <w:szCs w:val="16"/>
                <w:color w:val="auto"/>
              </w:rPr>
              <w:t>Allowance for unfunded commitments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2,165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6"/>
                <w:szCs w:val="16"/>
                <w:color w:val="auto"/>
              </w:rPr>
              <w:t>165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2,330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320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 allowance for credit losses</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78,927</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(18,490)</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7,121</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6,700</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74,258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In the first quarter of 2014, United modified its allowance for loan losses methodology to incorporate a loss emergence period. The increase in precision resulting from the use of the loss emergence period led to the full allocation of the portion of the allowance that had previously been unallocated.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89"/>
              </w:rPr>
              <w:t>Beginning</w:t>
            </w:r>
          </w:p>
        </w:tc>
        <w:tc>
          <w:tcPr>
            <w:tcW w:w="180" w:type="dxa"/>
            <w:vAlign w:val="bottom"/>
          </w:tcPr>
          <w:p>
            <w:pPr>
              <w:spacing w:after="0"/>
              <w:rPr>
                <w:sz w:val="24"/>
                <w:szCs w:val="24"/>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Charge-</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Ending</w:t>
            </w:r>
          </w:p>
        </w:tc>
        <w:tc>
          <w:tcPr>
            <w:tcW w:w="0" w:type="dxa"/>
            <w:vAlign w:val="bottom"/>
          </w:tcPr>
          <w:p>
            <w:pPr>
              <w:spacing w:after="0"/>
              <w:rPr>
                <w:sz w:val="1"/>
                <w:szCs w:val="1"/>
                <w:color w:val="auto"/>
              </w:rPr>
            </w:pPr>
          </w:p>
        </w:tc>
      </w:tr>
      <w:tr>
        <w:trPr>
          <w:trHeight w:val="215"/>
        </w:trPr>
        <w:tc>
          <w:tcPr>
            <w:tcW w:w="470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1"/>
              </w:rPr>
              <w:t>Balance</w:t>
            </w:r>
          </w:p>
        </w:tc>
        <w:tc>
          <w:tcPr>
            <w:tcW w:w="1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Offs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Recoveries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3"/>
              </w:rPr>
              <w:t>Provision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15,785</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(1,712)</w:t>
            </w:r>
          </w:p>
        </w:tc>
        <w:tc>
          <w:tcPr>
            <w:tcW w:w="24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71</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(78)</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14,066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Income producing commercial real estate</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7,023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(216)</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3,262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10,069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8,054</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(826)</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690</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14</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7,932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Commercial construction</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4,275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(134)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(324)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3,818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Residential mortgage</w:t>
            </w:r>
          </w:p>
        </w:tc>
        <w:tc>
          <w:tcPr>
            <w:tcW w:w="16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14,498</w:t>
            </w: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(918)</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229</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1,335</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15,144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Home equity lines of credit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5,529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(388)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415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5,558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16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17,322</w:t>
            </w: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(1,096)</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(1,908)</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14,342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Consumer installment</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1,515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(345)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Indirect auto</w:t>
            </w:r>
          </w:p>
        </w:tc>
        <w:tc>
          <w:tcPr>
            <w:tcW w:w="160" w:type="dxa"/>
            <w:vAlign w:val="bottom"/>
            <w:shd w:val="clear" w:color="auto" w:fill="F0FFFF"/>
          </w:tcPr>
          <w:p>
            <w:pPr>
              <w:spacing w:after="0"/>
              <w:rPr>
                <w:sz w:val="16"/>
                <w:szCs w:val="16"/>
                <w:color w:val="auto"/>
              </w:rPr>
            </w:pPr>
          </w:p>
        </w:tc>
        <w:tc>
          <w:tcPr>
            <w:tcW w:w="124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875</w:t>
            </w: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(74)</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258</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Unallocated</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6,969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7,026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Total allowance for loan losses</w:t>
            </w: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81,845</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(5,709)</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3,000</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80,372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6"/>
                <w:szCs w:val="16"/>
                <w:color w:val="auto"/>
              </w:rPr>
              <w:t>Allowance for unfunded commitments</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68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Total allowance for credit losses</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81,845</w:t>
            </w:r>
          </w:p>
        </w:tc>
        <w:tc>
          <w:tcPr>
            <w:tcW w:w="240" w:type="dxa"/>
            <w:vAlign w:val="bottom"/>
            <w:shd w:val="clear" w:color="auto" w:fill="F0FFFF"/>
          </w:tcPr>
          <w:p>
            <w:pPr>
              <w:spacing w:after="0"/>
              <w:rPr>
                <w:sz w:val="18"/>
                <w:szCs w:val="18"/>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(5,709)</w:t>
            </w:r>
          </w:p>
        </w:tc>
        <w:tc>
          <w:tcPr>
            <w:tcW w:w="24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1,236</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3,000</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80,372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Beginning</w:t>
            </w:r>
          </w:p>
        </w:tc>
        <w:tc>
          <w:tcPr>
            <w:tcW w:w="180" w:type="dxa"/>
            <w:vAlign w:val="bottom"/>
          </w:tcPr>
          <w:p>
            <w:pPr>
              <w:spacing w:after="0"/>
              <w:rPr>
                <w:sz w:val="16"/>
                <w:szCs w:val="16"/>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Charge-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Ending</w:t>
            </w:r>
          </w:p>
        </w:tc>
        <w:tc>
          <w:tcPr>
            <w:tcW w:w="0" w:type="dxa"/>
            <w:vAlign w:val="bottom"/>
          </w:tcPr>
          <w:p>
            <w:pPr>
              <w:spacing w:after="0"/>
              <w:rPr>
                <w:sz w:val="1"/>
                <w:szCs w:val="1"/>
                <w:color w:val="auto"/>
              </w:rPr>
            </w:pPr>
          </w:p>
        </w:tc>
      </w:tr>
      <w:tr>
        <w:trPr>
          <w:trHeight w:val="215"/>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Balance</w:t>
            </w:r>
          </w:p>
        </w:tc>
        <w:tc>
          <w:tcPr>
            <w:tcW w:w="18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Offs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ind w:left="20"/>
              <w:spacing w:after="0"/>
              <w:rPr>
                <w:sz w:val="20"/>
                <w:szCs w:val="20"/>
                <w:color w:val="auto"/>
              </w:rPr>
            </w:pPr>
            <w:r>
              <w:rPr>
                <w:rFonts w:ascii="Arial" w:cs="Arial" w:eastAsia="Arial" w:hAnsi="Arial"/>
                <w:sz w:val="16"/>
                <w:szCs w:val="16"/>
                <w:b w:val="1"/>
                <w:bCs w:val="1"/>
                <w:color w:val="auto"/>
              </w:rPr>
              <w:t>Recoveries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w w:val="93"/>
              </w:rPr>
              <w:t>Provision</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Balance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gridSpan w:val="2"/>
            <w:shd w:val="clear" w:color="auto" w:fill="F0FFFF"/>
          </w:tcPr>
          <w:p>
            <w:pPr>
              <w:jc w:val="right"/>
              <w:ind w:right="24"/>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17,265</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(23,444)</w:t>
            </w:r>
          </w:p>
        </w:tc>
        <w:tc>
          <w:tcPr>
            <w:tcW w:w="24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1,296</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18,949</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14,066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10,582</w:t>
            </w: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(10,678)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9,905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10,069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5,537</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(18,581)</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19,608</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7,932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8,389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(6,484)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1,853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3,818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Residential mortgage</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19,117</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(8,272)</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479</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3,820</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15,144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Home equity lines of credit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7,525</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(2,108)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5,558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26,662</w:t>
            </w: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(22,608)</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10,231</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14,342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Consumer installment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2,527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(1,521)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891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(548)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Indirect auto</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220</w:t>
            </w: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(170)</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998</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Unallocated</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9,313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(2,287)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7,026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 allowance for loan losses</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107,137</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(93,866)</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4,601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62,500</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80,372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Allowance for unfunded commitments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 allowance for credit losses</w:t>
            </w:r>
          </w:p>
        </w:tc>
        <w:tc>
          <w:tcPr>
            <w:tcW w:w="120" w:type="dxa"/>
            <w:vAlign w:val="bottom"/>
            <w:shd w:val="clear" w:color="auto" w:fill="F0FFFF"/>
          </w:tcPr>
          <w:p>
            <w:pPr>
              <w:spacing w:after="0"/>
              <w:rPr>
                <w:sz w:val="20"/>
                <w:szCs w:val="20"/>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107,137</w:t>
            </w:r>
          </w:p>
        </w:tc>
        <w:tc>
          <w:tcPr>
            <w:tcW w:w="240" w:type="dxa"/>
            <w:vAlign w:val="bottom"/>
            <w:shd w:val="clear" w:color="auto" w:fill="F0FFFF"/>
          </w:tcPr>
          <w:p>
            <w:pPr>
              <w:spacing w:after="0"/>
              <w:rPr>
                <w:sz w:val="20"/>
                <w:szCs w:val="20"/>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(93,866)</w:t>
            </w:r>
          </w:p>
        </w:tc>
        <w:tc>
          <w:tcPr>
            <w:tcW w:w="24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4,601</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62,500</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80,372</w:t>
            </w:r>
          </w:p>
        </w:tc>
        <w:tc>
          <w:tcPr>
            <w:tcW w:w="0" w:type="dxa"/>
            <w:vAlign w:val="bottom"/>
          </w:tcPr>
          <w:p>
            <w:pPr>
              <w:spacing w:after="0"/>
              <w:rPr>
                <w:sz w:val="1"/>
                <w:szCs w:val="1"/>
                <w:color w:val="auto"/>
              </w:rPr>
            </w:pPr>
          </w:p>
        </w:tc>
      </w:tr>
      <w:tr>
        <w:trPr>
          <w:trHeight w:val="813"/>
        </w:trPr>
        <w:tc>
          <w:tcPr>
            <w:tcW w:w="20" w:type="dxa"/>
            <w:vAlign w:val="bottom"/>
          </w:tcPr>
          <w:p>
            <w:pPr>
              <w:spacing w:after="0"/>
              <w:rPr>
                <w:sz w:val="24"/>
                <w:szCs w:val="24"/>
                <w:color w:val="auto"/>
              </w:rPr>
            </w:pPr>
          </w:p>
        </w:tc>
        <w:tc>
          <w:tcPr>
            <w:tcW w:w="456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80" w:type="dxa"/>
            <w:vAlign w:val="bottom"/>
            <w:tcBorders>
              <w:top w:val="single" w:sz="8" w:color="auto"/>
              <w:bottom w:val="single" w:sz="8" w:color="DCDCDC"/>
            </w:tcBorders>
          </w:tcPr>
          <w:p>
            <w:pPr>
              <w:jc w:val="right"/>
              <w:spacing w:after="0"/>
              <w:rPr>
                <w:sz w:val="20"/>
                <w:szCs w:val="20"/>
                <w:color w:val="auto"/>
              </w:rPr>
            </w:pPr>
            <w:r>
              <w:rPr>
                <w:rFonts w:ascii="Arial" w:cs="Arial" w:eastAsia="Arial" w:hAnsi="Arial"/>
                <w:sz w:val="16"/>
                <w:szCs w:val="16"/>
                <w:color w:val="auto"/>
              </w:rPr>
              <w:t>16</w:t>
            </w:r>
          </w:p>
        </w:tc>
        <w:tc>
          <w:tcPr>
            <w:tcW w:w="24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6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auto"/>
              <w:bottom w:val="single" w:sz="8" w:color="DCDCDC"/>
            </w:tcBorders>
          </w:tcPr>
          <w:p>
            <w:pPr>
              <w:spacing w:after="0"/>
              <w:rPr>
                <w:sz w:val="24"/>
                <w:szCs w:val="24"/>
                <w:color w:val="auto"/>
              </w:rPr>
            </w:pPr>
          </w:p>
        </w:tc>
        <w:tc>
          <w:tcPr>
            <w:tcW w:w="104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1000" w:type="dxa"/>
            <w:vAlign w:val="bottom"/>
            <w:tcBorders>
              <w:top w:val="single" w:sz="8" w:color="auto"/>
              <w:bottom w:val="single" w:sz="8" w:color="DCDCDC"/>
            </w:tcBorders>
          </w:tcPr>
          <w:p>
            <w:pPr>
              <w:spacing w:after="0"/>
              <w:rPr>
                <w:sz w:val="24"/>
                <w:szCs w:val="24"/>
                <w:color w:val="auto"/>
              </w:rPr>
            </w:pPr>
          </w:p>
        </w:tc>
        <w:tc>
          <w:tcPr>
            <w:tcW w:w="140" w:type="dxa"/>
            <w:vAlign w:val="bottom"/>
            <w:tcBorders>
              <w:top w:val="single" w:sz="8" w:color="F0FFFF"/>
              <w:bottom w:val="single" w:sz="8" w:color="DCDCDC"/>
            </w:tcBorders>
          </w:tcPr>
          <w:p>
            <w:pPr>
              <w:spacing w:after="0"/>
              <w:rPr>
                <w:sz w:val="24"/>
                <w:szCs w:val="24"/>
                <w:color w:val="auto"/>
              </w:rPr>
            </w:pPr>
          </w:p>
        </w:tc>
        <w:tc>
          <w:tcPr>
            <w:tcW w:w="8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94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38" w:right="219" w:bottom="1440" w:gutter="0" w:footer="0" w:header="0"/>
        </w:sectPr>
      </w:pPr>
    </w:p>
    <w:bookmarkStart w:id="16" w:name="page17"/>
    <w:bookmarkEnd w:id="16"/>
    <w:p>
      <w:pPr>
        <w:jc w:val="center"/>
        <w:ind w:right="80"/>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100"/>
        <w:spacing w:after="0" w:line="281" w:lineRule="auto"/>
        <w:rPr>
          <w:sz w:val="20"/>
          <w:szCs w:val="20"/>
          <w:color w:val="auto"/>
        </w:rPr>
      </w:pPr>
      <w:r>
        <w:rPr>
          <w:rFonts w:ascii="Arial" w:cs="Arial" w:eastAsia="Arial" w:hAnsi="Arial"/>
          <w:sz w:val="16"/>
          <w:szCs w:val="16"/>
          <w:color w:val="auto"/>
        </w:rPr>
        <w:t xml:space="preserve">The following table represents the recorded investment in loans by portfolio segment and the balance of the allowance for loan losses assigned to each segment based on the method of evaluating the loans for impairment as of September 30, 2014, December 31, 2013 and September 30, 2013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right"/>
              <w:ind w:right="4"/>
              <w:spacing w:after="0"/>
              <w:rPr>
                <w:sz w:val="20"/>
                <w:szCs w:val="20"/>
                <w:color w:val="auto"/>
              </w:rPr>
            </w:pPr>
            <w:r>
              <w:rPr>
                <w:rFonts w:ascii="Arial" w:cs="Arial" w:eastAsia="Arial" w:hAnsi="Arial"/>
                <w:sz w:val="16"/>
                <w:szCs w:val="16"/>
                <w:b w:val="1"/>
                <w:bCs w:val="1"/>
                <w:color w:val="auto"/>
              </w:rPr>
              <w:t>September 30, 2014</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6"/>
                <w:szCs w:val="16"/>
                <w:b w:val="1"/>
                <w:bCs w:val="1"/>
                <w:color w:val="auto"/>
              </w:rPr>
              <w:t>December 31, 2013</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September 30, 2013</w:t>
            </w:r>
          </w:p>
        </w:tc>
        <w:tc>
          <w:tcPr>
            <w:tcW w:w="6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Individually</w:t>
            </w:r>
          </w:p>
        </w:tc>
        <w:tc>
          <w:tcPr>
            <w:tcW w:w="1040" w:type="dxa"/>
            <w:vAlign w:val="bottom"/>
            <w:gridSpan w:val="3"/>
          </w:tcPr>
          <w:p>
            <w:pPr>
              <w:ind w:left="60"/>
              <w:spacing w:after="0"/>
              <w:rPr>
                <w:sz w:val="20"/>
                <w:szCs w:val="20"/>
                <w:color w:val="auto"/>
              </w:rPr>
            </w:pPr>
            <w:r>
              <w:rPr>
                <w:rFonts w:ascii="Arial" w:cs="Arial" w:eastAsia="Arial" w:hAnsi="Arial"/>
                <w:sz w:val="16"/>
                <w:szCs w:val="16"/>
                <w:b w:val="1"/>
                <w:bCs w:val="1"/>
                <w:color w:val="auto"/>
              </w:rPr>
              <w:t>Collectively</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Individually</w:t>
            </w: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6"/>
              </w:rPr>
              <w:t>Collectively</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7"/>
              </w:rPr>
              <w:t>Individually</w:t>
            </w: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w w:val="94"/>
              </w:rPr>
              <w:t>Collectively</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8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Allowance for Loan Losses</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Evaluated for</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Evaluated for</w:t>
            </w:r>
          </w:p>
        </w:tc>
        <w:tc>
          <w:tcPr>
            <w:tcW w:w="8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Ending</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Evaluated for</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Evaluated for</w:t>
            </w:r>
          </w:p>
        </w:tc>
        <w:tc>
          <w:tcPr>
            <w:tcW w:w="80" w:type="dxa"/>
            <w:vAlign w:val="bottom"/>
          </w:tcPr>
          <w:p>
            <w:pPr>
              <w:spacing w:after="0"/>
              <w:rPr>
                <w:sz w:val="18"/>
                <w:szCs w:val="18"/>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2"/>
              </w:rPr>
              <w:t>Ending</w:t>
            </w:r>
          </w:p>
        </w:tc>
        <w:tc>
          <w:tcPr>
            <w:tcW w:w="1040" w:type="dxa"/>
            <w:vAlign w:val="bottom"/>
            <w:gridSpan w:val="3"/>
          </w:tcPr>
          <w:p>
            <w:pPr>
              <w:spacing w:after="0"/>
              <w:rPr>
                <w:sz w:val="20"/>
                <w:szCs w:val="20"/>
                <w:color w:val="auto"/>
              </w:rPr>
            </w:pPr>
            <w:r>
              <w:rPr>
                <w:rFonts w:ascii="Arial" w:cs="Arial" w:eastAsia="Arial" w:hAnsi="Arial"/>
                <w:sz w:val="16"/>
                <w:szCs w:val="16"/>
                <w:b w:val="1"/>
                <w:bCs w:val="1"/>
                <w:color w:val="auto"/>
              </w:rPr>
              <w:t>Evaluated for</w:t>
            </w:r>
          </w:p>
        </w:tc>
        <w:tc>
          <w:tcPr>
            <w:tcW w:w="940" w:type="dxa"/>
            <w:vAlign w:val="bottom"/>
            <w:gridSpan w:val="2"/>
          </w:tcPr>
          <w:p>
            <w:pPr>
              <w:spacing w:after="0"/>
              <w:rPr>
                <w:sz w:val="20"/>
                <w:szCs w:val="20"/>
                <w:color w:val="auto"/>
              </w:rPr>
            </w:pPr>
            <w:r>
              <w:rPr>
                <w:rFonts w:ascii="Arial" w:cs="Arial" w:eastAsia="Arial" w:hAnsi="Arial"/>
                <w:sz w:val="16"/>
                <w:szCs w:val="16"/>
                <w:b w:val="1"/>
                <w:bCs w:val="1"/>
                <w:color w:val="auto"/>
                <w:w w:val="88"/>
              </w:rPr>
              <w:t>Evaluated for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Ending</w:t>
            </w:r>
          </w:p>
        </w:tc>
        <w:tc>
          <w:tcPr>
            <w:tcW w:w="0" w:type="dxa"/>
            <w:vAlign w:val="bottom"/>
          </w:tcPr>
          <w:p>
            <w:pPr>
              <w:spacing w:after="0"/>
              <w:rPr>
                <w:sz w:val="1"/>
                <w:szCs w:val="1"/>
                <w:color w:val="auto"/>
              </w:rPr>
            </w:pPr>
          </w:p>
        </w:tc>
      </w:tr>
      <w:tr>
        <w:trPr>
          <w:trHeight w:val="223"/>
        </w:trPr>
        <w:tc>
          <w:tcPr>
            <w:tcW w:w="2820" w:type="dxa"/>
            <w:vAlign w:val="bottom"/>
            <w:gridSpan w:val="2"/>
            <w:vMerge w:val="continue"/>
          </w:tcPr>
          <w:p>
            <w:pPr>
              <w:spacing w:after="0"/>
              <w:rPr>
                <w:sz w:val="19"/>
                <w:szCs w:val="19"/>
                <w:color w:val="auto"/>
              </w:rPr>
            </w:pP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Impairment</w:t>
            </w: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Impairment</w:t>
            </w:r>
          </w:p>
        </w:tc>
        <w:tc>
          <w:tcPr>
            <w:tcW w:w="8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Balance</w:t>
            </w:r>
          </w:p>
        </w:tc>
        <w:tc>
          <w:tcPr>
            <w:tcW w:w="1040" w:type="dxa"/>
            <w:vAlign w:val="bottom"/>
            <w:gridSpan w:val="3"/>
          </w:tcPr>
          <w:p>
            <w:pPr>
              <w:ind w:left="40"/>
              <w:spacing w:after="0"/>
              <w:rPr>
                <w:sz w:val="20"/>
                <w:szCs w:val="20"/>
                <w:color w:val="auto"/>
              </w:rPr>
            </w:pPr>
            <w:r>
              <w:rPr>
                <w:rFonts w:ascii="Arial" w:cs="Arial" w:eastAsia="Arial" w:hAnsi="Arial"/>
                <w:sz w:val="16"/>
                <w:szCs w:val="16"/>
                <w:b w:val="1"/>
                <w:bCs w:val="1"/>
                <w:color w:val="auto"/>
              </w:rPr>
              <w:t>Impairment</w:t>
            </w: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9"/>
              </w:rPr>
              <w:t>Impairment</w:t>
            </w:r>
          </w:p>
        </w:tc>
        <w:tc>
          <w:tcPr>
            <w:tcW w:w="80" w:type="dxa"/>
            <w:vAlign w:val="bottom"/>
          </w:tcPr>
          <w:p>
            <w:pPr>
              <w:spacing w:after="0"/>
              <w:rPr>
                <w:sz w:val="19"/>
                <w:szCs w:val="19"/>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7"/>
              </w:rPr>
              <w:t>Balance</w:t>
            </w:r>
          </w:p>
        </w:tc>
        <w:tc>
          <w:tcPr>
            <w:tcW w:w="104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w w:val="99"/>
              </w:rPr>
              <w:t>Impairment</w:t>
            </w:r>
          </w:p>
        </w:tc>
        <w:tc>
          <w:tcPr>
            <w:tcW w:w="940" w:type="dxa"/>
            <w:vAlign w:val="bottom"/>
            <w:gridSpan w:val="2"/>
          </w:tcPr>
          <w:p>
            <w:pPr>
              <w:ind w:left="60"/>
              <w:spacing w:after="0"/>
              <w:rPr>
                <w:sz w:val="20"/>
                <w:szCs w:val="20"/>
                <w:color w:val="auto"/>
              </w:rPr>
            </w:pPr>
            <w:r>
              <w:rPr>
                <w:rFonts w:ascii="Arial" w:cs="Arial" w:eastAsia="Arial" w:hAnsi="Arial"/>
                <w:sz w:val="16"/>
                <w:szCs w:val="16"/>
                <w:b w:val="1"/>
                <w:bCs w:val="1"/>
                <w:color w:val="auto"/>
                <w:w w:val="97"/>
              </w:rPr>
              <w:t>Impairment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Balance</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8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w w:val="98"/>
              </w:rPr>
              <w:t>Owner occupied commercial real estate</w:t>
            </w:r>
          </w:p>
        </w:tc>
        <w:tc>
          <w:tcPr>
            <w:tcW w:w="24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2,125</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13,175</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15,300</w:t>
            </w:r>
          </w:p>
        </w:tc>
        <w:tc>
          <w:tcPr>
            <w:tcW w:w="24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1,023</w:t>
            </w:r>
          </w:p>
        </w:tc>
        <w:tc>
          <w:tcPr>
            <w:tcW w:w="1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16,141</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17,164</w:t>
            </w:r>
          </w:p>
        </w:tc>
        <w:tc>
          <w:tcPr>
            <w:tcW w:w="24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770</w:t>
            </w:r>
          </w:p>
        </w:tc>
        <w:tc>
          <w:tcPr>
            <w:tcW w:w="1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13,296</w:t>
            </w:r>
          </w:p>
        </w:tc>
        <w:tc>
          <w:tcPr>
            <w:tcW w:w="18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14,066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w w:val="94"/>
              </w:rPr>
              <w:t>Income producing commercial real estate</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8,411</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10,791</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990</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6,184</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7,174</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1,205</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8,864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10,069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24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3,192</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3,218</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66</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6,461</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6,527</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546</w:t>
            </w: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7,386</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7,932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4,486</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5,650</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112</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3,557</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3,669</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150</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3,818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Residential mortgage</w:t>
            </w:r>
          </w:p>
        </w:tc>
        <w:tc>
          <w:tcPr>
            <w:tcW w:w="24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3,501</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14,085</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17,586</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2,914</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12,532</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15,446</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2,008</w:t>
            </w: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13,136</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15,144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4,788</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4,839</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5,523</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5,528</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5,558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5,558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24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11,817</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12,854</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688</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11,844</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12,532</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662</w:t>
            </w: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13,680</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14,342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Consumer installment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716</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739</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224</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1,129</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1,353</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1,349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Indirect auto</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951</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951</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1,126</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1,126</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1,068</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Unallocated</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6,243</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6,243</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7,026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7,026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Borders>
              <w:right w:val="single" w:sz="8" w:color="F0FFFF"/>
            </w:tcBorders>
            <w:shd w:val="clear" w:color="auto" w:fill="F0FFFF"/>
          </w:tcPr>
          <w:p>
            <w:pPr>
              <w:ind w:left="120"/>
              <w:spacing w:after="0"/>
              <w:rPr>
                <w:sz w:val="20"/>
                <w:szCs w:val="20"/>
                <w:color w:val="auto"/>
              </w:rPr>
            </w:pPr>
            <w:r>
              <w:rPr>
                <w:rFonts w:ascii="Arial" w:cs="Arial" w:eastAsia="Arial" w:hAnsi="Arial"/>
                <w:sz w:val="16"/>
                <w:szCs w:val="16"/>
                <w:color w:val="auto"/>
              </w:rPr>
              <w:t>Total allowance for loan losses</w:t>
            </w:r>
          </w:p>
        </w:tc>
        <w:tc>
          <w:tcPr>
            <w:tcW w:w="24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10,307</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61,621</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71,928</w:t>
            </w:r>
          </w:p>
        </w:tc>
        <w:tc>
          <w:tcPr>
            <w:tcW w:w="1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6,022</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70,740</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76,762</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5,352</w:t>
            </w: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75,020</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80,372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Allowance for unfunded commitments</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2,165</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2,165</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800" w:type="dxa"/>
            <w:vAlign w:val="bottom"/>
            <w:tcBorders>
              <w:right w:val="single" w:sz="8" w:color="F0FFFF"/>
            </w:tcBorders>
            <w:shd w:val="clear" w:color="auto" w:fill="F0FFFF"/>
          </w:tcPr>
          <w:p>
            <w:pPr>
              <w:ind w:left="120"/>
              <w:spacing w:after="0"/>
              <w:rPr>
                <w:sz w:val="20"/>
                <w:szCs w:val="20"/>
                <w:color w:val="auto"/>
              </w:rPr>
            </w:pPr>
            <w:r>
              <w:rPr>
                <w:rFonts w:ascii="Arial" w:cs="Arial" w:eastAsia="Arial" w:hAnsi="Arial"/>
                <w:sz w:val="16"/>
                <w:szCs w:val="16"/>
                <w:color w:val="auto"/>
              </w:rPr>
              <w:t>Total allowance for credit losses</w:t>
            </w:r>
          </w:p>
        </w:tc>
        <w:tc>
          <w:tcPr>
            <w:tcW w:w="24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10,307</w:t>
            </w:r>
          </w:p>
        </w:tc>
        <w:tc>
          <w:tcPr>
            <w:tcW w:w="1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63,951</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74,258</w:t>
            </w:r>
          </w:p>
        </w:tc>
        <w:tc>
          <w:tcPr>
            <w:tcW w:w="24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6,022</w:t>
            </w:r>
          </w:p>
        </w:tc>
        <w:tc>
          <w:tcPr>
            <w:tcW w:w="1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72,905</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78,927</w:t>
            </w:r>
          </w:p>
        </w:tc>
        <w:tc>
          <w:tcPr>
            <w:tcW w:w="24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5,352</w:t>
            </w:r>
          </w:p>
        </w:tc>
        <w:tc>
          <w:tcPr>
            <w:tcW w:w="1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75,020</w:t>
            </w:r>
          </w:p>
        </w:tc>
        <w:tc>
          <w:tcPr>
            <w:tcW w:w="18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80,372</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80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4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800" w:type="dxa"/>
            <w:vAlign w:val="bottom"/>
            <w:tcBorders>
              <w:bottom w:val="single" w:sz="8" w:color="auto"/>
              <w:right w:val="single" w:sz="8" w:color="F0FFFF"/>
            </w:tcBorders>
            <w:shd w:val="clear" w:color="auto" w:fill="F0FFFF"/>
          </w:tcPr>
          <w:p>
            <w:pPr>
              <w:spacing w:after="0"/>
              <w:rPr>
                <w:sz w:val="20"/>
                <w:szCs w:val="20"/>
                <w:color w:val="auto"/>
              </w:rPr>
            </w:pPr>
            <w:r>
              <w:rPr>
                <w:rFonts w:ascii="Arial" w:cs="Arial" w:eastAsia="Arial" w:hAnsi="Arial"/>
                <w:sz w:val="16"/>
                <w:szCs w:val="16"/>
                <w:b w:val="1"/>
                <w:bCs w:val="1"/>
                <w:color w:val="auto"/>
              </w:rPr>
              <w:t>Loans Outstanding</w:t>
            </w:r>
          </w:p>
        </w:tc>
        <w:tc>
          <w:tcPr>
            <w:tcW w:w="240" w:type="dxa"/>
            <w:vAlign w:val="bottom"/>
            <w:tcBorders>
              <w:bottom w:val="single" w:sz="8" w:color="F0FFFF"/>
            </w:tcBorders>
            <w:shd w:val="clear" w:color="auto" w:fill="F0FFFF"/>
          </w:tcPr>
          <w:p>
            <w:pPr>
              <w:spacing w:after="0"/>
              <w:rPr>
                <w:sz w:val="17"/>
                <w:szCs w:val="17"/>
                <w:color w:val="auto"/>
              </w:rPr>
            </w:pPr>
          </w:p>
        </w:tc>
        <w:tc>
          <w:tcPr>
            <w:tcW w:w="70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76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66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tcBorders>
            <w:shd w:val="clear" w:color="auto" w:fill="F0FFFF"/>
          </w:tcPr>
          <w:p>
            <w:pPr>
              <w:spacing w:after="0"/>
              <w:rPr>
                <w:sz w:val="17"/>
                <w:szCs w:val="17"/>
                <w:color w:val="auto"/>
              </w:rPr>
            </w:pPr>
          </w:p>
        </w:tc>
        <w:tc>
          <w:tcPr>
            <w:tcW w:w="70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76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66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tcBorders>
            <w:shd w:val="clear" w:color="auto" w:fill="F0FFFF"/>
          </w:tcPr>
          <w:p>
            <w:pPr>
              <w:spacing w:after="0"/>
              <w:rPr>
                <w:sz w:val="17"/>
                <w:szCs w:val="17"/>
                <w:color w:val="auto"/>
              </w:rPr>
            </w:pPr>
          </w:p>
        </w:tc>
        <w:tc>
          <w:tcPr>
            <w:tcW w:w="70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76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left w:val="single" w:sz="8" w:color="F0FFFF"/>
              <w:bottom w:val="single" w:sz="8" w:color="F0FFFF"/>
            </w:tcBorders>
            <w:shd w:val="clear" w:color="auto" w:fill="F0FFFF"/>
          </w:tcPr>
          <w:p>
            <w:pPr>
              <w:spacing w:after="0"/>
              <w:rPr>
                <w:sz w:val="17"/>
                <w:szCs w:val="17"/>
                <w:color w:val="auto"/>
              </w:rPr>
            </w:pPr>
          </w:p>
        </w:tc>
        <w:tc>
          <w:tcPr>
            <w:tcW w:w="80" w:type="dxa"/>
            <w:vAlign w:val="bottom"/>
            <w:tcBorders>
              <w:bottom w:val="single" w:sz="8" w:color="F0FFFF"/>
            </w:tcBorders>
            <w:shd w:val="clear" w:color="auto" w:fill="F0FFFF"/>
          </w:tcPr>
          <w:p>
            <w:pPr>
              <w:spacing w:after="0"/>
              <w:rPr>
                <w:sz w:val="17"/>
                <w:szCs w:val="17"/>
                <w:color w:val="auto"/>
              </w:rPr>
            </w:pPr>
          </w:p>
        </w:tc>
        <w:tc>
          <w:tcPr>
            <w:tcW w:w="660" w:type="dxa"/>
            <w:vAlign w:val="bottom"/>
            <w:tcBorders>
              <w:bottom w:val="single" w:sz="8" w:color="F0FFFF"/>
            </w:tcBorders>
            <w:shd w:val="clear" w:color="auto" w:fill="F0FFFF"/>
          </w:tcPr>
          <w:p>
            <w:pPr>
              <w:spacing w:after="0"/>
              <w:rPr>
                <w:sz w:val="17"/>
                <w:szCs w:val="17"/>
                <w:color w:val="auto"/>
              </w:rPr>
            </w:pPr>
          </w:p>
        </w:tc>
        <w:tc>
          <w:tcPr>
            <w:tcW w:w="4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w w:val="98"/>
              </w:rPr>
              <w:t>Owner occupied commercial real estate</w:t>
            </w:r>
          </w:p>
        </w:tc>
        <w:tc>
          <w:tcPr>
            <w:tcW w:w="24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33,635</w:t>
            </w:r>
          </w:p>
        </w:tc>
        <w:tc>
          <w:tcPr>
            <w:tcW w:w="1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1,120,298</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w w:val="89"/>
              </w:rPr>
              <w:t>1,153,933</w:t>
            </w:r>
          </w:p>
        </w:tc>
        <w:tc>
          <w:tcPr>
            <w:tcW w:w="24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32,969</w:t>
            </w:r>
          </w:p>
        </w:tc>
        <w:tc>
          <w:tcPr>
            <w:tcW w:w="1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1,100,574</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w w:val="89"/>
              </w:rPr>
              <w:t>1,133,543</w:t>
            </w:r>
          </w:p>
        </w:tc>
        <w:tc>
          <w:tcPr>
            <w:tcW w:w="24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31,138</w:t>
            </w:r>
          </w:p>
        </w:tc>
        <w:tc>
          <w:tcPr>
            <w:tcW w:w="1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1,098,014</w:t>
            </w:r>
          </w:p>
        </w:tc>
        <w:tc>
          <w:tcPr>
            <w:tcW w:w="180" w:type="dxa"/>
            <w:vAlign w:val="bottom"/>
            <w:tcBorders>
              <w:left w:val="single" w:sz="8" w:color="F0FFFF"/>
            </w:tcBorders>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w w:val="89"/>
              </w:rPr>
              <w:t>1,129,152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w w:val="94"/>
              </w:rPr>
              <w:t>Income producing commercial real estate</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26,120</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578,607</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604,727</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27,239</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595,928</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623,167</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23,325</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590,294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613,619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24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4,540</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645,313</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649,853</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4,217</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467,744</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471,961</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4,105</w:t>
            </w: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453,309</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457,414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Commercial construction</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12,127</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168,667</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180,794</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13,715</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135,188</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148,903</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13,478</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123,668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137,146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Residential mortgage</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18,778</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846,790</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865,568</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20,167</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854,910</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875,077</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18,970</w:t>
            </w: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869,709</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888,679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458,288</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458,819</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505</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440,382</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440,887</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420,616</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420,616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13,055</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294,123</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307,178</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14,808</w:t>
            </w: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313,771</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328,579</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14,121</w:t>
            </w: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303,668</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317,789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Arial" w:cs="Arial" w:eastAsia="Arial" w:hAnsi="Arial"/>
                <w:sz w:val="16"/>
                <w:szCs w:val="16"/>
                <w:color w:val="auto"/>
              </w:rPr>
              <w:t>Consumer installment</w:t>
            </w: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105,100</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105,345</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999</w:t>
            </w:r>
          </w:p>
        </w:tc>
        <w:tc>
          <w:tcPr>
            <w:tcW w:w="18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110,046</w:t>
            </w:r>
          </w:p>
        </w:tc>
        <w:tc>
          <w:tcPr>
            <w:tcW w:w="80" w:type="dxa"/>
            <w:vAlign w:val="bottom"/>
          </w:tcPr>
          <w:p>
            <w:pPr>
              <w:spacing w:after="0"/>
              <w:rPr>
                <w:sz w:val="16"/>
                <w:szCs w:val="16"/>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rPr>
              <w:t>111,045</w:t>
            </w:r>
          </w:p>
        </w:tc>
        <w:tc>
          <w:tcPr>
            <w:tcW w:w="24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204</w:t>
            </w:r>
          </w:p>
        </w:tc>
        <w:tc>
          <w:tcPr>
            <w:tcW w:w="1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116,331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116,535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Indirect auto</w:t>
            </w:r>
          </w:p>
        </w:tc>
        <w:tc>
          <w:tcPr>
            <w:tcW w:w="24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242,669</w:t>
            </w:r>
          </w:p>
        </w:tc>
        <w:tc>
          <w:tcPr>
            <w:tcW w:w="1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242,669</w:t>
            </w:r>
          </w:p>
        </w:tc>
        <w:tc>
          <w:tcPr>
            <w:tcW w:w="1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196,104</w:t>
            </w:r>
          </w:p>
        </w:tc>
        <w:tc>
          <w:tcPr>
            <w:tcW w:w="80" w:type="dxa"/>
            <w:vAlign w:val="bottom"/>
            <w:shd w:val="clear" w:color="auto" w:fill="F0FFFF"/>
          </w:tcPr>
          <w:p>
            <w:pPr>
              <w:spacing w:after="0"/>
              <w:rPr>
                <w:sz w:val="16"/>
                <w:szCs w:val="16"/>
                <w:color w:val="auto"/>
              </w:rPr>
            </w:pPr>
          </w:p>
        </w:tc>
        <w:tc>
          <w:tcPr>
            <w:tcW w:w="7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196,104</w:t>
            </w:r>
          </w:p>
        </w:tc>
        <w:tc>
          <w:tcPr>
            <w:tcW w:w="2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6"/>
                <w:szCs w:val="16"/>
                <w:color w:val="auto"/>
              </w:rPr>
            </w:pP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186,117</w:t>
            </w:r>
          </w:p>
        </w:tc>
        <w:tc>
          <w:tcPr>
            <w:tcW w:w="100" w:type="dxa"/>
            <w:vAlign w:val="bottom"/>
            <w:tcBorders>
              <w:left w:val="single" w:sz="8" w:color="F0FFFF"/>
            </w:tcBorders>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186,117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lef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800" w:type="dxa"/>
            <w:vAlign w:val="bottom"/>
          </w:tcPr>
          <w:p>
            <w:pPr>
              <w:ind w:left="120"/>
              <w:spacing w:after="0"/>
              <w:rPr>
                <w:sz w:val="20"/>
                <w:szCs w:val="20"/>
                <w:color w:val="auto"/>
              </w:rPr>
            </w:pPr>
            <w:r>
              <w:rPr>
                <w:rFonts w:ascii="Arial" w:cs="Arial" w:eastAsia="Arial" w:hAnsi="Arial"/>
                <w:sz w:val="16"/>
                <w:szCs w:val="16"/>
                <w:color w:val="auto"/>
              </w:rPr>
              <w:t>Total loans</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109,031</w:t>
            </w:r>
          </w:p>
        </w:tc>
        <w:tc>
          <w:tcPr>
            <w:tcW w:w="100" w:type="dxa"/>
            <w:vAlign w:val="bottom"/>
          </w:tcPr>
          <w:p>
            <w:pPr>
              <w:spacing w:after="0"/>
              <w:rPr>
                <w:sz w:val="16"/>
                <w:szCs w:val="16"/>
                <w:color w:val="auto"/>
              </w:rPr>
            </w:pP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4,459,855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4,568,886</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114,619</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4,214,647</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6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4,329,266</w:t>
            </w: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105,341</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4,161,726</w:t>
            </w:r>
          </w:p>
        </w:tc>
        <w:tc>
          <w:tcPr>
            <w:tcW w:w="180" w:type="dxa"/>
            <w:vAlign w:val="bottom"/>
            <w:gridSpan w:val="2"/>
          </w:tcPr>
          <w:p>
            <w:pPr>
              <w:jc w:val="right"/>
              <w:spacing w:after="0"/>
              <w:rPr>
                <w:sz w:val="20"/>
                <w:szCs w:val="20"/>
                <w:color w:val="auto"/>
              </w:rPr>
            </w:pPr>
            <w:r>
              <w:rPr>
                <w:rFonts w:ascii="Arial" w:cs="Arial" w:eastAsia="Arial" w:hAnsi="Arial"/>
                <w:sz w:val="16"/>
                <w:szCs w:val="16"/>
                <w:u w:val="single" w:color="auto"/>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4,267,067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100"/>
        <w:spacing w:after="0" w:line="256" w:lineRule="auto"/>
        <w:rPr>
          <w:sz w:val="20"/>
          <w:szCs w:val="20"/>
          <w:color w:val="auto"/>
        </w:rPr>
      </w:pPr>
      <w:r>
        <w:rPr>
          <w:rFonts w:ascii="Arial" w:cs="Arial" w:eastAsia="Arial" w:hAnsi="Arial"/>
          <w:sz w:val="16"/>
          <w:szCs w:val="16"/>
          <w:color w:val="auto"/>
        </w:rPr>
        <w:t>United considers all substandard loan relationships that are on nonaccrual with a balance of $500,000 or greater and all troubled debt restructurings (“TDRs”) to be individually impaired. In addition, United reviews all accruing substandard loan relationships greater than $2 million to determine if the loan is individually impaired. A loan is considered individually impaired when, based on current events and circumstances, it is probable that all amounts due, according to the contractual terms of the loan, will not be collected. All TDRs are considered individually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individually impaired loans for the amount of calculated impairment. Interest payments received on individually impaired nonaccrual loans are applied as a reduction of the outstanding principal balance. For impaired loans not on nonaccrual status, interest is accrued according to the terms of the loan agreement. Loans are evaluated for individual impairment quarterly and specific reserves are established in the allowance for loan losses for any measured specific impairment on individually impaired loans.</w:t>
      </w:r>
    </w:p>
    <w:p>
      <w:pPr>
        <w:spacing w:after="0" w:line="198" w:lineRule="exact"/>
        <w:rPr>
          <w:sz w:val="20"/>
          <w:szCs w:val="20"/>
          <w:color w:val="auto"/>
        </w:rPr>
      </w:pPr>
    </w:p>
    <w:p>
      <w:pPr>
        <w:jc w:val="both"/>
        <w:ind w:right="80"/>
        <w:spacing w:after="0" w:line="274" w:lineRule="auto"/>
        <w:rPr>
          <w:sz w:val="20"/>
          <w:szCs w:val="20"/>
          <w:color w:val="auto"/>
        </w:rPr>
      </w:pPr>
      <w:r>
        <w:rPr>
          <w:rFonts w:ascii="Arial" w:cs="Arial" w:eastAsia="Arial" w:hAnsi="Arial"/>
          <w:sz w:val="15"/>
          <w:szCs w:val="15"/>
          <w:color w:val="auto"/>
        </w:rPr>
        <w:t>Each quarter, United’s management prepares an analysis of the allowance for credit losses to determine the appropriate balance that measures and quantifies the amount of probable incurred loss in the loan portfolio. The allowance is comprised of specific reserves on individually impaired loans, which are determined as described above, and general reserves which are determined based on historical loss experience as adjusted for current trends and economic conditions multiplied by a loss emergence period factor. United uses eight quarters of historical loss experience weighted toward the most recent four quarters to determine the loss factors to be used in the reserve calculation for loans evaluated in the aggregate.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In previous periods, the weighted average was calculated by multiplying each quarter’s annualized historical net charge-off rate by 1 through 8, with 8 representing the most recent quarter and 1 representing the oldest quarter. United adopted this method of weighting quarterly loss rates to capture the rapidly deteriorating credit conditions in its loss factors during the financial crisis. Now that credit conditions have begun to stabilize, management concluded in the first quarter of 2014 that it was appropriate to apply a more level weighting moving forward to capture the full range and impacts of credit losses experienced during the most recent economic and credit cycle. For the four most recent quarters, United applied a weighting factor of 1.75. For the four oldest quarters, United applied a weighting of 1.00 for each quarterly loss factor. Management believes the current weightings are more appropriate to measure the unconfirmed losses incurred within the loan portfolio.</w:t>
      </w:r>
    </w:p>
    <w:p>
      <w:pPr>
        <w:spacing w:after="0" w:line="37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520"/>
          </w:cols>
          <w:pgMar w:left="240" w:top="838" w:right="139" w:bottom="1440" w:gutter="0" w:footer="0" w:header="0"/>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Also, beginning in the first quarter of 2014, United updated its measurement of the loss emergence period in the calculation of the allowance for credit losses. The rapidly deteriorating credit conditions during the peak of the credit cycle shortened the length of time between management’s estimation of the incurrence of a loss and its recognition as a charge-off. In most cases, the loss emergence period was within a twelve month period which made the use of annualized loss factors appropriate for measuring the amount of incurred yet unconfirmed credit losses within the loan portfolio. As United has moved out beyond the peak of the financial crisis, management has observed that the loss emergence period has extended. United calculates the loss emergence period for each pool of loans based on the average length of time between the date a loan first exceeds 30 days past due and the date the loan is charged off.</w:t>
      </w:r>
    </w:p>
    <w:p>
      <w:pPr>
        <w:spacing w:after="0" w:line="196"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The updates to the weightings to the eight quarters of loss history and the update to our estimation of the loss emergence period did not have a material effect on the total allowance for loan losses or the provision for loan losses for the first nine months of 2014. These updates resulted in the full allocation of the previously unallocated portion of the allowance for loan losses.</w:t>
      </w:r>
    </w:p>
    <w:p>
      <w:pPr>
        <w:spacing w:after="0" w:line="18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On junior lien home equity loans, United has limited ability to monitor the delinquency status of the first lien unless the first lien is also held by United. As a result, United applies the weighted average historical loss factor for this category and appropriately adjusts it to reflect the increased risk of loss from these credits.</w:t>
      </w:r>
    </w:p>
    <w:p>
      <w:pPr>
        <w:spacing w:after="0" w:line="175"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acceleration or delays in timing of recognition of losses that may affect historical loss emergence periods, and other macro environmental factors such as changes in unemployment rates, lease vacancy rates and trends in property values and absorption rates.</w:t>
      </w:r>
    </w:p>
    <w:p>
      <w:pPr>
        <w:spacing w:after="0" w:line="19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United’s management believes that its method of determining the balance of the allowance for loan losses provides a reasonable and reliable basis for measuring and reporting losses that are inherent in the loan portfolio as of the reporting date.</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When a loan officer determines that a loan is uncollectible, he or she is responsible for recommending that the loan be charged off. Full or partial charge-offs may also be recommended by the Collections Department, the Special Assets Department and the Foreclosure / OREO department. Nonaccrual real estate loans that are collateral dependent are generally charged down to 80% of the appraised value of the underlying collateral at the time they are placed on nonaccrual status.</w:t>
      </w:r>
    </w:p>
    <w:p>
      <w:pPr>
        <w:spacing w:after="0" w:line="18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A committee consisting of the Chief Risk Officer, Senior Risk Officer and the Senior Credit Officers meets monthly to review charge-offs that have occurred during the previous month.</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9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 xml:space="preserve">Closed-end retail loans (installment and residential mortgage loans) and open-end (revolving) retail loans past due 90 cumulative days are charged off unless the loan is secured and in process of collection (within the next 90 days).The following table presents loans individually evaluated for impairment by class of loans as of September 30, 2014, December 31, 2013 and September 30, 2013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September 30, 2014</w:t>
            </w: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3"/>
                <w:szCs w:val="13"/>
                <w:b w:val="1"/>
                <w:bCs w:val="1"/>
                <w:color w:val="auto"/>
                <w:w w:val="95"/>
              </w:rPr>
              <w:t>December 31, 2013</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September 30, 2013</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center"/>
              <w:ind w:right="35"/>
              <w:spacing w:after="0"/>
              <w:rPr>
                <w:sz w:val="20"/>
                <w:szCs w:val="20"/>
                <w:color w:val="auto"/>
              </w:rPr>
            </w:pPr>
            <w:r>
              <w:rPr>
                <w:rFonts w:ascii="Arial" w:cs="Arial" w:eastAsia="Arial" w:hAnsi="Arial"/>
                <w:sz w:val="13"/>
                <w:szCs w:val="13"/>
                <w:b w:val="1"/>
                <w:bCs w:val="1"/>
                <w:color w:val="auto"/>
                <w:w w:val="90"/>
              </w:rPr>
              <w:t>Unpaid</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jc w:val="center"/>
              <w:ind w:right="15"/>
              <w:spacing w:after="0" w:line="113" w:lineRule="exact"/>
              <w:rPr>
                <w:sz w:val="20"/>
                <w:szCs w:val="20"/>
                <w:color w:val="auto"/>
              </w:rPr>
            </w:pPr>
            <w:r>
              <w:rPr>
                <w:rFonts w:ascii="Arial" w:cs="Arial" w:eastAsia="Arial" w:hAnsi="Arial"/>
                <w:sz w:val="13"/>
                <w:szCs w:val="13"/>
                <w:b w:val="1"/>
                <w:bCs w:val="1"/>
                <w:color w:val="auto"/>
                <w:w w:val="90"/>
              </w:rPr>
              <w:t>Allowance</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5"/>
              </w:rPr>
              <w:t>Unpaid</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5"/>
              <w:spacing w:after="0" w:line="113" w:lineRule="exact"/>
              <w:rPr>
                <w:sz w:val="20"/>
                <w:szCs w:val="20"/>
                <w:color w:val="auto"/>
              </w:rPr>
            </w:pPr>
            <w:r>
              <w:rPr>
                <w:rFonts w:ascii="Arial" w:cs="Arial" w:eastAsia="Arial" w:hAnsi="Arial"/>
                <w:sz w:val="13"/>
                <w:szCs w:val="13"/>
                <w:b w:val="1"/>
                <w:bCs w:val="1"/>
                <w:color w:val="auto"/>
                <w:w w:val="90"/>
              </w:rPr>
              <w:t>Allowance</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vMerge w:val="restart"/>
          </w:tcPr>
          <w:p>
            <w:pPr>
              <w:jc w:val="center"/>
              <w:ind w:right="55"/>
              <w:spacing w:after="0"/>
              <w:rPr>
                <w:sz w:val="20"/>
                <w:szCs w:val="20"/>
                <w:color w:val="auto"/>
              </w:rPr>
            </w:pPr>
            <w:r>
              <w:rPr>
                <w:rFonts w:ascii="Arial" w:cs="Arial" w:eastAsia="Arial" w:hAnsi="Arial"/>
                <w:sz w:val="13"/>
                <w:szCs w:val="13"/>
                <w:b w:val="1"/>
                <w:bCs w:val="1"/>
                <w:color w:val="auto"/>
                <w:w w:val="95"/>
              </w:rPr>
              <w:t>Unpaid</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jc w:val="center"/>
              <w:ind w:right="55"/>
              <w:spacing w:after="0" w:line="113" w:lineRule="exact"/>
              <w:rPr>
                <w:sz w:val="20"/>
                <w:szCs w:val="20"/>
                <w:color w:val="auto"/>
              </w:rPr>
            </w:pPr>
            <w:r>
              <w:rPr>
                <w:rFonts w:ascii="Arial" w:cs="Arial" w:eastAsia="Arial" w:hAnsi="Arial"/>
                <w:sz w:val="13"/>
                <w:szCs w:val="13"/>
                <w:b w:val="1"/>
                <w:bCs w:val="1"/>
                <w:color w:val="auto"/>
                <w:w w:val="90"/>
              </w:rPr>
              <w:t>Allowance</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Recorded</w:t>
            </w: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92"/>
              </w:rPr>
              <w:t>for Loan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w w:val="96"/>
              </w:rPr>
              <w:t>Recorded</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92"/>
              </w:rPr>
              <w:t>for Loan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6"/>
              </w:rPr>
              <w:t>Recorded</w:t>
            </w: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92"/>
              </w:rPr>
              <w:t>for Loan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35"/>
              <w:spacing w:after="0" w:line="134" w:lineRule="exact"/>
              <w:rPr>
                <w:sz w:val="20"/>
                <w:szCs w:val="20"/>
                <w:color w:val="auto"/>
              </w:rPr>
            </w:pPr>
            <w:r>
              <w:rPr>
                <w:rFonts w:ascii="Arial" w:cs="Arial" w:eastAsia="Arial" w:hAnsi="Arial"/>
                <w:sz w:val="13"/>
                <w:szCs w:val="13"/>
                <w:b w:val="1"/>
                <w:bCs w:val="1"/>
                <w:color w:val="auto"/>
                <w:w w:val="94"/>
              </w:rPr>
              <w:t>Principal</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180"/>
              <w:spacing w:after="0" w:line="134" w:lineRule="exact"/>
              <w:rPr>
                <w:sz w:val="20"/>
                <w:szCs w:val="20"/>
                <w:color w:val="auto"/>
              </w:rPr>
            </w:pPr>
            <w:r>
              <w:rPr>
                <w:rFonts w:ascii="Arial" w:cs="Arial" w:eastAsia="Arial" w:hAnsi="Arial"/>
                <w:sz w:val="13"/>
                <w:szCs w:val="13"/>
                <w:b w:val="1"/>
                <w:bCs w:val="1"/>
                <w:color w:val="auto"/>
                <w:w w:val="80"/>
              </w:rPr>
              <w:t>Losses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center"/>
              <w:ind w:right="55"/>
              <w:spacing w:after="0" w:line="134" w:lineRule="exact"/>
              <w:rPr>
                <w:sz w:val="20"/>
                <w:szCs w:val="20"/>
                <w:color w:val="auto"/>
              </w:rPr>
            </w:pPr>
            <w:r>
              <w:rPr>
                <w:rFonts w:ascii="Arial" w:cs="Arial" w:eastAsia="Arial" w:hAnsi="Arial"/>
                <w:sz w:val="13"/>
                <w:szCs w:val="13"/>
                <w:b w:val="1"/>
                <w:bCs w:val="1"/>
                <w:color w:val="auto"/>
                <w:w w:val="90"/>
              </w:rPr>
              <w:t>Principal</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0"/>
              </w:rPr>
              <w:t>Losses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center"/>
              <w:ind w:right="55"/>
              <w:spacing w:after="0" w:line="134" w:lineRule="exact"/>
              <w:rPr>
                <w:sz w:val="20"/>
                <w:szCs w:val="20"/>
                <w:color w:val="auto"/>
              </w:rPr>
            </w:pPr>
            <w:r>
              <w:rPr>
                <w:rFonts w:ascii="Arial" w:cs="Arial" w:eastAsia="Arial" w:hAnsi="Arial"/>
                <w:sz w:val="13"/>
                <w:szCs w:val="13"/>
                <w:b w:val="1"/>
                <w:bCs w:val="1"/>
                <w:color w:val="auto"/>
                <w:w w:val="90"/>
              </w:rPr>
              <w:t>Principal</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0"/>
              </w:rPr>
              <w:t>Losses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Arial" w:cs="Arial" w:eastAsia="Arial" w:hAnsi="Arial"/>
                <w:sz w:val="13"/>
                <w:szCs w:val="13"/>
                <w:b w:val="1"/>
                <w:bCs w:val="1"/>
                <w:color w:val="auto"/>
                <w:w w:val="88"/>
              </w:rPr>
              <w:t>Balance</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Investment</w:t>
            </w: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8"/>
              </w:rPr>
              <w:t>Allocated</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Arial" w:cs="Arial" w:eastAsia="Arial" w:hAnsi="Arial"/>
                <w:sz w:val="13"/>
                <w:szCs w:val="13"/>
                <w:b w:val="1"/>
                <w:bCs w:val="1"/>
                <w:color w:val="auto"/>
                <w:w w:val="88"/>
              </w:rPr>
              <w:t>Balance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0"/>
              </w:rPr>
              <w:t>Investment</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Allocated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35"/>
              <w:spacing w:after="0"/>
              <w:rPr>
                <w:sz w:val="20"/>
                <w:szCs w:val="20"/>
                <w:color w:val="auto"/>
              </w:rPr>
            </w:pPr>
            <w:r>
              <w:rPr>
                <w:rFonts w:ascii="Arial" w:cs="Arial" w:eastAsia="Arial" w:hAnsi="Arial"/>
                <w:sz w:val="13"/>
                <w:szCs w:val="13"/>
                <w:b w:val="1"/>
                <w:bCs w:val="1"/>
                <w:color w:val="auto"/>
                <w:w w:val="88"/>
              </w:rPr>
              <w:t>Balance</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Allocated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spacing w:after="0" w:line="134" w:lineRule="exact"/>
              <w:rPr>
                <w:sz w:val="20"/>
                <w:szCs w:val="20"/>
                <w:color w:val="auto"/>
              </w:rPr>
            </w:pPr>
            <w:r>
              <w:rPr>
                <w:rFonts w:ascii="Arial" w:cs="Arial" w:eastAsia="Arial" w:hAnsi="Arial"/>
                <w:sz w:val="13"/>
                <w:szCs w:val="13"/>
                <w:color w:val="auto"/>
              </w:rPr>
              <w:t>With no related allowance recorded:</w:t>
            </w:r>
          </w:p>
        </w:tc>
        <w:tc>
          <w:tcPr>
            <w:tcW w:w="100" w:type="dxa"/>
            <w:vAlign w:val="bottom"/>
            <w:tcBorders>
              <w:top w:val="single" w:sz="8" w:color="auto"/>
            </w:tcBorders>
            <w:shd w:val="clear" w:color="auto" w:fill="F0FFFF"/>
          </w:tcPr>
          <w:p>
            <w:pPr>
              <w:spacing w:after="0"/>
              <w:rPr>
                <w:sz w:val="11"/>
                <w:szCs w:val="11"/>
                <w:color w:val="auto"/>
              </w:rPr>
            </w:pPr>
          </w:p>
        </w:tc>
        <w:tc>
          <w:tcPr>
            <w:tcW w:w="700" w:type="dxa"/>
            <w:vAlign w:val="bottom"/>
            <w:tcBorders>
              <w:top w:val="single" w:sz="8" w:color="auto"/>
            </w:tcBorders>
            <w:shd w:val="clear" w:color="auto" w:fill="F0FFFF"/>
          </w:tcPr>
          <w:p>
            <w:pPr>
              <w:spacing w:after="0"/>
              <w:rPr>
                <w:sz w:val="11"/>
                <w:szCs w:val="11"/>
                <w:color w:val="auto"/>
              </w:rPr>
            </w:pP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740" w:type="dxa"/>
            <w:vAlign w:val="bottom"/>
            <w:tcBorders>
              <w:top w:val="single" w:sz="8" w:color="auto"/>
            </w:tcBorders>
            <w:shd w:val="clear" w:color="auto" w:fill="F0FFFF"/>
          </w:tcPr>
          <w:p>
            <w:pPr>
              <w:spacing w:after="0"/>
              <w:rPr>
                <w:sz w:val="11"/>
                <w:szCs w:val="11"/>
                <w:color w:val="auto"/>
              </w:rPr>
            </w:pPr>
          </w:p>
        </w:tc>
        <w:tc>
          <w:tcPr>
            <w:tcW w:w="160" w:type="dxa"/>
            <w:vAlign w:val="bottom"/>
            <w:tcBorders>
              <w:right w:val="single" w:sz="8" w:color="F0FFFF"/>
            </w:tcBorders>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00" w:type="dxa"/>
            <w:vAlign w:val="bottom"/>
            <w:tcBorders>
              <w:top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00" w:type="dxa"/>
            <w:vAlign w:val="bottom"/>
            <w:tcBorders>
              <w:top w:val="single" w:sz="8" w:color="auto"/>
            </w:tcBorders>
            <w:shd w:val="clear" w:color="auto" w:fill="F0FFFF"/>
          </w:tcPr>
          <w:p>
            <w:pPr>
              <w:spacing w:after="0"/>
              <w:rPr>
                <w:sz w:val="11"/>
                <w:szCs w:val="11"/>
                <w:color w:val="auto"/>
              </w:rPr>
            </w:pP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40" w:type="dxa"/>
            <w:vAlign w:val="bottom"/>
            <w:tcBorders>
              <w:top w:val="single" w:sz="8" w:color="auto"/>
            </w:tcBorders>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4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tcBorders>
              <w:top w:val="single" w:sz="8" w:color="auto"/>
            </w:tcBorders>
            <w:shd w:val="clear" w:color="auto" w:fill="F0FFFF"/>
          </w:tcPr>
          <w:p>
            <w:pPr>
              <w:spacing w:after="0"/>
              <w:rPr>
                <w:sz w:val="11"/>
                <w:szCs w:val="11"/>
                <w:color w:val="auto"/>
              </w:rPr>
            </w:pPr>
          </w:p>
        </w:tc>
        <w:tc>
          <w:tcPr>
            <w:tcW w:w="700" w:type="dxa"/>
            <w:vAlign w:val="bottom"/>
            <w:tcBorders>
              <w:top w:val="single" w:sz="8" w:color="auto"/>
            </w:tcBorders>
            <w:shd w:val="clear" w:color="auto" w:fill="F0FFFF"/>
          </w:tcPr>
          <w:p>
            <w:pPr>
              <w:spacing w:after="0"/>
              <w:rPr>
                <w:sz w:val="11"/>
                <w:szCs w:val="11"/>
                <w:color w:val="auto"/>
              </w:rPr>
            </w:pP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760" w:type="dxa"/>
            <w:vAlign w:val="bottom"/>
            <w:tcBorders>
              <w:top w:val="single" w:sz="8" w:color="auto"/>
            </w:tcBorders>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4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120"/>
              <w:spacing w:after="0" w:line="134" w:lineRule="exact"/>
              <w:rPr>
                <w:sz w:val="20"/>
                <w:szCs w:val="20"/>
                <w:color w:val="auto"/>
              </w:rPr>
            </w:pPr>
            <w:r>
              <w:rPr>
                <w:rFonts w:ascii="Arial" w:cs="Arial" w:eastAsia="Arial" w:hAnsi="Arial"/>
                <w:sz w:val="13"/>
                <w:szCs w:val="13"/>
                <w:color w:val="auto"/>
              </w:rPr>
              <w:t>Owner occupied commercial real estate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11,370</w:t>
            </w:r>
          </w:p>
        </w:tc>
        <w:tc>
          <w:tcPr>
            <w:tcW w:w="24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10,370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17,717</w:t>
            </w:r>
          </w:p>
        </w:tc>
        <w:tc>
          <w:tcPr>
            <w:tcW w:w="28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14,458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20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18,423</w:t>
            </w:r>
          </w:p>
        </w:tc>
        <w:tc>
          <w:tcPr>
            <w:tcW w:w="28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15,059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w w:val="97"/>
              </w:rPr>
              <w:t>Income producing commercial real estate</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9,872</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tcBorders>
              <w:right w:val="single" w:sz="8" w:color="F0FFFF"/>
            </w:tcBorders>
            <w:gridSpan w:val="2"/>
            <w:shd w:val="clear" w:color="auto" w:fill="F0FFFF"/>
          </w:tcPr>
          <w:p>
            <w:pPr>
              <w:jc w:val="right"/>
              <w:ind w:right="160"/>
              <w:spacing w:after="0" w:line="134" w:lineRule="exact"/>
              <w:rPr>
                <w:sz w:val="20"/>
                <w:szCs w:val="20"/>
                <w:color w:val="auto"/>
              </w:rPr>
            </w:pPr>
            <w:r>
              <w:rPr>
                <w:rFonts w:ascii="Arial" w:cs="Arial" w:eastAsia="Arial" w:hAnsi="Arial"/>
                <w:sz w:val="13"/>
                <w:szCs w:val="13"/>
                <w:color w:val="auto"/>
              </w:rPr>
              <w:t>9,872</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12,644</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9,747</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6,643</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5,325</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120"/>
              <w:spacing w:after="0" w:line="134" w:lineRule="exact"/>
              <w:rPr>
                <w:sz w:val="20"/>
                <w:szCs w:val="20"/>
                <w:color w:val="auto"/>
              </w:rPr>
            </w:pPr>
            <w:r>
              <w:rPr>
                <w:rFonts w:ascii="Arial" w:cs="Arial" w:eastAsia="Arial" w:hAnsi="Arial"/>
                <w:sz w:val="13"/>
                <w:szCs w:val="13"/>
                <w:color w:val="auto"/>
              </w:rPr>
              <w:t>Commercial &amp; industrial</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2,178</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1,560</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2,252</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2,252</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235</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235</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Commercial construction</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974</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974</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1,127</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1,127</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6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lef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260"/>
              <w:spacing w:after="0" w:line="134" w:lineRule="exact"/>
              <w:rPr>
                <w:sz w:val="20"/>
                <w:szCs w:val="20"/>
                <w:color w:val="auto"/>
              </w:rPr>
            </w:pPr>
            <w:r>
              <w:rPr>
                <w:rFonts w:ascii="Arial" w:cs="Arial" w:eastAsia="Arial" w:hAnsi="Arial"/>
                <w:sz w:val="13"/>
                <w:szCs w:val="13"/>
                <w:color w:val="auto"/>
              </w:rPr>
              <w:t>Total commercial</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23,420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21,802</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33,587</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27,431</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26,428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21,746</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Residential mortgage</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1,319</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tcBorders>
              <w:right w:val="single" w:sz="8" w:color="F0FFFF"/>
            </w:tcBorders>
            <w:gridSpan w:val="2"/>
            <w:shd w:val="clear" w:color="auto" w:fill="F0FFFF"/>
          </w:tcPr>
          <w:p>
            <w:pPr>
              <w:jc w:val="right"/>
              <w:ind w:right="160"/>
              <w:spacing w:after="0" w:line="134" w:lineRule="exact"/>
              <w:rPr>
                <w:sz w:val="20"/>
                <w:szCs w:val="20"/>
                <w:color w:val="auto"/>
              </w:rPr>
            </w:pPr>
            <w:r>
              <w:rPr>
                <w:rFonts w:ascii="Arial" w:cs="Arial" w:eastAsia="Arial" w:hAnsi="Arial"/>
                <w:sz w:val="13"/>
                <w:szCs w:val="13"/>
                <w:color w:val="auto"/>
              </w:rPr>
              <w:t>954</w:t>
            </w: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4,496</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3,634</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4,768</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3,729</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120"/>
              <w:spacing w:after="0" w:line="134" w:lineRule="exact"/>
              <w:rPr>
                <w:sz w:val="20"/>
                <w:szCs w:val="20"/>
                <w:color w:val="auto"/>
              </w:rPr>
            </w:pPr>
            <w:r>
              <w:rPr>
                <w:rFonts w:ascii="Arial" w:cs="Arial" w:eastAsia="Arial" w:hAnsi="Arial"/>
                <w:sz w:val="13"/>
                <w:szCs w:val="13"/>
                <w:color w:val="auto"/>
              </w:rPr>
              <w:t>Home equity lines of credit</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Residential construction</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5,460</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tcBorders>
              <w:right w:val="single" w:sz="8" w:color="F0FFFF"/>
            </w:tcBorders>
            <w:gridSpan w:val="2"/>
            <w:shd w:val="clear" w:color="auto" w:fill="F0FFFF"/>
          </w:tcPr>
          <w:p>
            <w:pPr>
              <w:jc w:val="right"/>
              <w:ind w:right="160"/>
              <w:spacing w:after="0" w:line="134" w:lineRule="exact"/>
              <w:rPr>
                <w:sz w:val="20"/>
                <w:szCs w:val="20"/>
                <w:color w:val="auto"/>
              </w:rPr>
            </w:pPr>
            <w:r>
              <w:rPr>
                <w:rFonts w:ascii="Arial" w:cs="Arial" w:eastAsia="Arial" w:hAnsi="Arial"/>
                <w:sz w:val="13"/>
                <w:szCs w:val="13"/>
                <w:color w:val="auto"/>
              </w:rPr>
              <w:t>4,172</w:t>
            </w: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9,462</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7,807</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9,101</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7,364</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120"/>
              <w:spacing w:after="0" w:line="134" w:lineRule="exact"/>
              <w:rPr>
                <w:sz w:val="20"/>
                <w:szCs w:val="20"/>
                <w:color w:val="auto"/>
              </w:rPr>
            </w:pPr>
            <w:r>
              <w:rPr>
                <w:rFonts w:ascii="Arial" w:cs="Arial" w:eastAsia="Arial" w:hAnsi="Arial"/>
                <w:sz w:val="13"/>
                <w:szCs w:val="13"/>
                <w:color w:val="auto"/>
              </w:rPr>
              <w:t>Consumer installment</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Indirect auto</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6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lef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2460" w:type="dxa"/>
            <w:vAlign w:val="bottom"/>
          </w:tcPr>
          <w:p>
            <w:pPr>
              <w:ind w:left="260"/>
              <w:spacing w:after="0" w:line="134" w:lineRule="exact"/>
              <w:rPr>
                <w:sz w:val="20"/>
                <w:szCs w:val="20"/>
                <w:color w:val="auto"/>
              </w:rPr>
            </w:pPr>
            <w:r>
              <w:rPr>
                <w:rFonts w:ascii="Arial" w:cs="Arial" w:eastAsia="Arial" w:hAnsi="Arial"/>
                <w:sz w:val="13"/>
                <w:szCs w:val="13"/>
                <w:color w:val="auto"/>
                <w:w w:val="93"/>
              </w:rPr>
              <w:t>Total with no related allowance recorded</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30,199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26,928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47,545</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38,872</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40,297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32,839</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46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00" w:type="dxa"/>
            <w:vAlign w:val="bottom"/>
            <w:tcBorders>
              <w:top w:val="single" w:sz="8" w:color="auto"/>
            </w:tcBorders>
            <w:shd w:val="clear" w:color="auto" w:fill="F0FFFF"/>
          </w:tcPr>
          <w:p>
            <w:pPr>
              <w:spacing w:after="0"/>
              <w:rPr>
                <w:sz w:val="11"/>
                <w:szCs w:val="11"/>
                <w:color w:val="auto"/>
              </w:rPr>
            </w:pP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740" w:type="dxa"/>
            <w:vAlign w:val="bottom"/>
            <w:tcBorders>
              <w:top w:val="single" w:sz="8" w:color="auto"/>
            </w:tcBorders>
            <w:shd w:val="clear" w:color="auto" w:fill="F0FFFF"/>
          </w:tcPr>
          <w:p>
            <w:pPr>
              <w:spacing w:after="0"/>
              <w:rPr>
                <w:sz w:val="11"/>
                <w:szCs w:val="11"/>
                <w:color w:val="auto"/>
              </w:rPr>
            </w:pPr>
          </w:p>
        </w:tc>
        <w:tc>
          <w:tcPr>
            <w:tcW w:w="160" w:type="dxa"/>
            <w:vAlign w:val="bottom"/>
            <w:tcBorders>
              <w:right w:val="single" w:sz="8" w:color="F0FFFF"/>
            </w:tcBorders>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00" w:type="dxa"/>
            <w:vAlign w:val="bottom"/>
            <w:tcBorders>
              <w:top w:val="single" w:sz="8" w:color="auto"/>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00" w:type="dxa"/>
            <w:vAlign w:val="bottom"/>
            <w:tcBorders>
              <w:top w:val="single" w:sz="8" w:color="auto"/>
            </w:tcBorders>
            <w:shd w:val="clear" w:color="auto" w:fill="F0FFFF"/>
          </w:tcPr>
          <w:p>
            <w:pPr>
              <w:spacing w:after="0"/>
              <w:rPr>
                <w:sz w:val="11"/>
                <w:szCs w:val="11"/>
                <w:color w:val="auto"/>
              </w:rPr>
            </w:pP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40" w:type="dxa"/>
            <w:vAlign w:val="bottom"/>
            <w:tcBorders>
              <w:top w:val="single" w:sz="8" w:color="auto"/>
            </w:tcBorders>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4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tcBorders>
              <w:top w:val="single" w:sz="8" w:color="auto"/>
            </w:tcBorders>
            <w:shd w:val="clear" w:color="auto" w:fill="F0FFFF"/>
          </w:tcPr>
          <w:p>
            <w:pPr>
              <w:spacing w:after="0"/>
              <w:rPr>
                <w:sz w:val="11"/>
                <w:szCs w:val="11"/>
                <w:color w:val="auto"/>
              </w:rPr>
            </w:pPr>
          </w:p>
        </w:tc>
        <w:tc>
          <w:tcPr>
            <w:tcW w:w="700" w:type="dxa"/>
            <w:vAlign w:val="bottom"/>
            <w:tcBorders>
              <w:top w:val="single" w:sz="8" w:color="auto"/>
            </w:tcBorders>
            <w:shd w:val="clear" w:color="auto" w:fill="F0FFFF"/>
          </w:tcPr>
          <w:p>
            <w:pPr>
              <w:spacing w:after="0"/>
              <w:rPr>
                <w:sz w:val="11"/>
                <w:szCs w:val="11"/>
                <w:color w:val="auto"/>
              </w:rPr>
            </w:pP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tcBorders>
              <w:top w:val="single" w:sz="8" w:color="auto"/>
            </w:tcBorders>
            <w:shd w:val="clear" w:color="auto" w:fill="F0FFFF"/>
          </w:tcPr>
          <w:p>
            <w:pPr>
              <w:spacing w:after="0"/>
              <w:rPr>
                <w:sz w:val="11"/>
                <w:szCs w:val="11"/>
                <w:color w:val="auto"/>
              </w:rPr>
            </w:pPr>
          </w:p>
        </w:tc>
        <w:tc>
          <w:tcPr>
            <w:tcW w:w="760" w:type="dxa"/>
            <w:vAlign w:val="bottom"/>
            <w:tcBorders>
              <w:top w:val="single" w:sz="8" w:color="auto"/>
            </w:tcBorders>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00" w:type="dxa"/>
            <w:vAlign w:val="bottom"/>
            <w:tcBorders>
              <w:top w:val="single" w:sz="8" w:color="auto"/>
            </w:tcBorders>
            <w:shd w:val="clear" w:color="auto" w:fill="F0FFFF"/>
          </w:tcPr>
          <w:p>
            <w:pPr>
              <w:spacing w:after="0"/>
              <w:rPr>
                <w:sz w:val="11"/>
                <w:szCs w:val="11"/>
                <w:color w:val="auto"/>
              </w:rPr>
            </w:pPr>
          </w:p>
        </w:tc>
        <w:tc>
          <w:tcPr>
            <w:tcW w:w="740" w:type="dxa"/>
            <w:vAlign w:val="bottom"/>
            <w:tcBorders>
              <w:top w:val="single" w:sz="8" w:color="auto"/>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460" w:type="dxa"/>
            <w:vAlign w:val="bottom"/>
          </w:tcPr>
          <w:p>
            <w:pPr>
              <w:spacing w:after="0" w:line="134" w:lineRule="exact"/>
              <w:rPr>
                <w:sz w:val="20"/>
                <w:szCs w:val="20"/>
                <w:color w:val="auto"/>
              </w:rPr>
            </w:pPr>
            <w:r>
              <w:rPr>
                <w:rFonts w:ascii="Arial" w:cs="Arial" w:eastAsia="Arial" w:hAnsi="Arial"/>
                <w:sz w:val="13"/>
                <w:szCs w:val="13"/>
                <w:color w:val="auto"/>
              </w:rPr>
              <w:t>With an allowance recorded: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Owner occupied commercial real estate</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24,828</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tcBorders>
              <w:right w:val="single" w:sz="8" w:color="F0FFFF"/>
            </w:tcBorders>
            <w:gridSpan w:val="2"/>
            <w:shd w:val="clear" w:color="auto" w:fill="F0FFFF"/>
          </w:tcPr>
          <w:p>
            <w:pPr>
              <w:jc w:val="right"/>
              <w:ind w:right="160"/>
              <w:spacing w:after="0" w:line="134" w:lineRule="exact"/>
              <w:rPr>
                <w:sz w:val="20"/>
                <w:szCs w:val="20"/>
                <w:color w:val="auto"/>
              </w:rPr>
            </w:pPr>
            <w:r>
              <w:rPr>
                <w:rFonts w:ascii="Arial" w:cs="Arial" w:eastAsia="Arial" w:hAnsi="Arial"/>
                <w:sz w:val="13"/>
                <w:szCs w:val="13"/>
                <w:color w:val="auto"/>
              </w:rPr>
              <w:t>23,265</w:t>
            </w: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2,125</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18,595</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18,513</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1,023</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16,163</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16,079</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770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120"/>
              <w:spacing w:after="0" w:line="134" w:lineRule="exact"/>
              <w:rPr>
                <w:sz w:val="20"/>
                <w:szCs w:val="20"/>
                <w:color w:val="auto"/>
              </w:rPr>
            </w:pPr>
            <w:r>
              <w:rPr>
                <w:rFonts w:ascii="Arial" w:cs="Arial" w:eastAsia="Arial" w:hAnsi="Arial"/>
                <w:sz w:val="13"/>
                <w:szCs w:val="13"/>
                <w:color w:val="auto"/>
                <w:w w:val="97"/>
              </w:rPr>
              <w:t>Income producing commercial real estate</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16,797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16,248</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2,380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17,490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17,490</w:t>
            </w:r>
          </w:p>
        </w:tc>
        <w:tc>
          <w:tcPr>
            <w:tcW w:w="1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990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20,020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18,000</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1,205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Commercial &amp; industrial</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2,980</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tcBorders>
              <w:right w:val="single" w:sz="8" w:color="F0FFFF"/>
            </w:tcBorders>
            <w:gridSpan w:val="2"/>
            <w:shd w:val="clear" w:color="auto" w:fill="F0FFFF"/>
          </w:tcPr>
          <w:p>
            <w:pPr>
              <w:jc w:val="right"/>
              <w:ind w:right="160"/>
              <w:spacing w:after="0" w:line="134" w:lineRule="exact"/>
              <w:rPr>
                <w:sz w:val="20"/>
                <w:szCs w:val="20"/>
                <w:color w:val="auto"/>
              </w:rPr>
            </w:pPr>
            <w:r>
              <w:rPr>
                <w:rFonts w:ascii="Arial" w:cs="Arial" w:eastAsia="Arial" w:hAnsi="Arial"/>
                <w:sz w:val="13"/>
                <w:szCs w:val="13"/>
                <w:color w:val="auto"/>
              </w:rPr>
              <w:t>2,980</w:t>
            </w: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26</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2,248</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1,965</w:t>
            </w:r>
          </w:p>
        </w:tc>
        <w:tc>
          <w:tcPr>
            <w:tcW w:w="10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66</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4,002</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3,870</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546</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120"/>
              <w:spacing w:after="0" w:line="134" w:lineRule="exact"/>
              <w:rPr>
                <w:sz w:val="20"/>
                <w:szCs w:val="20"/>
                <w:color w:val="auto"/>
              </w:rPr>
            </w:pPr>
            <w:r>
              <w:rPr>
                <w:rFonts w:ascii="Arial" w:cs="Arial" w:eastAsia="Arial" w:hAnsi="Arial"/>
                <w:sz w:val="13"/>
                <w:szCs w:val="13"/>
                <w:color w:val="auto"/>
              </w:rPr>
              <w:t>Commercial construction</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12,281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12,127</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1,164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12,821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12,741</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12,430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12,351</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color w:val="auto"/>
              </w:rPr>
              <w:t>Total commercial</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56,886</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54,620</w:t>
            </w:r>
          </w:p>
        </w:tc>
        <w:tc>
          <w:tcPr>
            <w:tcW w:w="16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5,695</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51,154</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50,709</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2,191</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52,615</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50,300</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2,671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120"/>
              <w:spacing w:after="0" w:line="134" w:lineRule="exact"/>
              <w:rPr>
                <w:sz w:val="20"/>
                <w:szCs w:val="20"/>
                <w:color w:val="auto"/>
              </w:rPr>
            </w:pPr>
            <w:r>
              <w:rPr>
                <w:rFonts w:ascii="Arial" w:cs="Arial" w:eastAsia="Arial" w:hAnsi="Arial"/>
                <w:sz w:val="13"/>
                <w:szCs w:val="13"/>
                <w:color w:val="auto"/>
              </w:rPr>
              <w:t>Residential mortgage</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18,657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17,824</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3,501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17,119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16,533</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2,914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15,598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15,241</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2,008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Home equity lines of credit</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531</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tcBorders>
              <w:right w:val="single" w:sz="8" w:color="F0FFFF"/>
            </w:tcBorders>
            <w:gridSpan w:val="2"/>
            <w:shd w:val="clear" w:color="auto" w:fill="F0FFFF"/>
          </w:tcPr>
          <w:p>
            <w:pPr>
              <w:jc w:val="right"/>
              <w:ind w:right="160"/>
              <w:spacing w:after="0" w:line="134" w:lineRule="exact"/>
              <w:rPr>
                <w:sz w:val="20"/>
                <w:szCs w:val="20"/>
                <w:color w:val="auto"/>
              </w:rPr>
            </w:pPr>
            <w:r>
              <w:rPr>
                <w:rFonts w:ascii="Arial" w:cs="Arial" w:eastAsia="Arial" w:hAnsi="Arial"/>
                <w:sz w:val="13"/>
                <w:szCs w:val="13"/>
                <w:color w:val="auto"/>
              </w:rPr>
              <w:t>531</w:t>
            </w: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51</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505</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505</w:t>
            </w:r>
          </w:p>
        </w:tc>
        <w:tc>
          <w:tcPr>
            <w:tcW w:w="10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120"/>
              <w:spacing w:after="0" w:line="134" w:lineRule="exact"/>
              <w:rPr>
                <w:sz w:val="20"/>
                <w:szCs w:val="20"/>
                <w:color w:val="auto"/>
              </w:rPr>
            </w:pPr>
            <w:r>
              <w:rPr>
                <w:rFonts w:ascii="Arial" w:cs="Arial" w:eastAsia="Arial" w:hAnsi="Arial"/>
                <w:sz w:val="13"/>
                <w:szCs w:val="13"/>
                <w:color w:val="auto"/>
              </w:rPr>
              <w:t>Residential construction</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9,427</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8,883</w:t>
            </w: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1,037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8,469</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7,001</w:t>
            </w:r>
          </w:p>
        </w:tc>
        <w:tc>
          <w:tcPr>
            <w:tcW w:w="10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688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7,257</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6,757</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662</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Consumer installment</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245</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00" w:type="dxa"/>
            <w:vAlign w:val="bottom"/>
            <w:tcBorders>
              <w:right w:val="single" w:sz="8" w:color="F0FFFF"/>
            </w:tcBorders>
            <w:gridSpan w:val="2"/>
            <w:shd w:val="clear" w:color="auto" w:fill="F0FFFF"/>
          </w:tcPr>
          <w:p>
            <w:pPr>
              <w:jc w:val="right"/>
              <w:ind w:right="160"/>
              <w:spacing w:after="0" w:line="134" w:lineRule="exact"/>
              <w:rPr>
                <w:sz w:val="20"/>
                <w:szCs w:val="20"/>
                <w:color w:val="auto"/>
              </w:rPr>
            </w:pPr>
            <w:r>
              <w:rPr>
                <w:rFonts w:ascii="Arial" w:cs="Arial" w:eastAsia="Arial" w:hAnsi="Arial"/>
                <w:sz w:val="13"/>
                <w:szCs w:val="13"/>
                <w:color w:val="auto"/>
              </w:rPr>
              <w:t>245</w:t>
            </w: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23</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999</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999</w:t>
            </w:r>
          </w:p>
        </w:tc>
        <w:tc>
          <w:tcPr>
            <w:tcW w:w="10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224</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214</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204</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120"/>
              <w:spacing w:after="0" w:line="134" w:lineRule="exact"/>
              <w:rPr>
                <w:sz w:val="20"/>
                <w:szCs w:val="20"/>
                <w:color w:val="auto"/>
              </w:rPr>
            </w:pPr>
            <w:r>
              <w:rPr>
                <w:rFonts w:ascii="Arial" w:cs="Arial" w:eastAsia="Arial" w:hAnsi="Arial"/>
                <w:sz w:val="13"/>
                <w:szCs w:val="13"/>
                <w:color w:val="auto"/>
              </w:rPr>
              <w:t>Indirect auto</w:t>
            </w: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color w:val="auto"/>
              </w:rPr>
              <w:t>Total with an allowance recorded</w:t>
            </w: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85,746</w:t>
            </w:r>
          </w:p>
        </w:tc>
        <w:tc>
          <w:tcPr>
            <w:tcW w:w="16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82,103</w:t>
            </w:r>
          </w:p>
        </w:tc>
        <w:tc>
          <w:tcPr>
            <w:tcW w:w="16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8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10,307</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78,246</w:t>
            </w:r>
          </w:p>
        </w:tc>
        <w:tc>
          <w:tcPr>
            <w:tcW w:w="180" w:type="dxa"/>
            <w:vAlign w:val="bottom"/>
            <w:tcBorders>
              <w:lef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75,747</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6,022</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75,684</w:t>
            </w:r>
          </w:p>
        </w:tc>
        <w:tc>
          <w:tcPr>
            <w:tcW w:w="200" w:type="dxa"/>
            <w:vAlign w:val="bottom"/>
            <w:tcBorders>
              <w:lef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72,502</w:t>
            </w:r>
          </w:p>
        </w:tc>
        <w:tc>
          <w:tcPr>
            <w:tcW w:w="10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5,352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46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60" w:type="dxa"/>
            <w:vAlign w:val="bottom"/>
            <w:tcBorders>
              <w:lef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Borders>
              <w:lef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60" w:type="dxa"/>
            <w:vAlign w:val="bottom"/>
          </w:tcPr>
          <w:p>
            <w:pPr>
              <w:ind w:left="420"/>
              <w:spacing w:after="0" w:line="134" w:lineRule="exact"/>
              <w:rPr>
                <w:sz w:val="20"/>
                <w:szCs w:val="20"/>
                <w:color w:val="auto"/>
              </w:rPr>
            </w:pPr>
            <w:r>
              <w:rPr>
                <w:rFonts w:ascii="Arial" w:cs="Arial" w:eastAsia="Arial" w:hAnsi="Arial"/>
                <w:sz w:val="13"/>
                <w:szCs w:val="13"/>
                <w:color w:val="auto"/>
              </w:rPr>
              <w:t>Total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115,945</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109,031</w:t>
            </w:r>
          </w:p>
        </w:tc>
        <w:tc>
          <w:tcPr>
            <w:tcW w:w="160" w:type="dxa"/>
            <w:vAlign w:val="bottom"/>
          </w:tcPr>
          <w:p>
            <w:pPr>
              <w:spacing w:after="0"/>
              <w:rPr>
                <w:sz w:val="11"/>
                <w:szCs w:val="11"/>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10,307</w:t>
            </w:r>
          </w:p>
        </w:tc>
        <w:tc>
          <w:tcPr>
            <w:tcW w:w="20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125,791</w:t>
            </w:r>
          </w:p>
        </w:tc>
        <w:tc>
          <w:tcPr>
            <w:tcW w:w="28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114,619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6,022</w:t>
            </w:r>
          </w:p>
        </w:tc>
        <w:tc>
          <w:tcPr>
            <w:tcW w:w="20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115,981</w:t>
            </w:r>
          </w:p>
        </w:tc>
        <w:tc>
          <w:tcPr>
            <w:tcW w:w="28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105,341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5,352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There were no loans more than 90 days past due and still accruing interest at September 30, 2014, December 31, 2013 or September 30, 2013.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7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gross additional interest revenue that would have been earned if the loans classified as nonaccrual had performed in accordance with the original terms was approximately $705,000 and $346,000 for the three months ended September 30, 2014 and 2013, respectively, and $1.37 million and $1.69 million for the nine months ended September 30, 2014 and 2013, respectively. The gross additional interest revenue that would have been earned for the three and nine months ended September 30, 2014 and 2013 had performing TDRs performed in accordance with the original terms is immaterial.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14" w:right="21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The average balances of impaired loans and income recognized on impaired loans while they were considered impaired are presented below for the three and nine months ended September 30, 2014 and 2013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77"/>
        </w:trPr>
        <w:tc>
          <w:tcPr>
            <w:tcW w:w="3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360"/>
              <w:spacing w:after="0" w:line="178" w:lineRule="exact"/>
              <w:rPr>
                <w:sz w:val="20"/>
                <w:szCs w:val="20"/>
                <w:color w:val="auto"/>
              </w:rPr>
            </w:pPr>
            <w:r>
              <w:rPr>
                <w:rFonts w:ascii="Arial" w:cs="Arial" w:eastAsia="Arial" w:hAnsi="Arial"/>
                <w:sz w:val="16"/>
                <w:szCs w:val="16"/>
                <w:b w:val="1"/>
                <w:bCs w:val="1"/>
                <w:color w:val="auto"/>
                <w:w w:val="89"/>
              </w:rPr>
              <w:t>Interest</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20"/>
              <w:spacing w:after="0" w:line="178" w:lineRule="exact"/>
              <w:rPr>
                <w:sz w:val="20"/>
                <w:szCs w:val="20"/>
                <w:color w:val="auto"/>
              </w:rPr>
            </w:pPr>
            <w:r>
              <w:rPr>
                <w:rFonts w:ascii="Arial" w:cs="Arial" w:eastAsia="Arial" w:hAnsi="Arial"/>
                <w:sz w:val="16"/>
                <w:szCs w:val="16"/>
                <w:b w:val="1"/>
                <w:bCs w:val="1"/>
                <w:color w:val="auto"/>
                <w:w w:val="93"/>
              </w:rPr>
              <w:t>Interest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4"/>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Revenue</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Cash Basis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Revenue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Cash Basis</w:t>
            </w:r>
          </w:p>
        </w:tc>
      </w:tr>
      <w:tr>
        <w:trPr>
          <w:trHeight w:val="194"/>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Recognized</w:t>
            </w:r>
          </w:p>
        </w:tc>
        <w:tc>
          <w:tcPr>
            <w:tcW w:w="14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Interest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Recognized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Interest</w:t>
            </w:r>
          </w:p>
        </w:tc>
      </w:tr>
      <w:tr>
        <w:trPr>
          <w:trHeight w:val="194"/>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3"/>
              </w:rPr>
              <w:t>During</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Revenue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6"/>
              </w:rPr>
              <w:t>During</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Revenue</w:t>
            </w:r>
          </w:p>
        </w:tc>
      </w:tr>
      <w:tr>
        <w:trPr>
          <w:trHeight w:val="215"/>
        </w:trPr>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Balance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7"/>
              </w:rPr>
              <w:t>Impairment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Received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5"/>
              </w:rPr>
              <w:t>Impairment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Received</w:t>
            </w:r>
          </w:p>
        </w:tc>
        <w:tc>
          <w:tcPr>
            <w:tcW w:w="120" w:type="dxa"/>
            <w:vAlign w:val="bottom"/>
          </w:tcPr>
          <w:p>
            <w:pPr>
              <w:spacing w:after="0"/>
              <w:rPr>
                <w:sz w:val="18"/>
                <w:szCs w:val="18"/>
                <w:color w:val="auto"/>
              </w:rPr>
            </w:pPr>
          </w:p>
        </w:tc>
      </w:tr>
      <w:tr>
        <w:trPr>
          <w:trHeight w:val="194"/>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33,715</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430</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448</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31,695</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737</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861</w:t>
            </w:r>
          </w:p>
        </w:tc>
      </w:tr>
      <w:tr>
        <w:trPr>
          <w:trHeight w:val="194"/>
        </w:trPr>
        <w:tc>
          <w:tcPr>
            <w:tcW w:w="3220" w:type="dxa"/>
            <w:vAlign w:val="bottom"/>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26,622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325</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341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23,608</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599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600</w:t>
            </w:r>
          </w:p>
        </w:tc>
      </w:tr>
      <w:tr>
        <w:trPr>
          <w:trHeight w:val="194"/>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Commercial &amp; industrial</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4,698</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43</w:t>
            </w:r>
          </w:p>
        </w:tc>
        <w:tc>
          <w:tcPr>
            <w:tcW w:w="140" w:type="dxa"/>
            <w:vAlign w:val="bottom"/>
            <w:shd w:val="clear" w:color="auto" w:fill="F0FFFF"/>
          </w:tcPr>
          <w:p>
            <w:pPr>
              <w:spacing w:after="0"/>
              <w:rPr>
                <w:sz w:val="16"/>
                <w:szCs w:val="16"/>
                <w:color w:val="auto"/>
              </w:rPr>
            </w:pP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85</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4,189</w:t>
            </w: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104</w:t>
            </w:r>
          </w:p>
        </w:tc>
      </w:tr>
      <w:tr>
        <w:trPr>
          <w:trHeight w:val="194"/>
        </w:trPr>
        <w:tc>
          <w:tcPr>
            <w:tcW w:w="3220" w:type="dxa"/>
            <w:vAlign w:val="bottom"/>
          </w:tcPr>
          <w:p>
            <w:pPr>
              <w:ind w:left="140"/>
              <w:spacing w:after="0"/>
              <w:rPr>
                <w:sz w:val="20"/>
                <w:szCs w:val="20"/>
                <w:color w:val="auto"/>
              </w:rPr>
            </w:pPr>
            <w:r>
              <w:rPr>
                <w:rFonts w:ascii="Arial" w:cs="Arial" w:eastAsia="Arial" w:hAnsi="Arial"/>
                <w:sz w:val="16"/>
                <w:szCs w:val="16"/>
                <w:color w:val="auto"/>
              </w:rPr>
              <w:t>Commercial construction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12,203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119</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13,501</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246</w:t>
            </w:r>
          </w:p>
        </w:tc>
      </w:tr>
      <w:tr>
        <w:trPr>
          <w:trHeight w:val="24"/>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3220" w:type="dxa"/>
            <w:vAlign w:val="bottom"/>
            <w:shd w:val="clear" w:color="auto" w:fill="F0FFFF"/>
          </w:tcPr>
          <w:p>
            <w:pPr>
              <w:ind w:left="280"/>
              <w:spacing w:after="0"/>
              <w:rPr>
                <w:sz w:val="20"/>
                <w:szCs w:val="20"/>
                <w:color w:val="auto"/>
              </w:rPr>
            </w:pPr>
            <w:r>
              <w:rPr>
                <w:rFonts w:ascii="Arial" w:cs="Arial" w:eastAsia="Arial" w:hAnsi="Arial"/>
                <w:sz w:val="16"/>
                <w:szCs w:val="16"/>
                <w:color w:val="auto"/>
              </w:rPr>
              <w:t>Total commercial</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77,238</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917</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970</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72,993</w:t>
            </w: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1,694</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1,811</w:t>
            </w:r>
          </w:p>
        </w:tc>
      </w:tr>
      <w:tr>
        <w:trPr>
          <w:trHeight w:val="194"/>
        </w:trPr>
        <w:tc>
          <w:tcPr>
            <w:tcW w:w="3220" w:type="dxa"/>
            <w:vAlign w:val="bottom"/>
          </w:tcPr>
          <w:p>
            <w:pPr>
              <w:ind w:left="140"/>
              <w:spacing w:after="0"/>
              <w:rPr>
                <w:sz w:val="20"/>
                <w:szCs w:val="20"/>
                <w:color w:val="auto"/>
              </w:rPr>
            </w:pPr>
            <w:r>
              <w:rPr>
                <w:rFonts w:ascii="Arial" w:cs="Arial" w:eastAsia="Arial" w:hAnsi="Arial"/>
                <w:sz w:val="16"/>
                <w:szCs w:val="16"/>
                <w:color w:val="auto"/>
              </w:rPr>
              <w:t>Residential mortgage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19,235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215</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18,548</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435</w:t>
            </w:r>
          </w:p>
        </w:tc>
      </w:tr>
      <w:tr>
        <w:trPr>
          <w:trHeight w:val="194"/>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Home equity lines of credit</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538</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w:t>
            </w:r>
          </w:p>
        </w:tc>
      </w:tr>
      <w:tr>
        <w:trPr>
          <w:trHeight w:val="194"/>
        </w:trPr>
        <w:tc>
          <w:tcPr>
            <w:tcW w:w="3220" w:type="dxa"/>
            <w:vAlign w:val="bottom"/>
          </w:tcPr>
          <w:p>
            <w:pPr>
              <w:ind w:left="140"/>
              <w:spacing w:after="0"/>
              <w:rPr>
                <w:sz w:val="20"/>
                <w:szCs w:val="20"/>
                <w:color w:val="auto"/>
              </w:rPr>
            </w:pPr>
            <w:r>
              <w:rPr>
                <w:rFonts w:ascii="Arial" w:cs="Arial" w:eastAsia="Arial" w:hAnsi="Arial"/>
                <w:sz w:val="16"/>
                <w:szCs w:val="16"/>
                <w:color w:val="auto"/>
              </w:rPr>
              <w:t>Residential construction</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13,146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14,136</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307</w:t>
            </w:r>
          </w:p>
        </w:tc>
      </w:tr>
      <w:tr>
        <w:trPr>
          <w:trHeight w:val="194"/>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Consumer installment</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251</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w:t>
            </w:r>
          </w:p>
        </w:tc>
      </w:tr>
      <w:tr>
        <w:trPr>
          <w:trHeight w:val="194"/>
        </w:trPr>
        <w:tc>
          <w:tcPr>
            <w:tcW w:w="3220" w:type="dxa"/>
            <w:vAlign w:val="bottom"/>
          </w:tcPr>
          <w:p>
            <w:pPr>
              <w:ind w:left="140"/>
              <w:spacing w:after="0"/>
              <w:rPr>
                <w:sz w:val="20"/>
                <w:szCs w:val="20"/>
                <w:color w:val="auto"/>
              </w:rPr>
            </w:pPr>
            <w:r>
              <w:rPr>
                <w:rFonts w:ascii="Arial" w:cs="Arial" w:eastAsia="Arial" w:hAnsi="Arial"/>
                <w:sz w:val="16"/>
                <w:szCs w:val="16"/>
                <w:color w:val="auto"/>
              </w:rPr>
              <w:t>Indirect auto</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4"/>
        </w:trPr>
        <w:tc>
          <w:tcPr>
            <w:tcW w:w="3220" w:type="dxa"/>
            <w:vAlign w:val="bottom"/>
            <w:shd w:val="clear" w:color="auto" w:fill="F0FFFF"/>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110,408</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1,272</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1,325</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106,413</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2,483</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2,571</w:t>
            </w:r>
          </w:p>
        </w:tc>
      </w:tr>
      <w:tr>
        <w:trPr>
          <w:trHeight w:val="183"/>
        </w:trPr>
        <w:tc>
          <w:tcPr>
            <w:tcW w:w="322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Borders>
              <w:top w:val="single" w:sz="8" w:color="F0FF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r>
      <w:tr>
        <w:trPr>
          <w:trHeight w:val="198"/>
        </w:trPr>
        <w:tc>
          <w:tcPr>
            <w:tcW w:w="3220" w:type="dxa"/>
            <w:vAlign w:val="bottom"/>
            <w:tcBorders>
              <w:bottom w:val="single" w:sz="8" w:color="auto"/>
            </w:tcBorders>
            <w:shd w:val="clear" w:color="auto" w:fill="F0FFFF"/>
          </w:tcPr>
          <w:p>
            <w:pPr>
              <w:ind w:left="140"/>
              <w:spacing w:after="0"/>
              <w:rPr>
                <w:sz w:val="20"/>
                <w:szCs w:val="20"/>
                <w:color w:val="auto"/>
              </w:rPr>
            </w:pPr>
            <w:r>
              <w:rPr>
                <w:rFonts w:ascii="Arial" w:cs="Arial" w:eastAsia="Arial" w:hAnsi="Arial"/>
                <w:sz w:val="16"/>
                <w:szCs w:val="16"/>
                <w:b w:val="1"/>
                <w:bCs w:val="1"/>
                <w:color w:val="auto"/>
              </w:rPr>
              <w:t>Nine Months Ended September 30,</w:t>
            </w:r>
          </w:p>
        </w:tc>
        <w:tc>
          <w:tcPr>
            <w:tcW w:w="1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6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04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tcBorders>
            <w:shd w:val="clear" w:color="auto" w:fill="F0FFFF"/>
          </w:tcPr>
          <w:p>
            <w:pPr>
              <w:spacing w:after="0"/>
              <w:rPr>
                <w:sz w:val="17"/>
                <w:szCs w:val="17"/>
                <w:color w:val="auto"/>
              </w:rPr>
            </w:pPr>
          </w:p>
        </w:tc>
        <w:tc>
          <w:tcPr>
            <w:tcW w:w="140" w:type="dxa"/>
            <w:vAlign w:val="bottom"/>
            <w:tcBorders>
              <w:bottom w:val="single" w:sz="8" w:color="F0FFFF"/>
            </w:tcBorders>
            <w:shd w:val="clear" w:color="auto" w:fill="F0FFFF"/>
          </w:tcPr>
          <w:p>
            <w:pPr>
              <w:spacing w:after="0"/>
              <w:rPr>
                <w:sz w:val="17"/>
                <w:szCs w:val="17"/>
                <w:color w:val="auto"/>
              </w:rPr>
            </w:pPr>
          </w:p>
        </w:tc>
        <w:tc>
          <w:tcPr>
            <w:tcW w:w="102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6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020" w:type="dxa"/>
            <w:vAlign w:val="bottom"/>
            <w:tcBorders>
              <w:bottom w:val="single" w:sz="8" w:color="F0FFFF"/>
            </w:tcBorders>
            <w:shd w:val="clear" w:color="auto" w:fill="F0FFFF"/>
          </w:tcPr>
          <w:p>
            <w:pPr>
              <w:spacing w:after="0"/>
              <w:rPr>
                <w:sz w:val="17"/>
                <w:szCs w:val="17"/>
                <w:color w:val="auto"/>
              </w:rPr>
            </w:pPr>
          </w:p>
        </w:tc>
        <w:tc>
          <w:tcPr>
            <w:tcW w:w="1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10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r>
      <w:tr>
        <w:trPr>
          <w:trHeight w:val="194"/>
        </w:trPr>
        <w:tc>
          <w:tcPr>
            <w:tcW w:w="3220" w:type="dxa"/>
            <w:vAlign w:val="bottom"/>
          </w:tcPr>
          <w:p>
            <w:pPr>
              <w:ind w:left="140"/>
              <w:spacing w:after="0"/>
              <w:rPr>
                <w:sz w:val="20"/>
                <w:szCs w:val="20"/>
                <w:color w:val="auto"/>
              </w:rPr>
            </w:pPr>
            <w:r>
              <w:rPr>
                <w:rFonts w:ascii="Arial" w:cs="Arial" w:eastAsia="Arial" w:hAnsi="Arial"/>
                <w:sz w:val="16"/>
                <w:szCs w:val="16"/>
                <w:color w:val="auto"/>
              </w:rPr>
              <w:t>Owner occupied commercial real estate</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31,460</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1,191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1,219</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37,732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1,836</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2,049</w:t>
            </w:r>
          </w:p>
        </w:tc>
      </w:tr>
      <w:tr>
        <w:trPr>
          <w:trHeight w:val="194"/>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Income producing commercial real estate</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26,299</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953</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991</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38,328</w:t>
            </w: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1,077</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1,077</w:t>
            </w:r>
          </w:p>
        </w:tc>
      </w:tr>
      <w:tr>
        <w:trPr>
          <w:trHeight w:val="194"/>
        </w:trPr>
        <w:tc>
          <w:tcPr>
            <w:tcW w:w="3220" w:type="dxa"/>
            <w:vAlign w:val="bottom"/>
          </w:tcPr>
          <w:p>
            <w:pPr>
              <w:ind w:left="140"/>
              <w:spacing w:after="0"/>
              <w:rPr>
                <w:sz w:val="20"/>
                <w:szCs w:val="20"/>
                <w:color w:val="auto"/>
              </w:rPr>
            </w:pPr>
            <w:r>
              <w:rPr>
                <w:rFonts w:ascii="Arial" w:cs="Arial" w:eastAsia="Arial" w:hAnsi="Arial"/>
                <w:sz w:val="16"/>
                <w:szCs w:val="16"/>
                <w:color w:val="auto"/>
              </w:rPr>
              <w:t>Commercial &amp; industrial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4,314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135</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8,821</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803</w:t>
            </w:r>
          </w:p>
        </w:tc>
      </w:tr>
      <w:tr>
        <w:trPr>
          <w:trHeight w:val="194"/>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Commercial construction</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12,086</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335</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338</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14,620</w:t>
            </w: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509</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593</w:t>
            </w:r>
          </w:p>
        </w:tc>
      </w:tr>
      <w:tr>
        <w:trPr>
          <w:trHeight w:val="24"/>
        </w:trPr>
        <w:tc>
          <w:tcPr>
            <w:tcW w:w="32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194"/>
        </w:trPr>
        <w:tc>
          <w:tcPr>
            <w:tcW w:w="3220" w:type="dxa"/>
            <w:vAlign w:val="bottom"/>
          </w:tcPr>
          <w:p>
            <w:pPr>
              <w:ind w:left="280"/>
              <w:spacing w:after="0"/>
              <w:rPr>
                <w:sz w:val="20"/>
                <w:szCs w:val="20"/>
                <w:color w:val="auto"/>
              </w:rPr>
            </w:pPr>
            <w:r>
              <w:rPr>
                <w:rFonts w:ascii="Arial" w:cs="Arial" w:eastAsia="Arial" w:hAnsi="Arial"/>
                <w:sz w:val="16"/>
                <w:szCs w:val="16"/>
                <w:color w:val="auto"/>
              </w:rPr>
              <w:t>Total commercial</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74,159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2,614</w:t>
            </w:r>
          </w:p>
        </w:tc>
        <w:tc>
          <w:tcPr>
            <w:tcW w:w="1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2,734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99,501</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3,755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4,522</w:t>
            </w:r>
          </w:p>
        </w:tc>
      </w:tr>
      <w:tr>
        <w:trPr>
          <w:trHeight w:val="194"/>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Residential mortgage</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20,384</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672</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670</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19,382</w:t>
            </w: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860</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841</w:t>
            </w:r>
          </w:p>
        </w:tc>
      </w:tr>
      <w:tr>
        <w:trPr>
          <w:trHeight w:val="194"/>
        </w:trPr>
        <w:tc>
          <w:tcPr>
            <w:tcW w:w="3220" w:type="dxa"/>
            <w:vAlign w:val="bottom"/>
          </w:tcPr>
          <w:p>
            <w:pPr>
              <w:ind w:left="140"/>
              <w:spacing w:after="0"/>
              <w:rPr>
                <w:sz w:val="20"/>
                <w:szCs w:val="20"/>
                <w:color w:val="auto"/>
              </w:rPr>
            </w:pPr>
            <w:r>
              <w:rPr>
                <w:rFonts w:ascii="Arial" w:cs="Arial" w:eastAsia="Arial" w:hAnsi="Arial"/>
                <w:sz w:val="16"/>
                <w:szCs w:val="16"/>
                <w:color w:val="auto"/>
              </w:rPr>
              <w:t>Home equity lines of credit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6"/>
                <w:szCs w:val="16"/>
                <w:color w:val="auto"/>
              </w:rPr>
            </w:pPr>
          </w:p>
        </w:tc>
      </w:tr>
      <w:tr>
        <w:trPr>
          <w:trHeight w:val="194"/>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Residential construction</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13,315</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452</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14,219</w:t>
            </w: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850</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882</w:t>
            </w:r>
          </w:p>
        </w:tc>
      </w:tr>
      <w:tr>
        <w:trPr>
          <w:trHeight w:val="194"/>
        </w:trPr>
        <w:tc>
          <w:tcPr>
            <w:tcW w:w="3220" w:type="dxa"/>
            <w:vAlign w:val="bottom"/>
          </w:tcPr>
          <w:p>
            <w:pPr>
              <w:ind w:left="140"/>
              <w:spacing w:after="0"/>
              <w:rPr>
                <w:sz w:val="20"/>
                <w:szCs w:val="20"/>
                <w:color w:val="auto"/>
              </w:rPr>
            </w:pPr>
            <w:r>
              <w:rPr>
                <w:rFonts w:ascii="Arial" w:cs="Arial" w:eastAsia="Arial" w:hAnsi="Arial"/>
                <w:sz w:val="16"/>
                <w:szCs w:val="16"/>
                <w:color w:val="auto"/>
              </w:rPr>
              <w:t>Consumer installment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228</w:t>
            </w: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6"/>
                <w:szCs w:val="16"/>
                <w:color w:val="auto"/>
              </w:rPr>
            </w:pPr>
          </w:p>
        </w:tc>
      </w:tr>
      <w:tr>
        <w:trPr>
          <w:trHeight w:val="194"/>
        </w:trPr>
        <w:tc>
          <w:tcPr>
            <w:tcW w:w="3220" w:type="dxa"/>
            <w:vAlign w:val="bottom"/>
            <w:shd w:val="clear" w:color="auto" w:fill="F0FFFF"/>
          </w:tcPr>
          <w:p>
            <w:pPr>
              <w:ind w:left="140"/>
              <w:spacing w:after="0"/>
              <w:rPr>
                <w:sz w:val="20"/>
                <w:szCs w:val="20"/>
                <w:color w:val="auto"/>
              </w:rPr>
            </w:pPr>
            <w:r>
              <w:rPr>
                <w:rFonts w:ascii="Arial" w:cs="Arial" w:eastAsia="Arial" w:hAnsi="Arial"/>
                <w:sz w:val="16"/>
                <w:szCs w:val="16"/>
                <w:color w:val="auto"/>
              </w:rPr>
              <w:t>Indirect auto</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32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194"/>
        </w:trPr>
        <w:tc>
          <w:tcPr>
            <w:tcW w:w="3220" w:type="dxa"/>
            <w:vAlign w:val="bottom"/>
          </w:tcPr>
          <w:p>
            <w:pPr>
              <w:ind w:left="280"/>
              <w:spacing w:after="0"/>
              <w:rPr>
                <w:sz w:val="20"/>
                <w:szCs w:val="20"/>
                <w:color w:val="auto"/>
              </w:rPr>
            </w:pPr>
            <w:r>
              <w:rPr>
                <w:rFonts w:ascii="Arial" w:cs="Arial" w:eastAsia="Arial" w:hAnsi="Arial"/>
                <w:sz w:val="16"/>
                <w:szCs w:val="16"/>
                <w:color w:val="auto"/>
              </w:rPr>
              <w:t>Total</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108,734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3,770</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3,895</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133,854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5,504</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6,283</w:t>
            </w:r>
          </w:p>
        </w:tc>
      </w:tr>
      <w:tr>
        <w:trPr>
          <w:trHeight w:val="20"/>
        </w:trPr>
        <w:tc>
          <w:tcPr>
            <w:tcW w:w="3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95"/>
        </w:trPr>
        <w:tc>
          <w:tcPr>
            <w:tcW w:w="32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jc w:val="right"/>
              <w:spacing w:after="0"/>
              <w:rPr>
                <w:sz w:val="20"/>
                <w:szCs w:val="20"/>
                <w:color w:val="auto"/>
              </w:rPr>
            </w:pPr>
            <w:r>
              <w:rPr>
                <w:rFonts w:ascii="Arial" w:cs="Arial" w:eastAsia="Arial" w:hAnsi="Arial"/>
                <w:sz w:val="16"/>
                <w:szCs w:val="16"/>
                <w:color w:val="auto"/>
              </w:rPr>
              <w:t>20</w:t>
            </w:r>
          </w:p>
        </w:tc>
        <w:tc>
          <w:tcPr>
            <w:tcW w:w="24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40"/>
          </w:cols>
          <w:pgMar w:left="240" w:top="814" w:right="21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following table presents the aging of the recorded investment in past due loans as of September 30, 2014, December 31, 2013 and September 30, 2013 by class of loans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5"/>
          </w:tcPr>
          <w:p>
            <w:pPr>
              <w:ind w:left="640"/>
              <w:spacing w:after="0"/>
              <w:rPr>
                <w:sz w:val="20"/>
                <w:szCs w:val="20"/>
                <w:color w:val="auto"/>
              </w:rPr>
            </w:pPr>
            <w:r>
              <w:rPr>
                <w:rFonts w:ascii="Arial" w:cs="Arial" w:eastAsia="Arial" w:hAnsi="Arial"/>
                <w:sz w:val="16"/>
                <w:szCs w:val="16"/>
                <w:b w:val="1"/>
                <w:bCs w:val="1"/>
                <w:color w:val="auto"/>
              </w:rPr>
              <w:t>Loans Past Due</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Loans Not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58"/>
        </w:trPr>
        <w:tc>
          <w:tcPr>
            <w:tcW w:w="3000" w:type="dxa"/>
            <w:vAlign w:val="bottom"/>
            <w:gridSpan w:val="3"/>
          </w:tcPr>
          <w:p>
            <w:pPr>
              <w:spacing w:after="0" w:line="158" w:lineRule="exact"/>
              <w:rPr>
                <w:sz w:val="20"/>
                <w:szCs w:val="20"/>
                <w:color w:val="auto"/>
              </w:rPr>
            </w:pPr>
            <w:r>
              <w:rPr>
                <w:rFonts w:ascii="Arial" w:cs="Arial" w:eastAsia="Arial" w:hAnsi="Arial"/>
                <w:sz w:val="16"/>
                <w:szCs w:val="16"/>
                <w:b w:val="1"/>
                <w:bCs w:val="1"/>
                <w:color w:val="auto"/>
              </w:rPr>
              <w:t>As of September 30, 2014</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80"/>
              <w:spacing w:after="0" w:line="158" w:lineRule="exact"/>
              <w:rPr>
                <w:sz w:val="20"/>
                <w:szCs w:val="20"/>
                <w:color w:val="auto"/>
              </w:rPr>
            </w:pPr>
            <w:r>
              <w:rPr>
                <w:rFonts w:ascii="Arial" w:cs="Arial" w:eastAsia="Arial" w:hAnsi="Arial"/>
                <w:sz w:val="16"/>
                <w:szCs w:val="16"/>
                <w:b w:val="1"/>
                <w:bCs w:val="1"/>
                <w:color w:val="auto"/>
                <w:w w:val="90"/>
              </w:rPr>
              <w:t>30 - 59 Days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ind w:left="40"/>
              <w:spacing w:after="0" w:line="158" w:lineRule="exact"/>
              <w:rPr>
                <w:sz w:val="20"/>
                <w:szCs w:val="20"/>
                <w:color w:val="auto"/>
              </w:rPr>
            </w:pPr>
            <w:r>
              <w:rPr>
                <w:rFonts w:ascii="Arial" w:cs="Arial" w:eastAsia="Arial" w:hAnsi="Arial"/>
                <w:sz w:val="16"/>
                <w:szCs w:val="16"/>
                <w:b w:val="1"/>
                <w:bCs w:val="1"/>
                <w:color w:val="auto"/>
              </w:rPr>
              <w:t>60 - 89 Days</w:t>
            </w:r>
          </w:p>
        </w:tc>
        <w:tc>
          <w:tcPr>
            <w:tcW w:w="160" w:type="dxa"/>
            <w:vAlign w:val="bottom"/>
          </w:tcPr>
          <w:p>
            <w:pPr>
              <w:spacing w:after="0"/>
              <w:rPr>
                <w:sz w:val="13"/>
                <w:szCs w:val="13"/>
                <w:color w:val="auto"/>
              </w:rPr>
            </w:pPr>
          </w:p>
        </w:tc>
        <w:tc>
          <w:tcPr>
            <w:tcW w:w="1100" w:type="dxa"/>
            <w:vAlign w:val="bottom"/>
            <w:gridSpan w:val="2"/>
          </w:tcPr>
          <w:p>
            <w:pPr>
              <w:ind w:left="80"/>
              <w:spacing w:after="0" w:line="158" w:lineRule="exact"/>
              <w:rPr>
                <w:sz w:val="20"/>
                <w:szCs w:val="20"/>
                <w:color w:val="auto"/>
              </w:rPr>
            </w:pPr>
            <w:r>
              <w:rPr>
                <w:rFonts w:ascii="Arial" w:cs="Arial" w:eastAsia="Arial" w:hAnsi="Arial"/>
                <w:sz w:val="16"/>
                <w:szCs w:val="16"/>
                <w:b w:val="1"/>
                <w:bCs w:val="1"/>
                <w:color w:val="auto"/>
              </w:rPr>
              <w:t>&gt; 90 Days</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ind w:right="319"/>
              <w:spacing w:after="0" w:line="158" w:lineRule="exact"/>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0"/>
              </w:rPr>
              <w:t>Past Due</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500"/>
              <w:spacing w:after="0" w:line="158" w:lineRule="exact"/>
              <w:rPr>
                <w:sz w:val="20"/>
                <w:szCs w:val="20"/>
                <w:color w:val="auto"/>
              </w:rPr>
            </w:pPr>
            <w:r>
              <w:rPr>
                <w:rFonts w:ascii="Arial" w:cs="Arial" w:eastAsia="Arial" w:hAnsi="Arial"/>
                <w:sz w:val="16"/>
                <w:szCs w:val="16"/>
                <w:b w:val="1"/>
                <w:bCs w:val="1"/>
                <w:color w:val="auto"/>
              </w:rPr>
              <w:t>Total</w:t>
            </w:r>
          </w:p>
        </w:tc>
      </w:tr>
      <w:tr>
        <w:trPr>
          <w:trHeight w:val="21"/>
        </w:trPr>
        <w:tc>
          <w:tcPr>
            <w:tcW w:w="20" w:type="dxa"/>
            <w:vAlign w:val="bottom"/>
          </w:tcPr>
          <w:p>
            <w:pPr>
              <w:spacing w:after="0" w:line="20" w:lineRule="exact"/>
              <w:rPr>
                <w:sz w:val="1"/>
                <w:szCs w:val="1"/>
                <w:color w:val="auto"/>
              </w:rPr>
            </w:pPr>
          </w:p>
        </w:tc>
        <w:tc>
          <w:tcPr>
            <w:tcW w:w="172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46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2,769</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257</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947</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3,973</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1,149,960</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1,153,933</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Income producing commercial real estate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417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991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1,634</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603,093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604,727</w:t>
            </w: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103</w:t>
            </w:r>
          </w:p>
        </w:tc>
        <w:tc>
          <w:tcPr>
            <w:tcW w:w="16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1,864</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647,989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649,853</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Commercial construction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182</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305</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180,489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180,794</w:t>
            </w:r>
          </w:p>
        </w:tc>
      </w:tr>
      <w:tr>
        <w:trPr>
          <w:trHeight w:val="24"/>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Total commercial</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4,209</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1,533</w:t>
            </w:r>
          </w:p>
        </w:tc>
        <w:tc>
          <w:tcPr>
            <w:tcW w:w="16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2,034</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7,776</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2,581,531</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2,589,307</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Residential mortgage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6,985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3,136</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2,563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12,684</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852,884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865,568</w:t>
            </w: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Home equity lines of credit</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1,566</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373</w:t>
            </w:r>
          </w:p>
        </w:tc>
        <w:tc>
          <w:tcPr>
            <w:tcW w:w="16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375</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2,314</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456,505</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458,819</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Residential construction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1,262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329</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2,803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4,394</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302,784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307,178</w:t>
            </w: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Consumer installment</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995</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322</w:t>
            </w:r>
          </w:p>
        </w:tc>
        <w:tc>
          <w:tcPr>
            <w:tcW w:w="16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1,508</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103,837</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105,345</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Indirect auto</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83</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561</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242,108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242,669</w:t>
            </w:r>
          </w:p>
        </w:tc>
      </w:tr>
      <w:tr>
        <w:trPr>
          <w:trHeight w:val="24"/>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Total loans</w:t>
            </w:r>
          </w:p>
        </w:tc>
        <w:tc>
          <w:tcPr>
            <w:tcW w:w="46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15,295</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5,776</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8,166</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29,237</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4,539,649</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4,568,886</w:t>
            </w:r>
          </w:p>
        </w:tc>
        <w:tc>
          <w:tcPr>
            <w:tcW w:w="120" w:type="dxa"/>
            <w:vAlign w:val="bottom"/>
            <w:shd w:val="clear" w:color="auto" w:fill="F0FFFF"/>
          </w:tcPr>
          <w:p>
            <w:pPr>
              <w:spacing w:after="0"/>
              <w:rPr>
                <w:sz w:val="20"/>
                <w:szCs w:val="20"/>
                <w:color w:val="auto"/>
              </w:rPr>
            </w:pPr>
          </w:p>
        </w:tc>
      </w:tr>
      <w:tr>
        <w:trPr>
          <w:trHeight w:val="146"/>
        </w:trPr>
        <w:tc>
          <w:tcPr>
            <w:tcW w:w="20" w:type="dxa"/>
            <w:vAlign w:val="bottom"/>
          </w:tcPr>
          <w:p>
            <w:pPr>
              <w:spacing w:after="0"/>
              <w:rPr>
                <w:sz w:val="12"/>
                <w:szCs w:val="12"/>
                <w:color w:val="auto"/>
              </w:rPr>
            </w:pPr>
          </w:p>
        </w:tc>
        <w:tc>
          <w:tcPr>
            <w:tcW w:w="1720" w:type="dxa"/>
            <w:vAlign w:val="bottom"/>
            <w:tcBorders>
              <w:top w:val="single" w:sz="8" w:color="F0FFFF"/>
              <w:bottom w:val="single" w:sz="8" w:color="auto"/>
            </w:tcBorders>
          </w:tcPr>
          <w:p>
            <w:pPr>
              <w:spacing w:after="0" w:line="146" w:lineRule="exact"/>
              <w:rPr>
                <w:sz w:val="20"/>
                <w:szCs w:val="20"/>
                <w:color w:val="auto"/>
              </w:rPr>
            </w:pPr>
            <w:r>
              <w:rPr>
                <w:rFonts w:ascii="Arial" w:cs="Arial" w:eastAsia="Arial" w:hAnsi="Arial"/>
                <w:sz w:val="16"/>
                <w:szCs w:val="16"/>
                <w:b w:val="1"/>
                <w:bCs w:val="1"/>
                <w:color w:val="auto"/>
                <w:w w:val="89"/>
              </w:rPr>
              <w:t>As of December 31, 2013</w:t>
            </w:r>
          </w:p>
        </w:tc>
        <w:tc>
          <w:tcPr>
            <w:tcW w:w="1260" w:type="dxa"/>
            <w:vAlign w:val="bottom"/>
            <w:tcBorders>
              <w:top w:val="single" w:sz="8" w:color="F0FFFF"/>
            </w:tcBorders>
          </w:tcPr>
          <w:p>
            <w:pPr>
              <w:spacing w:after="0"/>
              <w:rPr>
                <w:sz w:val="12"/>
                <w:szCs w:val="12"/>
                <w:color w:val="auto"/>
              </w:rPr>
            </w:pPr>
          </w:p>
        </w:tc>
        <w:tc>
          <w:tcPr>
            <w:tcW w:w="34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F0FF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46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1,845</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705</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2,017</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4,567</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1,128,976</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1,133,543</w:t>
            </w:r>
          </w:p>
        </w:tc>
        <w:tc>
          <w:tcPr>
            <w:tcW w:w="120" w:type="dxa"/>
            <w:vAlign w:val="bottom"/>
            <w:shd w:val="clear" w:color="auto" w:fill="F0FF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Income producing commercial real estate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3,879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2,092</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6,501</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616,666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623,167</w:t>
            </w: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2,349</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223</w:t>
            </w: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2,660</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469,301</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471,961</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Commercial construction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190</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519</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148,384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148,903</w:t>
            </w:r>
          </w:p>
        </w:tc>
      </w:tr>
      <w:tr>
        <w:trPr>
          <w:trHeight w:val="24"/>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Total commercial</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8,167</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3,210</w:t>
            </w:r>
          </w:p>
        </w:tc>
        <w:tc>
          <w:tcPr>
            <w:tcW w:w="16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2,870</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14,247</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2,363,327</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2,377,574</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Residential mortgage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9,011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2,832</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4,140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15,983</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859,094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875,077</w:t>
            </w: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Home equity lines of credit</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2,056</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430</w:t>
            </w:r>
          </w:p>
        </w:tc>
        <w:tc>
          <w:tcPr>
            <w:tcW w:w="16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941</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3,427</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437,460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440,887</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Residential construction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1,335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588</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1,375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3,298</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325,281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328,579</w:t>
            </w: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Consumer installment</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1,058</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358</w:t>
            </w: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1,440</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109,605</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111,045</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Indirect auto</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65</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292</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195,812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196,104</w:t>
            </w:r>
          </w:p>
        </w:tc>
      </w:tr>
      <w:tr>
        <w:trPr>
          <w:trHeight w:val="24"/>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4"/>
        </w:trPr>
        <w:tc>
          <w:tcPr>
            <w:tcW w:w="20" w:type="dxa"/>
            <w:vAlign w:val="bottom"/>
          </w:tcPr>
          <w:p>
            <w:pPr>
              <w:spacing w:after="0"/>
              <w:rPr>
                <w:sz w:val="20"/>
                <w:szCs w:val="20"/>
                <w:color w:val="auto"/>
              </w:rPr>
            </w:pPr>
          </w:p>
        </w:tc>
        <w:tc>
          <w:tcPr>
            <w:tcW w:w="298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Total loans</w:t>
            </w:r>
          </w:p>
        </w:tc>
        <w:tc>
          <w:tcPr>
            <w:tcW w:w="46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21,812</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7,483</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9,392</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38,687</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4,290,579</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4,329,266</w:t>
            </w:r>
          </w:p>
        </w:tc>
        <w:tc>
          <w:tcPr>
            <w:tcW w:w="120" w:type="dxa"/>
            <w:vAlign w:val="bottom"/>
            <w:shd w:val="clear" w:color="auto" w:fill="F0FFFF"/>
          </w:tcPr>
          <w:p>
            <w:pPr>
              <w:spacing w:after="0"/>
              <w:rPr>
                <w:sz w:val="20"/>
                <w:szCs w:val="20"/>
                <w:color w:val="auto"/>
              </w:rPr>
            </w:pPr>
          </w:p>
        </w:tc>
      </w:tr>
      <w:tr>
        <w:trPr>
          <w:trHeight w:val="146"/>
        </w:trPr>
        <w:tc>
          <w:tcPr>
            <w:tcW w:w="20" w:type="dxa"/>
            <w:vAlign w:val="bottom"/>
          </w:tcPr>
          <w:p>
            <w:pPr>
              <w:spacing w:after="0"/>
              <w:rPr>
                <w:sz w:val="12"/>
                <w:szCs w:val="12"/>
                <w:color w:val="auto"/>
              </w:rPr>
            </w:pPr>
          </w:p>
        </w:tc>
        <w:tc>
          <w:tcPr>
            <w:tcW w:w="2980" w:type="dxa"/>
            <w:vAlign w:val="bottom"/>
            <w:tcBorders>
              <w:top w:val="single" w:sz="8" w:color="F0FFFF"/>
            </w:tcBorders>
            <w:gridSpan w:val="2"/>
          </w:tcPr>
          <w:p>
            <w:pPr>
              <w:spacing w:after="0" w:line="146" w:lineRule="exact"/>
              <w:rPr>
                <w:sz w:val="20"/>
                <w:szCs w:val="20"/>
                <w:color w:val="auto"/>
              </w:rPr>
            </w:pPr>
            <w:r>
              <w:rPr>
                <w:rFonts w:ascii="Arial" w:cs="Arial" w:eastAsia="Arial" w:hAnsi="Arial"/>
                <w:sz w:val="16"/>
                <w:szCs w:val="16"/>
                <w:b w:val="1"/>
                <w:bCs w:val="1"/>
                <w:color w:val="auto"/>
              </w:rPr>
              <w:t>As of September 30, 2013</w:t>
            </w:r>
          </w:p>
        </w:tc>
        <w:tc>
          <w:tcPr>
            <w:tcW w:w="34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F0FF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right w:val="single" w:sz="8" w:color="auto"/>
            </w:tcBorders>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46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1,332</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910</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1,896</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4,138</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1,125,014</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1,129,152</w:t>
            </w:r>
          </w:p>
        </w:tc>
        <w:tc>
          <w:tcPr>
            <w:tcW w:w="120" w:type="dxa"/>
            <w:vAlign w:val="bottom"/>
            <w:shd w:val="clear" w:color="auto" w:fill="F0FFFF"/>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Income producing commercial real estate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373</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1,600</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612,019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613,619</w:t>
            </w: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191</w:t>
            </w: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1,047</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456,367</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457,414</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Commercial construction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251</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136,895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137,146</w:t>
            </w:r>
          </w:p>
        </w:tc>
      </w:tr>
      <w:tr>
        <w:trPr>
          <w:trHeight w:val="24"/>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ind w:left="260"/>
              <w:spacing w:after="0"/>
              <w:rPr>
                <w:sz w:val="20"/>
                <w:szCs w:val="20"/>
                <w:color w:val="auto"/>
              </w:rPr>
            </w:pPr>
            <w:r>
              <w:rPr>
                <w:rFonts w:ascii="Arial" w:cs="Arial" w:eastAsia="Arial" w:hAnsi="Arial"/>
                <w:sz w:val="16"/>
                <w:szCs w:val="16"/>
                <w:color w:val="auto"/>
              </w:rPr>
              <w:t>Total commercial</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2,805</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1,474</w:t>
            </w:r>
          </w:p>
        </w:tc>
        <w:tc>
          <w:tcPr>
            <w:tcW w:w="16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2,757</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7,036</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2,330,295</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2,337,331</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Residential mortgage</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7,672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2,467</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4,279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14,418</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874,261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888,679</w:t>
            </w: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Home equity lines of credit</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1,177</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610</w:t>
            </w:r>
          </w:p>
        </w:tc>
        <w:tc>
          <w:tcPr>
            <w:tcW w:w="16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2,160</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418,456</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420,616</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Residential construction</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3,705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418</w:t>
            </w:r>
          </w:p>
        </w:tc>
        <w:tc>
          <w:tcPr>
            <w:tcW w:w="16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924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5,047</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312,742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317,789</w:t>
            </w:r>
          </w:p>
        </w:tc>
      </w:tr>
      <w:tr>
        <w:trPr>
          <w:trHeight w:val="194"/>
        </w:trPr>
        <w:tc>
          <w:tcPr>
            <w:tcW w:w="20" w:type="dxa"/>
            <w:vAlign w:val="bottom"/>
          </w:tcPr>
          <w:p>
            <w:pPr>
              <w:spacing w:after="0"/>
              <w:rPr>
                <w:sz w:val="16"/>
                <w:szCs w:val="16"/>
                <w:color w:val="auto"/>
              </w:rPr>
            </w:pPr>
          </w:p>
        </w:tc>
        <w:tc>
          <w:tcPr>
            <w:tcW w:w="29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Consumer installment</w:t>
            </w:r>
          </w:p>
        </w:tc>
        <w:tc>
          <w:tcPr>
            <w:tcW w:w="3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633</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19</w:t>
            </w:r>
          </w:p>
        </w:tc>
        <w:tc>
          <w:tcPr>
            <w:tcW w:w="16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94</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746</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115,789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116,535</w:t>
            </w:r>
          </w:p>
        </w:tc>
      </w:tr>
      <w:tr>
        <w:trPr>
          <w:trHeight w:val="194"/>
        </w:trPr>
        <w:tc>
          <w:tcPr>
            <w:tcW w:w="20" w:type="dxa"/>
            <w:vAlign w:val="bottom"/>
          </w:tcPr>
          <w:p>
            <w:pPr>
              <w:spacing w:after="0"/>
              <w:rPr>
                <w:sz w:val="16"/>
                <w:szCs w:val="16"/>
                <w:color w:val="auto"/>
              </w:rPr>
            </w:pPr>
          </w:p>
        </w:tc>
        <w:tc>
          <w:tcPr>
            <w:tcW w:w="2980" w:type="dxa"/>
            <w:vAlign w:val="bottom"/>
            <w:gridSpan w:val="2"/>
          </w:tcPr>
          <w:p>
            <w:pPr>
              <w:spacing w:after="0"/>
              <w:rPr>
                <w:sz w:val="20"/>
                <w:szCs w:val="20"/>
                <w:color w:val="auto"/>
              </w:rPr>
            </w:pPr>
            <w:r>
              <w:rPr>
                <w:rFonts w:ascii="Arial" w:cs="Arial" w:eastAsia="Arial" w:hAnsi="Arial"/>
                <w:sz w:val="16"/>
                <w:szCs w:val="16"/>
                <w:color w:val="auto"/>
              </w:rPr>
              <w:t>Indirect auto</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220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84</w:t>
            </w: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359</w:t>
            </w:r>
          </w:p>
        </w:tc>
        <w:tc>
          <w:tcPr>
            <w:tcW w:w="16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185,758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186,117</w:t>
            </w:r>
          </w:p>
        </w:tc>
      </w:tr>
      <w:tr>
        <w:trPr>
          <w:trHeight w:val="24"/>
        </w:trPr>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298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Total loans</w:t>
            </w:r>
          </w:p>
        </w:tc>
        <w:tc>
          <w:tcPr>
            <w:tcW w:w="46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16,212</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5,072</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8,482</w:t>
            </w:r>
          </w:p>
        </w:tc>
        <w:tc>
          <w:tcPr>
            <w:tcW w:w="3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29,766</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4,237,301</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4,267,067</w:t>
            </w:r>
          </w:p>
        </w:tc>
        <w:tc>
          <w:tcPr>
            <w:tcW w:w="120" w:type="dxa"/>
            <w:vAlign w:val="bottom"/>
            <w:shd w:val="clear" w:color="auto" w:fill="F0FF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26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of September 30, 2014, December 31, 2013, and September 30, 2013, $9.82 million, $5.64 million and $4.72 million, respectively, of specific reserves were allocated to customers whose loan terms have been modified in TDRs. United committed to lend additional amounts totaling up to $38,000, $6,000 and $3,000 as of September 30, 2014, December 31, 2013 and September 30, 2013, respectively, to customers with outstanding loans that are classified as TDRs.</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following table presents information on TDRs including the number of loan contracts restructured and the pre- and post-modification recorded investment </w:t>
      </w:r>
      <w:r>
        <w:rPr>
          <w:rFonts w:ascii="Arial" w:cs="Arial" w:eastAsia="Arial" w:hAnsi="Arial"/>
          <w:sz w:val="16"/>
          <w:szCs w:val="16"/>
          <w:i w:val="1"/>
          <w:iCs w:val="1"/>
          <w:color w:val="auto"/>
        </w:rPr>
        <w:t>(dollars 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w w:val="90"/>
              </w:rPr>
              <w:t>September 30, 2014</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5"/>
              </w:rPr>
              <w:t>December 31, 2013</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5"/>
          </w:tcPr>
          <w:p>
            <w:pPr>
              <w:jc w:val="center"/>
              <w:ind w:right="100"/>
              <w:spacing w:after="0"/>
              <w:rPr>
                <w:sz w:val="20"/>
                <w:szCs w:val="20"/>
                <w:color w:val="auto"/>
              </w:rPr>
            </w:pPr>
            <w:r>
              <w:rPr>
                <w:rFonts w:ascii="Arial" w:cs="Arial" w:eastAsia="Arial" w:hAnsi="Arial"/>
                <w:sz w:val="13"/>
                <w:szCs w:val="13"/>
                <w:b w:val="1"/>
                <w:bCs w:val="1"/>
                <w:color w:val="auto"/>
                <w:w w:val="88"/>
              </w:rPr>
              <w:t>September 30, 2013</w:t>
            </w: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3"/>
          </w:tcPr>
          <w:p>
            <w:pPr>
              <w:ind w:left="200"/>
              <w:spacing w:after="0" w:line="113" w:lineRule="exact"/>
              <w:rPr>
                <w:sz w:val="20"/>
                <w:szCs w:val="20"/>
                <w:color w:val="auto"/>
              </w:rPr>
            </w:pPr>
            <w:r>
              <w:rPr>
                <w:rFonts w:ascii="Arial" w:cs="Arial" w:eastAsia="Arial" w:hAnsi="Arial"/>
                <w:sz w:val="13"/>
                <w:szCs w:val="13"/>
                <w:b w:val="1"/>
                <w:bCs w:val="1"/>
                <w:color w:val="auto"/>
              </w:rPr>
              <w:t>Pre-</w:t>
            </w:r>
          </w:p>
        </w:tc>
        <w:tc>
          <w:tcPr>
            <w:tcW w:w="80" w:type="dxa"/>
            <w:vAlign w:val="bottom"/>
          </w:tcPr>
          <w:p>
            <w:pPr>
              <w:spacing w:after="0"/>
              <w:rPr>
                <w:sz w:val="9"/>
                <w:szCs w:val="9"/>
                <w:color w:val="auto"/>
              </w:rPr>
            </w:pPr>
          </w:p>
        </w:tc>
        <w:tc>
          <w:tcPr>
            <w:tcW w:w="760" w:type="dxa"/>
            <w:vAlign w:val="bottom"/>
          </w:tcPr>
          <w:p>
            <w:pPr>
              <w:jc w:val="right"/>
              <w:ind w:right="215"/>
              <w:spacing w:after="0" w:line="113" w:lineRule="exact"/>
              <w:rPr>
                <w:sz w:val="20"/>
                <w:szCs w:val="20"/>
                <w:color w:val="auto"/>
              </w:rPr>
            </w:pPr>
            <w:r>
              <w:rPr>
                <w:rFonts w:ascii="Arial" w:cs="Arial" w:eastAsia="Arial" w:hAnsi="Arial"/>
                <w:sz w:val="13"/>
                <w:szCs w:val="13"/>
                <w:b w:val="1"/>
                <w:bCs w:val="1"/>
                <w:color w:val="auto"/>
              </w:rPr>
              <w:t>Post-</w:t>
            </w: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3"/>
          </w:tcPr>
          <w:p>
            <w:pPr>
              <w:ind w:left="220"/>
              <w:spacing w:after="0" w:line="113" w:lineRule="exact"/>
              <w:rPr>
                <w:sz w:val="20"/>
                <w:szCs w:val="20"/>
                <w:color w:val="auto"/>
              </w:rPr>
            </w:pPr>
            <w:r>
              <w:rPr>
                <w:rFonts w:ascii="Arial" w:cs="Arial" w:eastAsia="Arial" w:hAnsi="Arial"/>
                <w:sz w:val="13"/>
                <w:szCs w:val="13"/>
                <w:b w:val="1"/>
                <w:bCs w:val="1"/>
                <w:color w:val="auto"/>
              </w:rPr>
              <w:t>Pre-</w:t>
            </w:r>
          </w:p>
        </w:tc>
        <w:tc>
          <w:tcPr>
            <w:tcW w:w="80" w:type="dxa"/>
            <w:vAlign w:val="bottom"/>
          </w:tcPr>
          <w:p>
            <w:pPr>
              <w:spacing w:after="0"/>
              <w:rPr>
                <w:sz w:val="9"/>
                <w:szCs w:val="9"/>
                <w:color w:val="auto"/>
              </w:rPr>
            </w:pPr>
          </w:p>
        </w:tc>
        <w:tc>
          <w:tcPr>
            <w:tcW w:w="760" w:type="dxa"/>
            <w:vAlign w:val="bottom"/>
          </w:tcPr>
          <w:p>
            <w:pPr>
              <w:jc w:val="right"/>
              <w:ind w:right="215"/>
              <w:spacing w:after="0" w:line="113" w:lineRule="exact"/>
              <w:rPr>
                <w:sz w:val="20"/>
                <w:szCs w:val="20"/>
                <w:color w:val="auto"/>
              </w:rPr>
            </w:pPr>
            <w:r>
              <w:rPr>
                <w:rFonts w:ascii="Arial" w:cs="Arial" w:eastAsia="Arial" w:hAnsi="Arial"/>
                <w:sz w:val="13"/>
                <w:szCs w:val="13"/>
                <w:b w:val="1"/>
                <w:bCs w:val="1"/>
                <w:color w:val="auto"/>
              </w:rPr>
              <w:t>Post-</w:t>
            </w: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tcPr>
          <w:p>
            <w:pPr>
              <w:jc w:val="center"/>
              <w:ind w:right="280"/>
              <w:spacing w:after="0" w:line="113" w:lineRule="exact"/>
              <w:rPr>
                <w:sz w:val="20"/>
                <w:szCs w:val="20"/>
                <w:color w:val="auto"/>
              </w:rPr>
            </w:pPr>
            <w:r>
              <w:rPr>
                <w:rFonts w:ascii="Arial" w:cs="Arial" w:eastAsia="Arial" w:hAnsi="Arial"/>
                <w:sz w:val="13"/>
                <w:szCs w:val="13"/>
                <w:b w:val="1"/>
                <w:bCs w:val="1"/>
                <w:color w:val="auto"/>
                <w:w w:val="94"/>
              </w:rPr>
              <w:t>Pre-</w:t>
            </w:r>
          </w:p>
        </w:tc>
        <w:tc>
          <w:tcPr>
            <w:tcW w:w="60" w:type="dxa"/>
            <w:vAlign w:val="bottom"/>
          </w:tcPr>
          <w:p>
            <w:pPr>
              <w:spacing w:after="0"/>
              <w:rPr>
                <w:sz w:val="9"/>
                <w:szCs w:val="9"/>
                <w:color w:val="auto"/>
              </w:rPr>
            </w:pPr>
          </w:p>
        </w:tc>
        <w:tc>
          <w:tcPr>
            <w:tcW w:w="800" w:type="dxa"/>
            <w:vAlign w:val="bottom"/>
          </w:tcPr>
          <w:p>
            <w:pPr>
              <w:jc w:val="right"/>
              <w:ind w:right="235"/>
              <w:spacing w:after="0" w:line="113" w:lineRule="exact"/>
              <w:rPr>
                <w:sz w:val="20"/>
                <w:szCs w:val="20"/>
                <w:color w:val="auto"/>
              </w:rPr>
            </w:pPr>
            <w:r>
              <w:rPr>
                <w:rFonts w:ascii="Arial" w:cs="Arial" w:eastAsia="Arial" w:hAnsi="Arial"/>
                <w:sz w:val="13"/>
                <w:szCs w:val="13"/>
                <w:b w:val="1"/>
                <w:bCs w:val="1"/>
                <w:color w:val="auto"/>
              </w:rPr>
              <w:t>Post-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3"/>
              </w:rPr>
              <w:t>Number</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jc w:val="center"/>
              <w:ind w:right="300"/>
              <w:spacing w:after="0" w:line="134" w:lineRule="exact"/>
              <w:rPr>
                <w:sz w:val="20"/>
                <w:szCs w:val="20"/>
                <w:color w:val="auto"/>
              </w:rPr>
            </w:pPr>
            <w:r>
              <w:rPr>
                <w:rFonts w:ascii="Arial" w:cs="Arial" w:eastAsia="Arial" w:hAnsi="Arial"/>
                <w:sz w:val="13"/>
                <w:szCs w:val="13"/>
                <w:b w:val="1"/>
                <w:bCs w:val="1"/>
                <w:color w:val="auto"/>
                <w:w w:val="93"/>
              </w:rPr>
              <w:t>Modification</w:t>
            </w:r>
          </w:p>
        </w:tc>
        <w:tc>
          <w:tcPr>
            <w:tcW w:w="1020" w:type="dxa"/>
            <w:vAlign w:val="bottom"/>
            <w:gridSpan w:val="3"/>
          </w:tcPr>
          <w:p>
            <w:pPr>
              <w:jc w:val="center"/>
              <w:ind w:right="300"/>
              <w:spacing w:after="0" w:line="134" w:lineRule="exact"/>
              <w:rPr>
                <w:sz w:val="20"/>
                <w:szCs w:val="20"/>
                <w:color w:val="auto"/>
              </w:rPr>
            </w:pPr>
            <w:r>
              <w:rPr>
                <w:rFonts w:ascii="Arial" w:cs="Arial" w:eastAsia="Arial" w:hAnsi="Arial"/>
                <w:sz w:val="13"/>
                <w:szCs w:val="13"/>
                <w:b w:val="1"/>
                <w:bCs w:val="1"/>
                <w:color w:val="auto"/>
                <w:w w:val="93"/>
              </w:rPr>
              <w:t>Modification</w:t>
            </w: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3"/>
              </w:rPr>
              <w:t>Number</w:t>
            </w:r>
          </w:p>
        </w:tc>
        <w:tc>
          <w:tcPr>
            <w:tcW w:w="100" w:type="dxa"/>
            <w:vAlign w:val="bottom"/>
          </w:tcPr>
          <w:p>
            <w:pPr>
              <w:spacing w:after="0"/>
              <w:rPr>
                <w:sz w:val="11"/>
                <w:szCs w:val="11"/>
                <w:color w:val="auto"/>
              </w:rPr>
            </w:pPr>
          </w:p>
        </w:tc>
        <w:tc>
          <w:tcPr>
            <w:tcW w:w="1060" w:type="dxa"/>
            <w:vAlign w:val="bottom"/>
            <w:gridSpan w:val="4"/>
          </w:tcPr>
          <w:p>
            <w:pPr>
              <w:jc w:val="center"/>
              <w:ind w:right="300"/>
              <w:spacing w:after="0" w:line="134" w:lineRule="exact"/>
              <w:rPr>
                <w:sz w:val="20"/>
                <w:szCs w:val="20"/>
                <w:color w:val="auto"/>
              </w:rPr>
            </w:pPr>
            <w:r>
              <w:rPr>
                <w:rFonts w:ascii="Arial" w:cs="Arial" w:eastAsia="Arial" w:hAnsi="Arial"/>
                <w:sz w:val="13"/>
                <w:szCs w:val="13"/>
                <w:b w:val="1"/>
                <w:bCs w:val="1"/>
                <w:color w:val="auto"/>
                <w:w w:val="93"/>
              </w:rPr>
              <w:t>Modification</w:t>
            </w:r>
          </w:p>
        </w:tc>
        <w:tc>
          <w:tcPr>
            <w:tcW w:w="104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rPr>
              <w:t>Modification</w:t>
            </w:r>
          </w:p>
        </w:tc>
        <w:tc>
          <w:tcPr>
            <w:tcW w:w="9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3"/>
              </w:rPr>
              <w:t>Number</w:t>
            </w:r>
          </w:p>
        </w:tc>
        <w:tc>
          <w:tcPr>
            <w:tcW w:w="100" w:type="dxa"/>
            <w:vAlign w:val="bottom"/>
          </w:tcPr>
          <w:p>
            <w:pPr>
              <w:spacing w:after="0"/>
              <w:rPr>
                <w:sz w:val="11"/>
                <w:szCs w:val="11"/>
                <w:color w:val="auto"/>
              </w:rPr>
            </w:pPr>
          </w:p>
        </w:tc>
        <w:tc>
          <w:tcPr>
            <w:tcW w:w="1080" w:type="dxa"/>
            <w:vAlign w:val="bottom"/>
            <w:gridSpan w:val="4"/>
          </w:tcPr>
          <w:p>
            <w:pPr>
              <w:jc w:val="center"/>
              <w:ind w:right="320"/>
              <w:spacing w:after="0" w:line="134" w:lineRule="exact"/>
              <w:rPr>
                <w:sz w:val="20"/>
                <w:szCs w:val="20"/>
                <w:color w:val="auto"/>
              </w:rPr>
            </w:pPr>
            <w:r>
              <w:rPr>
                <w:rFonts w:ascii="Arial" w:cs="Arial" w:eastAsia="Arial" w:hAnsi="Arial"/>
                <w:sz w:val="13"/>
                <w:szCs w:val="13"/>
                <w:b w:val="1"/>
                <w:bCs w:val="1"/>
                <w:color w:val="auto"/>
                <w:w w:val="93"/>
              </w:rPr>
              <w:t>Modification</w:t>
            </w:r>
          </w:p>
        </w:tc>
        <w:tc>
          <w:tcPr>
            <w:tcW w:w="960" w:type="dxa"/>
            <w:vAlign w:val="bottom"/>
            <w:gridSpan w:val="3"/>
          </w:tcPr>
          <w:p>
            <w:pPr>
              <w:jc w:val="center"/>
              <w:ind w:right="220"/>
              <w:spacing w:after="0" w:line="134" w:lineRule="exact"/>
              <w:rPr>
                <w:sz w:val="20"/>
                <w:szCs w:val="20"/>
                <w:color w:val="auto"/>
              </w:rPr>
            </w:pPr>
            <w:r>
              <w:rPr>
                <w:rFonts w:ascii="Arial" w:cs="Arial" w:eastAsia="Arial" w:hAnsi="Arial"/>
                <w:sz w:val="13"/>
                <w:szCs w:val="13"/>
                <w:b w:val="1"/>
                <w:bCs w:val="1"/>
                <w:color w:val="auto"/>
                <w:w w:val="91"/>
              </w:rPr>
              <w:t>Modification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4"/>
          </w:tcPr>
          <w:p>
            <w:pPr>
              <w:jc w:val="center"/>
              <w:ind w:right="300"/>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020" w:type="dxa"/>
            <w:vAlign w:val="bottom"/>
            <w:gridSpan w:val="3"/>
          </w:tcPr>
          <w:p>
            <w:pPr>
              <w:jc w:val="center"/>
              <w:ind w:right="300"/>
              <w:spacing w:after="0" w:line="134" w:lineRule="exact"/>
              <w:rPr>
                <w:sz w:val="20"/>
                <w:szCs w:val="20"/>
                <w:color w:val="auto"/>
              </w:rPr>
            </w:pPr>
            <w:r>
              <w:rPr>
                <w:rFonts w:ascii="Arial" w:cs="Arial" w:eastAsia="Arial" w:hAnsi="Arial"/>
                <w:sz w:val="13"/>
                <w:szCs w:val="13"/>
                <w:b w:val="1"/>
                <w:bCs w:val="1"/>
                <w:color w:val="auto"/>
                <w:w w:val="88"/>
              </w:rPr>
              <w:t>Outstanding</w:t>
            </w: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4"/>
          </w:tcPr>
          <w:p>
            <w:pPr>
              <w:jc w:val="center"/>
              <w:ind w:right="300"/>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040" w:type="dxa"/>
            <w:vAlign w:val="bottom"/>
            <w:gridSpan w:val="3"/>
          </w:tcPr>
          <w:p>
            <w:pPr>
              <w:ind w:left="20"/>
              <w:spacing w:after="0" w:line="134" w:lineRule="exact"/>
              <w:rPr>
                <w:sz w:val="20"/>
                <w:szCs w:val="20"/>
                <w:color w:val="auto"/>
              </w:rPr>
            </w:pPr>
            <w:r>
              <w:rPr>
                <w:rFonts w:ascii="Arial" w:cs="Arial" w:eastAsia="Arial" w:hAnsi="Arial"/>
                <w:sz w:val="13"/>
                <w:szCs w:val="13"/>
                <w:b w:val="1"/>
                <w:bCs w:val="1"/>
                <w:color w:val="auto"/>
              </w:rPr>
              <w:t>Outstanding</w:t>
            </w:r>
          </w:p>
        </w:tc>
        <w:tc>
          <w:tcPr>
            <w:tcW w:w="9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jc w:val="center"/>
              <w:ind w:right="320"/>
              <w:spacing w:after="0" w:line="134" w:lineRule="exact"/>
              <w:rPr>
                <w:sz w:val="20"/>
                <w:szCs w:val="20"/>
                <w:color w:val="auto"/>
              </w:rPr>
            </w:pPr>
            <w:r>
              <w:rPr>
                <w:rFonts w:ascii="Arial" w:cs="Arial" w:eastAsia="Arial" w:hAnsi="Arial"/>
                <w:sz w:val="13"/>
                <w:szCs w:val="13"/>
                <w:b w:val="1"/>
                <w:bCs w:val="1"/>
                <w:color w:val="auto"/>
                <w:w w:val="88"/>
              </w:rPr>
              <w:t>Outstanding</w:t>
            </w:r>
          </w:p>
        </w:tc>
        <w:tc>
          <w:tcPr>
            <w:tcW w:w="960" w:type="dxa"/>
            <w:vAlign w:val="bottom"/>
            <w:gridSpan w:val="3"/>
          </w:tcPr>
          <w:p>
            <w:pPr>
              <w:jc w:val="center"/>
              <w:ind w:right="220"/>
              <w:spacing w:after="0" w:line="134" w:lineRule="exact"/>
              <w:rPr>
                <w:sz w:val="20"/>
                <w:szCs w:val="20"/>
                <w:color w:val="auto"/>
              </w:rPr>
            </w:pPr>
            <w:r>
              <w:rPr>
                <w:rFonts w:ascii="Arial" w:cs="Arial" w:eastAsia="Arial" w:hAnsi="Arial"/>
                <w:sz w:val="13"/>
                <w:szCs w:val="13"/>
                <w:b w:val="1"/>
                <w:bCs w:val="1"/>
                <w:color w:val="auto"/>
                <w:w w:val="91"/>
              </w:rPr>
              <w:t>Outstanding</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78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1"/>
              </w:rPr>
              <w:t>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3"/>
          </w:tcPr>
          <w:p>
            <w:pPr>
              <w:jc w:val="center"/>
              <w:ind w:right="380"/>
              <w:spacing w:after="0" w:line="134" w:lineRule="exact"/>
              <w:rPr>
                <w:sz w:val="20"/>
                <w:szCs w:val="20"/>
                <w:color w:val="auto"/>
              </w:rPr>
            </w:pPr>
            <w:r>
              <w:rPr>
                <w:rFonts w:ascii="Arial" w:cs="Arial" w:eastAsia="Arial" w:hAnsi="Arial"/>
                <w:sz w:val="13"/>
                <w:szCs w:val="13"/>
                <w:b w:val="1"/>
                <w:bCs w:val="1"/>
                <w:color w:val="auto"/>
                <w:w w:val="86"/>
              </w:rPr>
              <w:t>Recorded</w:t>
            </w:r>
          </w:p>
        </w:tc>
        <w:tc>
          <w:tcPr>
            <w:tcW w:w="80" w:type="dxa"/>
            <w:vAlign w:val="bottom"/>
          </w:tcPr>
          <w:p>
            <w:pPr>
              <w:spacing w:after="0"/>
              <w:rPr>
                <w:sz w:val="11"/>
                <w:szCs w:val="11"/>
                <w:color w:val="auto"/>
              </w:rPr>
            </w:pPr>
          </w:p>
        </w:tc>
        <w:tc>
          <w:tcPr>
            <w:tcW w:w="940" w:type="dxa"/>
            <w:vAlign w:val="bottom"/>
            <w:gridSpan w:val="2"/>
          </w:tcPr>
          <w:p>
            <w:pPr>
              <w:jc w:val="center"/>
              <w:ind w:right="380"/>
              <w:spacing w:after="0" w:line="134" w:lineRule="exact"/>
              <w:rPr>
                <w:sz w:val="20"/>
                <w:szCs w:val="20"/>
                <w:color w:val="auto"/>
              </w:rPr>
            </w:pPr>
            <w:r>
              <w:rPr>
                <w:rFonts w:ascii="Arial" w:cs="Arial" w:eastAsia="Arial" w:hAnsi="Arial"/>
                <w:sz w:val="13"/>
                <w:szCs w:val="13"/>
                <w:b w:val="1"/>
                <w:bCs w:val="1"/>
                <w:color w:val="auto"/>
                <w:w w:val="86"/>
              </w:rPr>
              <w:t>Recorded</w:t>
            </w:r>
          </w:p>
        </w:tc>
        <w:tc>
          <w:tcPr>
            <w:tcW w:w="92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81"/>
              </w:rPr>
              <w:t>of</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3"/>
          </w:tcPr>
          <w:p>
            <w:pPr>
              <w:jc w:val="center"/>
              <w:ind w:right="400"/>
              <w:spacing w:after="0" w:line="134" w:lineRule="exact"/>
              <w:rPr>
                <w:sz w:val="20"/>
                <w:szCs w:val="20"/>
                <w:color w:val="auto"/>
              </w:rPr>
            </w:pPr>
            <w:r>
              <w:rPr>
                <w:rFonts w:ascii="Arial" w:cs="Arial" w:eastAsia="Arial" w:hAnsi="Arial"/>
                <w:sz w:val="13"/>
                <w:szCs w:val="13"/>
                <w:b w:val="1"/>
                <w:bCs w:val="1"/>
                <w:color w:val="auto"/>
                <w:w w:val="86"/>
              </w:rPr>
              <w:t>Recorded</w:t>
            </w:r>
          </w:p>
        </w:tc>
        <w:tc>
          <w:tcPr>
            <w:tcW w:w="80" w:type="dxa"/>
            <w:vAlign w:val="bottom"/>
          </w:tcPr>
          <w:p>
            <w:pPr>
              <w:spacing w:after="0"/>
              <w:rPr>
                <w:sz w:val="11"/>
                <w:szCs w:val="11"/>
                <w:color w:val="auto"/>
              </w:rPr>
            </w:pPr>
          </w:p>
        </w:tc>
        <w:tc>
          <w:tcPr>
            <w:tcW w:w="960" w:type="dxa"/>
            <w:vAlign w:val="bottom"/>
            <w:gridSpan w:val="2"/>
          </w:tcPr>
          <w:p>
            <w:pPr>
              <w:jc w:val="right"/>
              <w:ind w:right="400"/>
              <w:spacing w:after="0" w:line="134" w:lineRule="exact"/>
              <w:rPr>
                <w:sz w:val="20"/>
                <w:szCs w:val="20"/>
                <w:color w:val="auto"/>
              </w:rPr>
            </w:pPr>
            <w:r>
              <w:rPr>
                <w:rFonts w:ascii="Arial" w:cs="Arial" w:eastAsia="Arial" w:hAnsi="Arial"/>
                <w:sz w:val="13"/>
                <w:szCs w:val="13"/>
                <w:b w:val="1"/>
                <w:bCs w:val="1"/>
                <w:color w:val="auto"/>
                <w:w w:val="89"/>
              </w:rPr>
              <w:t>Recorded</w:t>
            </w:r>
          </w:p>
        </w:tc>
        <w:tc>
          <w:tcPr>
            <w:tcW w:w="940" w:type="dxa"/>
            <w:vAlign w:val="bottom"/>
            <w:gridSpan w:val="2"/>
          </w:tcPr>
          <w:p>
            <w:pPr>
              <w:jc w:val="center"/>
              <w:ind w:right="100"/>
              <w:spacing w:after="0" w:line="134" w:lineRule="exact"/>
              <w:rPr>
                <w:sz w:val="20"/>
                <w:szCs w:val="20"/>
                <w:color w:val="auto"/>
              </w:rPr>
            </w:pPr>
            <w:r>
              <w:rPr>
                <w:rFonts w:ascii="Arial" w:cs="Arial" w:eastAsia="Arial" w:hAnsi="Arial"/>
                <w:sz w:val="13"/>
                <w:szCs w:val="13"/>
                <w:b w:val="1"/>
                <w:bCs w:val="1"/>
                <w:color w:val="auto"/>
                <w:w w:val="97"/>
              </w:rPr>
              <w:t>of</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center"/>
              <w:ind w:right="400"/>
              <w:spacing w:after="0" w:line="134" w:lineRule="exact"/>
              <w:rPr>
                <w:sz w:val="20"/>
                <w:szCs w:val="20"/>
                <w:color w:val="auto"/>
              </w:rPr>
            </w:pPr>
            <w:r>
              <w:rPr>
                <w:rFonts w:ascii="Arial" w:cs="Arial" w:eastAsia="Arial" w:hAnsi="Arial"/>
                <w:sz w:val="13"/>
                <w:szCs w:val="13"/>
                <w:b w:val="1"/>
                <w:bCs w:val="1"/>
                <w:color w:val="auto"/>
                <w:w w:val="86"/>
              </w:rPr>
              <w:t>Recorded</w:t>
            </w:r>
          </w:p>
        </w:tc>
        <w:tc>
          <w:tcPr>
            <w:tcW w:w="60" w:type="dxa"/>
            <w:vAlign w:val="bottom"/>
          </w:tcPr>
          <w:p>
            <w:pPr>
              <w:spacing w:after="0"/>
              <w:rPr>
                <w:sz w:val="11"/>
                <w:szCs w:val="11"/>
                <w:color w:val="auto"/>
              </w:rPr>
            </w:pPr>
          </w:p>
        </w:tc>
        <w:tc>
          <w:tcPr>
            <w:tcW w:w="900" w:type="dxa"/>
            <w:vAlign w:val="bottom"/>
            <w:gridSpan w:val="2"/>
          </w:tcPr>
          <w:p>
            <w:pPr>
              <w:jc w:val="center"/>
              <w:ind w:right="280"/>
              <w:spacing w:after="0" w:line="134" w:lineRule="exact"/>
              <w:rPr>
                <w:sz w:val="20"/>
                <w:szCs w:val="20"/>
                <w:color w:val="auto"/>
              </w:rPr>
            </w:pPr>
            <w:r>
              <w:rPr>
                <w:rFonts w:ascii="Arial" w:cs="Arial" w:eastAsia="Arial" w:hAnsi="Arial"/>
                <w:sz w:val="13"/>
                <w:szCs w:val="13"/>
                <w:b w:val="1"/>
                <w:bCs w:val="1"/>
                <w:color w:val="auto"/>
                <w:w w:val="89"/>
              </w:rPr>
              <w:t>Recorded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8"/>
              </w:rPr>
              <w:t>Contracts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0"/>
              </w:rPr>
              <w:t>Investment</w:t>
            </w:r>
          </w:p>
        </w:tc>
        <w:tc>
          <w:tcPr>
            <w:tcW w:w="102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7"/>
              </w:rPr>
              <w:t>Investment</w:t>
            </w:r>
          </w:p>
        </w:tc>
        <w:tc>
          <w:tcPr>
            <w:tcW w:w="9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8"/>
              </w:rPr>
              <w:t>Contracts</w:t>
            </w:r>
          </w:p>
        </w:tc>
        <w:tc>
          <w:tcPr>
            <w:tcW w:w="100" w:type="dxa"/>
            <w:vAlign w:val="bottom"/>
          </w:tcPr>
          <w:p>
            <w:pPr>
              <w:spacing w:after="0"/>
              <w:rPr>
                <w:sz w:val="13"/>
                <w:szCs w:val="13"/>
                <w:color w:val="auto"/>
              </w:rPr>
            </w:pPr>
          </w:p>
        </w:tc>
        <w:tc>
          <w:tcPr>
            <w:tcW w:w="10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0"/>
              </w:rPr>
              <w:t>Investment</w:t>
            </w:r>
          </w:p>
        </w:tc>
        <w:tc>
          <w:tcPr>
            <w:tcW w:w="1040" w:type="dxa"/>
            <w:vAlign w:val="bottom"/>
            <w:gridSpan w:val="3"/>
          </w:tcPr>
          <w:p>
            <w:pPr>
              <w:jc w:val="right"/>
              <w:ind w:right="360"/>
              <w:spacing w:after="0"/>
              <w:rPr>
                <w:sz w:val="20"/>
                <w:szCs w:val="20"/>
                <w:color w:val="auto"/>
              </w:rPr>
            </w:pPr>
            <w:r>
              <w:rPr>
                <w:rFonts w:ascii="Arial" w:cs="Arial" w:eastAsia="Arial" w:hAnsi="Arial"/>
                <w:sz w:val="13"/>
                <w:szCs w:val="13"/>
                <w:b w:val="1"/>
                <w:bCs w:val="1"/>
                <w:color w:val="auto"/>
                <w:w w:val="96"/>
              </w:rPr>
              <w:t>Investment</w:t>
            </w:r>
          </w:p>
        </w:tc>
        <w:tc>
          <w:tcPr>
            <w:tcW w:w="9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Contracts</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90"/>
              </w:rPr>
              <w:t>Investment</w:t>
            </w:r>
          </w:p>
        </w:tc>
        <w:tc>
          <w:tcPr>
            <w:tcW w:w="6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Investment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20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200" w:type="dxa"/>
            <w:vAlign w:val="bottom"/>
            <w:shd w:val="clear" w:color="auto" w:fill="F0FFFF"/>
          </w:tcPr>
          <w:p>
            <w:pPr>
              <w:spacing w:after="0" w:line="134" w:lineRule="exact"/>
              <w:rPr>
                <w:sz w:val="20"/>
                <w:szCs w:val="20"/>
                <w:color w:val="auto"/>
              </w:rPr>
            </w:pPr>
            <w:r>
              <w:rPr>
                <w:rFonts w:ascii="Arial" w:cs="Arial" w:eastAsia="Arial" w:hAnsi="Arial"/>
                <w:sz w:val="13"/>
                <w:szCs w:val="13"/>
                <w:color w:val="auto"/>
                <w:w w:val="95"/>
              </w:rPr>
              <w:t>Owner occupied commercial real estate</w:t>
            </w:r>
          </w:p>
        </w:tc>
        <w:tc>
          <w:tcPr>
            <w:tcW w:w="7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52</w:t>
            </w:r>
          </w:p>
        </w:tc>
        <w:tc>
          <w:tcPr>
            <w:tcW w:w="280" w:type="dxa"/>
            <w:vAlign w:val="bottom"/>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27,811</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F0FFFF"/>
          </w:tcPr>
          <w:p>
            <w:pPr>
              <w:jc w:val="right"/>
              <w:ind w:right="180"/>
              <w:spacing w:after="0" w:line="134" w:lineRule="exact"/>
              <w:rPr>
                <w:sz w:val="20"/>
                <w:szCs w:val="20"/>
                <w:color w:val="auto"/>
              </w:rPr>
            </w:pPr>
            <w:r>
              <w:rPr>
                <w:rFonts w:ascii="Arial" w:cs="Arial" w:eastAsia="Arial" w:hAnsi="Arial"/>
                <w:sz w:val="13"/>
                <w:szCs w:val="13"/>
                <w:color w:val="auto"/>
              </w:rPr>
              <w:t>26,248</w:t>
            </w:r>
          </w:p>
        </w:tc>
        <w:tc>
          <w:tcPr>
            <w:tcW w:w="92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45</w:t>
            </w:r>
          </w:p>
        </w:tc>
        <w:tc>
          <w:tcPr>
            <w:tcW w:w="2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24,064</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line="134"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22,399</w:t>
            </w:r>
          </w:p>
        </w:tc>
        <w:tc>
          <w:tcPr>
            <w:tcW w:w="9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45</w:t>
            </w:r>
          </w:p>
        </w:tc>
        <w:tc>
          <w:tcPr>
            <w:tcW w:w="18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25,829</w:t>
            </w: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24,368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line="134" w:lineRule="exact"/>
              <w:rPr>
                <w:sz w:val="20"/>
                <w:szCs w:val="20"/>
                <w:color w:val="auto"/>
              </w:rPr>
            </w:pPr>
            <w:r>
              <w:rPr>
                <w:rFonts w:ascii="Arial" w:cs="Arial" w:eastAsia="Arial" w:hAnsi="Arial"/>
                <w:sz w:val="13"/>
                <w:szCs w:val="13"/>
                <w:color w:val="auto"/>
                <w:w w:val="91"/>
              </w:rPr>
              <w:t>Income producing commercial real estate</w:t>
            </w: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19,652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19,104</w:t>
            </w:r>
          </w:p>
        </w:tc>
        <w:tc>
          <w:tcPr>
            <w:tcW w:w="9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20,900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18,268</w:t>
            </w:r>
          </w:p>
        </w:tc>
        <w:tc>
          <w:tcPr>
            <w:tcW w:w="9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32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22,134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18,795</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shd w:val="clear" w:color="auto" w:fill="F0FFFF"/>
          </w:tcPr>
          <w:p>
            <w:pPr>
              <w:spacing w:after="0" w:line="134" w:lineRule="exact"/>
              <w:rPr>
                <w:sz w:val="20"/>
                <w:szCs w:val="20"/>
                <w:color w:val="auto"/>
              </w:rPr>
            </w:pPr>
            <w:r>
              <w:rPr>
                <w:rFonts w:ascii="Arial" w:cs="Arial" w:eastAsia="Arial" w:hAnsi="Arial"/>
                <w:sz w:val="13"/>
                <w:szCs w:val="13"/>
                <w:color w:val="auto"/>
              </w:rPr>
              <w:t>Commercial &amp; industrial</w:t>
            </w:r>
          </w:p>
        </w:tc>
        <w:tc>
          <w:tcPr>
            <w:tcW w:w="7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33</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2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2,941</w:t>
            </w: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180"/>
              <w:spacing w:after="0" w:line="134" w:lineRule="exact"/>
              <w:rPr>
                <w:sz w:val="20"/>
                <w:szCs w:val="20"/>
                <w:color w:val="auto"/>
              </w:rPr>
            </w:pPr>
            <w:r>
              <w:rPr>
                <w:rFonts w:ascii="Arial" w:cs="Arial" w:eastAsia="Arial" w:hAnsi="Arial"/>
                <w:sz w:val="13"/>
                <w:szCs w:val="13"/>
                <w:color w:val="auto"/>
              </w:rPr>
              <w:t>2,941</w:t>
            </w:r>
          </w:p>
        </w:tc>
        <w:tc>
          <w:tcPr>
            <w:tcW w:w="92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36</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6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3,527</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3,245</w:t>
            </w:r>
          </w:p>
        </w:tc>
        <w:tc>
          <w:tcPr>
            <w:tcW w:w="9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34</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3,051</w:t>
            </w: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2,919</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line="134" w:lineRule="exact"/>
              <w:rPr>
                <w:sz w:val="20"/>
                <w:szCs w:val="20"/>
                <w:color w:val="auto"/>
              </w:rPr>
            </w:pPr>
            <w:r>
              <w:rPr>
                <w:rFonts w:ascii="Arial" w:cs="Arial" w:eastAsia="Arial" w:hAnsi="Arial"/>
                <w:sz w:val="13"/>
                <w:szCs w:val="13"/>
                <w:color w:val="auto"/>
              </w:rPr>
              <w:t>Commercial construction</w:t>
            </w: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14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11,238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color w:val="auto"/>
              </w:rPr>
              <w:t>11,084</w:t>
            </w:r>
          </w:p>
        </w:tc>
        <w:tc>
          <w:tcPr>
            <w:tcW w:w="1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13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color w:val="auto"/>
              </w:rPr>
              <w:t>13,122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13,042</w:t>
            </w:r>
          </w:p>
        </w:tc>
        <w:tc>
          <w:tcPr>
            <w:tcW w:w="9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12</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12,904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12,825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color w:val="auto"/>
              </w:rPr>
              <w:t>Total commercial</w:t>
            </w:r>
          </w:p>
        </w:tc>
        <w:tc>
          <w:tcPr>
            <w:tcW w:w="7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131</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61,642</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6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59,377</w:t>
            </w:r>
          </w:p>
        </w:tc>
        <w:tc>
          <w:tcPr>
            <w:tcW w:w="180" w:type="dxa"/>
            <w:vAlign w:val="bottom"/>
            <w:shd w:val="clear" w:color="auto" w:fill="F0FFFF"/>
          </w:tcPr>
          <w:p>
            <w:pPr>
              <w:spacing w:after="0"/>
              <w:rPr>
                <w:sz w:val="11"/>
                <w:szCs w:val="11"/>
                <w:color w:val="auto"/>
              </w:rPr>
            </w:pPr>
          </w:p>
        </w:tc>
        <w:tc>
          <w:tcPr>
            <w:tcW w:w="82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126</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6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61,613</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56,954</w:t>
            </w:r>
          </w:p>
        </w:tc>
        <w:tc>
          <w:tcPr>
            <w:tcW w:w="9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123</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63,918</w:t>
            </w: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58,907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line="134" w:lineRule="exact"/>
              <w:rPr>
                <w:sz w:val="20"/>
                <w:szCs w:val="20"/>
                <w:color w:val="auto"/>
              </w:rPr>
            </w:pPr>
            <w:r>
              <w:rPr>
                <w:rFonts w:ascii="Arial" w:cs="Arial" w:eastAsia="Arial" w:hAnsi="Arial"/>
                <w:sz w:val="13"/>
                <w:szCs w:val="13"/>
                <w:color w:val="auto"/>
              </w:rPr>
              <w:t>Residential mortgage</w:t>
            </w: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160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19,555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18,356</w:t>
            </w:r>
          </w:p>
        </w:tc>
        <w:tc>
          <w:tcPr>
            <w:tcW w:w="9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133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20,117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18,852</w:t>
            </w:r>
          </w:p>
        </w:tc>
        <w:tc>
          <w:tcPr>
            <w:tcW w:w="9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115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18,511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17,408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shd w:val="clear" w:color="auto" w:fill="F0FFFF"/>
          </w:tcPr>
          <w:p>
            <w:pPr>
              <w:spacing w:after="0" w:line="134" w:lineRule="exact"/>
              <w:rPr>
                <w:sz w:val="20"/>
                <w:szCs w:val="20"/>
                <w:color w:val="auto"/>
              </w:rPr>
            </w:pPr>
            <w:r>
              <w:rPr>
                <w:rFonts w:ascii="Arial" w:cs="Arial" w:eastAsia="Arial" w:hAnsi="Arial"/>
                <w:sz w:val="13"/>
                <w:szCs w:val="13"/>
                <w:color w:val="auto"/>
              </w:rPr>
              <w:t>Home equity lines of credit</w:t>
            </w:r>
          </w:p>
        </w:tc>
        <w:tc>
          <w:tcPr>
            <w:tcW w:w="7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4</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531</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180"/>
              <w:spacing w:after="0" w:line="134" w:lineRule="exact"/>
              <w:rPr>
                <w:sz w:val="20"/>
                <w:szCs w:val="20"/>
                <w:color w:val="auto"/>
              </w:rPr>
            </w:pPr>
            <w:r>
              <w:rPr>
                <w:rFonts w:ascii="Arial" w:cs="Arial" w:eastAsia="Arial" w:hAnsi="Arial"/>
                <w:sz w:val="13"/>
                <w:szCs w:val="13"/>
                <w:color w:val="auto"/>
              </w:rPr>
              <w:t>531</w:t>
            </w:r>
          </w:p>
        </w:tc>
        <w:tc>
          <w:tcPr>
            <w:tcW w:w="92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3</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6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505</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505</w:t>
            </w:r>
          </w:p>
        </w:tc>
        <w:tc>
          <w:tcPr>
            <w:tcW w:w="9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5</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521</w:t>
            </w: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521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line="134" w:lineRule="exact"/>
              <w:rPr>
                <w:sz w:val="20"/>
                <w:szCs w:val="20"/>
                <w:color w:val="auto"/>
              </w:rPr>
            </w:pPr>
            <w:r>
              <w:rPr>
                <w:rFonts w:ascii="Arial" w:cs="Arial" w:eastAsia="Arial" w:hAnsi="Arial"/>
                <w:sz w:val="13"/>
                <w:szCs w:val="13"/>
                <w:color w:val="auto"/>
              </w:rPr>
              <w:t>Residential construction</w:t>
            </w: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10,916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180"/>
              <w:spacing w:after="0" w:line="134" w:lineRule="exact"/>
              <w:rPr>
                <w:sz w:val="20"/>
                <w:szCs w:val="20"/>
                <w:color w:val="auto"/>
              </w:rPr>
            </w:pPr>
            <w:r>
              <w:rPr>
                <w:rFonts w:ascii="Arial" w:cs="Arial" w:eastAsia="Arial" w:hAnsi="Arial"/>
                <w:sz w:val="13"/>
                <w:szCs w:val="13"/>
                <w:color w:val="auto"/>
              </w:rPr>
              <w:t>10,084</w:t>
            </w:r>
          </w:p>
        </w:tc>
        <w:tc>
          <w:tcPr>
            <w:tcW w:w="9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57</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12,459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10,452</w:t>
            </w:r>
          </w:p>
        </w:tc>
        <w:tc>
          <w:tcPr>
            <w:tcW w:w="9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55</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12,360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10,290</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shd w:val="clear" w:color="auto" w:fill="F0FFFF"/>
          </w:tcPr>
          <w:p>
            <w:pPr>
              <w:spacing w:after="0" w:line="134" w:lineRule="exact"/>
              <w:rPr>
                <w:sz w:val="20"/>
                <w:szCs w:val="20"/>
                <w:color w:val="auto"/>
              </w:rPr>
            </w:pPr>
            <w:r>
              <w:rPr>
                <w:rFonts w:ascii="Arial" w:cs="Arial" w:eastAsia="Arial" w:hAnsi="Arial"/>
                <w:sz w:val="13"/>
                <w:szCs w:val="13"/>
                <w:color w:val="auto"/>
              </w:rPr>
              <w:t>Consumer installment</w:t>
            </w:r>
          </w:p>
        </w:tc>
        <w:tc>
          <w:tcPr>
            <w:tcW w:w="7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20</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245</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40" w:type="dxa"/>
            <w:vAlign w:val="bottom"/>
            <w:gridSpan w:val="2"/>
            <w:shd w:val="clear" w:color="auto" w:fill="F0FFFF"/>
          </w:tcPr>
          <w:p>
            <w:pPr>
              <w:jc w:val="right"/>
              <w:ind w:right="180"/>
              <w:spacing w:after="0" w:line="134" w:lineRule="exact"/>
              <w:rPr>
                <w:sz w:val="20"/>
                <w:szCs w:val="20"/>
                <w:color w:val="auto"/>
              </w:rPr>
            </w:pPr>
            <w:r>
              <w:rPr>
                <w:rFonts w:ascii="Arial" w:cs="Arial" w:eastAsia="Arial" w:hAnsi="Arial"/>
                <w:sz w:val="13"/>
                <w:szCs w:val="13"/>
                <w:color w:val="auto"/>
              </w:rPr>
              <w:t>245</w:t>
            </w:r>
          </w:p>
        </w:tc>
        <w:tc>
          <w:tcPr>
            <w:tcW w:w="92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26</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76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203</w:t>
            </w:r>
          </w:p>
        </w:tc>
        <w:tc>
          <w:tcPr>
            <w:tcW w:w="100" w:type="dxa"/>
            <w:vAlign w:val="bottom"/>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203</w:t>
            </w:r>
          </w:p>
        </w:tc>
        <w:tc>
          <w:tcPr>
            <w:tcW w:w="9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36</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214</w:t>
            </w:r>
          </w:p>
        </w:tc>
        <w:tc>
          <w:tcPr>
            <w:tcW w:w="120" w:type="dxa"/>
            <w:vAlign w:val="bottom"/>
            <w:shd w:val="clear" w:color="auto" w:fill="F0FFFF"/>
          </w:tcPr>
          <w:p>
            <w:pPr>
              <w:spacing w:after="0"/>
              <w:rPr>
                <w:sz w:val="11"/>
                <w:szCs w:val="11"/>
                <w:color w:val="auto"/>
              </w:rPr>
            </w:pPr>
          </w:p>
        </w:tc>
        <w:tc>
          <w:tcPr>
            <w:tcW w:w="6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line="134" w:lineRule="exact"/>
              <w:rPr>
                <w:sz w:val="20"/>
                <w:szCs w:val="20"/>
                <w:color w:val="auto"/>
              </w:rPr>
            </w:pPr>
            <w:r>
              <w:rPr>
                <w:rFonts w:ascii="Arial" w:cs="Arial" w:eastAsia="Arial" w:hAnsi="Arial"/>
                <w:sz w:val="13"/>
                <w:szCs w:val="13"/>
                <w:color w:val="auto"/>
              </w:rPr>
              <w:t>Indirect auto</w:t>
            </w:r>
          </w:p>
        </w:tc>
        <w:tc>
          <w:tcPr>
            <w:tcW w:w="78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0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20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Total loans</w:t>
            </w:r>
          </w:p>
        </w:tc>
        <w:tc>
          <w:tcPr>
            <w:tcW w:w="7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365</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92,889</w:t>
            </w:r>
          </w:p>
        </w:tc>
        <w:tc>
          <w:tcPr>
            <w:tcW w:w="80" w:type="dxa"/>
            <w:vAlign w:val="bottom"/>
            <w:shd w:val="clear" w:color="auto" w:fill="F0FFFF"/>
          </w:tcPr>
          <w:p>
            <w:pPr>
              <w:spacing w:after="0"/>
              <w:rPr>
                <w:sz w:val="13"/>
                <w:szCs w:val="13"/>
                <w:color w:val="auto"/>
              </w:rPr>
            </w:pPr>
          </w:p>
        </w:tc>
        <w:tc>
          <w:tcPr>
            <w:tcW w:w="12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76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88,593</w:t>
            </w:r>
          </w:p>
        </w:tc>
        <w:tc>
          <w:tcPr>
            <w:tcW w:w="180" w:type="dxa"/>
            <w:vAlign w:val="bottom"/>
            <w:shd w:val="clear" w:color="auto" w:fill="F0FFFF"/>
          </w:tcPr>
          <w:p>
            <w:pPr>
              <w:spacing w:after="0"/>
              <w:rPr>
                <w:sz w:val="13"/>
                <w:szCs w:val="13"/>
                <w:color w:val="auto"/>
              </w:rPr>
            </w:pPr>
          </w:p>
        </w:tc>
        <w:tc>
          <w:tcPr>
            <w:tcW w:w="82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345</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76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94,897</w:t>
            </w:r>
          </w:p>
        </w:tc>
        <w:tc>
          <w:tcPr>
            <w:tcW w:w="100" w:type="dxa"/>
            <w:vAlign w:val="bottom"/>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80" w:type="dxa"/>
            <w:vAlign w:val="bottom"/>
            <w:shd w:val="clear" w:color="auto" w:fill="F0FFFF"/>
          </w:tcPr>
          <w:p>
            <w:pPr>
              <w:spacing w:after="0" w:line="134"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86,966</w:t>
            </w:r>
          </w:p>
        </w:tc>
        <w:tc>
          <w:tcPr>
            <w:tcW w:w="94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334</w:t>
            </w:r>
          </w:p>
        </w:tc>
        <w:tc>
          <w:tcPr>
            <w:tcW w:w="10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88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95,524</w:t>
            </w:r>
          </w:p>
        </w:tc>
        <w:tc>
          <w:tcPr>
            <w:tcW w:w="120" w:type="dxa"/>
            <w:vAlign w:val="bottom"/>
            <w:shd w:val="clear" w:color="auto" w:fill="F0FFFF"/>
          </w:tcPr>
          <w:p>
            <w:pPr>
              <w:spacing w:after="0"/>
              <w:rPr>
                <w:sz w:val="13"/>
                <w:szCs w:val="13"/>
                <w:color w:val="auto"/>
              </w:rPr>
            </w:pPr>
          </w:p>
        </w:tc>
        <w:tc>
          <w:tcPr>
            <w:tcW w:w="60" w:type="dxa"/>
            <w:vAlign w:val="bottom"/>
            <w:shd w:val="clear" w:color="auto" w:fill="F0FFFF"/>
          </w:tcPr>
          <w:p>
            <w:pPr>
              <w:spacing w:after="0"/>
              <w:rPr>
                <w:sz w:val="13"/>
                <w:szCs w:val="13"/>
                <w:color w:val="auto"/>
              </w:rPr>
            </w:pPr>
          </w:p>
        </w:tc>
        <w:tc>
          <w:tcPr>
            <w:tcW w:w="90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87,330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F0FFFF"/>
            </w:tcBorders>
            <w:shd w:val="clear" w:color="auto" w:fill="F0FF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 xml:space="preserve">Loans modified under the terms of a TDR during the three and nine months ended September 30, 2014 and 2013 are presented in the table below. In addition, the following table presents loans modified under the terms of a TDR that became 90 days or more delinquent during the three and nine months ended September 30, 2014 and 2013, that were initially restructured within one year prior to becoming delinquent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00" w:type="dxa"/>
            <w:vAlign w:val="bottom"/>
            <w:gridSpan w:val="12"/>
          </w:tcPr>
          <w:p>
            <w:pPr>
              <w:jc w:val="right"/>
              <w:ind w:right="440"/>
              <w:spacing w:after="0"/>
              <w:rPr>
                <w:sz w:val="20"/>
                <w:szCs w:val="20"/>
                <w:color w:val="auto"/>
              </w:rPr>
            </w:pPr>
            <w:r>
              <w:rPr>
                <w:rFonts w:ascii="Arial" w:cs="Arial" w:eastAsia="Arial" w:hAnsi="Arial"/>
                <w:sz w:val="13"/>
                <w:szCs w:val="13"/>
                <w:b w:val="1"/>
                <w:bCs w:val="1"/>
                <w:color w:val="auto"/>
                <w:w w:val="95"/>
              </w:rPr>
              <w:t>New Troubled Debt Restructurings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12"/>
          </w:tcPr>
          <w:p>
            <w:pPr>
              <w:jc w:val="center"/>
              <w:ind w:right="220"/>
              <w:spacing w:after="0"/>
              <w:rPr>
                <w:sz w:val="20"/>
                <w:szCs w:val="20"/>
                <w:color w:val="auto"/>
              </w:rPr>
            </w:pPr>
            <w:r>
              <w:rPr>
                <w:rFonts w:ascii="Arial" w:cs="Arial" w:eastAsia="Arial" w:hAnsi="Arial"/>
                <w:sz w:val="13"/>
                <w:szCs w:val="13"/>
                <w:b w:val="1"/>
                <w:bCs w:val="1"/>
                <w:color w:val="auto"/>
                <w:w w:val="89"/>
              </w:rPr>
              <w:t>New Troubled Debt Restructurings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14"/>
          </w:tcPr>
          <w:p>
            <w:pPr>
              <w:jc w:val="right"/>
              <w:ind w:right="220"/>
              <w:spacing w:after="0"/>
              <w:rPr>
                <w:sz w:val="20"/>
                <w:szCs w:val="20"/>
                <w:color w:val="auto"/>
              </w:rPr>
            </w:pPr>
            <w:r>
              <w:rPr>
                <w:rFonts w:ascii="Arial" w:cs="Arial" w:eastAsia="Arial" w:hAnsi="Arial"/>
                <w:sz w:val="13"/>
                <w:szCs w:val="13"/>
                <w:b w:val="1"/>
                <w:bCs w:val="1"/>
                <w:color w:val="auto"/>
                <w:w w:val="92"/>
              </w:rPr>
              <w:t>for the Three Months Ended September 30,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13"/>
          </w:tcPr>
          <w:p>
            <w:pPr>
              <w:spacing w:after="0"/>
              <w:rPr>
                <w:sz w:val="20"/>
                <w:szCs w:val="20"/>
                <w:color w:val="auto"/>
              </w:rPr>
            </w:pPr>
            <w:r>
              <w:rPr>
                <w:rFonts w:ascii="Arial" w:cs="Arial" w:eastAsia="Arial" w:hAnsi="Arial"/>
                <w:sz w:val="13"/>
                <w:szCs w:val="13"/>
                <w:b w:val="1"/>
                <w:bCs w:val="1"/>
                <w:color w:val="auto"/>
                <w:w w:val="93"/>
              </w:rPr>
              <w:t>for the Nine Months Ended September 30,</w:t>
            </w: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7"/>
          </w:tcPr>
          <w:p>
            <w:pPr>
              <w:jc w:val="center"/>
              <w:spacing w:after="0" w:line="113" w:lineRule="exact"/>
              <w:rPr>
                <w:sz w:val="20"/>
                <w:szCs w:val="20"/>
                <w:color w:val="auto"/>
              </w:rPr>
            </w:pPr>
            <w:r>
              <w:rPr>
                <w:rFonts w:ascii="Arial" w:cs="Arial" w:eastAsia="Arial" w:hAnsi="Arial"/>
                <w:sz w:val="13"/>
                <w:szCs w:val="13"/>
                <w:b w:val="1"/>
                <w:bCs w:val="1"/>
                <w:color w:val="auto"/>
                <w:w w:val="93"/>
              </w:rPr>
              <w:t>Modified Within the</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80" w:type="dxa"/>
            <w:vAlign w:val="bottom"/>
            <w:gridSpan w:val="6"/>
          </w:tcPr>
          <w:p>
            <w:pPr>
              <w:jc w:val="center"/>
              <w:ind w:right="135"/>
              <w:spacing w:after="0" w:line="113" w:lineRule="exact"/>
              <w:rPr>
                <w:sz w:val="20"/>
                <w:szCs w:val="20"/>
                <w:color w:val="auto"/>
              </w:rPr>
            </w:pPr>
            <w:r>
              <w:rPr>
                <w:rFonts w:ascii="Arial" w:cs="Arial" w:eastAsia="Arial" w:hAnsi="Arial"/>
                <w:sz w:val="13"/>
                <w:szCs w:val="13"/>
                <w:b w:val="1"/>
                <w:bCs w:val="1"/>
                <w:color w:val="auto"/>
                <w:w w:val="93"/>
              </w:rPr>
              <w:t>Modified Within the</w:t>
            </w: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20" w:type="dxa"/>
            <w:vAlign w:val="bottom"/>
            <w:gridSpan w:val="11"/>
          </w:tcPr>
          <w:p>
            <w:pPr>
              <w:jc w:val="center"/>
              <w:ind w:right="240"/>
              <w:spacing w:after="0" w:line="134" w:lineRule="exact"/>
              <w:rPr>
                <w:sz w:val="20"/>
                <w:szCs w:val="20"/>
                <w:color w:val="auto"/>
              </w:rPr>
            </w:pPr>
            <w:r>
              <w:rPr>
                <w:rFonts w:ascii="Arial" w:cs="Arial" w:eastAsia="Arial" w:hAnsi="Arial"/>
                <w:sz w:val="13"/>
                <w:szCs w:val="13"/>
                <w:b w:val="1"/>
                <w:bCs w:val="1"/>
                <w:color w:val="auto"/>
                <w:w w:val="88"/>
              </w:rPr>
              <w:t>Previous Twelve Months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8"/>
          </w:tcPr>
          <w:p>
            <w:pPr>
              <w:jc w:val="center"/>
              <w:ind w:right="240"/>
              <w:spacing w:after="0" w:line="134" w:lineRule="exact"/>
              <w:rPr>
                <w:sz w:val="20"/>
                <w:szCs w:val="20"/>
                <w:color w:val="auto"/>
              </w:rPr>
            </w:pPr>
            <w:r>
              <w:rPr>
                <w:rFonts w:ascii="Arial" w:cs="Arial" w:eastAsia="Arial" w:hAnsi="Arial"/>
                <w:sz w:val="13"/>
                <w:szCs w:val="13"/>
                <w:b w:val="1"/>
                <w:bCs w:val="1"/>
                <w:color w:val="auto"/>
                <w:w w:val="88"/>
              </w:rPr>
              <w:t>Previous Twelve Months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295"/>
              <w:spacing w:after="0"/>
              <w:rPr>
                <w:sz w:val="20"/>
                <w:szCs w:val="20"/>
                <w:color w:val="auto"/>
              </w:rPr>
            </w:pPr>
            <w:r>
              <w:rPr>
                <w:rFonts w:ascii="Arial" w:cs="Arial" w:eastAsia="Arial" w:hAnsi="Arial"/>
                <w:sz w:val="13"/>
                <w:szCs w:val="13"/>
                <w:b w:val="1"/>
                <w:bCs w:val="1"/>
                <w:color w:val="auto"/>
                <w:w w:val="94"/>
              </w:rPr>
              <w:t>Pre-</w:t>
            </w:r>
          </w:p>
        </w:tc>
        <w:tc>
          <w:tcPr>
            <w:tcW w:w="120" w:type="dxa"/>
            <w:vAlign w:val="bottom"/>
          </w:tcPr>
          <w:p>
            <w:pPr>
              <w:spacing w:after="0"/>
              <w:rPr>
                <w:sz w:val="11"/>
                <w:szCs w:val="11"/>
                <w:color w:val="auto"/>
              </w:rPr>
            </w:pPr>
          </w:p>
        </w:tc>
        <w:tc>
          <w:tcPr>
            <w:tcW w:w="880" w:type="dxa"/>
            <w:vAlign w:val="bottom"/>
            <w:gridSpan w:val="5"/>
            <w:vMerge w:val="restart"/>
          </w:tcPr>
          <w:p>
            <w:pPr>
              <w:jc w:val="center"/>
              <w:ind w:right="360"/>
              <w:spacing w:after="0"/>
              <w:rPr>
                <w:sz w:val="20"/>
                <w:szCs w:val="20"/>
                <w:color w:val="auto"/>
              </w:rPr>
            </w:pPr>
            <w:r>
              <w:rPr>
                <w:rFonts w:ascii="Arial" w:cs="Arial" w:eastAsia="Arial" w:hAnsi="Arial"/>
                <w:sz w:val="13"/>
                <w:szCs w:val="13"/>
                <w:b w:val="1"/>
                <w:bCs w:val="1"/>
                <w:color w:val="auto"/>
                <w:w w:val="86"/>
              </w:rPr>
              <w:t>Post-</w:t>
            </w:r>
          </w:p>
        </w:tc>
        <w:tc>
          <w:tcPr>
            <w:tcW w:w="1820" w:type="dxa"/>
            <w:vAlign w:val="bottom"/>
            <w:gridSpan w:val="11"/>
          </w:tcPr>
          <w:p>
            <w:pPr>
              <w:jc w:val="center"/>
              <w:ind w:right="220"/>
              <w:spacing w:after="0" w:line="134" w:lineRule="exact"/>
              <w:rPr>
                <w:sz w:val="20"/>
                <w:szCs w:val="20"/>
                <w:color w:val="auto"/>
              </w:rPr>
            </w:pPr>
            <w:r>
              <w:rPr>
                <w:rFonts w:ascii="Arial" w:cs="Arial" w:eastAsia="Arial" w:hAnsi="Arial"/>
                <w:sz w:val="13"/>
                <w:szCs w:val="13"/>
                <w:b w:val="1"/>
                <w:bCs w:val="1"/>
                <w:color w:val="auto"/>
                <w:w w:val="89"/>
              </w:rPr>
              <w:t>that Have Subsequently</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vMerge w:val="restart"/>
          </w:tcPr>
          <w:p>
            <w:pPr>
              <w:jc w:val="center"/>
              <w:ind w:right="480"/>
              <w:spacing w:after="0"/>
              <w:rPr>
                <w:sz w:val="20"/>
                <w:szCs w:val="20"/>
                <w:color w:val="auto"/>
              </w:rPr>
            </w:pPr>
            <w:r>
              <w:rPr>
                <w:rFonts w:ascii="Arial" w:cs="Arial" w:eastAsia="Arial" w:hAnsi="Arial"/>
                <w:sz w:val="13"/>
                <w:szCs w:val="13"/>
                <w:b w:val="1"/>
                <w:bCs w:val="1"/>
                <w:color w:val="auto"/>
                <w:w w:val="86"/>
              </w:rPr>
              <w:t>Post-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7"/>
          </w:tcPr>
          <w:p>
            <w:pPr>
              <w:jc w:val="center"/>
              <w:ind w:right="320"/>
              <w:spacing w:after="0" w:line="134" w:lineRule="exact"/>
              <w:rPr>
                <w:sz w:val="20"/>
                <w:szCs w:val="20"/>
                <w:color w:val="auto"/>
              </w:rPr>
            </w:pPr>
            <w:r>
              <w:rPr>
                <w:rFonts w:ascii="Arial" w:cs="Arial" w:eastAsia="Arial" w:hAnsi="Arial"/>
                <w:sz w:val="13"/>
                <w:szCs w:val="13"/>
                <w:b w:val="1"/>
                <w:bCs w:val="1"/>
                <w:color w:val="auto"/>
                <w:w w:val="88"/>
              </w:rPr>
              <w:t>that Have Subsequently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7"/>
          </w:tcPr>
          <w:p>
            <w:pPr>
              <w:jc w:val="center"/>
              <w:spacing w:after="0" w:line="134" w:lineRule="exact"/>
              <w:rPr>
                <w:sz w:val="20"/>
                <w:szCs w:val="20"/>
                <w:color w:val="auto"/>
              </w:rPr>
            </w:pPr>
            <w:r>
              <w:rPr>
                <w:rFonts w:ascii="Arial" w:cs="Arial" w:eastAsia="Arial" w:hAnsi="Arial"/>
                <w:sz w:val="13"/>
                <w:szCs w:val="13"/>
                <w:b w:val="1"/>
                <w:bCs w:val="1"/>
                <w:color w:val="auto"/>
                <w:w w:val="92"/>
              </w:rPr>
              <w:t>Defaulted During the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1800" w:type="dxa"/>
            <w:vAlign w:val="bottom"/>
            <w:gridSpan w:val="9"/>
          </w:tcPr>
          <w:p>
            <w:pPr>
              <w:jc w:val="center"/>
              <w:ind w:right="140"/>
              <w:spacing w:after="0" w:line="134" w:lineRule="exact"/>
              <w:rPr>
                <w:sz w:val="20"/>
                <w:szCs w:val="20"/>
                <w:color w:val="auto"/>
              </w:rPr>
            </w:pPr>
            <w:r>
              <w:rPr>
                <w:rFonts w:ascii="Arial" w:cs="Arial" w:eastAsia="Arial" w:hAnsi="Arial"/>
                <w:sz w:val="13"/>
                <w:szCs w:val="13"/>
                <w:b w:val="1"/>
                <w:bCs w:val="1"/>
                <w:color w:val="auto"/>
                <w:w w:val="91"/>
              </w:rPr>
              <w:t>Defaulted During the Nine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5"/>
          </w:tcPr>
          <w:p>
            <w:pPr>
              <w:jc w:val="center"/>
              <w:ind w:right="55"/>
              <w:spacing w:after="0" w:line="134" w:lineRule="exact"/>
              <w:rPr>
                <w:sz w:val="20"/>
                <w:szCs w:val="20"/>
                <w:color w:val="auto"/>
              </w:rPr>
            </w:pPr>
            <w:r>
              <w:rPr>
                <w:rFonts w:ascii="Arial" w:cs="Arial" w:eastAsia="Arial" w:hAnsi="Arial"/>
                <w:sz w:val="13"/>
                <w:szCs w:val="13"/>
                <w:b w:val="1"/>
                <w:bCs w:val="1"/>
                <w:color w:val="auto"/>
                <w:w w:val="91"/>
              </w:rPr>
              <w:t>Modification</w:t>
            </w:r>
          </w:p>
        </w:tc>
        <w:tc>
          <w:tcPr>
            <w:tcW w:w="1000" w:type="dxa"/>
            <w:vAlign w:val="bottom"/>
            <w:gridSpan w:val="6"/>
          </w:tcPr>
          <w:p>
            <w:pPr>
              <w:jc w:val="center"/>
              <w:ind w:right="240"/>
              <w:spacing w:after="0" w:line="134" w:lineRule="exact"/>
              <w:rPr>
                <w:sz w:val="20"/>
                <w:szCs w:val="20"/>
                <w:color w:val="auto"/>
              </w:rPr>
            </w:pPr>
            <w:r>
              <w:rPr>
                <w:rFonts w:ascii="Arial" w:cs="Arial" w:eastAsia="Arial" w:hAnsi="Arial"/>
                <w:sz w:val="13"/>
                <w:szCs w:val="13"/>
                <w:b w:val="1"/>
                <w:bCs w:val="1"/>
                <w:color w:val="auto"/>
                <w:w w:val="93"/>
              </w:rPr>
              <w:t>Modification</w:t>
            </w:r>
          </w:p>
        </w:tc>
        <w:tc>
          <w:tcPr>
            <w:tcW w:w="180" w:type="dxa"/>
            <w:vAlign w:val="bottom"/>
          </w:tcPr>
          <w:p>
            <w:pPr>
              <w:spacing w:after="0"/>
              <w:rPr>
                <w:sz w:val="11"/>
                <w:szCs w:val="11"/>
                <w:color w:val="auto"/>
              </w:rPr>
            </w:pPr>
          </w:p>
        </w:tc>
        <w:tc>
          <w:tcPr>
            <w:tcW w:w="1220" w:type="dxa"/>
            <w:vAlign w:val="bottom"/>
            <w:gridSpan w:val="7"/>
          </w:tcPr>
          <w:p>
            <w:pPr>
              <w:jc w:val="center"/>
              <w:spacing w:after="0" w:line="134" w:lineRule="exact"/>
              <w:rPr>
                <w:sz w:val="20"/>
                <w:szCs w:val="20"/>
                <w:color w:val="auto"/>
              </w:rPr>
            </w:pPr>
            <w:r>
              <w:rPr>
                <w:rFonts w:ascii="Arial" w:cs="Arial" w:eastAsia="Arial" w:hAnsi="Arial"/>
                <w:sz w:val="13"/>
                <w:szCs w:val="13"/>
                <w:b w:val="1"/>
                <w:bCs w:val="1"/>
                <w:color w:val="auto"/>
                <w:w w:val="91"/>
              </w:rPr>
              <w:t>Three Months Ended</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gridSpan w:val="5"/>
          </w:tcPr>
          <w:p>
            <w:pPr>
              <w:jc w:val="center"/>
              <w:ind w:right="135"/>
              <w:spacing w:after="0" w:line="134" w:lineRule="exact"/>
              <w:rPr>
                <w:sz w:val="20"/>
                <w:szCs w:val="20"/>
                <w:color w:val="auto"/>
              </w:rPr>
            </w:pPr>
            <w:r>
              <w:rPr>
                <w:rFonts w:ascii="Arial" w:cs="Arial" w:eastAsia="Arial" w:hAnsi="Arial"/>
                <w:sz w:val="13"/>
                <w:szCs w:val="13"/>
                <w:b w:val="1"/>
                <w:bCs w:val="1"/>
                <w:color w:val="auto"/>
                <w:w w:val="91"/>
              </w:rPr>
              <w:t>Modification</w:t>
            </w:r>
          </w:p>
        </w:tc>
        <w:tc>
          <w:tcPr>
            <w:tcW w:w="1000" w:type="dxa"/>
            <w:vAlign w:val="bottom"/>
            <w:gridSpan w:val="6"/>
          </w:tcPr>
          <w:p>
            <w:pPr>
              <w:jc w:val="center"/>
              <w:ind w:right="280"/>
              <w:spacing w:after="0" w:line="134" w:lineRule="exact"/>
              <w:rPr>
                <w:sz w:val="20"/>
                <w:szCs w:val="20"/>
                <w:color w:val="auto"/>
              </w:rPr>
            </w:pPr>
            <w:r>
              <w:rPr>
                <w:rFonts w:ascii="Arial" w:cs="Arial" w:eastAsia="Arial" w:hAnsi="Arial"/>
                <w:sz w:val="13"/>
                <w:szCs w:val="13"/>
                <w:b w:val="1"/>
                <w:bCs w:val="1"/>
                <w:color w:val="auto"/>
                <w:w w:val="93"/>
              </w:rPr>
              <w:t>Modification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5"/>
          </w:tcPr>
          <w:p>
            <w:pPr>
              <w:jc w:val="center"/>
              <w:ind w:left="35"/>
              <w:spacing w:after="0" w:line="134" w:lineRule="exact"/>
              <w:rPr>
                <w:sz w:val="20"/>
                <w:szCs w:val="20"/>
                <w:color w:val="auto"/>
              </w:rPr>
            </w:pPr>
            <w:r>
              <w:rPr>
                <w:rFonts w:ascii="Arial" w:cs="Arial" w:eastAsia="Arial" w:hAnsi="Arial"/>
                <w:sz w:val="13"/>
                <w:szCs w:val="13"/>
                <w:b w:val="1"/>
                <w:bCs w:val="1"/>
                <w:color w:val="auto"/>
                <w:w w:val="91"/>
              </w:rPr>
              <w:t>Months Ended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5"/>
          </w:tcPr>
          <w:p>
            <w:pPr>
              <w:jc w:val="center"/>
              <w:ind w:right="55"/>
              <w:spacing w:after="0" w:line="134" w:lineRule="exact"/>
              <w:rPr>
                <w:sz w:val="20"/>
                <w:szCs w:val="20"/>
                <w:color w:val="auto"/>
              </w:rPr>
            </w:pPr>
            <w:r>
              <w:rPr>
                <w:rFonts w:ascii="Arial" w:cs="Arial" w:eastAsia="Arial" w:hAnsi="Arial"/>
                <w:sz w:val="13"/>
                <w:szCs w:val="13"/>
                <w:b w:val="1"/>
                <w:bCs w:val="1"/>
                <w:color w:val="auto"/>
                <w:w w:val="91"/>
              </w:rPr>
              <w:t>Outstanding</w:t>
            </w:r>
          </w:p>
        </w:tc>
        <w:tc>
          <w:tcPr>
            <w:tcW w:w="1000" w:type="dxa"/>
            <w:vAlign w:val="bottom"/>
            <w:gridSpan w:val="6"/>
          </w:tcPr>
          <w:p>
            <w:pPr>
              <w:jc w:val="center"/>
              <w:ind w:right="240"/>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7"/>
          </w:tcPr>
          <w:p>
            <w:pPr>
              <w:jc w:val="center"/>
              <w:spacing w:after="0" w:line="134" w:lineRule="exact"/>
              <w:rPr>
                <w:sz w:val="20"/>
                <w:szCs w:val="20"/>
                <w:color w:val="auto"/>
              </w:rPr>
            </w:pPr>
            <w:r>
              <w:rPr>
                <w:rFonts w:ascii="Arial" w:cs="Arial" w:eastAsia="Arial" w:hAnsi="Arial"/>
                <w:sz w:val="13"/>
                <w:szCs w:val="13"/>
                <w:b w:val="1"/>
                <w:bCs w:val="1"/>
                <w:color w:val="auto"/>
                <w:w w:val="88"/>
              </w:rPr>
              <w:t>September 30, 2014</w:t>
            </w:r>
          </w:p>
        </w:tc>
        <w:tc>
          <w:tcPr>
            <w:tcW w:w="2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5"/>
          </w:tcPr>
          <w:p>
            <w:pPr>
              <w:jc w:val="center"/>
              <w:ind w:right="155"/>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000" w:type="dxa"/>
            <w:vAlign w:val="bottom"/>
            <w:gridSpan w:val="6"/>
          </w:tcPr>
          <w:p>
            <w:pPr>
              <w:jc w:val="center"/>
              <w:ind w:right="280"/>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5"/>
          </w:tcPr>
          <w:p>
            <w:pPr>
              <w:jc w:val="center"/>
              <w:ind w:left="15"/>
              <w:spacing w:after="0" w:line="134" w:lineRule="exact"/>
              <w:rPr>
                <w:sz w:val="20"/>
                <w:szCs w:val="20"/>
                <w:color w:val="auto"/>
              </w:rPr>
            </w:pPr>
            <w:r>
              <w:rPr>
                <w:rFonts w:ascii="Arial" w:cs="Arial" w:eastAsia="Arial" w:hAnsi="Arial"/>
                <w:sz w:val="13"/>
                <w:szCs w:val="13"/>
                <w:b w:val="1"/>
                <w:bCs w:val="1"/>
                <w:color w:val="auto"/>
                <w:w w:val="88"/>
              </w:rPr>
              <w:t>September 30, 2014</w:t>
            </w: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2014</w:t>
            </w:r>
          </w:p>
        </w:tc>
        <w:tc>
          <w:tcPr>
            <w:tcW w:w="100" w:type="dxa"/>
            <w:vAlign w:val="bottom"/>
          </w:tcPr>
          <w:p>
            <w:pPr>
              <w:spacing w:after="0"/>
              <w:rPr>
                <w:sz w:val="11"/>
                <w:szCs w:val="11"/>
                <w:color w:val="auto"/>
              </w:rPr>
            </w:pPr>
          </w:p>
        </w:tc>
        <w:tc>
          <w:tcPr>
            <w:tcW w:w="800" w:type="dxa"/>
            <w:vAlign w:val="bottom"/>
            <w:gridSpan w:val="3"/>
          </w:tcPr>
          <w:p>
            <w:pPr>
              <w:jc w:val="right"/>
              <w:ind w:right="140"/>
              <w:spacing w:after="0" w:line="138" w:lineRule="exact"/>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1"/>
                <w:szCs w:val="11"/>
                <w:color w:val="auto"/>
              </w:rPr>
            </w:pPr>
          </w:p>
        </w:tc>
        <w:tc>
          <w:tcPr>
            <w:tcW w:w="820" w:type="dxa"/>
            <w:vAlign w:val="bottom"/>
            <w:gridSpan w:val="4"/>
          </w:tcPr>
          <w:p>
            <w:pPr>
              <w:jc w:val="center"/>
              <w:ind w:right="175"/>
              <w:spacing w:after="0" w:line="138" w:lineRule="exact"/>
              <w:rPr>
                <w:sz w:val="20"/>
                <w:szCs w:val="20"/>
                <w:color w:val="auto"/>
              </w:rPr>
            </w:pPr>
            <w:r>
              <w:rPr>
                <w:rFonts w:ascii="Arial" w:cs="Arial" w:eastAsia="Arial" w:hAnsi="Arial"/>
                <w:sz w:val="13"/>
                <w:szCs w:val="13"/>
                <w:b w:val="1"/>
                <w:bCs w:val="1"/>
                <w:color w:val="auto"/>
                <w:w w:val="89"/>
              </w:rPr>
              <w:t>Recorded</w:t>
            </w:r>
          </w:p>
        </w:tc>
        <w:tc>
          <w:tcPr>
            <w:tcW w:w="120" w:type="dxa"/>
            <w:vAlign w:val="bottom"/>
          </w:tcPr>
          <w:p>
            <w:pPr>
              <w:spacing w:after="0"/>
              <w:rPr>
                <w:sz w:val="11"/>
                <w:szCs w:val="11"/>
                <w:color w:val="auto"/>
              </w:rPr>
            </w:pPr>
          </w:p>
        </w:tc>
        <w:tc>
          <w:tcPr>
            <w:tcW w:w="880" w:type="dxa"/>
            <w:vAlign w:val="bottom"/>
            <w:gridSpan w:val="5"/>
          </w:tcPr>
          <w:p>
            <w:pPr>
              <w:jc w:val="center"/>
              <w:ind w:right="360"/>
              <w:spacing w:after="0" w:line="138" w:lineRule="exact"/>
              <w:rPr>
                <w:sz w:val="20"/>
                <w:szCs w:val="20"/>
                <w:color w:val="auto"/>
              </w:rPr>
            </w:pPr>
            <w:r>
              <w:rPr>
                <w:rFonts w:ascii="Arial" w:cs="Arial" w:eastAsia="Arial" w:hAnsi="Arial"/>
                <w:sz w:val="13"/>
                <w:szCs w:val="13"/>
                <w:b w:val="1"/>
                <w:bCs w:val="1"/>
                <w:color w:val="auto"/>
                <w:w w:val="86"/>
              </w:rPr>
              <w:t>Recorded</w:t>
            </w:r>
          </w:p>
        </w:tc>
        <w:tc>
          <w:tcPr>
            <w:tcW w:w="880" w:type="dxa"/>
            <w:vAlign w:val="bottom"/>
            <w:gridSpan w:val="4"/>
          </w:tcPr>
          <w:p>
            <w:pPr>
              <w:jc w:val="right"/>
              <w:ind w:right="240"/>
              <w:spacing w:after="0" w:line="138" w:lineRule="exact"/>
              <w:rPr>
                <w:sz w:val="20"/>
                <w:szCs w:val="20"/>
                <w:color w:val="auto"/>
              </w:rPr>
            </w:pPr>
            <w:r>
              <w:rPr>
                <w:rFonts w:ascii="Arial" w:cs="Arial" w:eastAsia="Arial" w:hAnsi="Arial"/>
                <w:sz w:val="13"/>
                <w:szCs w:val="13"/>
                <w:b w:val="1"/>
                <w:bCs w:val="1"/>
                <w:color w:val="auto"/>
                <w:w w:val="95"/>
              </w:rPr>
              <w:t>Number of</w:t>
            </w:r>
          </w:p>
        </w:tc>
        <w:tc>
          <w:tcPr>
            <w:tcW w:w="20" w:type="dxa"/>
            <w:vAlign w:val="bottom"/>
          </w:tcPr>
          <w:p>
            <w:pPr>
              <w:spacing w:after="0"/>
              <w:rPr>
                <w:sz w:val="11"/>
                <w:szCs w:val="11"/>
                <w:color w:val="auto"/>
              </w:rPr>
            </w:pPr>
          </w:p>
        </w:tc>
        <w:tc>
          <w:tcPr>
            <w:tcW w:w="700" w:type="dxa"/>
            <w:vAlign w:val="bottom"/>
            <w:gridSpan w:val="4"/>
          </w:tcPr>
          <w:p>
            <w:pPr>
              <w:jc w:val="right"/>
              <w:ind w:right="75"/>
              <w:spacing w:after="0" w:line="138" w:lineRule="exact"/>
              <w:rPr>
                <w:sz w:val="20"/>
                <w:szCs w:val="20"/>
                <w:color w:val="auto"/>
              </w:rPr>
            </w:pPr>
            <w:r>
              <w:rPr>
                <w:rFonts w:ascii="Arial" w:cs="Arial" w:eastAsia="Arial" w:hAnsi="Arial"/>
                <w:sz w:val="13"/>
                <w:szCs w:val="13"/>
                <w:b w:val="1"/>
                <w:bCs w:val="1"/>
                <w:color w:val="auto"/>
                <w:w w:val="89"/>
              </w:rPr>
              <w:t>Recorded</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155"/>
              <w:spacing w:after="0" w:line="138"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1"/>
                <w:szCs w:val="11"/>
                <w:color w:val="auto"/>
              </w:rPr>
            </w:pPr>
          </w:p>
        </w:tc>
        <w:tc>
          <w:tcPr>
            <w:tcW w:w="800" w:type="dxa"/>
            <w:vAlign w:val="bottom"/>
            <w:gridSpan w:val="4"/>
          </w:tcPr>
          <w:p>
            <w:pPr>
              <w:jc w:val="center"/>
              <w:ind w:right="235"/>
              <w:spacing w:after="0" w:line="138" w:lineRule="exact"/>
              <w:rPr>
                <w:sz w:val="20"/>
                <w:szCs w:val="20"/>
                <w:color w:val="auto"/>
              </w:rPr>
            </w:pPr>
            <w:r>
              <w:rPr>
                <w:rFonts w:ascii="Arial" w:cs="Arial" w:eastAsia="Arial" w:hAnsi="Arial"/>
                <w:sz w:val="13"/>
                <w:szCs w:val="13"/>
                <w:b w:val="1"/>
                <w:bCs w:val="1"/>
                <w:color w:val="auto"/>
                <w:w w:val="83"/>
              </w:rPr>
              <w:t>Recorded</w:t>
            </w:r>
          </w:p>
        </w:tc>
        <w:tc>
          <w:tcPr>
            <w:tcW w:w="100" w:type="dxa"/>
            <w:vAlign w:val="bottom"/>
          </w:tcPr>
          <w:p>
            <w:pPr>
              <w:spacing w:after="0"/>
              <w:rPr>
                <w:sz w:val="11"/>
                <w:szCs w:val="11"/>
                <w:color w:val="auto"/>
              </w:rPr>
            </w:pPr>
          </w:p>
        </w:tc>
        <w:tc>
          <w:tcPr>
            <w:tcW w:w="900" w:type="dxa"/>
            <w:vAlign w:val="bottom"/>
            <w:gridSpan w:val="5"/>
          </w:tcPr>
          <w:p>
            <w:pPr>
              <w:jc w:val="center"/>
              <w:ind w:right="380"/>
              <w:spacing w:after="0" w:line="138" w:lineRule="exact"/>
              <w:rPr>
                <w:sz w:val="20"/>
                <w:szCs w:val="20"/>
                <w:color w:val="auto"/>
              </w:rPr>
            </w:pPr>
            <w:r>
              <w:rPr>
                <w:rFonts w:ascii="Arial" w:cs="Arial" w:eastAsia="Arial" w:hAnsi="Arial"/>
                <w:sz w:val="13"/>
                <w:szCs w:val="13"/>
                <w:b w:val="1"/>
                <w:bCs w:val="1"/>
                <w:color w:val="auto"/>
                <w:w w:val="86"/>
              </w:rPr>
              <w:t>Recorded</w:t>
            </w:r>
          </w:p>
        </w:tc>
        <w:tc>
          <w:tcPr>
            <w:tcW w:w="780" w:type="dxa"/>
            <w:vAlign w:val="bottom"/>
            <w:gridSpan w:val="4"/>
          </w:tcPr>
          <w:p>
            <w:pPr>
              <w:jc w:val="right"/>
              <w:ind w:right="140"/>
              <w:spacing w:after="0" w:line="138" w:lineRule="exact"/>
              <w:rPr>
                <w:sz w:val="20"/>
                <w:szCs w:val="20"/>
                <w:color w:val="auto"/>
              </w:rPr>
            </w:pPr>
            <w:r>
              <w:rPr>
                <w:rFonts w:ascii="Arial" w:cs="Arial" w:eastAsia="Arial" w:hAnsi="Arial"/>
                <w:sz w:val="13"/>
                <w:szCs w:val="13"/>
                <w:b w:val="1"/>
                <w:bCs w:val="1"/>
                <w:color w:val="auto"/>
                <w:w w:val="95"/>
              </w:rPr>
              <w:t>Number of</w:t>
            </w:r>
          </w:p>
        </w:tc>
        <w:tc>
          <w:tcPr>
            <w:tcW w:w="140" w:type="dxa"/>
            <w:vAlign w:val="bottom"/>
          </w:tcPr>
          <w:p>
            <w:pPr>
              <w:spacing w:after="0"/>
              <w:rPr>
                <w:sz w:val="11"/>
                <w:szCs w:val="11"/>
                <w:color w:val="auto"/>
              </w:rPr>
            </w:pPr>
          </w:p>
        </w:tc>
        <w:tc>
          <w:tcPr>
            <w:tcW w:w="740" w:type="dxa"/>
            <w:vAlign w:val="bottom"/>
            <w:gridSpan w:val="3"/>
          </w:tcPr>
          <w:p>
            <w:pPr>
              <w:ind w:left="60"/>
              <w:spacing w:after="0" w:line="138" w:lineRule="exact"/>
              <w:rPr>
                <w:sz w:val="20"/>
                <w:szCs w:val="20"/>
                <w:color w:val="auto"/>
              </w:rPr>
            </w:pPr>
            <w:r>
              <w:rPr>
                <w:rFonts w:ascii="Arial" w:cs="Arial" w:eastAsia="Arial" w:hAnsi="Arial"/>
                <w:sz w:val="13"/>
                <w:szCs w:val="13"/>
                <w:b w:val="1"/>
                <w:bCs w:val="1"/>
                <w:color w:val="auto"/>
              </w:rPr>
              <w:t>Recorded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Contracts</w:t>
            </w:r>
          </w:p>
        </w:tc>
        <w:tc>
          <w:tcPr>
            <w:tcW w:w="940" w:type="dxa"/>
            <w:vAlign w:val="bottom"/>
            <w:gridSpan w:val="5"/>
          </w:tcPr>
          <w:p>
            <w:pPr>
              <w:jc w:val="center"/>
              <w:ind w:right="55"/>
              <w:spacing w:after="0"/>
              <w:rPr>
                <w:sz w:val="20"/>
                <w:szCs w:val="20"/>
                <w:color w:val="auto"/>
              </w:rPr>
            </w:pPr>
            <w:r>
              <w:rPr>
                <w:rFonts w:ascii="Arial" w:cs="Arial" w:eastAsia="Arial" w:hAnsi="Arial"/>
                <w:sz w:val="13"/>
                <w:szCs w:val="13"/>
                <w:b w:val="1"/>
                <w:bCs w:val="1"/>
                <w:color w:val="auto"/>
                <w:w w:val="90"/>
              </w:rPr>
              <w:t>Investment</w:t>
            </w:r>
          </w:p>
        </w:tc>
        <w:tc>
          <w:tcPr>
            <w:tcW w:w="1000" w:type="dxa"/>
            <w:vAlign w:val="bottom"/>
            <w:gridSpan w:val="6"/>
          </w:tcPr>
          <w:p>
            <w:pPr>
              <w:jc w:val="center"/>
              <w:ind w:right="260"/>
              <w:spacing w:after="0"/>
              <w:rPr>
                <w:sz w:val="20"/>
                <w:szCs w:val="20"/>
                <w:color w:val="auto"/>
              </w:rPr>
            </w:pPr>
            <w:r>
              <w:rPr>
                <w:rFonts w:ascii="Arial" w:cs="Arial" w:eastAsia="Arial" w:hAnsi="Arial"/>
                <w:sz w:val="13"/>
                <w:szCs w:val="13"/>
                <w:b w:val="1"/>
                <w:bCs w:val="1"/>
                <w:color w:val="auto"/>
                <w:w w:val="90"/>
              </w:rPr>
              <w:t>Investment</w:t>
            </w:r>
          </w:p>
        </w:tc>
        <w:tc>
          <w:tcPr>
            <w:tcW w:w="88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98"/>
              </w:rPr>
              <w:t>Contracts</w:t>
            </w:r>
          </w:p>
        </w:tc>
        <w:tc>
          <w:tcPr>
            <w:tcW w:w="940" w:type="dxa"/>
            <w:vAlign w:val="bottom"/>
            <w:gridSpan w:val="7"/>
          </w:tcPr>
          <w:p>
            <w:pPr>
              <w:spacing w:after="0"/>
              <w:rPr>
                <w:sz w:val="20"/>
                <w:szCs w:val="20"/>
                <w:color w:val="auto"/>
              </w:rPr>
            </w:pPr>
            <w:r>
              <w:rPr>
                <w:rFonts w:ascii="Arial" w:cs="Arial" w:eastAsia="Arial" w:hAnsi="Arial"/>
                <w:sz w:val="13"/>
                <w:szCs w:val="13"/>
                <w:b w:val="1"/>
                <w:bCs w:val="1"/>
                <w:color w:val="auto"/>
              </w:rPr>
              <w:t>Investment</w:t>
            </w:r>
          </w:p>
        </w:tc>
        <w:tc>
          <w:tcPr>
            <w:tcW w:w="860" w:type="dxa"/>
            <w:vAlign w:val="bottom"/>
            <w:gridSpan w:val="3"/>
          </w:tcPr>
          <w:p>
            <w:pPr>
              <w:jc w:val="right"/>
              <w:ind w:right="175"/>
              <w:spacing w:after="0"/>
              <w:rPr>
                <w:sz w:val="20"/>
                <w:szCs w:val="20"/>
                <w:color w:val="auto"/>
              </w:rPr>
            </w:pPr>
            <w:r>
              <w:rPr>
                <w:rFonts w:ascii="Arial" w:cs="Arial" w:eastAsia="Arial" w:hAnsi="Arial"/>
                <w:sz w:val="13"/>
                <w:szCs w:val="13"/>
                <w:b w:val="1"/>
                <w:bCs w:val="1"/>
                <w:color w:val="auto"/>
                <w:w w:val="98"/>
              </w:rPr>
              <w:t>Contracts</w:t>
            </w:r>
          </w:p>
        </w:tc>
        <w:tc>
          <w:tcPr>
            <w:tcW w:w="900" w:type="dxa"/>
            <w:vAlign w:val="bottom"/>
            <w:gridSpan w:val="5"/>
          </w:tcPr>
          <w:p>
            <w:pPr>
              <w:jc w:val="center"/>
              <w:ind w:right="175"/>
              <w:spacing w:after="0"/>
              <w:rPr>
                <w:sz w:val="20"/>
                <w:szCs w:val="20"/>
                <w:color w:val="auto"/>
              </w:rPr>
            </w:pPr>
            <w:r>
              <w:rPr>
                <w:rFonts w:ascii="Arial" w:cs="Arial" w:eastAsia="Arial" w:hAnsi="Arial"/>
                <w:sz w:val="13"/>
                <w:szCs w:val="13"/>
                <w:b w:val="1"/>
                <w:bCs w:val="1"/>
                <w:color w:val="auto"/>
                <w:w w:val="90"/>
              </w:rPr>
              <w:t>Investment</w:t>
            </w:r>
          </w:p>
        </w:tc>
        <w:tc>
          <w:tcPr>
            <w:tcW w:w="1000" w:type="dxa"/>
            <w:vAlign w:val="bottom"/>
            <w:gridSpan w:val="6"/>
          </w:tcPr>
          <w:p>
            <w:pPr>
              <w:jc w:val="center"/>
              <w:ind w:right="280"/>
              <w:spacing w:after="0"/>
              <w:rPr>
                <w:sz w:val="20"/>
                <w:szCs w:val="20"/>
                <w:color w:val="auto"/>
              </w:rPr>
            </w:pPr>
            <w:r>
              <w:rPr>
                <w:rFonts w:ascii="Arial" w:cs="Arial" w:eastAsia="Arial" w:hAnsi="Arial"/>
                <w:sz w:val="13"/>
                <w:szCs w:val="13"/>
                <w:b w:val="1"/>
                <w:bCs w:val="1"/>
                <w:color w:val="auto"/>
                <w:w w:val="87"/>
              </w:rPr>
              <w:t>Investment</w:t>
            </w:r>
          </w:p>
        </w:tc>
        <w:tc>
          <w:tcPr>
            <w:tcW w:w="780" w:type="dxa"/>
            <w:vAlign w:val="bottom"/>
            <w:gridSpan w:val="4"/>
          </w:tcPr>
          <w:p>
            <w:pPr>
              <w:jc w:val="right"/>
              <w:ind w:right="160"/>
              <w:spacing w:after="0"/>
              <w:rPr>
                <w:sz w:val="20"/>
                <w:szCs w:val="20"/>
                <w:color w:val="auto"/>
              </w:rPr>
            </w:pPr>
            <w:r>
              <w:rPr>
                <w:rFonts w:ascii="Arial" w:cs="Arial" w:eastAsia="Arial" w:hAnsi="Arial"/>
                <w:sz w:val="13"/>
                <w:szCs w:val="13"/>
                <w:b w:val="1"/>
                <w:bCs w:val="1"/>
                <w:color w:val="auto"/>
                <w:w w:val="98"/>
              </w:rPr>
              <w:t>Contracts</w:t>
            </w:r>
          </w:p>
        </w:tc>
        <w:tc>
          <w:tcPr>
            <w:tcW w:w="140" w:type="dxa"/>
            <w:vAlign w:val="bottom"/>
          </w:tcPr>
          <w:p>
            <w:pPr>
              <w:spacing w:after="0"/>
              <w:rPr>
                <w:sz w:val="13"/>
                <w:szCs w:val="13"/>
                <w:color w:val="auto"/>
              </w:rPr>
            </w:pPr>
          </w:p>
        </w:tc>
        <w:tc>
          <w:tcPr>
            <w:tcW w:w="880" w:type="dxa"/>
            <w:vAlign w:val="bottom"/>
            <w:gridSpan w:val="4"/>
          </w:tcPr>
          <w:p>
            <w:pPr>
              <w:ind w:left="20"/>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300" w:type="dxa"/>
            <w:vAlign w:val="bottom"/>
            <w:tcBorders>
              <w:right w:val="single" w:sz="8" w:color="F0FFFF"/>
            </w:tcBorders>
            <w:gridSpan w:val="2"/>
            <w:shd w:val="clear" w:color="auto" w:fill="F0FFFF"/>
          </w:tcPr>
          <w:p>
            <w:pPr>
              <w:spacing w:after="0" w:line="134" w:lineRule="exact"/>
              <w:rPr>
                <w:sz w:val="20"/>
                <w:szCs w:val="20"/>
                <w:color w:val="auto"/>
              </w:rPr>
            </w:pPr>
            <w:r>
              <w:rPr>
                <w:rFonts w:ascii="Arial" w:cs="Arial" w:eastAsia="Arial" w:hAnsi="Arial"/>
                <w:sz w:val="13"/>
                <w:szCs w:val="13"/>
                <w:color w:val="auto"/>
                <w:w w:val="98"/>
              </w:rPr>
              <w:t>Owner occupied commercial real estate</w:t>
            </w:r>
          </w:p>
        </w:tc>
        <w:tc>
          <w:tcPr>
            <w:tcW w:w="800" w:type="dxa"/>
            <w:vAlign w:val="bottom"/>
            <w:gridSpan w:val="3"/>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2</w:t>
            </w:r>
          </w:p>
        </w:tc>
        <w:tc>
          <w:tcPr>
            <w:tcW w:w="24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1"/>
                <w:szCs w:val="11"/>
                <w:color w:val="auto"/>
              </w:rPr>
            </w:pPr>
          </w:p>
        </w:tc>
        <w:tc>
          <w:tcPr>
            <w:tcW w:w="620" w:type="dxa"/>
            <w:vAlign w:val="bottom"/>
            <w:tcBorders>
              <w:right w:val="single" w:sz="8" w:color="F0FFFF"/>
            </w:tcBorders>
            <w:gridSpan w:val="2"/>
            <w:shd w:val="clear" w:color="auto" w:fill="F0FFFF"/>
          </w:tcPr>
          <w:p>
            <w:pPr>
              <w:jc w:val="right"/>
              <w:ind w:right="75"/>
              <w:spacing w:after="0" w:line="134" w:lineRule="exact"/>
              <w:rPr>
                <w:sz w:val="20"/>
                <w:szCs w:val="20"/>
                <w:color w:val="auto"/>
              </w:rPr>
            </w:pPr>
            <w:r>
              <w:rPr>
                <w:rFonts w:ascii="Arial" w:cs="Arial" w:eastAsia="Arial" w:hAnsi="Arial"/>
                <w:sz w:val="13"/>
                <w:szCs w:val="13"/>
                <w:color w:val="auto"/>
              </w:rPr>
              <w:t>747</w:t>
            </w:r>
          </w:p>
        </w:tc>
        <w:tc>
          <w:tcPr>
            <w:tcW w:w="240" w:type="dxa"/>
            <w:vAlign w:val="bottom"/>
            <w:gridSpan w:val="2"/>
            <w:shd w:val="clear" w:color="auto" w:fill="F0FFFF"/>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14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rPr>
              <w:t>747</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gridSpan w:val="3"/>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00" w:type="dxa"/>
            <w:vAlign w:val="bottom"/>
            <w:gridSpan w:val="2"/>
            <w:shd w:val="clear" w:color="auto" w:fill="F0FFFF"/>
          </w:tcPr>
          <w:p>
            <w:pPr>
              <w:ind w:left="20"/>
              <w:spacing w:after="0" w:line="134" w:lineRule="exact"/>
              <w:rPr>
                <w:sz w:val="20"/>
                <w:szCs w:val="20"/>
                <w:color w:val="auto"/>
              </w:rPr>
            </w:pPr>
            <w:r>
              <w:rPr>
                <w:rFonts w:ascii="Arial" w:cs="Arial" w:eastAsia="Arial" w:hAnsi="Arial"/>
                <w:sz w:val="13"/>
                <w:szCs w:val="13"/>
                <w:color w:val="auto"/>
                <w:w w:val="82"/>
              </w:rPr>
              <w:t>$</w:t>
            </w: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420" w:type="dxa"/>
            <w:vAlign w:val="bottom"/>
            <w:gridSpan w:val="3"/>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F0FFFF"/>
            </w:tcBorders>
            <w:gridSpan w:val="3"/>
            <w:shd w:val="clear" w:color="auto" w:fill="F0FFFF"/>
          </w:tcPr>
          <w:p>
            <w:pPr>
              <w:jc w:val="right"/>
              <w:ind w:right="115"/>
              <w:spacing w:after="0" w:line="134" w:lineRule="exact"/>
              <w:rPr>
                <w:sz w:val="20"/>
                <w:szCs w:val="20"/>
                <w:color w:val="auto"/>
              </w:rPr>
            </w:pPr>
            <w:r>
              <w:rPr>
                <w:rFonts w:ascii="Arial" w:cs="Arial" w:eastAsia="Arial" w:hAnsi="Arial"/>
                <w:sz w:val="13"/>
                <w:szCs w:val="13"/>
                <w:color w:val="auto"/>
              </w:rPr>
              <w:t>9</w:t>
            </w:r>
          </w:p>
        </w:tc>
        <w:tc>
          <w:tcPr>
            <w:tcW w:w="220" w:type="dxa"/>
            <w:vAlign w:val="bottom"/>
            <w:gridSpan w:val="2"/>
            <w:shd w:val="clear" w:color="auto" w:fill="F0FF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1"/>
                <w:szCs w:val="11"/>
                <w:color w:val="auto"/>
              </w:rPr>
            </w:pPr>
          </w:p>
        </w:tc>
        <w:tc>
          <w:tcPr>
            <w:tcW w:w="560" w:type="dxa"/>
            <w:vAlign w:val="bottom"/>
            <w:tcBorders>
              <w:right w:val="single" w:sz="8" w:color="F0FFFF"/>
            </w:tcBorders>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rPr>
              <w:t>4,139</w:t>
            </w:r>
          </w:p>
        </w:tc>
        <w:tc>
          <w:tcPr>
            <w:tcW w:w="200" w:type="dxa"/>
            <w:vAlign w:val="bottom"/>
            <w:gridSpan w:val="2"/>
            <w:shd w:val="clear" w:color="auto" w:fill="F0FF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40" w:type="dxa"/>
            <w:vAlign w:val="bottom"/>
            <w:shd w:val="clear" w:color="auto" w:fill="F0FFFF"/>
          </w:tcPr>
          <w:p>
            <w:pPr>
              <w:spacing w:after="0"/>
              <w:rPr>
                <w:sz w:val="11"/>
                <w:szCs w:val="11"/>
                <w:color w:val="auto"/>
              </w:rPr>
            </w:pPr>
          </w:p>
        </w:tc>
        <w:tc>
          <w:tcPr>
            <w:tcW w:w="54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4,139</w:t>
            </w: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jc w:val="right"/>
              <w:ind w:right="2"/>
              <w:spacing w:after="0"/>
              <w:rPr>
                <w:sz w:val="20"/>
                <w:szCs w:val="20"/>
                <w:color w:val="auto"/>
              </w:rPr>
            </w:pPr>
            <w:r>
              <w:rPr>
                <w:rFonts w:ascii="Arial" w:cs="Arial" w:eastAsia="Arial" w:hAnsi="Arial"/>
                <w:sz w:val="5"/>
                <w:szCs w:val="5"/>
                <w:color w:val="auto"/>
                <w:w w:val="70"/>
              </w:rPr>
              <w:t>$</w:t>
            </w:r>
          </w:p>
        </w:tc>
        <w:tc>
          <w:tcPr>
            <w:tcW w:w="8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1</w:t>
            </w:r>
          </w:p>
        </w:tc>
        <w:tc>
          <w:tcPr>
            <w:tcW w:w="220" w:type="dxa"/>
            <w:vAlign w:val="bottom"/>
            <w:tcBorders>
              <w:left w:val="single" w:sz="8" w:color="F0FFFF"/>
            </w:tcBorders>
            <w:gridSpan w:val="2"/>
            <w:shd w:val="clear" w:color="auto" w:fill="F0FFFF"/>
          </w:tcPr>
          <w:p>
            <w:pPr>
              <w:ind w:left="140"/>
              <w:spacing w:after="0" w:line="13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F0FFFF"/>
          </w:tcPr>
          <w:p>
            <w:pPr>
              <w:spacing w:after="0"/>
              <w:rPr>
                <w:sz w:val="11"/>
                <w:szCs w:val="11"/>
                <w:color w:val="auto"/>
              </w:rPr>
            </w:pPr>
          </w:p>
        </w:tc>
        <w:tc>
          <w:tcPr>
            <w:tcW w:w="2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104</w:t>
            </w:r>
          </w:p>
        </w:tc>
        <w:tc>
          <w:tcPr>
            <w:tcW w:w="140" w:type="dxa"/>
            <w:vAlign w:val="bottom"/>
            <w:tcBorders>
              <w:left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w w:val="95"/>
              </w:rPr>
              <w:t>Income producing commercial real estate</w:t>
            </w:r>
          </w:p>
        </w:tc>
        <w:tc>
          <w:tcPr>
            <w:tcW w:w="80" w:type="dxa"/>
            <w:vAlign w:val="bottom"/>
          </w:tcPr>
          <w:p>
            <w:pPr>
              <w:spacing w:after="0"/>
              <w:rPr>
                <w:sz w:val="11"/>
                <w:szCs w:val="11"/>
                <w:color w:val="auto"/>
              </w:rPr>
            </w:pPr>
          </w:p>
        </w:tc>
        <w:tc>
          <w:tcPr>
            <w:tcW w:w="7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gridSpan w:val="3"/>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15"/>
              <w:spacing w:after="0" w:line="134"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95"/>
              <w:spacing w:after="0" w:line="134" w:lineRule="exact"/>
              <w:rPr>
                <w:sz w:val="20"/>
                <w:szCs w:val="20"/>
                <w:color w:val="auto"/>
              </w:rPr>
            </w:pPr>
            <w:r>
              <w:rPr>
                <w:rFonts w:ascii="Arial" w:cs="Arial" w:eastAsia="Arial" w:hAnsi="Arial"/>
                <w:sz w:val="13"/>
                <w:szCs w:val="13"/>
                <w:color w:val="auto"/>
              </w:rPr>
              <w:t>1,992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1,992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Borders>
              <w:right w:val="single" w:sz="8" w:color="F0FFFF"/>
            </w:tcBorders>
            <w:gridSpan w:val="2"/>
            <w:shd w:val="clear" w:color="auto" w:fill="F0FFFF"/>
          </w:tcPr>
          <w:p>
            <w:pPr>
              <w:spacing w:after="0" w:line="134" w:lineRule="exact"/>
              <w:rPr>
                <w:sz w:val="20"/>
                <w:szCs w:val="20"/>
                <w:color w:val="auto"/>
              </w:rPr>
            </w:pPr>
            <w:r>
              <w:rPr>
                <w:rFonts w:ascii="Arial" w:cs="Arial" w:eastAsia="Arial" w:hAnsi="Arial"/>
                <w:sz w:val="13"/>
                <w:szCs w:val="13"/>
                <w:color w:val="auto"/>
              </w:rPr>
              <w:t>Commercial &amp; industrial</w:t>
            </w:r>
          </w:p>
        </w:tc>
        <w:tc>
          <w:tcPr>
            <w:tcW w:w="800" w:type="dxa"/>
            <w:vAlign w:val="bottom"/>
            <w:gridSpan w:val="3"/>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6</w:t>
            </w: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tcBorders>
              <w:right w:val="single" w:sz="8" w:color="F0FFFF"/>
            </w:tcBorders>
            <w:gridSpan w:val="2"/>
            <w:shd w:val="clear" w:color="auto" w:fill="F0FFFF"/>
          </w:tcPr>
          <w:p>
            <w:pPr>
              <w:jc w:val="right"/>
              <w:ind w:right="75"/>
              <w:spacing w:after="0" w:line="134" w:lineRule="exact"/>
              <w:rPr>
                <w:sz w:val="20"/>
                <w:szCs w:val="20"/>
                <w:color w:val="auto"/>
              </w:rPr>
            </w:pPr>
            <w:r>
              <w:rPr>
                <w:rFonts w:ascii="Arial" w:cs="Arial" w:eastAsia="Arial" w:hAnsi="Arial"/>
                <w:sz w:val="13"/>
                <w:szCs w:val="13"/>
                <w:color w:val="auto"/>
              </w:rPr>
              <w:t>452</w:t>
            </w: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rPr>
              <w:t>452</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gridSpan w:val="3"/>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420" w:type="dxa"/>
            <w:vAlign w:val="bottom"/>
            <w:gridSpan w:val="3"/>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F0FFFF"/>
            </w:tcBorders>
            <w:gridSpan w:val="3"/>
            <w:shd w:val="clear" w:color="auto" w:fill="F0FFFF"/>
          </w:tcPr>
          <w:p>
            <w:pPr>
              <w:jc w:val="right"/>
              <w:ind w:right="115"/>
              <w:spacing w:after="0" w:line="134" w:lineRule="exact"/>
              <w:rPr>
                <w:sz w:val="20"/>
                <w:szCs w:val="20"/>
                <w:color w:val="auto"/>
              </w:rPr>
            </w:pPr>
            <w:r>
              <w:rPr>
                <w:rFonts w:ascii="Arial" w:cs="Arial" w:eastAsia="Arial" w:hAnsi="Arial"/>
                <w:sz w:val="13"/>
                <w:szCs w:val="13"/>
                <w:color w:val="auto"/>
              </w:rPr>
              <w:t>10</w:t>
            </w:r>
          </w:p>
        </w:tc>
        <w:tc>
          <w:tcPr>
            <w:tcW w:w="1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tcBorders>
              <w:right w:val="single" w:sz="8" w:color="F0FFFF"/>
            </w:tcBorders>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rPr>
              <w:t>782</w:t>
            </w: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54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782</w:t>
            </w: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2</w:t>
            </w:r>
          </w:p>
        </w:tc>
        <w:tc>
          <w:tcPr>
            <w:tcW w:w="140" w:type="dxa"/>
            <w:vAlign w:val="bottom"/>
            <w:tcBorders>
              <w:left w:val="single" w:sz="8" w:color="F0FFFF"/>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2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54</w:t>
            </w:r>
          </w:p>
        </w:tc>
        <w:tc>
          <w:tcPr>
            <w:tcW w:w="140" w:type="dxa"/>
            <w:vAlign w:val="bottom"/>
            <w:tcBorders>
              <w:left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rPr>
              <w:t>Commercial construction</w:t>
            </w:r>
          </w:p>
        </w:tc>
        <w:tc>
          <w:tcPr>
            <w:tcW w:w="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gridSpan w:val="3"/>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15"/>
              <w:spacing w:after="0" w:line="134" w:lineRule="exact"/>
              <w:rPr>
                <w:sz w:val="20"/>
                <w:szCs w:val="20"/>
                <w:color w:val="auto"/>
              </w:rPr>
            </w:pPr>
            <w:r>
              <w:rPr>
                <w:rFonts w:ascii="Arial" w:cs="Arial" w:eastAsia="Arial" w:hAnsi="Arial"/>
                <w:sz w:val="13"/>
                <w:szCs w:val="13"/>
                <w:color w:val="auto"/>
              </w:rPr>
              <w:t>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95"/>
              <w:spacing w:after="0" w:line="134" w:lineRule="exact"/>
              <w:rPr>
                <w:sz w:val="20"/>
                <w:szCs w:val="20"/>
                <w:color w:val="auto"/>
              </w:rPr>
            </w:pPr>
            <w:r>
              <w:rPr>
                <w:rFonts w:ascii="Arial" w:cs="Arial" w:eastAsia="Arial" w:hAnsi="Arial"/>
                <w:sz w:val="13"/>
                <w:szCs w:val="13"/>
                <w:color w:val="auto"/>
              </w:rPr>
              <w:t>471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471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Borders>
              <w:right w:val="single" w:sz="8" w:color="F0FFFF"/>
            </w:tcBorders>
            <w:gridSpan w:val="2"/>
            <w:shd w:val="clear" w:color="auto" w:fill="F0FFFF"/>
          </w:tcPr>
          <w:p>
            <w:pPr>
              <w:ind w:left="260"/>
              <w:spacing w:after="0" w:line="134" w:lineRule="exact"/>
              <w:rPr>
                <w:sz w:val="20"/>
                <w:szCs w:val="20"/>
                <w:color w:val="auto"/>
              </w:rPr>
            </w:pPr>
            <w:r>
              <w:rPr>
                <w:rFonts w:ascii="Arial" w:cs="Arial" w:eastAsia="Arial" w:hAnsi="Arial"/>
                <w:sz w:val="13"/>
                <w:szCs w:val="13"/>
                <w:color w:val="auto"/>
              </w:rPr>
              <w:t>Total commercial</w:t>
            </w:r>
          </w:p>
        </w:tc>
        <w:tc>
          <w:tcPr>
            <w:tcW w:w="7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8</w:t>
            </w:r>
          </w:p>
        </w:tc>
        <w:tc>
          <w:tcPr>
            <w:tcW w:w="10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tcBorders>
              <w:right w:val="single" w:sz="8" w:color="F0FFFF"/>
            </w:tcBorders>
            <w:gridSpan w:val="2"/>
            <w:shd w:val="clear" w:color="auto" w:fill="F0FFFF"/>
          </w:tcPr>
          <w:p>
            <w:pPr>
              <w:jc w:val="right"/>
              <w:ind w:right="75"/>
              <w:spacing w:after="0" w:line="134" w:lineRule="exact"/>
              <w:rPr>
                <w:sz w:val="20"/>
                <w:szCs w:val="20"/>
                <w:color w:val="auto"/>
              </w:rPr>
            </w:pPr>
            <w:r>
              <w:rPr>
                <w:rFonts w:ascii="Arial" w:cs="Arial" w:eastAsia="Arial" w:hAnsi="Arial"/>
                <w:sz w:val="13"/>
                <w:szCs w:val="13"/>
                <w:color w:val="auto"/>
              </w:rPr>
              <w:t>1,199</w:t>
            </w: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560" w:type="dxa"/>
            <w:vAlign w:val="bottom"/>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rPr>
              <w:t>1,199</w:t>
            </w:r>
          </w:p>
        </w:tc>
        <w:tc>
          <w:tcPr>
            <w:tcW w:w="60" w:type="dxa"/>
            <w:vAlign w:val="bottom"/>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700" w:type="dxa"/>
            <w:vAlign w:val="bottom"/>
            <w:gridSpan w:val="3"/>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420" w:type="dxa"/>
            <w:vAlign w:val="bottom"/>
            <w:gridSpan w:val="3"/>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F0FFFF"/>
            </w:tcBorders>
            <w:gridSpan w:val="3"/>
            <w:shd w:val="clear" w:color="auto" w:fill="F0FFFF"/>
          </w:tcPr>
          <w:p>
            <w:pPr>
              <w:jc w:val="right"/>
              <w:ind w:right="115"/>
              <w:spacing w:after="0" w:line="134" w:lineRule="exact"/>
              <w:rPr>
                <w:sz w:val="20"/>
                <w:szCs w:val="20"/>
                <w:color w:val="auto"/>
              </w:rPr>
            </w:pPr>
            <w:r>
              <w:rPr>
                <w:rFonts w:ascii="Arial" w:cs="Arial" w:eastAsia="Arial" w:hAnsi="Arial"/>
                <w:sz w:val="13"/>
                <w:szCs w:val="13"/>
                <w:color w:val="auto"/>
              </w:rPr>
              <w:t>26</w:t>
            </w:r>
          </w:p>
        </w:tc>
        <w:tc>
          <w:tcPr>
            <w:tcW w:w="1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tcBorders>
              <w:right w:val="single" w:sz="8" w:color="F0FFFF"/>
            </w:tcBorders>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rPr>
              <w:t>7,384</w:t>
            </w: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54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7,384</w:t>
            </w: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3</w:t>
            </w:r>
          </w:p>
        </w:tc>
        <w:tc>
          <w:tcPr>
            <w:tcW w:w="140" w:type="dxa"/>
            <w:vAlign w:val="bottom"/>
            <w:tcBorders>
              <w:left w:val="single" w:sz="8" w:color="F0FFFF"/>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2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158</w:t>
            </w:r>
          </w:p>
        </w:tc>
        <w:tc>
          <w:tcPr>
            <w:tcW w:w="140" w:type="dxa"/>
            <w:vAlign w:val="bottom"/>
            <w:tcBorders>
              <w:left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rPr>
              <w:t>Residential mortgage</w:t>
            </w:r>
          </w:p>
        </w:tc>
        <w:tc>
          <w:tcPr>
            <w:tcW w:w="800" w:type="dxa"/>
            <w:vAlign w:val="bottom"/>
            <w:gridSpan w:val="3"/>
          </w:tcPr>
          <w:p>
            <w:pPr>
              <w:jc w:val="right"/>
              <w:ind w:right="100"/>
              <w:spacing w:after="0" w:line="134" w:lineRule="exact"/>
              <w:rPr>
                <w:sz w:val="20"/>
                <w:szCs w:val="20"/>
                <w:color w:val="auto"/>
              </w:rPr>
            </w:pPr>
            <w:r>
              <w:rPr>
                <w:rFonts w:ascii="Arial" w:cs="Arial" w:eastAsia="Arial" w:hAnsi="Arial"/>
                <w:sz w:val="13"/>
                <w:szCs w:val="13"/>
                <w:color w:val="auto"/>
              </w:rPr>
              <w:t>10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75"/>
              <w:spacing w:after="0" w:line="134" w:lineRule="exact"/>
              <w:rPr>
                <w:sz w:val="20"/>
                <w:szCs w:val="20"/>
                <w:color w:val="auto"/>
              </w:rPr>
            </w:pPr>
            <w:r>
              <w:rPr>
                <w:rFonts w:ascii="Arial" w:cs="Arial" w:eastAsia="Arial" w:hAnsi="Arial"/>
                <w:sz w:val="13"/>
                <w:szCs w:val="13"/>
                <w:color w:val="auto"/>
              </w:rPr>
              <w:t>778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gridSpan w:val="2"/>
          </w:tcPr>
          <w:p>
            <w:pPr>
              <w:jc w:val="right"/>
              <w:ind w:right="95"/>
              <w:spacing w:after="0" w:line="134" w:lineRule="exact"/>
              <w:rPr>
                <w:sz w:val="20"/>
                <w:szCs w:val="20"/>
                <w:color w:val="auto"/>
              </w:rPr>
            </w:pPr>
            <w:r>
              <w:rPr>
                <w:rFonts w:ascii="Arial" w:cs="Arial" w:eastAsia="Arial" w:hAnsi="Arial"/>
                <w:sz w:val="13"/>
                <w:szCs w:val="13"/>
                <w:color w:val="auto"/>
              </w:rPr>
              <w:t>673</w:t>
            </w:r>
          </w:p>
        </w:tc>
        <w:tc>
          <w:tcPr>
            <w:tcW w:w="60" w:type="dxa"/>
            <w:vAlign w:val="bottom"/>
          </w:tcPr>
          <w:p>
            <w:pPr>
              <w:spacing w:after="0"/>
              <w:rPr>
                <w:sz w:val="11"/>
                <w:szCs w:val="11"/>
                <w:color w:val="auto"/>
              </w:rPr>
            </w:pPr>
          </w:p>
        </w:tc>
        <w:tc>
          <w:tcPr>
            <w:tcW w:w="800" w:type="dxa"/>
            <w:vAlign w:val="bottom"/>
            <w:gridSpan w:val="3"/>
          </w:tcPr>
          <w:p>
            <w:pPr>
              <w:jc w:val="right"/>
              <w:ind w:right="55"/>
              <w:spacing w:after="0" w:line="134"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gridSpan w:val="2"/>
          </w:tcPr>
          <w:p>
            <w:pPr>
              <w:jc w:val="right"/>
              <w:ind w:right="115"/>
              <w:spacing w:after="0" w:line="134" w:lineRule="exact"/>
              <w:rPr>
                <w:sz w:val="20"/>
                <w:szCs w:val="20"/>
                <w:color w:val="auto"/>
              </w:rPr>
            </w:pPr>
            <w:r>
              <w:rPr>
                <w:rFonts w:ascii="Arial" w:cs="Arial" w:eastAsia="Arial" w:hAnsi="Arial"/>
                <w:sz w:val="13"/>
                <w:szCs w:val="13"/>
                <w:color w:val="auto"/>
                <w:w w:val="82"/>
              </w:rPr>
              <w:t>139</w:t>
            </w:r>
          </w:p>
        </w:tc>
        <w:tc>
          <w:tcPr>
            <w:tcW w:w="40" w:type="dxa"/>
            <w:vAlign w:val="bottom"/>
          </w:tcPr>
          <w:p>
            <w:pPr>
              <w:spacing w:after="0"/>
              <w:rPr>
                <w:sz w:val="11"/>
                <w:szCs w:val="11"/>
                <w:color w:val="auto"/>
              </w:rPr>
            </w:pPr>
          </w:p>
        </w:tc>
        <w:tc>
          <w:tcPr>
            <w:tcW w:w="860" w:type="dxa"/>
            <w:vAlign w:val="bottom"/>
            <w:gridSpan w:val="3"/>
          </w:tcPr>
          <w:p>
            <w:pPr>
              <w:jc w:val="right"/>
              <w:ind w:right="115"/>
              <w:spacing w:after="0" w:line="134" w:lineRule="exact"/>
              <w:rPr>
                <w:sz w:val="20"/>
                <w:szCs w:val="20"/>
                <w:color w:val="auto"/>
              </w:rPr>
            </w:pPr>
            <w:r>
              <w:rPr>
                <w:rFonts w:ascii="Arial" w:cs="Arial" w:eastAsia="Arial" w:hAnsi="Arial"/>
                <w:sz w:val="13"/>
                <w:szCs w:val="13"/>
                <w:color w:val="auto"/>
              </w:rPr>
              <w:t>33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95"/>
              <w:spacing w:after="0" w:line="134" w:lineRule="exact"/>
              <w:rPr>
                <w:sz w:val="20"/>
                <w:szCs w:val="20"/>
                <w:color w:val="auto"/>
              </w:rPr>
            </w:pPr>
            <w:r>
              <w:rPr>
                <w:rFonts w:ascii="Arial" w:cs="Arial" w:eastAsia="Arial" w:hAnsi="Arial"/>
                <w:sz w:val="13"/>
                <w:szCs w:val="13"/>
                <w:color w:val="auto"/>
              </w:rPr>
              <w:t>2,924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2,778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jc w:val="right"/>
              <w:spacing w:after="0" w:line="134" w:lineRule="exact"/>
              <w:rPr>
                <w:sz w:val="20"/>
                <w:szCs w:val="20"/>
                <w:color w:val="auto"/>
              </w:rPr>
            </w:pPr>
            <w:r>
              <w:rPr>
                <w:rFonts w:ascii="Arial" w:cs="Arial" w:eastAsia="Arial" w:hAnsi="Arial"/>
                <w:sz w:val="13"/>
                <w:szCs w:val="13"/>
                <w:color w:val="auto"/>
              </w:rPr>
              <w:t>871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Borders>
              <w:right w:val="single" w:sz="8" w:color="F0FFFF"/>
            </w:tcBorders>
            <w:gridSpan w:val="2"/>
            <w:shd w:val="clear" w:color="auto" w:fill="F0FFFF"/>
          </w:tcPr>
          <w:p>
            <w:pPr>
              <w:spacing w:after="0" w:line="134" w:lineRule="exact"/>
              <w:rPr>
                <w:sz w:val="20"/>
                <w:szCs w:val="20"/>
                <w:color w:val="auto"/>
              </w:rPr>
            </w:pPr>
            <w:r>
              <w:rPr>
                <w:rFonts w:ascii="Arial" w:cs="Arial" w:eastAsia="Arial" w:hAnsi="Arial"/>
                <w:sz w:val="13"/>
                <w:szCs w:val="13"/>
                <w:color w:val="auto"/>
              </w:rPr>
              <w:t>Home equity lines of credit</w:t>
            </w:r>
          </w:p>
        </w:tc>
        <w:tc>
          <w:tcPr>
            <w:tcW w:w="8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tcBorders>
              <w:right w:val="single" w:sz="8" w:color="F0FFFF"/>
            </w:tcBorders>
            <w:gridSpan w:val="2"/>
            <w:shd w:val="clear" w:color="auto" w:fill="F0FF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gridSpan w:val="3"/>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180" w:type="dxa"/>
            <w:vAlign w:val="bottom"/>
            <w:shd w:val="clear" w:color="auto" w:fill="F0FFFF"/>
          </w:tcPr>
          <w:p>
            <w:pPr>
              <w:spacing w:after="0"/>
              <w:rPr>
                <w:sz w:val="11"/>
                <w:szCs w:val="11"/>
                <w:color w:val="auto"/>
              </w:rPr>
            </w:pPr>
          </w:p>
        </w:tc>
        <w:tc>
          <w:tcPr>
            <w:tcW w:w="700" w:type="dxa"/>
            <w:vAlign w:val="bottom"/>
            <w:gridSpan w:val="3"/>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420" w:type="dxa"/>
            <w:vAlign w:val="bottom"/>
            <w:gridSpan w:val="3"/>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F0FFFF"/>
            </w:tcBorders>
            <w:gridSpan w:val="3"/>
            <w:shd w:val="clear" w:color="auto" w:fill="F0FFFF"/>
          </w:tcPr>
          <w:p>
            <w:pPr>
              <w:jc w:val="right"/>
              <w:ind w:right="115"/>
              <w:spacing w:after="0" w:line="134" w:lineRule="exact"/>
              <w:rPr>
                <w:sz w:val="20"/>
                <w:szCs w:val="20"/>
                <w:color w:val="auto"/>
              </w:rPr>
            </w:pPr>
            <w:r>
              <w:rPr>
                <w:rFonts w:ascii="Arial" w:cs="Arial" w:eastAsia="Arial" w:hAnsi="Arial"/>
                <w:sz w:val="13"/>
                <w:szCs w:val="13"/>
                <w:color w:val="auto"/>
              </w:rPr>
              <w:t>1</w:t>
            </w:r>
          </w:p>
        </w:tc>
        <w:tc>
          <w:tcPr>
            <w:tcW w:w="1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tcBorders>
              <w:right w:val="single" w:sz="8" w:color="F0FFFF"/>
            </w:tcBorders>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rPr>
              <w:t>36</w:t>
            </w: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54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36</w:t>
            </w: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F0FFFF"/>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420" w:type="dxa"/>
            <w:vAlign w:val="bottom"/>
            <w:gridSpan w:val="2"/>
            <w:shd w:val="clear" w:color="auto" w:fill="F0FFFF"/>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rPr>
              <w:t>Residential construction</w:t>
            </w:r>
          </w:p>
        </w:tc>
        <w:tc>
          <w:tcPr>
            <w:tcW w:w="80" w:type="dxa"/>
            <w:vAlign w:val="bottom"/>
          </w:tcPr>
          <w:p>
            <w:pPr>
              <w:spacing w:after="0"/>
              <w:rPr>
                <w:sz w:val="11"/>
                <w:szCs w:val="11"/>
                <w:color w:val="auto"/>
              </w:rPr>
            </w:pPr>
          </w:p>
        </w:tc>
        <w:tc>
          <w:tcPr>
            <w:tcW w:w="7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gridSpan w:val="3"/>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ind w:right="115"/>
              <w:spacing w:after="0" w:line="134"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95"/>
              <w:spacing w:after="0" w:line="134" w:lineRule="exact"/>
              <w:rPr>
                <w:sz w:val="20"/>
                <w:szCs w:val="20"/>
                <w:color w:val="auto"/>
              </w:rPr>
            </w:pPr>
            <w:r>
              <w:rPr>
                <w:rFonts w:ascii="Arial" w:cs="Arial" w:eastAsia="Arial" w:hAnsi="Arial"/>
                <w:sz w:val="13"/>
                <w:szCs w:val="13"/>
                <w:color w:val="auto"/>
              </w:rPr>
              <w:t>1,124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1,124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Borders>
              <w:right w:val="single" w:sz="8" w:color="F0FFFF"/>
            </w:tcBorders>
            <w:gridSpan w:val="2"/>
            <w:shd w:val="clear" w:color="auto" w:fill="F0FFFF"/>
          </w:tcPr>
          <w:p>
            <w:pPr>
              <w:spacing w:after="0" w:line="134" w:lineRule="exact"/>
              <w:rPr>
                <w:sz w:val="20"/>
                <w:szCs w:val="20"/>
                <w:color w:val="auto"/>
              </w:rPr>
            </w:pPr>
            <w:r>
              <w:rPr>
                <w:rFonts w:ascii="Arial" w:cs="Arial" w:eastAsia="Arial" w:hAnsi="Arial"/>
                <w:sz w:val="13"/>
                <w:szCs w:val="13"/>
                <w:color w:val="auto"/>
              </w:rPr>
              <w:t>Consumer installment</w:t>
            </w:r>
          </w:p>
        </w:tc>
        <w:tc>
          <w:tcPr>
            <w:tcW w:w="8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ind w:right="100"/>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tcBorders>
              <w:right w:val="single" w:sz="8" w:color="F0FFFF"/>
            </w:tcBorders>
            <w:gridSpan w:val="2"/>
            <w:shd w:val="clear" w:color="auto" w:fill="F0FF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gridSpan w:val="3"/>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180" w:type="dxa"/>
            <w:vAlign w:val="bottom"/>
            <w:shd w:val="clear" w:color="auto" w:fill="F0FFFF"/>
          </w:tcPr>
          <w:p>
            <w:pPr>
              <w:spacing w:after="0"/>
              <w:rPr>
                <w:sz w:val="11"/>
                <w:szCs w:val="11"/>
                <w:color w:val="auto"/>
              </w:rPr>
            </w:pPr>
          </w:p>
        </w:tc>
        <w:tc>
          <w:tcPr>
            <w:tcW w:w="700" w:type="dxa"/>
            <w:vAlign w:val="bottom"/>
            <w:gridSpan w:val="3"/>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420" w:type="dxa"/>
            <w:vAlign w:val="bottom"/>
            <w:gridSpan w:val="3"/>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F0FFFF"/>
            </w:tcBorders>
            <w:gridSpan w:val="3"/>
            <w:shd w:val="clear" w:color="auto" w:fill="F0FFFF"/>
          </w:tcPr>
          <w:p>
            <w:pPr>
              <w:jc w:val="right"/>
              <w:ind w:right="115"/>
              <w:spacing w:after="0" w:line="134" w:lineRule="exact"/>
              <w:rPr>
                <w:sz w:val="20"/>
                <w:szCs w:val="20"/>
                <w:color w:val="auto"/>
              </w:rPr>
            </w:pPr>
            <w:r>
              <w:rPr>
                <w:rFonts w:ascii="Arial" w:cs="Arial" w:eastAsia="Arial" w:hAnsi="Arial"/>
                <w:sz w:val="13"/>
                <w:szCs w:val="13"/>
                <w:color w:val="auto"/>
              </w:rPr>
              <w:t>5</w:t>
            </w:r>
          </w:p>
        </w:tc>
        <w:tc>
          <w:tcPr>
            <w:tcW w:w="1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tcBorders>
              <w:right w:val="single" w:sz="8" w:color="F0FFFF"/>
            </w:tcBorders>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rPr>
              <w:t>226</w:t>
            </w: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54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226</w:t>
            </w:r>
          </w:p>
        </w:tc>
        <w:tc>
          <w:tcPr>
            <w:tcW w:w="12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F0FFFF"/>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420" w:type="dxa"/>
            <w:vAlign w:val="bottom"/>
            <w:gridSpan w:val="2"/>
            <w:shd w:val="clear" w:color="auto" w:fill="F0FFFF"/>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rPr>
              <w:t>Indirect auto</w:t>
            </w:r>
          </w:p>
        </w:tc>
        <w:tc>
          <w:tcPr>
            <w:tcW w:w="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700" w:type="dxa"/>
            <w:vAlign w:val="bottom"/>
            <w:gridSpan w:val="3"/>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680" w:type="dxa"/>
            <w:vAlign w:val="bottom"/>
            <w:gridSpan w:val="2"/>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ind w:right="95"/>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ind w:right="24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ind w:right="14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300" w:type="dxa"/>
            <w:vAlign w:val="bottom"/>
            <w:tcBorders>
              <w:right w:val="single" w:sz="8" w:color="F0FFFF"/>
            </w:tcBorders>
            <w:gridSpan w:val="2"/>
            <w:shd w:val="clear" w:color="auto" w:fill="F0FFFF"/>
          </w:tcPr>
          <w:p>
            <w:pPr>
              <w:ind w:left="120"/>
              <w:spacing w:after="0" w:line="134" w:lineRule="exact"/>
              <w:rPr>
                <w:sz w:val="20"/>
                <w:szCs w:val="20"/>
                <w:color w:val="auto"/>
              </w:rPr>
            </w:pPr>
            <w:r>
              <w:rPr>
                <w:rFonts w:ascii="Arial" w:cs="Arial" w:eastAsia="Arial" w:hAnsi="Arial"/>
                <w:sz w:val="13"/>
                <w:szCs w:val="13"/>
                <w:color w:val="auto"/>
              </w:rPr>
              <w:t>Total loans</w:t>
            </w:r>
          </w:p>
        </w:tc>
        <w:tc>
          <w:tcPr>
            <w:tcW w:w="7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18</w:t>
            </w:r>
          </w:p>
        </w:tc>
        <w:tc>
          <w:tcPr>
            <w:tcW w:w="100" w:type="dxa"/>
            <w:vAlign w:val="bottom"/>
            <w:shd w:val="clear" w:color="auto" w:fill="F0FFFF"/>
          </w:tcPr>
          <w:p>
            <w:pPr>
              <w:spacing w:after="0"/>
              <w:rPr>
                <w:sz w:val="13"/>
                <w:szCs w:val="13"/>
                <w:color w:val="auto"/>
              </w:rPr>
            </w:pPr>
          </w:p>
        </w:tc>
        <w:tc>
          <w:tcPr>
            <w:tcW w:w="24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80" w:type="dxa"/>
            <w:vAlign w:val="bottom"/>
            <w:shd w:val="clear" w:color="auto" w:fill="F0FFFF"/>
          </w:tcPr>
          <w:p>
            <w:pPr>
              <w:spacing w:after="0"/>
              <w:rPr>
                <w:sz w:val="13"/>
                <w:szCs w:val="13"/>
                <w:color w:val="auto"/>
              </w:rPr>
            </w:pPr>
          </w:p>
        </w:tc>
        <w:tc>
          <w:tcPr>
            <w:tcW w:w="620" w:type="dxa"/>
            <w:vAlign w:val="bottom"/>
            <w:tcBorders>
              <w:right w:val="single" w:sz="8" w:color="F0FFFF"/>
            </w:tcBorders>
            <w:gridSpan w:val="2"/>
            <w:shd w:val="clear" w:color="auto" w:fill="F0FFFF"/>
          </w:tcPr>
          <w:p>
            <w:pPr>
              <w:jc w:val="right"/>
              <w:ind w:right="75"/>
              <w:spacing w:after="0" w:line="134" w:lineRule="exact"/>
              <w:rPr>
                <w:sz w:val="20"/>
                <w:szCs w:val="20"/>
                <w:color w:val="auto"/>
              </w:rPr>
            </w:pPr>
            <w:r>
              <w:rPr>
                <w:rFonts w:ascii="Arial" w:cs="Arial" w:eastAsia="Arial" w:hAnsi="Arial"/>
                <w:sz w:val="13"/>
                <w:szCs w:val="13"/>
                <w:color w:val="auto"/>
              </w:rPr>
              <w:t>1,977</w:t>
            </w:r>
          </w:p>
        </w:tc>
        <w:tc>
          <w:tcPr>
            <w:tcW w:w="240" w:type="dxa"/>
            <w:vAlign w:val="bottom"/>
            <w:gridSpan w:val="2"/>
            <w:shd w:val="clear" w:color="auto" w:fill="F0FFFF"/>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140" w:type="dxa"/>
            <w:vAlign w:val="bottom"/>
            <w:shd w:val="clear" w:color="auto" w:fill="F0FFFF"/>
          </w:tcPr>
          <w:p>
            <w:pPr>
              <w:spacing w:after="0"/>
              <w:rPr>
                <w:sz w:val="13"/>
                <w:szCs w:val="13"/>
                <w:color w:val="auto"/>
              </w:rPr>
            </w:pPr>
          </w:p>
        </w:tc>
        <w:tc>
          <w:tcPr>
            <w:tcW w:w="560" w:type="dxa"/>
            <w:vAlign w:val="bottom"/>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rPr>
              <w:t>1,872</w:t>
            </w:r>
          </w:p>
        </w:tc>
        <w:tc>
          <w:tcPr>
            <w:tcW w:w="60" w:type="dxa"/>
            <w:vAlign w:val="bottom"/>
            <w:shd w:val="clear" w:color="auto" w:fill="F0FFFF"/>
          </w:tcPr>
          <w:p>
            <w:pPr>
              <w:spacing w:after="0"/>
              <w:rPr>
                <w:sz w:val="13"/>
                <w:szCs w:val="13"/>
                <w:color w:val="auto"/>
              </w:rPr>
            </w:pPr>
          </w:p>
        </w:tc>
        <w:tc>
          <w:tcPr>
            <w:tcW w:w="800" w:type="dxa"/>
            <w:vAlign w:val="bottom"/>
            <w:gridSpan w:val="3"/>
            <w:shd w:val="clear" w:color="auto" w:fill="F0FFFF"/>
          </w:tcPr>
          <w:p>
            <w:pPr>
              <w:jc w:val="right"/>
              <w:ind w:right="55"/>
              <w:spacing w:after="0" w:line="134" w:lineRule="exact"/>
              <w:rPr>
                <w:sz w:val="20"/>
                <w:szCs w:val="20"/>
                <w:color w:val="auto"/>
              </w:rPr>
            </w:pPr>
            <w:r>
              <w:rPr>
                <w:rFonts w:ascii="Arial" w:cs="Arial" w:eastAsia="Arial" w:hAnsi="Arial"/>
                <w:sz w:val="13"/>
                <w:szCs w:val="13"/>
                <w:color w:val="auto"/>
              </w:rPr>
              <w:t>2</w:t>
            </w:r>
          </w:p>
        </w:tc>
        <w:tc>
          <w:tcPr>
            <w:tcW w:w="80" w:type="dxa"/>
            <w:vAlign w:val="bottom"/>
            <w:shd w:val="clear" w:color="auto" w:fill="F0FFFF"/>
          </w:tcPr>
          <w:p>
            <w:pPr>
              <w:spacing w:after="0"/>
              <w:rPr>
                <w:sz w:val="13"/>
                <w:szCs w:val="13"/>
                <w:color w:val="auto"/>
              </w:rPr>
            </w:pPr>
          </w:p>
        </w:tc>
        <w:tc>
          <w:tcPr>
            <w:tcW w:w="100" w:type="dxa"/>
            <w:vAlign w:val="bottom"/>
            <w:gridSpan w:val="2"/>
            <w:shd w:val="clear" w:color="auto" w:fill="F0FFFF"/>
          </w:tcPr>
          <w:p>
            <w:pPr>
              <w:ind w:left="20"/>
              <w:spacing w:after="0" w:line="134" w:lineRule="exact"/>
              <w:rPr>
                <w:sz w:val="20"/>
                <w:szCs w:val="20"/>
                <w:color w:val="auto"/>
              </w:rPr>
            </w:pPr>
            <w:r>
              <w:rPr>
                <w:rFonts w:ascii="Arial" w:cs="Arial" w:eastAsia="Arial" w:hAnsi="Arial"/>
                <w:sz w:val="13"/>
                <w:szCs w:val="13"/>
                <w:color w:val="auto"/>
                <w:w w:val="82"/>
              </w:rPr>
              <w:t>$</w:t>
            </w:r>
          </w:p>
        </w:tc>
        <w:tc>
          <w:tcPr>
            <w:tcW w:w="120" w:type="dxa"/>
            <w:vAlign w:val="bottom"/>
            <w:shd w:val="clear" w:color="auto" w:fill="F0FFFF"/>
          </w:tcPr>
          <w:p>
            <w:pPr>
              <w:spacing w:after="0"/>
              <w:rPr>
                <w:sz w:val="13"/>
                <w:szCs w:val="13"/>
                <w:color w:val="auto"/>
              </w:rPr>
            </w:pPr>
          </w:p>
        </w:tc>
        <w:tc>
          <w:tcPr>
            <w:tcW w:w="300" w:type="dxa"/>
            <w:vAlign w:val="bottom"/>
            <w:shd w:val="clear" w:color="auto" w:fill="F0FFFF"/>
          </w:tcPr>
          <w:p>
            <w:pPr>
              <w:spacing w:after="0"/>
              <w:rPr>
                <w:sz w:val="13"/>
                <w:szCs w:val="13"/>
                <w:color w:val="auto"/>
              </w:rPr>
            </w:pPr>
          </w:p>
        </w:tc>
        <w:tc>
          <w:tcPr>
            <w:tcW w:w="380" w:type="dxa"/>
            <w:vAlign w:val="bottom"/>
            <w:gridSpan w:val="2"/>
            <w:shd w:val="clear" w:color="auto" w:fill="F0FFFF"/>
          </w:tcPr>
          <w:p>
            <w:pPr>
              <w:jc w:val="right"/>
              <w:ind w:right="115"/>
              <w:spacing w:after="0" w:line="134" w:lineRule="exact"/>
              <w:rPr>
                <w:sz w:val="20"/>
                <w:szCs w:val="20"/>
                <w:color w:val="auto"/>
              </w:rPr>
            </w:pPr>
            <w:r>
              <w:rPr>
                <w:rFonts w:ascii="Arial" w:cs="Arial" w:eastAsia="Arial" w:hAnsi="Arial"/>
                <w:sz w:val="13"/>
                <w:szCs w:val="13"/>
                <w:color w:val="auto"/>
                <w:w w:val="82"/>
              </w:rPr>
              <w:t>139</w:t>
            </w:r>
          </w:p>
        </w:tc>
        <w:tc>
          <w:tcPr>
            <w:tcW w:w="40" w:type="dxa"/>
            <w:vAlign w:val="bottom"/>
            <w:shd w:val="clear" w:color="auto" w:fill="F0FFFF"/>
          </w:tcPr>
          <w:p>
            <w:pPr>
              <w:spacing w:after="0"/>
              <w:rPr>
                <w:sz w:val="13"/>
                <w:szCs w:val="13"/>
                <w:color w:val="auto"/>
              </w:rPr>
            </w:pPr>
          </w:p>
        </w:tc>
        <w:tc>
          <w:tcPr>
            <w:tcW w:w="860" w:type="dxa"/>
            <w:vAlign w:val="bottom"/>
            <w:tcBorders>
              <w:right w:val="single" w:sz="8" w:color="F0FFFF"/>
            </w:tcBorders>
            <w:gridSpan w:val="3"/>
            <w:shd w:val="clear" w:color="auto" w:fill="F0FFFF"/>
          </w:tcPr>
          <w:p>
            <w:pPr>
              <w:jc w:val="right"/>
              <w:ind w:right="115"/>
              <w:spacing w:after="0" w:line="134" w:lineRule="exact"/>
              <w:rPr>
                <w:sz w:val="20"/>
                <w:szCs w:val="20"/>
                <w:color w:val="auto"/>
              </w:rPr>
            </w:pPr>
            <w:r>
              <w:rPr>
                <w:rFonts w:ascii="Arial" w:cs="Arial" w:eastAsia="Arial" w:hAnsi="Arial"/>
                <w:sz w:val="13"/>
                <w:szCs w:val="13"/>
                <w:color w:val="auto"/>
              </w:rPr>
              <w:t>68</w:t>
            </w:r>
          </w:p>
        </w:tc>
        <w:tc>
          <w:tcPr>
            <w:tcW w:w="220" w:type="dxa"/>
            <w:vAlign w:val="bottom"/>
            <w:gridSpan w:val="2"/>
            <w:shd w:val="clear" w:color="auto" w:fill="F0FF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3"/>
                <w:szCs w:val="13"/>
                <w:color w:val="auto"/>
              </w:rPr>
            </w:pPr>
          </w:p>
        </w:tc>
        <w:tc>
          <w:tcPr>
            <w:tcW w:w="560" w:type="dxa"/>
            <w:vAlign w:val="bottom"/>
            <w:tcBorders>
              <w:right w:val="single" w:sz="8" w:color="F0FFFF"/>
            </w:tcBorders>
            <w:gridSpan w:val="2"/>
            <w:shd w:val="clear" w:color="auto" w:fill="F0FFFF"/>
          </w:tcPr>
          <w:p>
            <w:pPr>
              <w:jc w:val="right"/>
              <w:ind w:right="95"/>
              <w:spacing w:after="0" w:line="134" w:lineRule="exact"/>
              <w:rPr>
                <w:sz w:val="20"/>
                <w:szCs w:val="20"/>
                <w:color w:val="auto"/>
              </w:rPr>
            </w:pPr>
            <w:r>
              <w:rPr>
                <w:rFonts w:ascii="Arial" w:cs="Arial" w:eastAsia="Arial" w:hAnsi="Arial"/>
                <w:sz w:val="13"/>
                <w:szCs w:val="13"/>
                <w:color w:val="auto"/>
                <w:w w:val="95"/>
              </w:rPr>
              <w:t>11,694</w:t>
            </w:r>
          </w:p>
        </w:tc>
        <w:tc>
          <w:tcPr>
            <w:tcW w:w="200" w:type="dxa"/>
            <w:vAlign w:val="bottom"/>
            <w:gridSpan w:val="2"/>
            <w:shd w:val="clear" w:color="auto" w:fill="F0FF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40" w:type="dxa"/>
            <w:vAlign w:val="bottom"/>
            <w:shd w:val="clear" w:color="auto" w:fill="F0FFFF"/>
          </w:tcPr>
          <w:p>
            <w:pPr>
              <w:spacing w:after="0"/>
              <w:rPr>
                <w:sz w:val="13"/>
                <w:szCs w:val="13"/>
                <w:color w:val="auto"/>
              </w:rPr>
            </w:pPr>
          </w:p>
        </w:tc>
        <w:tc>
          <w:tcPr>
            <w:tcW w:w="54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11,548</w:t>
            </w:r>
          </w:p>
        </w:tc>
        <w:tc>
          <w:tcPr>
            <w:tcW w:w="120" w:type="dxa"/>
            <w:vAlign w:val="bottom"/>
            <w:tcBorders>
              <w:right w:val="single" w:sz="8" w:color="F0FFFF"/>
            </w:tcBorders>
            <w:shd w:val="clear" w:color="auto" w:fill="F0FFFF"/>
          </w:tcPr>
          <w:p>
            <w:pPr>
              <w:spacing w:after="0"/>
              <w:rPr>
                <w:sz w:val="13"/>
                <w:szCs w:val="13"/>
                <w:color w:val="auto"/>
              </w:rPr>
            </w:pPr>
          </w:p>
        </w:tc>
        <w:tc>
          <w:tcPr>
            <w:tcW w:w="10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60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11</w:t>
            </w:r>
          </w:p>
        </w:tc>
        <w:tc>
          <w:tcPr>
            <w:tcW w:w="220" w:type="dxa"/>
            <w:vAlign w:val="bottom"/>
            <w:tcBorders>
              <w:left w:val="single" w:sz="8" w:color="F0FFFF"/>
            </w:tcBorders>
            <w:gridSpan w:val="2"/>
            <w:shd w:val="clear" w:color="auto" w:fill="F0FFFF"/>
          </w:tcPr>
          <w:p>
            <w:pPr>
              <w:ind w:left="140"/>
              <w:spacing w:after="0" w:line="134" w:lineRule="exact"/>
              <w:rPr>
                <w:sz w:val="20"/>
                <w:szCs w:val="20"/>
                <w:color w:val="auto"/>
              </w:rPr>
            </w:pPr>
            <w:r>
              <w:rPr>
                <w:rFonts w:ascii="Arial" w:cs="Arial" w:eastAsia="Arial" w:hAnsi="Arial"/>
                <w:sz w:val="13"/>
                <w:szCs w:val="13"/>
                <w:color w:val="auto"/>
                <w:w w:val="82"/>
              </w:rPr>
              <w:t>$</w:t>
            </w:r>
          </w:p>
        </w:tc>
        <w:tc>
          <w:tcPr>
            <w:tcW w:w="380" w:type="dxa"/>
            <w:vAlign w:val="bottom"/>
            <w:shd w:val="clear" w:color="auto" w:fill="F0FFFF"/>
          </w:tcPr>
          <w:p>
            <w:pPr>
              <w:spacing w:after="0"/>
              <w:rPr>
                <w:sz w:val="13"/>
                <w:szCs w:val="13"/>
                <w:color w:val="auto"/>
              </w:rPr>
            </w:pPr>
          </w:p>
        </w:tc>
        <w:tc>
          <w:tcPr>
            <w:tcW w:w="2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79"/>
              </w:rPr>
              <w:t>1,029</w:t>
            </w:r>
          </w:p>
        </w:tc>
        <w:tc>
          <w:tcPr>
            <w:tcW w:w="140" w:type="dxa"/>
            <w:vAlign w:val="bottom"/>
            <w:tcBorders>
              <w:left w:val="single" w:sz="8" w:color="F0FFFF"/>
            </w:tcBorders>
            <w:shd w:val="clear" w:color="auto" w:fill="F0FF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right w:val="single" w:sz="8" w:color="auto"/>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left w:val="single" w:sz="8" w:color="F0FFFF"/>
              <w:right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10"/>
          </w:tcPr>
          <w:p>
            <w:pPr>
              <w:jc w:val="center"/>
              <w:ind w:right="40"/>
              <w:spacing w:after="0"/>
              <w:rPr>
                <w:sz w:val="20"/>
                <w:szCs w:val="20"/>
                <w:color w:val="auto"/>
              </w:rPr>
            </w:pPr>
            <w:r>
              <w:rPr>
                <w:rFonts w:ascii="Arial" w:cs="Arial" w:eastAsia="Arial" w:hAnsi="Arial"/>
                <w:sz w:val="13"/>
                <w:szCs w:val="13"/>
                <w:b w:val="1"/>
                <w:bCs w:val="1"/>
                <w:color w:val="auto"/>
                <w:w w:val="93"/>
              </w:rPr>
              <w:t>Modified Within the</w:t>
            </w: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gridSpan w:val="7"/>
          </w:tcPr>
          <w:p>
            <w:pPr>
              <w:jc w:val="center"/>
              <w:ind w:right="300"/>
              <w:spacing w:after="0"/>
              <w:rPr>
                <w:sz w:val="20"/>
                <w:szCs w:val="20"/>
                <w:color w:val="auto"/>
              </w:rPr>
            </w:pPr>
            <w:r>
              <w:rPr>
                <w:rFonts w:ascii="Arial" w:cs="Arial" w:eastAsia="Arial" w:hAnsi="Arial"/>
                <w:sz w:val="13"/>
                <w:szCs w:val="13"/>
                <w:b w:val="1"/>
                <w:bCs w:val="1"/>
                <w:color w:val="auto"/>
                <w:w w:val="93"/>
              </w:rPr>
              <w:t>Modified Within the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10"/>
          </w:tcPr>
          <w:p>
            <w:pPr>
              <w:jc w:val="center"/>
              <w:ind w:right="40"/>
              <w:spacing w:after="0" w:line="134" w:lineRule="exact"/>
              <w:rPr>
                <w:sz w:val="20"/>
                <w:szCs w:val="20"/>
                <w:color w:val="auto"/>
              </w:rPr>
            </w:pPr>
            <w:r>
              <w:rPr>
                <w:rFonts w:ascii="Arial" w:cs="Arial" w:eastAsia="Arial" w:hAnsi="Arial"/>
                <w:sz w:val="13"/>
                <w:szCs w:val="13"/>
                <w:b w:val="1"/>
                <w:bCs w:val="1"/>
                <w:color w:val="auto"/>
                <w:w w:val="89"/>
              </w:rPr>
              <w:t>Previous Twelve Months</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8"/>
          </w:tcPr>
          <w:p>
            <w:pPr>
              <w:jc w:val="center"/>
              <w:ind w:right="220"/>
              <w:spacing w:after="0" w:line="134" w:lineRule="exact"/>
              <w:rPr>
                <w:sz w:val="20"/>
                <w:szCs w:val="20"/>
                <w:color w:val="auto"/>
              </w:rPr>
            </w:pPr>
            <w:r>
              <w:rPr>
                <w:rFonts w:ascii="Arial" w:cs="Arial" w:eastAsia="Arial" w:hAnsi="Arial"/>
                <w:sz w:val="13"/>
                <w:szCs w:val="13"/>
                <w:b w:val="1"/>
                <w:bCs w:val="1"/>
                <w:color w:val="auto"/>
                <w:w w:val="89"/>
              </w:rPr>
              <w:t>Previous Twelve Months</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restart"/>
          </w:tcPr>
          <w:p>
            <w:pPr>
              <w:jc w:val="right"/>
              <w:ind w:right="175"/>
              <w:spacing w:after="0"/>
              <w:rPr>
                <w:sz w:val="20"/>
                <w:szCs w:val="20"/>
                <w:color w:val="auto"/>
              </w:rPr>
            </w:pPr>
            <w:r>
              <w:rPr>
                <w:rFonts w:ascii="Arial" w:cs="Arial" w:eastAsia="Arial" w:hAnsi="Arial"/>
                <w:sz w:val="13"/>
                <w:szCs w:val="13"/>
                <w:b w:val="1"/>
                <w:bCs w:val="1"/>
                <w:color w:val="auto"/>
              </w:rPr>
              <w:t>Pre-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rPr>
              <w:t>Post-</w:t>
            </w:r>
          </w:p>
        </w:tc>
        <w:tc>
          <w:tcPr>
            <w:tcW w:w="180" w:type="dxa"/>
            <w:vAlign w:val="bottom"/>
          </w:tcPr>
          <w:p>
            <w:pPr>
              <w:spacing w:after="0"/>
              <w:rPr>
                <w:sz w:val="11"/>
                <w:szCs w:val="11"/>
                <w:color w:val="auto"/>
              </w:rPr>
            </w:pPr>
          </w:p>
        </w:tc>
        <w:tc>
          <w:tcPr>
            <w:tcW w:w="1640" w:type="dxa"/>
            <w:vAlign w:val="bottom"/>
            <w:gridSpan w:val="10"/>
          </w:tcPr>
          <w:p>
            <w:pPr>
              <w:jc w:val="center"/>
              <w:ind w:right="40"/>
              <w:spacing w:after="0" w:line="134" w:lineRule="exact"/>
              <w:rPr>
                <w:sz w:val="20"/>
                <w:szCs w:val="20"/>
                <w:color w:val="auto"/>
              </w:rPr>
            </w:pPr>
            <w:r>
              <w:rPr>
                <w:rFonts w:ascii="Arial" w:cs="Arial" w:eastAsia="Arial" w:hAnsi="Arial"/>
                <w:sz w:val="13"/>
                <w:szCs w:val="13"/>
                <w:b w:val="1"/>
                <w:bCs w:val="1"/>
                <w:color w:val="auto"/>
                <w:w w:val="89"/>
              </w:rPr>
              <w:t>that Have Subsequently</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jc w:val="right"/>
              <w:ind w:right="175"/>
              <w:spacing w:after="0"/>
              <w:rPr>
                <w:sz w:val="20"/>
                <w:szCs w:val="20"/>
                <w:color w:val="auto"/>
              </w:rPr>
            </w:pPr>
            <w:r>
              <w:rPr>
                <w:rFonts w:ascii="Arial" w:cs="Arial" w:eastAsia="Arial" w:hAnsi="Arial"/>
                <w:sz w:val="13"/>
                <w:szCs w:val="13"/>
                <w:b w:val="1"/>
                <w:bCs w:val="1"/>
                <w:color w:val="auto"/>
              </w:rPr>
              <w:t>Pre-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vMerge w:val="restart"/>
          </w:tcPr>
          <w:p>
            <w:pPr>
              <w:jc w:val="right"/>
              <w:ind w:right="320"/>
              <w:spacing w:after="0"/>
              <w:rPr>
                <w:sz w:val="20"/>
                <w:szCs w:val="20"/>
                <w:color w:val="auto"/>
              </w:rPr>
            </w:pPr>
            <w:r>
              <w:rPr>
                <w:rFonts w:ascii="Arial" w:cs="Arial" w:eastAsia="Arial" w:hAnsi="Arial"/>
                <w:sz w:val="13"/>
                <w:szCs w:val="13"/>
                <w:b w:val="1"/>
                <w:bCs w:val="1"/>
                <w:color w:val="auto"/>
                <w:w w:val="98"/>
              </w:rPr>
              <w:t>Post-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20" w:type="dxa"/>
            <w:vAlign w:val="bottom"/>
            <w:gridSpan w:val="7"/>
          </w:tcPr>
          <w:p>
            <w:pPr>
              <w:jc w:val="center"/>
              <w:ind w:right="300"/>
              <w:spacing w:after="0" w:line="134" w:lineRule="exact"/>
              <w:rPr>
                <w:sz w:val="20"/>
                <w:szCs w:val="20"/>
                <w:color w:val="auto"/>
              </w:rPr>
            </w:pPr>
            <w:r>
              <w:rPr>
                <w:rFonts w:ascii="Arial" w:cs="Arial" w:eastAsia="Arial" w:hAnsi="Arial"/>
                <w:sz w:val="13"/>
                <w:szCs w:val="13"/>
                <w:b w:val="1"/>
                <w:bCs w:val="1"/>
                <w:color w:val="auto"/>
                <w:w w:val="89"/>
              </w:rPr>
              <w:t>that Have Subsequently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10"/>
          </w:tcPr>
          <w:p>
            <w:pPr>
              <w:jc w:val="center"/>
              <w:ind w:right="40"/>
              <w:spacing w:after="0" w:line="134" w:lineRule="exact"/>
              <w:rPr>
                <w:sz w:val="20"/>
                <w:szCs w:val="20"/>
                <w:color w:val="auto"/>
              </w:rPr>
            </w:pPr>
            <w:r>
              <w:rPr>
                <w:rFonts w:ascii="Arial" w:cs="Arial" w:eastAsia="Arial" w:hAnsi="Arial"/>
                <w:sz w:val="13"/>
                <w:szCs w:val="13"/>
                <w:b w:val="1"/>
                <w:bCs w:val="1"/>
                <w:color w:val="auto"/>
                <w:w w:val="90"/>
              </w:rPr>
              <w:t>Defaulted During the</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8"/>
          </w:tcPr>
          <w:p>
            <w:pPr>
              <w:jc w:val="center"/>
              <w:ind w:right="240"/>
              <w:spacing w:after="0" w:line="134" w:lineRule="exact"/>
              <w:rPr>
                <w:sz w:val="20"/>
                <w:szCs w:val="20"/>
                <w:color w:val="auto"/>
              </w:rPr>
            </w:pPr>
            <w:r>
              <w:rPr>
                <w:rFonts w:ascii="Arial" w:cs="Arial" w:eastAsia="Arial" w:hAnsi="Arial"/>
                <w:sz w:val="13"/>
                <w:szCs w:val="13"/>
                <w:b w:val="1"/>
                <w:bCs w:val="1"/>
                <w:color w:val="auto"/>
                <w:w w:val="91"/>
              </w:rPr>
              <w:t>Defaulted During the Nine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4"/>
          </w:tcPr>
          <w:p>
            <w:pPr>
              <w:jc w:val="center"/>
              <w:spacing w:after="0" w:line="134" w:lineRule="exact"/>
              <w:rPr>
                <w:sz w:val="20"/>
                <w:szCs w:val="20"/>
                <w:color w:val="auto"/>
              </w:rPr>
            </w:pPr>
            <w:r>
              <w:rPr>
                <w:rFonts w:ascii="Arial" w:cs="Arial" w:eastAsia="Arial" w:hAnsi="Arial"/>
                <w:sz w:val="13"/>
                <w:szCs w:val="13"/>
                <w:b w:val="1"/>
                <w:bCs w:val="1"/>
                <w:color w:val="auto"/>
                <w:w w:val="91"/>
              </w:rPr>
              <w:t>Modification</w:t>
            </w:r>
          </w:p>
        </w:tc>
        <w:tc>
          <w:tcPr>
            <w:tcW w:w="120" w:type="dxa"/>
            <w:vAlign w:val="bottom"/>
          </w:tcPr>
          <w:p>
            <w:pPr>
              <w:spacing w:after="0"/>
              <w:rPr>
                <w:sz w:val="11"/>
                <w:szCs w:val="11"/>
                <w:color w:val="auto"/>
              </w:rPr>
            </w:pPr>
          </w:p>
        </w:tc>
        <w:tc>
          <w:tcPr>
            <w:tcW w:w="880" w:type="dxa"/>
            <w:vAlign w:val="bottom"/>
            <w:gridSpan w:val="5"/>
          </w:tcPr>
          <w:p>
            <w:pPr>
              <w:jc w:val="center"/>
              <w:ind w:right="60"/>
              <w:spacing w:after="0" w:line="134" w:lineRule="exact"/>
              <w:rPr>
                <w:sz w:val="20"/>
                <w:szCs w:val="20"/>
                <w:color w:val="auto"/>
              </w:rPr>
            </w:pPr>
            <w:r>
              <w:rPr>
                <w:rFonts w:ascii="Arial" w:cs="Arial" w:eastAsia="Arial" w:hAnsi="Arial"/>
                <w:sz w:val="13"/>
                <w:szCs w:val="13"/>
                <w:b w:val="1"/>
                <w:bCs w:val="1"/>
                <w:color w:val="auto"/>
                <w:w w:val="91"/>
              </w:rPr>
              <w:t>Modification</w:t>
            </w:r>
          </w:p>
        </w:tc>
        <w:tc>
          <w:tcPr>
            <w:tcW w:w="180" w:type="dxa"/>
            <w:vAlign w:val="bottom"/>
          </w:tcPr>
          <w:p>
            <w:pPr>
              <w:spacing w:after="0"/>
              <w:rPr>
                <w:sz w:val="11"/>
                <w:szCs w:val="11"/>
                <w:color w:val="auto"/>
              </w:rPr>
            </w:pPr>
          </w:p>
        </w:tc>
        <w:tc>
          <w:tcPr>
            <w:tcW w:w="1640" w:type="dxa"/>
            <w:vAlign w:val="bottom"/>
            <w:gridSpan w:val="10"/>
          </w:tcPr>
          <w:p>
            <w:pPr>
              <w:jc w:val="center"/>
              <w:ind w:right="40"/>
              <w:spacing w:after="0" w:line="134" w:lineRule="exact"/>
              <w:rPr>
                <w:sz w:val="20"/>
                <w:szCs w:val="20"/>
                <w:color w:val="auto"/>
              </w:rPr>
            </w:pPr>
            <w:r>
              <w:rPr>
                <w:rFonts w:ascii="Arial" w:cs="Arial" w:eastAsia="Arial" w:hAnsi="Arial"/>
                <w:sz w:val="13"/>
                <w:szCs w:val="13"/>
                <w:b w:val="1"/>
                <w:bCs w:val="1"/>
                <w:color w:val="auto"/>
                <w:w w:val="90"/>
              </w:rPr>
              <w:t>Three Months Ended</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tcPr>
          <w:p>
            <w:pPr>
              <w:jc w:val="center"/>
              <w:spacing w:after="0" w:line="134" w:lineRule="exact"/>
              <w:rPr>
                <w:sz w:val="20"/>
                <w:szCs w:val="20"/>
                <w:color w:val="auto"/>
              </w:rPr>
            </w:pPr>
            <w:r>
              <w:rPr>
                <w:rFonts w:ascii="Arial" w:cs="Arial" w:eastAsia="Arial" w:hAnsi="Arial"/>
                <w:sz w:val="13"/>
                <w:szCs w:val="13"/>
                <w:b w:val="1"/>
                <w:bCs w:val="1"/>
                <w:color w:val="auto"/>
                <w:w w:val="93"/>
              </w:rPr>
              <w:t>Modification</w:t>
            </w:r>
          </w:p>
        </w:tc>
        <w:tc>
          <w:tcPr>
            <w:tcW w:w="100" w:type="dxa"/>
            <w:vAlign w:val="bottom"/>
          </w:tcPr>
          <w:p>
            <w:pPr>
              <w:spacing w:after="0"/>
              <w:rPr>
                <w:sz w:val="11"/>
                <w:szCs w:val="11"/>
                <w:color w:val="auto"/>
              </w:rPr>
            </w:pPr>
          </w:p>
        </w:tc>
        <w:tc>
          <w:tcPr>
            <w:tcW w:w="900" w:type="dxa"/>
            <w:vAlign w:val="bottom"/>
            <w:gridSpan w:val="5"/>
          </w:tcPr>
          <w:p>
            <w:pPr>
              <w:jc w:val="center"/>
              <w:ind w:right="120"/>
              <w:spacing w:after="0" w:line="134" w:lineRule="exact"/>
              <w:rPr>
                <w:sz w:val="20"/>
                <w:szCs w:val="20"/>
                <w:color w:val="auto"/>
              </w:rPr>
            </w:pPr>
            <w:r>
              <w:rPr>
                <w:rFonts w:ascii="Arial" w:cs="Arial" w:eastAsia="Arial" w:hAnsi="Arial"/>
                <w:sz w:val="13"/>
                <w:szCs w:val="13"/>
                <w:b w:val="1"/>
                <w:bCs w:val="1"/>
                <w:color w:val="auto"/>
                <w:w w:val="91"/>
              </w:rPr>
              <w:t>Modification</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5"/>
          </w:tcPr>
          <w:p>
            <w:pPr>
              <w:jc w:val="center"/>
              <w:ind w:left="55"/>
              <w:spacing w:after="0" w:line="134" w:lineRule="exact"/>
              <w:rPr>
                <w:sz w:val="20"/>
                <w:szCs w:val="20"/>
                <w:color w:val="auto"/>
              </w:rPr>
            </w:pPr>
            <w:r>
              <w:rPr>
                <w:rFonts w:ascii="Arial" w:cs="Arial" w:eastAsia="Arial" w:hAnsi="Arial"/>
                <w:sz w:val="13"/>
                <w:szCs w:val="13"/>
                <w:b w:val="1"/>
                <w:bCs w:val="1"/>
                <w:color w:val="auto"/>
                <w:w w:val="89"/>
              </w:rPr>
              <w:t>Months Ended</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4"/>
          </w:tcPr>
          <w:p>
            <w:pPr>
              <w:jc w:val="center"/>
              <w:spacing w:after="0" w:line="134" w:lineRule="exact"/>
              <w:rPr>
                <w:sz w:val="20"/>
                <w:szCs w:val="20"/>
                <w:color w:val="auto"/>
              </w:rPr>
            </w:pPr>
            <w:r>
              <w:rPr>
                <w:rFonts w:ascii="Arial" w:cs="Arial" w:eastAsia="Arial" w:hAnsi="Arial"/>
                <w:sz w:val="13"/>
                <w:szCs w:val="13"/>
                <w:b w:val="1"/>
                <w:bCs w:val="1"/>
                <w:color w:val="auto"/>
                <w:w w:val="91"/>
              </w:rPr>
              <w:t>Outstanding</w:t>
            </w:r>
          </w:p>
        </w:tc>
        <w:tc>
          <w:tcPr>
            <w:tcW w:w="120" w:type="dxa"/>
            <w:vAlign w:val="bottom"/>
          </w:tcPr>
          <w:p>
            <w:pPr>
              <w:spacing w:after="0"/>
              <w:rPr>
                <w:sz w:val="13"/>
                <w:szCs w:val="13"/>
                <w:color w:val="auto"/>
              </w:rPr>
            </w:pPr>
          </w:p>
        </w:tc>
        <w:tc>
          <w:tcPr>
            <w:tcW w:w="880" w:type="dxa"/>
            <w:vAlign w:val="bottom"/>
            <w:gridSpan w:val="5"/>
          </w:tcPr>
          <w:p>
            <w:pPr>
              <w:jc w:val="center"/>
              <w:ind w:right="60"/>
              <w:spacing w:after="0" w:line="134" w:lineRule="exact"/>
              <w:rPr>
                <w:sz w:val="20"/>
                <w:szCs w:val="20"/>
                <w:color w:val="auto"/>
              </w:rPr>
            </w:pPr>
            <w:r>
              <w:rPr>
                <w:rFonts w:ascii="Arial" w:cs="Arial" w:eastAsia="Arial" w:hAnsi="Arial"/>
                <w:sz w:val="13"/>
                <w:szCs w:val="13"/>
                <w:b w:val="1"/>
                <w:bCs w:val="1"/>
                <w:color w:val="auto"/>
                <w:w w:val="91"/>
              </w:rPr>
              <w:t>Outstanding</w:t>
            </w:r>
          </w:p>
        </w:tc>
        <w:tc>
          <w:tcPr>
            <w:tcW w:w="180" w:type="dxa"/>
            <w:vAlign w:val="bottom"/>
          </w:tcPr>
          <w:p>
            <w:pPr>
              <w:spacing w:after="0"/>
              <w:rPr>
                <w:sz w:val="13"/>
                <w:szCs w:val="13"/>
                <w:color w:val="auto"/>
              </w:rPr>
            </w:pPr>
          </w:p>
        </w:tc>
        <w:tc>
          <w:tcPr>
            <w:tcW w:w="1640" w:type="dxa"/>
            <w:vAlign w:val="bottom"/>
            <w:gridSpan w:val="10"/>
          </w:tcPr>
          <w:p>
            <w:pPr>
              <w:jc w:val="center"/>
              <w:ind w:right="40"/>
              <w:spacing w:after="0" w:line="134" w:lineRule="exact"/>
              <w:rPr>
                <w:sz w:val="20"/>
                <w:szCs w:val="20"/>
                <w:color w:val="auto"/>
              </w:rPr>
            </w:pPr>
            <w:r>
              <w:rPr>
                <w:rFonts w:ascii="Arial" w:cs="Arial" w:eastAsia="Arial" w:hAnsi="Arial"/>
                <w:sz w:val="13"/>
                <w:szCs w:val="13"/>
                <w:b w:val="1"/>
                <w:bCs w:val="1"/>
                <w:color w:val="auto"/>
                <w:w w:val="88"/>
              </w:rPr>
              <w:t>September 30, 2013</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center"/>
              <w:spacing w:after="0" w:line="134" w:lineRule="exact"/>
              <w:rPr>
                <w:sz w:val="20"/>
                <w:szCs w:val="20"/>
                <w:color w:val="auto"/>
              </w:rPr>
            </w:pPr>
            <w:r>
              <w:rPr>
                <w:rFonts w:ascii="Arial" w:cs="Arial" w:eastAsia="Arial" w:hAnsi="Arial"/>
                <w:sz w:val="13"/>
                <w:szCs w:val="13"/>
                <w:b w:val="1"/>
                <w:bCs w:val="1"/>
                <w:color w:val="auto"/>
                <w:w w:val="88"/>
              </w:rPr>
              <w:t>Outstanding</w:t>
            </w:r>
          </w:p>
        </w:tc>
        <w:tc>
          <w:tcPr>
            <w:tcW w:w="100" w:type="dxa"/>
            <w:vAlign w:val="bottom"/>
          </w:tcPr>
          <w:p>
            <w:pPr>
              <w:spacing w:after="0"/>
              <w:rPr>
                <w:sz w:val="13"/>
                <w:szCs w:val="13"/>
                <w:color w:val="auto"/>
              </w:rPr>
            </w:pPr>
          </w:p>
        </w:tc>
        <w:tc>
          <w:tcPr>
            <w:tcW w:w="900" w:type="dxa"/>
            <w:vAlign w:val="bottom"/>
            <w:gridSpan w:val="5"/>
          </w:tcPr>
          <w:p>
            <w:pPr>
              <w:jc w:val="center"/>
              <w:ind w:right="120"/>
              <w:spacing w:after="0" w:line="134" w:lineRule="exact"/>
              <w:rPr>
                <w:sz w:val="20"/>
                <w:szCs w:val="20"/>
                <w:color w:val="auto"/>
              </w:rPr>
            </w:pPr>
            <w:r>
              <w:rPr>
                <w:rFonts w:ascii="Arial" w:cs="Arial" w:eastAsia="Arial" w:hAnsi="Arial"/>
                <w:sz w:val="13"/>
                <w:szCs w:val="13"/>
                <w:b w:val="1"/>
                <w:bCs w:val="1"/>
                <w:color w:val="auto"/>
                <w:w w:val="91"/>
              </w:rPr>
              <w:t>Outstanding</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5"/>
          </w:tcPr>
          <w:p>
            <w:pPr>
              <w:jc w:val="center"/>
              <w:ind w:left="55"/>
              <w:spacing w:after="0" w:line="134" w:lineRule="exact"/>
              <w:rPr>
                <w:sz w:val="20"/>
                <w:szCs w:val="20"/>
                <w:color w:val="auto"/>
              </w:rPr>
            </w:pPr>
            <w:r>
              <w:rPr>
                <w:rFonts w:ascii="Arial" w:cs="Arial" w:eastAsia="Arial" w:hAnsi="Arial"/>
                <w:sz w:val="13"/>
                <w:szCs w:val="13"/>
                <w:b w:val="1"/>
                <w:bCs w:val="1"/>
                <w:color w:val="auto"/>
                <w:w w:val="88"/>
              </w:rPr>
              <w:t>September 30, 2013</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jc w:val="right"/>
              <w:ind w:right="60"/>
              <w:spacing w:after="0" w:line="138" w:lineRule="exact"/>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3"/>
          </w:tcPr>
          <w:p>
            <w:pPr>
              <w:jc w:val="center"/>
              <w:ind w:right="55"/>
              <w:spacing w:after="0" w:line="138" w:lineRule="exact"/>
              <w:rPr>
                <w:sz w:val="20"/>
                <w:szCs w:val="20"/>
                <w:color w:val="auto"/>
              </w:rPr>
            </w:pPr>
            <w:r>
              <w:rPr>
                <w:rFonts w:ascii="Arial" w:cs="Arial" w:eastAsia="Arial" w:hAnsi="Arial"/>
                <w:sz w:val="13"/>
                <w:szCs w:val="13"/>
                <w:b w:val="1"/>
                <w:bCs w:val="1"/>
                <w:color w:val="auto"/>
                <w:w w:val="89"/>
              </w:rPr>
              <w:t>Recorded</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jc w:val="center"/>
              <w:ind w:right="180"/>
              <w:spacing w:after="0" w:line="138" w:lineRule="exact"/>
              <w:rPr>
                <w:sz w:val="20"/>
                <w:szCs w:val="20"/>
                <w:color w:val="auto"/>
              </w:rPr>
            </w:pPr>
            <w:r>
              <w:rPr>
                <w:rFonts w:ascii="Arial" w:cs="Arial" w:eastAsia="Arial" w:hAnsi="Arial"/>
                <w:sz w:val="13"/>
                <w:szCs w:val="13"/>
                <w:b w:val="1"/>
                <w:bCs w:val="1"/>
                <w:color w:val="auto"/>
                <w:w w:val="89"/>
              </w:rPr>
              <w:t>Recorded</w:t>
            </w:r>
          </w:p>
        </w:tc>
        <w:tc>
          <w:tcPr>
            <w:tcW w:w="180" w:type="dxa"/>
            <w:vAlign w:val="bottom"/>
          </w:tcPr>
          <w:p>
            <w:pPr>
              <w:spacing w:after="0"/>
              <w:rPr>
                <w:sz w:val="11"/>
                <w:szCs w:val="11"/>
                <w:color w:val="auto"/>
              </w:rPr>
            </w:pPr>
          </w:p>
        </w:tc>
        <w:tc>
          <w:tcPr>
            <w:tcW w:w="700" w:type="dxa"/>
            <w:vAlign w:val="bottom"/>
            <w:tcBorders>
              <w:top w:val="single" w:sz="8" w:color="auto"/>
            </w:tcBorders>
            <w:gridSpan w:val="3"/>
          </w:tcPr>
          <w:p>
            <w:pPr>
              <w:jc w:val="right"/>
              <w:ind w:right="40"/>
              <w:spacing w:after="0" w:line="138" w:lineRule="exact"/>
              <w:rPr>
                <w:sz w:val="20"/>
                <w:szCs w:val="20"/>
                <w:color w:val="auto"/>
              </w:rPr>
            </w:pPr>
            <w:r>
              <w:rPr>
                <w:rFonts w:ascii="Arial" w:cs="Arial" w:eastAsia="Arial" w:hAnsi="Arial"/>
                <w:sz w:val="13"/>
                <w:szCs w:val="13"/>
                <w:b w:val="1"/>
                <w:bCs w:val="1"/>
                <w:color w:val="auto"/>
                <w:w w:val="98"/>
              </w:rPr>
              <w:t>Number of</w:t>
            </w: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3"/>
          </w:tcPr>
          <w:p>
            <w:pPr>
              <w:jc w:val="right"/>
              <w:ind w:right="75"/>
              <w:spacing w:after="0" w:line="138" w:lineRule="exact"/>
              <w:rPr>
                <w:sz w:val="20"/>
                <w:szCs w:val="20"/>
                <w:color w:val="auto"/>
              </w:rPr>
            </w:pPr>
            <w:r>
              <w:rPr>
                <w:rFonts w:ascii="Arial" w:cs="Arial" w:eastAsia="Arial" w:hAnsi="Arial"/>
                <w:sz w:val="13"/>
                <w:szCs w:val="13"/>
                <w:b w:val="1"/>
                <w:bCs w:val="1"/>
                <w:color w:val="auto"/>
                <w:w w:val="86"/>
              </w:rPr>
              <w:t>Recorded</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right"/>
              <w:spacing w:after="0" w:line="138" w:lineRule="exact"/>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3"/>
          </w:tcPr>
          <w:p>
            <w:pPr>
              <w:ind w:left="20"/>
              <w:spacing w:after="0" w:line="138" w:lineRule="exact"/>
              <w:rPr>
                <w:sz w:val="20"/>
                <w:szCs w:val="20"/>
                <w:color w:val="auto"/>
              </w:rPr>
            </w:pPr>
            <w:r>
              <w:rPr>
                <w:rFonts w:ascii="Arial" w:cs="Arial" w:eastAsia="Arial" w:hAnsi="Arial"/>
                <w:sz w:val="13"/>
                <w:szCs w:val="13"/>
                <w:b w:val="1"/>
                <w:bCs w:val="1"/>
                <w:color w:val="auto"/>
              </w:rPr>
              <w:t>Recorded</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4"/>
          </w:tcPr>
          <w:p>
            <w:pPr>
              <w:jc w:val="center"/>
              <w:ind w:right="220"/>
              <w:spacing w:after="0" w:line="138" w:lineRule="exact"/>
              <w:rPr>
                <w:sz w:val="20"/>
                <w:szCs w:val="20"/>
                <w:color w:val="auto"/>
              </w:rPr>
            </w:pPr>
            <w:r>
              <w:rPr>
                <w:rFonts w:ascii="Arial" w:cs="Arial" w:eastAsia="Arial" w:hAnsi="Arial"/>
                <w:sz w:val="13"/>
                <w:szCs w:val="13"/>
                <w:b w:val="1"/>
                <w:bCs w:val="1"/>
                <w:color w:val="auto"/>
                <w:w w:val="89"/>
              </w:rPr>
              <w:t>Recorded</w:t>
            </w:r>
          </w:p>
        </w:tc>
        <w:tc>
          <w:tcPr>
            <w:tcW w:w="780" w:type="dxa"/>
            <w:vAlign w:val="bottom"/>
            <w:tcBorders>
              <w:top w:val="single" w:sz="8" w:color="auto"/>
            </w:tcBorders>
            <w:gridSpan w:val="4"/>
          </w:tcPr>
          <w:p>
            <w:pPr>
              <w:ind w:left="100"/>
              <w:spacing w:after="0" w:line="138" w:lineRule="exact"/>
              <w:rPr>
                <w:sz w:val="20"/>
                <w:szCs w:val="20"/>
                <w:color w:val="auto"/>
              </w:rPr>
            </w:pPr>
            <w:r>
              <w:rPr>
                <w:rFonts w:ascii="Arial" w:cs="Arial" w:eastAsia="Arial" w:hAnsi="Arial"/>
                <w:sz w:val="13"/>
                <w:szCs w:val="13"/>
                <w:b w:val="1"/>
                <w:bCs w:val="1"/>
                <w:color w:val="auto"/>
                <w:w w:val="98"/>
              </w:rPr>
              <w:t>Number of</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ind w:left="20"/>
              <w:spacing w:after="0" w:line="138" w:lineRule="exact"/>
              <w:rPr>
                <w:sz w:val="20"/>
                <w:szCs w:val="20"/>
                <w:color w:val="auto"/>
              </w:rPr>
            </w:pPr>
            <w:r>
              <w:rPr>
                <w:rFonts w:ascii="Arial" w:cs="Arial" w:eastAsia="Arial" w:hAnsi="Arial"/>
                <w:sz w:val="13"/>
                <w:szCs w:val="13"/>
                <w:b w:val="1"/>
                <w:bCs w:val="1"/>
                <w:color w:val="auto"/>
                <w:w w:val="99"/>
              </w:rPr>
              <w:t>Recorded</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2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Contracts</w:t>
            </w:r>
          </w:p>
        </w:tc>
        <w:tc>
          <w:tcPr>
            <w:tcW w:w="120" w:type="dxa"/>
            <w:vAlign w:val="bottom"/>
          </w:tcPr>
          <w:p>
            <w:pPr>
              <w:spacing w:after="0"/>
              <w:rPr>
                <w:sz w:val="13"/>
                <w:szCs w:val="13"/>
                <w:color w:val="auto"/>
              </w:rPr>
            </w:pPr>
          </w:p>
        </w:tc>
        <w:tc>
          <w:tcPr>
            <w:tcW w:w="8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Investment</w:t>
            </w:r>
          </w:p>
        </w:tc>
        <w:tc>
          <w:tcPr>
            <w:tcW w:w="120" w:type="dxa"/>
            <w:vAlign w:val="bottom"/>
          </w:tcPr>
          <w:p>
            <w:pPr>
              <w:spacing w:after="0"/>
              <w:rPr>
                <w:sz w:val="13"/>
                <w:szCs w:val="13"/>
                <w:color w:val="auto"/>
              </w:rPr>
            </w:pPr>
          </w:p>
        </w:tc>
        <w:tc>
          <w:tcPr>
            <w:tcW w:w="880" w:type="dxa"/>
            <w:vAlign w:val="bottom"/>
            <w:gridSpan w:val="5"/>
          </w:tcPr>
          <w:p>
            <w:pPr>
              <w:jc w:val="center"/>
              <w:ind w:right="60"/>
              <w:spacing w:after="0"/>
              <w:rPr>
                <w:sz w:val="20"/>
                <w:szCs w:val="20"/>
                <w:color w:val="auto"/>
              </w:rPr>
            </w:pPr>
            <w:r>
              <w:rPr>
                <w:rFonts w:ascii="Arial" w:cs="Arial" w:eastAsia="Arial" w:hAnsi="Arial"/>
                <w:sz w:val="13"/>
                <w:szCs w:val="13"/>
                <w:b w:val="1"/>
                <w:bCs w:val="1"/>
                <w:color w:val="auto"/>
                <w:w w:val="90"/>
              </w:rPr>
              <w:t>Investment</w:t>
            </w:r>
          </w:p>
        </w:tc>
        <w:tc>
          <w:tcPr>
            <w:tcW w:w="180" w:type="dxa"/>
            <w:vAlign w:val="bottom"/>
          </w:tcPr>
          <w:p>
            <w:pPr>
              <w:spacing w:after="0"/>
              <w:rPr>
                <w:sz w:val="13"/>
                <w:szCs w:val="13"/>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w w:val="98"/>
              </w:rPr>
              <w:t>Contracts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5"/>
          </w:tcPr>
          <w:p>
            <w:pPr>
              <w:ind w:left="100"/>
              <w:spacing w:after="0"/>
              <w:rPr>
                <w:sz w:val="20"/>
                <w:szCs w:val="20"/>
                <w:color w:val="auto"/>
              </w:rPr>
            </w:pPr>
            <w:r>
              <w:rPr>
                <w:rFonts w:ascii="Arial" w:cs="Arial" w:eastAsia="Arial" w:hAnsi="Arial"/>
                <w:sz w:val="13"/>
                <w:szCs w:val="13"/>
                <w:b w:val="1"/>
                <w:bCs w:val="1"/>
                <w:color w:val="auto"/>
              </w:rPr>
              <w:t>Investment</w:t>
            </w:r>
          </w:p>
        </w:tc>
        <w:tc>
          <w:tcPr>
            <w:tcW w:w="180" w:type="dxa"/>
            <w:vAlign w:val="bottom"/>
          </w:tcPr>
          <w:p>
            <w:pPr>
              <w:spacing w:after="0"/>
              <w:rPr>
                <w:sz w:val="13"/>
                <w:szCs w:val="13"/>
                <w:color w:val="auto"/>
              </w:rPr>
            </w:pPr>
          </w:p>
        </w:tc>
        <w:tc>
          <w:tcPr>
            <w:tcW w:w="680" w:type="dxa"/>
            <w:vAlign w:val="bottom"/>
            <w:gridSpan w:val="2"/>
          </w:tcPr>
          <w:p>
            <w:pPr>
              <w:jc w:val="right"/>
              <w:ind w:right="15"/>
              <w:spacing w:after="0"/>
              <w:rPr>
                <w:sz w:val="20"/>
                <w:szCs w:val="20"/>
                <w:color w:val="auto"/>
              </w:rPr>
            </w:pPr>
            <w:r>
              <w:rPr>
                <w:rFonts w:ascii="Arial" w:cs="Arial" w:eastAsia="Arial" w:hAnsi="Arial"/>
                <w:sz w:val="13"/>
                <w:szCs w:val="13"/>
                <w:b w:val="1"/>
                <w:bCs w:val="1"/>
                <w:color w:val="auto"/>
                <w:w w:val="95"/>
              </w:rPr>
              <w:t>Contracts</w:t>
            </w:r>
          </w:p>
        </w:tc>
        <w:tc>
          <w:tcPr>
            <w:tcW w:w="100" w:type="dxa"/>
            <w:vAlign w:val="bottom"/>
          </w:tcPr>
          <w:p>
            <w:pPr>
              <w:spacing w:after="0"/>
              <w:rPr>
                <w:sz w:val="13"/>
                <w:szCs w:val="13"/>
                <w:color w:val="auto"/>
              </w:rPr>
            </w:pPr>
          </w:p>
        </w:tc>
        <w:tc>
          <w:tcPr>
            <w:tcW w:w="8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Investment</w:t>
            </w:r>
          </w:p>
        </w:tc>
        <w:tc>
          <w:tcPr>
            <w:tcW w:w="100" w:type="dxa"/>
            <w:vAlign w:val="bottom"/>
          </w:tcPr>
          <w:p>
            <w:pPr>
              <w:spacing w:after="0"/>
              <w:rPr>
                <w:sz w:val="13"/>
                <w:szCs w:val="13"/>
                <w:color w:val="auto"/>
              </w:rPr>
            </w:pPr>
          </w:p>
        </w:tc>
        <w:tc>
          <w:tcPr>
            <w:tcW w:w="90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0"/>
              </w:rPr>
              <w:t>Investment</w:t>
            </w:r>
          </w:p>
        </w:tc>
        <w:tc>
          <w:tcPr>
            <w:tcW w:w="100" w:type="dxa"/>
            <w:vAlign w:val="bottom"/>
          </w:tcPr>
          <w:p>
            <w:pPr>
              <w:spacing w:after="0"/>
              <w:rPr>
                <w:sz w:val="13"/>
                <w:szCs w:val="13"/>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8"/>
              </w:rPr>
              <w:t>Contracts</w:t>
            </w:r>
          </w:p>
        </w:tc>
        <w:tc>
          <w:tcPr>
            <w:tcW w:w="140" w:type="dxa"/>
            <w:vAlign w:val="bottom"/>
          </w:tcPr>
          <w:p>
            <w:pPr>
              <w:spacing w:after="0"/>
              <w:rPr>
                <w:sz w:val="13"/>
                <w:szCs w:val="13"/>
                <w:color w:val="auto"/>
              </w:rPr>
            </w:pPr>
          </w:p>
        </w:tc>
        <w:tc>
          <w:tcPr>
            <w:tcW w:w="880" w:type="dxa"/>
            <w:vAlign w:val="bottom"/>
            <w:gridSpan w:val="4"/>
          </w:tcPr>
          <w:p>
            <w:pPr>
              <w:ind w:left="60"/>
              <w:spacing w:after="0"/>
              <w:rPr>
                <w:sz w:val="20"/>
                <w:szCs w:val="20"/>
                <w:color w:val="auto"/>
              </w:rPr>
            </w:pPr>
            <w:r>
              <w:rPr>
                <w:rFonts w:ascii="Arial" w:cs="Arial" w:eastAsia="Arial" w:hAnsi="Arial"/>
                <w:sz w:val="13"/>
                <w:szCs w:val="13"/>
                <w:b w:val="1"/>
                <w:bCs w:val="1"/>
                <w:color w:val="auto"/>
              </w:rPr>
              <w:t>Investment</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300" w:type="dxa"/>
            <w:vAlign w:val="bottom"/>
            <w:tcBorders>
              <w:right w:val="single" w:sz="8" w:color="F0FFFF"/>
            </w:tcBorders>
            <w:gridSpan w:val="2"/>
            <w:shd w:val="clear" w:color="auto" w:fill="F0FFFF"/>
          </w:tcPr>
          <w:p>
            <w:pPr>
              <w:spacing w:after="0" w:line="134" w:lineRule="exact"/>
              <w:rPr>
                <w:sz w:val="20"/>
                <w:szCs w:val="20"/>
                <w:color w:val="auto"/>
              </w:rPr>
            </w:pPr>
            <w:r>
              <w:rPr>
                <w:rFonts w:ascii="Arial" w:cs="Arial" w:eastAsia="Arial" w:hAnsi="Arial"/>
                <w:sz w:val="13"/>
                <w:szCs w:val="13"/>
                <w:color w:val="auto"/>
                <w:w w:val="98"/>
              </w:rPr>
              <w:t>Owner occupied commercial real estate</w:t>
            </w:r>
          </w:p>
        </w:tc>
        <w:tc>
          <w:tcPr>
            <w:tcW w:w="800" w:type="dxa"/>
            <w:vAlign w:val="bottom"/>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1</w:t>
            </w:r>
          </w:p>
        </w:tc>
        <w:tc>
          <w:tcPr>
            <w:tcW w:w="320" w:type="dxa"/>
            <w:vAlign w:val="bottom"/>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1,841</w:t>
            </w:r>
          </w:p>
        </w:tc>
        <w:tc>
          <w:tcPr>
            <w:tcW w:w="380" w:type="dxa"/>
            <w:vAlign w:val="bottom"/>
            <w:gridSpan w:val="3"/>
            <w:shd w:val="clear" w:color="auto" w:fill="F0FF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F0FFFF"/>
          </w:tcPr>
          <w:p>
            <w:pPr>
              <w:jc w:val="right"/>
              <w:ind w:right="60"/>
              <w:spacing w:after="0" w:line="134" w:lineRule="exact"/>
              <w:rPr>
                <w:sz w:val="20"/>
                <w:szCs w:val="20"/>
                <w:color w:val="auto"/>
              </w:rPr>
            </w:pPr>
            <w:r>
              <w:rPr>
                <w:rFonts w:ascii="Arial" w:cs="Arial" w:eastAsia="Arial" w:hAnsi="Arial"/>
                <w:sz w:val="13"/>
                <w:szCs w:val="13"/>
                <w:color w:val="auto"/>
              </w:rPr>
              <w:t>741</w:t>
            </w:r>
          </w:p>
        </w:tc>
        <w:tc>
          <w:tcPr>
            <w:tcW w:w="18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520" w:type="dxa"/>
            <w:vAlign w:val="bottom"/>
            <w:gridSpan w:val="4"/>
            <w:shd w:val="clear" w:color="auto" w:fill="F0FF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200" w:type="dxa"/>
            <w:vAlign w:val="bottom"/>
            <w:shd w:val="clear" w:color="auto" w:fill="F0FFFF"/>
          </w:tcPr>
          <w:p>
            <w:pPr>
              <w:spacing w:after="0"/>
              <w:rPr>
                <w:sz w:val="11"/>
                <w:szCs w:val="11"/>
                <w:color w:val="auto"/>
              </w:rPr>
            </w:pPr>
          </w:p>
        </w:tc>
        <w:tc>
          <w:tcPr>
            <w:tcW w:w="220" w:type="dxa"/>
            <w:vAlign w:val="bottom"/>
            <w:gridSpan w:val="2"/>
            <w:shd w:val="clear" w:color="auto" w:fill="F0FF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F0FFFF"/>
            </w:tcBorders>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11</w:t>
            </w:r>
          </w:p>
        </w:tc>
        <w:tc>
          <w:tcPr>
            <w:tcW w:w="340" w:type="dxa"/>
            <w:vAlign w:val="bottom"/>
            <w:gridSpan w:val="3"/>
            <w:shd w:val="clear" w:color="auto" w:fill="F0FFFF"/>
          </w:tcPr>
          <w:p>
            <w:pPr>
              <w:ind w:left="220"/>
              <w:spacing w:after="0" w:line="134"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5,923</w:t>
            </w:r>
          </w:p>
        </w:tc>
        <w:tc>
          <w:tcPr>
            <w:tcW w:w="340" w:type="dxa"/>
            <w:vAlign w:val="bottom"/>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F0FFFF"/>
            </w:tcBorders>
            <w:gridSpan w:val="3"/>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4,823</w:t>
            </w:r>
          </w:p>
        </w:tc>
        <w:tc>
          <w:tcPr>
            <w:tcW w:w="180" w:type="dxa"/>
            <w:vAlign w:val="bottom"/>
            <w:gridSpan w:val="2"/>
            <w:shd w:val="clear" w:color="auto" w:fill="F0FFFF"/>
          </w:tcPr>
          <w:p>
            <w:pPr>
              <w:ind w:left="100"/>
              <w:spacing w:after="0" w:line="134"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1</w:t>
            </w:r>
          </w:p>
        </w:tc>
        <w:tc>
          <w:tcPr>
            <w:tcW w:w="600" w:type="dxa"/>
            <w:vAlign w:val="bottom"/>
            <w:tcBorders>
              <w:left w:val="single" w:sz="8" w:color="F0FFFF"/>
            </w:tcBorders>
            <w:gridSpan w:val="3"/>
            <w:shd w:val="clear" w:color="auto" w:fill="F0FFFF"/>
          </w:tcPr>
          <w:p>
            <w:pPr>
              <w:jc w:val="right"/>
              <w:ind w:right="255"/>
              <w:spacing w:after="0" w:line="134" w:lineRule="exact"/>
              <w:rPr>
                <w:sz w:val="20"/>
                <w:szCs w:val="20"/>
                <w:color w:val="auto"/>
              </w:rPr>
            </w:pPr>
            <w:r>
              <w:rPr>
                <w:rFonts w:ascii="Arial" w:cs="Arial" w:eastAsia="Arial" w:hAnsi="Arial"/>
                <w:sz w:val="13"/>
                <w:szCs w:val="13"/>
                <w:color w:val="auto"/>
              </w:rPr>
              <w:t>$</w:t>
            </w:r>
          </w:p>
        </w:tc>
        <w:tc>
          <w:tcPr>
            <w:tcW w:w="2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432</w:t>
            </w:r>
          </w:p>
        </w:tc>
        <w:tc>
          <w:tcPr>
            <w:tcW w:w="140" w:type="dxa"/>
            <w:vAlign w:val="bottom"/>
            <w:tcBorders>
              <w:left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w w:val="95"/>
              </w:rPr>
              <w:t>Income producing commercial real estate</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gridSpan w:val="2"/>
          </w:tcPr>
          <w:p>
            <w:pPr>
              <w:jc w:val="right"/>
              <w:ind w:right="6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8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7</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6,009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ind w:right="120"/>
              <w:spacing w:after="0" w:line="134" w:lineRule="exact"/>
              <w:rPr>
                <w:sz w:val="20"/>
                <w:szCs w:val="20"/>
                <w:color w:val="auto"/>
              </w:rPr>
            </w:pPr>
            <w:r>
              <w:rPr>
                <w:rFonts w:ascii="Arial" w:cs="Arial" w:eastAsia="Arial" w:hAnsi="Arial"/>
                <w:sz w:val="13"/>
                <w:szCs w:val="13"/>
                <w:color w:val="auto"/>
              </w:rPr>
              <w:t>6,009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Borders>
              <w:right w:val="single" w:sz="8" w:color="F0FFFF"/>
            </w:tcBorders>
            <w:gridSpan w:val="2"/>
            <w:shd w:val="clear" w:color="auto" w:fill="F0FFFF"/>
          </w:tcPr>
          <w:p>
            <w:pPr>
              <w:spacing w:after="0" w:line="134" w:lineRule="exact"/>
              <w:rPr>
                <w:sz w:val="20"/>
                <w:szCs w:val="20"/>
                <w:color w:val="auto"/>
              </w:rPr>
            </w:pPr>
            <w:r>
              <w:rPr>
                <w:rFonts w:ascii="Arial" w:cs="Arial" w:eastAsia="Arial" w:hAnsi="Arial"/>
                <w:sz w:val="13"/>
                <w:szCs w:val="13"/>
                <w:color w:val="auto"/>
              </w:rPr>
              <w:t>Commercial &amp; industrial</w:t>
            </w:r>
          </w:p>
        </w:tc>
        <w:tc>
          <w:tcPr>
            <w:tcW w:w="800" w:type="dxa"/>
            <w:vAlign w:val="bottom"/>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1</w:t>
            </w: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68</w:t>
            </w: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gridSpan w:val="3"/>
            <w:shd w:val="clear" w:color="auto" w:fill="F0FFFF"/>
          </w:tcPr>
          <w:p>
            <w:pPr>
              <w:jc w:val="right"/>
              <w:ind w:right="60"/>
              <w:spacing w:after="0" w:line="134" w:lineRule="exact"/>
              <w:rPr>
                <w:sz w:val="20"/>
                <w:szCs w:val="20"/>
                <w:color w:val="auto"/>
              </w:rPr>
            </w:pPr>
            <w:r>
              <w:rPr>
                <w:rFonts w:ascii="Arial" w:cs="Arial" w:eastAsia="Arial" w:hAnsi="Arial"/>
                <w:sz w:val="13"/>
                <w:szCs w:val="13"/>
                <w:color w:val="auto"/>
              </w:rPr>
              <w:t>68</w:t>
            </w:r>
          </w:p>
        </w:tc>
        <w:tc>
          <w:tcPr>
            <w:tcW w:w="18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20" w:type="dxa"/>
            <w:vAlign w:val="bottom"/>
            <w:gridSpan w:val="2"/>
            <w:shd w:val="clear" w:color="auto" w:fill="F0FF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F0FFFF"/>
            </w:tcBorders>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10</w:t>
            </w:r>
          </w:p>
        </w:tc>
        <w:tc>
          <w:tcPr>
            <w:tcW w:w="1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883</w:t>
            </w: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tcBorders>
              <w:right w:val="single" w:sz="8" w:color="F0FFFF"/>
            </w:tcBorders>
            <w:gridSpan w:val="3"/>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777</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1</w:t>
            </w:r>
          </w:p>
        </w:tc>
        <w:tc>
          <w:tcPr>
            <w:tcW w:w="140" w:type="dxa"/>
            <w:vAlign w:val="bottom"/>
            <w:tcBorders>
              <w:left w:val="single" w:sz="8" w:color="F0FFFF"/>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2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35</w:t>
            </w:r>
          </w:p>
        </w:tc>
        <w:tc>
          <w:tcPr>
            <w:tcW w:w="140" w:type="dxa"/>
            <w:vAlign w:val="bottom"/>
            <w:tcBorders>
              <w:left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rPr>
              <w:t>Commercial construction</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gridSpan w:val="2"/>
          </w:tcPr>
          <w:p>
            <w:pPr>
              <w:jc w:val="right"/>
              <w:ind w:right="6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w w:val="85"/>
              </w:rPr>
              <w:t>1,454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Borders>
              <w:right w:val="single" w:sz="8" w:color="F0FFFF"/>
            </w:tcBorders>
            <w:gridSpan w:val="2"/>
            <w:shd w:val="clear" w:color="auto" w:fill="F0FFFF"/>
          </w:tcPr>
          <w:p>
            <w:pPr>
              <w:ind w:left="260"/>
              <w:spacing w:after="0" w:line="134" w:lineRule="exact"/>
              <w:rPr>
                <w:sz w:val="20"/>
                <w:szCs w:val="20"/>
                <w:color w:val="auto"/>
              </w:rPr>
            </w:pPr>
            <w:r>
              <w:rPr>
                <w:rFonts w:ascii="Arial" w:cs="Arial" w:eastAsia="Arial" w:hAnsi="Arial"/>
                <w:sz w:val="13"/>
                <w:szCs w:val="13"/>
                <w:color w:val="auto"/>
              </w:rPr>
              <w:t>Total commercial</w:t>
            </w:r>
          </w:p>
        </w:tc>
        <w:tc>
          <w:tcPr>
            <w:tcW w:w="8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2</w:t>
            </w: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1,909</w:t>
            </w: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gridSpan w:val="3"/>
            <w:shd w:val="clear" w:color="auto" w:fill="F0FFFF"/>
          </w:tcPr>
          <w:p>
            <w:pPr>
              <w:jc w:val="right"/>
              <w:ind w:right="60"/>
              <w:spacing w:after="0" w:line="134" w:lineRule="exact"/>
              <w:rPr>
                <w:sz w:val="20"/>
                <w:szCs w:val="20"/>
                <w:color w:val="auto"/>
              </w:rPr>
            </w:pPr>
            <w:r>
              <w:rPr>
                <w:rFonts w:ascii="Arial" w:cs="Arial" w:eastAsia="Arial" w:hAnsi="Arial"/>
                <w:sz w:val="13"/>
                <w:szCs w:val="13"/>
                <w:color w:val="auto"/>
              </w:rPr>
              <w:t>809</w:t>
            </w:r>
          </w:p>
        </w:tc>
        <w:tc>
          <w:tcPr>
            <w:tcW w:w="18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20" w:type="dxa"/>
            <w:vAlign w:val="bottom"/>
            <w:gridSpan w:val="2"/>
            <w:shd w:val="clear" w:color="auto" w:fill="F0FF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right w:val="single" w:sz="8" w:color="F0FFFF"/>
            </w:tcBorders>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28</w:t>
            </w:r>
          </w:p>
        </w:tc>
        <w:tc>
          <w:tcPr>
            <w:tcW w:w="1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12,815</w:t>
            </w: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tcBorders>
              <w:right w:val="single" w:sz="8" w:color="F0FFFF"/>
            </w:tcBorders>
            <w:gridSpan w:val="3"/>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11,609</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4</w:t>
            </w:r>
          </w:p>
        </w:tc>
        <w:tc>
          <w:tcPr>
            <w:tcW w:w="140" w:type="dxa"/>
            <w:vAlign w:val="bottom"/>
            <w:tcBorders>
              <w:left w:val="single" w:sz="8" w:color="F0FFFF"/>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42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w w:val="85"/>
              </w:rPr>
              <w:t>1,921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rPr>
              <w:t>Residential mortgage</w:t>
            </w:r>
          </w:p>
        </w:tc>
        <w:tc>
          <w:tcPr>
            <w:tcW w:w="80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2,365</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60"/>
              <w:spacing w:after="0" w:line="134" w:lineRule="exact"/>
              <w:rPr>
                <w:sz w:val="20"/>
                <w:szCs w:val="20"/>
                <w:color w:val="auto"/>
              </w:rPr>
            </w:pPr>
            <w:r>
              <w:rPr>
                <w:rFonts w:ascii="Arial" w:cs="Arial" w:eastAsia="Arial" w:hAnsi="Arial"/>
                <w:sz w:val="13"/>
                <w:szCs w:val="13"/>
                <w:color w:val="auto"/>
              </w:rPr>
              <w:t>2,207</w:t>
            </w:r>
          </w:p>
        </w:tc>
        <w:tc>
          <w:tcPr>
            <w:tcW w:w="880" w:type="dxa"/>
            <w:vAlign w:val="bottom"/>
            <w:gridSpan w:val="4"/>
          </w:tcPr>
          <w:p>
            <w:pPr>
              <w:jc w:val="right"/>
              <w:spacing w:after="0" w:line="134"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40"/>
              <w:spacing w:after="0" w:line="134" w:lineRule="exact"/>
              <w:rPr>
                <w:sz w:val="20"/>
                <w:szCs w:val="20"/>
                <w:color w:val="auto"/>
              </w:rPr>
            </w:pPr>
            <w:r>
              <w:rPr>
                <w:rFonts w:ascii="Arial" w:cs="Arial" w:eastAsia="Arial" w:hAnsi="Arial"/>
                <w:sz w:val="13"/>
                <w:szCs w:val="13"/>
                <w:color w:val="auto"/>
              </w:rPr>
              <w:t>533</w:t>
            </w:r>
          </w:p>
        </w:tc>
        <w:tc>
          <w:tcPr>
            <w:tcW w:w="8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29</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5,129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ind w:right="120"/>
              <w:spacing w:after="0" w:line="134" w:lineRule="exact"/>
              <w:rPr>
                <w:sz w:val="20"/>
                <w:szCs w:val="20"/>
                <w:color w:val="auto"/>
              </w:rPr>
            </w:pPr>
            <w:r>
              <w:rPr>
                <w:rFonts w:ascii="Arial" w:cs="Arial" w:eastAsia="Arial" w:hAnsi="Arial"/>
                <w:sz w:val="13"/>
                <w:szCs w:val="13"/>
                <w:color w:val="auto"/>
              </w:rPr>
              <w:t>4,827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jc w:val="right"/>
              <w:spacing w:after="0" w:line="134" w:lineRule="exact"/>
              <w:rPr>
                <w:sz w:val="20"/>
                <w:szCs w:val="20"/>
                <w:color w:val="auto"/>
              </w:rPr>
            </w:pPr>
            <w:r>
              <w:rPr>
                <w:rFonts w:ascii="Arial" w:cs="Arial" w:eastAsia="Arial" w:hAnsi="Arial"/>
                <w:sz w:val="13"/>
                <w:szCs w:val="13"/>
                <w:color w:val="auto"/>
              </w:rPr>
              <w:t>641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Borders>
              <w:right w:val="single" w:sz="8" w:color="F0FFFF"/>
            </w:tcBorders>
            <w:gridSpan w:val="2"/>
            <w:shd w:val="clear" w:color="auto" w:fill="F0FFFF"/>
          </w:tcPr>
          <w:p>
            <w:pPr>
              <w:spacing w:after="0" w:line="134" w:lineRule="exact"/>
              <w:rPr>
                <w:sz w:val="20"/>
                <w:szCs w:val="20"/>
                <w:color w:val="auto"/>
              </w:rPr>
            </w:pPr>
            <w:r>
              <w:rPr>
                <w:rFonts w:ascii="Arial" w:cs="Arial" w:eastAsia="Arial" w:hAnsi="Arial"/>
                <w:sz w:val="13"/>
                <w:szCs w:val="13"/>
                <w:color w:val="auto"/>
              </w:rPr>
              <w:t>Home equity lines of credit</w:t>
            </w:r>
          </w:p>
        </w:tc>
        <w:tc>
          <w:tcPr>
            <w:tcW w:w="80" w:type="dxa"/>
            <w:vAlign w:val="bottom"/>
            <w:shd w:val="clear" w:color="auto" w:fill="F0FFFF"/>
          </w:tcPr>
          <w:p>
            <w:pPr>
              <w:spacing w:after="0"/>
              <w:rPr>
                <w:sz w:val="11"/>
                <w:szCs w:val="11"/>
                <w:color w:val="auto"/>
              </w:rPr>
            </w:pPr>
          </w:p>
        </w:tc>
        <w:tc>
          <w:tcPr>
            <w:tcW w:w="72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480" w:type="dxa"/>
            <w:vAlign w:val="bottom"/>
            <w:shd w:val="clear" w:color="auto" w:fill="F0FFFF"/>
          </w:tcPr>
          <w:p>
            <w:pPr>
              <w:spacing w:after="0"/>
              <w:rPr>
                <w:sz w:val="11"/>
                <w:szCs w:val="11"/>
                <w:color w:val="auto"/>
              </w:rPr>
            </w:pPr>
          </w:p>
        </w:tc>
        <w:tc>
          <w:tcPr>
            <w:tcW w:w="140" w:type="dxa"/>
            <w:vAlign w:val="bottom"/>
            <w:tcBorders>
              <w:right w:val="single" w:sz="8" w:color="F0FFFF"/>
            </w:tcBorders>
            <w:shd w:val="clear" w:color="auto" w:fill="F0FFFF"/>
          </w:tcPr>
          <w:p>
            <w:pPr>
              <w:jc w:val="right"/>
              <w:spacing w:after="0" w:line="134" w:lineRule="exact"/>
              <w:rPr>
                <w:sz w:val="20"/>
                <w:szCs w:val="20"/>
                <w:color w:val="auto"/>
              </w:rPr>
            </w:pPr>
            <w:r>
              <w:rPr>
                <w:rFonts w:ascii="Arial" w:cs="Arial" w:eastAsia="Arial" w:hAnsi="Arial"/>
                <w:sz w:val="13"/>
                <w:szCs w:val="13"/>
                <w:color w:val="auto"/>
                <w:w w:val="91"/>
              </w:rPr>
              <w:t>—</w:t>
            </w: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220" w:type="dxa"/>
            <w:vAlign w:val="bottom"/>
            <w:gridSpan w:val="2"/>
            <w:shd w:val="clear" w:color="auto" w:fill="F0FFFF"/>
          </w:tcPr>
          <w:p>
            <w:pPr>
              <w:jc w:val="right"/>
              <w:ind w:right="60"/>
              <w:spacing w:after="0" w:line="134" w:lineRule="exact"/>
              <w:rPr>
                <w:sz w:val="20"/>
                <w:szCs w:val="20"/>
                <w:color w:val="auto"/>
              </w:rPr>
            </w:pPr>
            <w:r>
              <w:rPr>
                <w:rFonts w:ascii="Arial" w:cs="Arial" w:eastAsia="Arial" w:hAnsi="Arial"/>
                <w:sz w:val="13"/>
                <w:szCs w:val="13"/>
                <w:color w:val="auto"/>
              </w:rPr>
              <w:t>—</w:t>
            </w:r>
          </w:p>
        </w:tc>
        <w:tc>
          <w:tcPr>
            <w:tcW w:w="18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220" w:type="dxa"/>
            <w:vAlign w:val="bottom"/>
            <w:gridSpan w:val="2"/>
            <w:shd w:val="clear" w:color="auto" w:fill="F0FF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18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180" w:type="dxa"/>
            <w:vAlign w:val="bottom"/>
            <w:tcBorders>
              <w:right w:val="single" w:sz="8" w:color="F0FFFF"/>
            </w:tcBorders>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400" w:type="dxa"/>
            <w:vAlign w:val="bottom"/>
            <w:shd w:val="clear" w:color="auto" w:fill="F0FFFF"/>
          </w:tcPr>
          <w:p>
            <w:pPr>
              <w:spacing w:after="0"/>
              <w:rPr>
                <w:sz w:val="11"/>
                <w:szCs w:val="11"/>
                <w:color w:val="auto"/>
              </w:rPr>
            </w:pPr>
          </w:p>
        </w:tc>
        <w:tc>
          <w:tcPr>
            <w:tcW w:w="160" w:type="dxa"/>
            <w:vAlign w:val="bottom"/>
            <w:tcBorders>
              <w:right w:val="single" w:sz="8" w:color="F0FFFF"/>
            </w:tcBorders>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tcBorders>
              <w:right w:val="single" w:sz="8" w:color="F0FFFF"/>
            </w:tcBorders>
            <w:gridSpan w:val="3"/>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tcBorders>
              <w:left w:val="single" w:sz="8" w:color="F0FFFF"/>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42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rPr>
              <w:t>Residential construction</w:t>
            </w:r>
          </w:p>
        </w:tc>
        <w:tc>
          <w:tcPr>
            <w:tcW w:w="80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727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3"/>
          </w:tcPr>
          <w:p>
            <w:pPr>
              <w:jc w:val="right"/>
              <w:ind w:right="60"/>
              <w:spacing w:after="0" w:line="134" w:lineRule="exact"/>
              <w:rPr>
                <w:sz w:val="20"/>
                <w:szCs w:val="20"/>
                <w:color w:val="auto"/>
              </w:rPr>
            </w:pPr>
            <w:r>
              <w:rPr>
                <w:rFonts w:ascii="Arial" w:cs="Arial" w:eastAsia="Arial" w:hAnsi="Arial"/>
                <w:sz w:val="13"/>
                <w:szCs w:val="13"/>
                <w:color w:val="auto"/>
              </w:rPr>
              <w:t>727</w:t>
            </w:r>
          </w:p>
        </w:tc>
        <w:tc>
          <w:tcPr>
            <w:tcW w:w="880" w:type="dxa"/>
            <w:vAlign w:val="bottom"/>
            <w:gridSpan w:val="4"/>
          </w:tcPr>
          <w:p>
            <w:pPr>
              <w:jc w:val="right"/>
              <w:spacing w:after="0" w:line="134"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gridSpan w:val="3"/>
          </w:tcPr>
          <w:p>
            <w:pPr>
              <w:jc w:val="right"/>
              <w:ind w:right="40"/>
              <w:spacing w:after="0" w:line="134" w:lineRule="exact"/>
              <w:rPr>
                <w:sz w:val="20"/>
                <w:szCs w:val="20"/>
                <w:color w:val="auto"/>
              </w:rPr>
            </w:pPr>
            <w:r>
              <w:rPr>
                <w:rFonts w:ascii="Arial" w:cs="Arial" w:eastAsia="Arial" w:hAnsi="Arial"/>
                <w:sz w:val="13"/>
                <w:szCs w:val="13"/>
                <w:color w:val="auto"/>
              </w:rPr>
              <w:t>414</w:t>
            </w:r>
          </w:p>
        </w:tc>
        <w:tc>
          <w:tcPr>
            <w:tcW w:w="86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10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1,850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ind w:right="120"/>
              <w:spacing w:after="0" w:line="134" w:lineRule="exact"/>
              <w:rPr>
                <w:sz w:val="20"/>
                <w:szCs w:val="20"/>
                <w:color w:val="auto"/>
              </w:rPr>
            </w:pPr>
            <w:r>
              <w:rPr>
                <w:rFonts w:ascii="Arial" w:cs="Arial" w:eastAsia="Arial" w:hAnsi="Arial"/>
                <w:sz w:val="13"/>
                <w:szCs w:val="13"/>
                <w:color w:val="auto"/>
              </w:rPr>
              <w:t>1,721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0" w:type="dxa"/>
            <w:vAlign w:val="bottom"/>
          </w:tcPr>
          <w:p>
            <w:pPr>
              <w:jc w:val="right"/>
              <w:spacing w:after="0" w:line="134" w:lineRule="exact"/>
              <w:rPr>
                <w:sz w:val="20"/>
                <w:szCs w:val="20"/>
                <w:color w:val="auto"/>
              </w:rPr>
            </w:pPr>
            <w:r>
              <w:rPr>
                <w:rFonts w:ascii="Arial" w:cs="Arial" w:eastAsia="Arial" w:hAnsi="Arial"/>
                <w:sz w:val="13"/>
                <w:szCs w:val="13"/>
                <w:color w:val="auto"/>
              </w:rPr>
              <w:t>531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tcBorders>
              <w:right w:val="single" w:sz="8" w:color="F0FFFF"/>
            </w:tcBorders>
            <w:gridSpan w:val="2"/>
            <w:shd w:val="clear" w:color="auto" w:fill="F0FFFF"/>
          </w:tcPr>
          <w:p>
            <w:pPr>
              <w:spacing w:after="0" w:line="134" w:lineRule="exact"/>
              <w:rPr>
                <w:sz w:val="20"/>
                <w:szCs w:val="20"/>
                <w:color w:val="auto"/>
              </w:rPr>
            </w:pPr>
            <w:r>
              <w:rPr>
                <w:rFonts w:ascii="Arial" w:cs="Arial" w:eastAsia="Arial" w:hAnsi="Arial"/>
                <w:sz w:val="13"/>
                <w:szCs w:val="13"/>
                <w:color w:val="auto"/>
              </w:rPr>
              <w:t>Consumer installment</w:t>
            </w:r>
          </w:p>
        </w:tc>
        <w:tc>
          <w:tcPr>
            <w:tcW w:w="800" w:type="dxa"/>
            <w:vAlign w:val="bottom"/>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1</w:t>
            </w: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2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7</w:t>
            </w:r>
          </w:p>
        </w:tc>
        <w:tc>
          <w:tcPr>
            <w:tcW w:w="1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20" w:type="dxa"/>
            <w:vAlign w:val="bottom"/>
            <w:gridSpan w:val="3"/>
            <w:shd w:val="clear" w:color="auto" w:fill="F0FFFF"/>
          </w:tcPr>
          <w:p>
            <w:pPr>
              <w:jc w:val="right"/>
              <w:ind w:right="60"/>
              <w:spacing w:after="0" w:line="134" w:lineRule="exact"/>
              <w:rPr>
                <w:sz w:val="20"/>
                <w:szCs w:val="20"/>
                <w:color w:val="auto"/>
              </w:rPr>
            </w:pPr>
            <w:r>
              <w:rPr>
                <w:rFonts w:ascii="Arial" w:cs="Arial" w:eastAsia="Arial" w:hAnsi="Arial"/>
                <w:sz w:val="13"/>
                <w:szCs w:val="13"/>
                <w:color w:val="auto"/>
              </w:rPr>
              <w:t>7</w:t>
            </w:r>
          </w:p>
        </w:tc>
        <w:tc>
          <w:tcPr>
            <w:tcW w:w="880" w:type="dxa"/>
            <w:vAlign w:val="bottom"/>
            <w:gridSpan w:val="4"/>
            <w:shd w:val="clear" w:color="auto" w:fill="F0FFFF"/>
          </w:tcPr>
          <w:p>
            <w:pPr>
              <w:jc w:val="right"/>
              <w:spacing w:after="0" w:line="134" w:lineRule="exact"/>
              <w:rPr>
                <w:sz w:val="20"/>
                <w:szCs w:val="20"/>
                <w:color w:val="auto"/>
              </w:rPr>
            </w:pPr>
            <w:r>
              <w:rPr>
                <w:rFonts w:ascii="Arial" w:cs="Arial" w:eastAsia="Arial" w:hAnsi="Arial"/>
                <w:sz w:val="13"/>
                <w:szCs w:val="13"/>
                <w:color w:val="auto"/>
              </w:rPr>
              <w:t>2</w:t>
            </w:r>
          </w:p>
        </w:tc>
        <w:tc>
          <w:tcPr>
            <w:tcW w:w="2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300" w:type="dxa"/>
            <w:vAlign w:val="bottom"/>
            <w:shd w:val="clear" w:color="auto" w:fill="F0FFFF"/>
          </w:tcPr>
          <w:p>
            <w:pPr>
              <w:spacing w:after="0"/>
              <w:rPr>
                <w:sz w:val="11"/>
                <w:szCs w:val="11"/>
                <w:color w:val="auto"/>
              </w:rPr>
            </w:pPr>
          </w:p>
        </w:tc>
        <w:tc>
          <w:tcPr>
            <w:tcW w:w="420" w:type="dxa"/>
            <w:vAlign w:val="bottom"/>
            <w:gridSpan w:val="3"/>
            <w:shd w:val="clear" w:color="auto" w:fill="F0FFFF"/>
          </w:tcPr>
          <w:p>
            <w:pPr>
              <w:jc w:val="right"/>
              <w:ind w:right="40"/>
              <w:spacing w:after="0" w:line="134" w:lineRule="exact"/>
              <w:rPr>
                <w:sz w:val="20"/>
                <w:szCs w:val="20"/>
                <w:color w:val="auto"/>
              </w:rPr>
            </w:pPr>
            <w:r>
              <w:rPr>
                <w:rFonts w:ascii="Arial" w:cs="Arial" w:eastAsia="Arial" w:hAnsi="Arial"/>
                <w:sz w:val="13"/>
                <w:szCs w:val="13"/>
                <w:color w:val="auto"/>
              </w:rPr>
              <w:t>9</w:t>
            </w:r>
          </w:p>
        </w:tc>
        <w:tc>
          <w:tcPr>
            <w:tcW w:w="860" w:type="dxa"/>
            <w:vAlign w:val="bottom"/>
            <w:tcBorders>
              <w:right w:val="single" w:sz="8" w:color="F0FFFF"/>
            </w:tcBorders>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5</w:t>
            </w:r>
          </w:p>
        </w:tc>
        <w:tc>
          <w:tcPr>
            <w:tcW w:w="10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56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28</w:t>
            </w:r>
          </w:p>
        </w:tc>
        <w:tc>
          <w:tcPr>
            <w:tcW w:w="100" w:type="dxa"/>
            <w:vAlign w:val="bottom"/>
            <w:tcBorders>
              <w:right w:val="single" w:sz="8" w:color="F0FFFF"/>
            </w:tcBorders>
            <w:shd w:val="clear" w:color="auto" w:fill="F0FFFF"/>
          </w:tcPr>
          <w:p>
            <w:pPr>
              <w:spacing w:after="0"/>
              <w:rPr>
                <w:sz w:val="11"/>
                <w:szCs w:val="11"/>
                <w:color w:val="auto"/>
              </w:rPr>
            </w:pPr>
          </w:p>
        </w:tc>
        <w:tc>
          <w:tcPr>
            <w:tcW w:w="1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60" w:type="dxa"/>
            <w:vAlign w:val="bottom"/>
            <w:tcBorders>
              <w:right w:val="single" w:sz="8" w:color="F0FFFF"/>
            </w:tcBorders>
            <w:gridSpan w:val="3"/>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28</w:t>
            </w:r>
          </w:p>
        </w:tc>
        <w:tc>
          <w:tcPr>
            <w:tcW w:w="10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6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5</w:t>
            </w:r>
          </w:p>
        </w:tc>
        <w:tc>
          <w:tcPr>
            <w:tcW w:w="140" w:type="dxa"/>
            <w:vAlign w:val="bottom"/>
            <w:tcBorders>
              <w:left w:val="single" w:sz="8" w:color="F0FFFF"/>
              <w:right w:val="single" w:sz="8" w:color="F0FFFF"/>
            </w:tcBorders>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380" w:type="dxa"/>
            <w:vAlign w:val="bottom"/>
            <w:shd w:val="clear" w:color="auto" w:fill="F0FFFF"/>
          </w:tcPr>
          <w:p>
            <w:pPr>
              <w:spacing w:after="0"/>
              <w:rPr>
                <w:sz w:val="11"/>
                <w:szCs w:val="11"/>
                <w:color w:val="auto"/>
              </w:rPr>
            </w:pPr>
          </w:p>
        </w:tc>
        <w:tc>
          <w:tcPr>
            <w:tcW w:w="2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29</w:t>
            </w:r>
          </w:p>
        </w:tc>
        <w:tc>
          <w:tcPr>
            <w:tcW w:w="140" w:type="dxa"/>
            <w:vAlign w:val="bottom"/>
            <w:tcBorders>
              <w:left w:val="single" w:sz="8" w:color="F0FFFF"/>
            </w:tcBorders>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00" w:type="dxa"/>
            <w:vAlign w:val="bottom"/>
            <w:gridSpan w:val="2"/>
          </w:tcPr>
          <w:p>
            <w:pPr>
              <w:spacing w:after="0" w:line="134" w:lineRule="exact"/>
              <w:rPr>
                <w:sz w:val="20"/>
                <w:szCs w:val="20"/>
                <w:color w:val="auto"/>
              </w:rPr>
            </w:pPr>
            <w:r>
              <w:rPr>
                <w:rFonts w:ascii="Arial" w:cs="Arial" w:eastAsia="Arial" w:hAnsi="Arial"/>
                <w:sz w:val="13"/>
                <w:szCs w:val="13"/>
                <w:color w:val="auto"/>
              </w:rPr>
              <w:t>Indirect auto</w:t>
            </w:r>
          </w:p>
        </w:tc>
        <w:tc>
          <w:tcPr>
            <w:tcW w:w="80" w:type="dxa"/>
            <w:vAlign w:val="bottom"/>
          </w:tcPr>
          <w:p>
            <w:pPr>
              <w:spacing w:after="0"/>
              <w:rPr>
                <w:sz w:val="11"/>
                <w:szCs w:val="11"/>
                <w:color w:val="auto"/>
              </w:rPr>
            </w:pPr>
          </w:p>
        </w:tc>
        <w:tc>
          <w:tcPr>
            <w:tcW w:w="72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gridSpan w:val="2"/>
          </w:tcPr>
          <w:p>
            <w:pPr>
              <w:jc w:val="right"/>
              <w:ind w:right="6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3"/>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2300" w:type="dxa"/>
            <w:vAlign w:val="bottom"/>
            <w:tcBorders>
              <w:right w:val="single" w:sz="8" w:color="F0FFFF"/>
            </w:tcBorders>
            <w:gridSpan w:val="2"/>
            <w:shd w:val="clear" w:color="auto" w:fill="F0FFFF"/>
          </w:tcPr>
          <w:p>
            <w:pPr>
              <w:ind w:left="120"/>
              <w:spacing w:after="0" w:line="134" w:lineRule="exact"/>
              <w:rPr>
                <w:sz w:val="20"/>
                <w:szCs w:val="20"/>
                <w:color w:val="auto"/>
              </w:rPr>
            </w:pPr>
            <w:r>
              <w:rPr>
                <w:rFonts w:ascii="Arial" w:cs="Arial" w:eastAsia="Arial" w:hAnsi="Arial"/>
                <w:sz w:val="13"/>
                <w:szCs w:val="13"/>
                <w:color w:val="auto"/>
              </w:rPr>
              <w:t>Total loans</w:t>
            </w:r>
          </w:p>
        </w:tc>
        <w:tc>
          <w:tcPr>
            <w:tcW w:w="80" w:type="dxa"/>
            <w:vAlign w:val="bottom"/>
            <w:shd w:val="clear" w:color="auto" w:fill="F0FFFF"/>
          </w:tcPr>
          <w:p>
            <w:pPr>
              <w:spacing w:after="0"/>
              <w:rPr>
                <w:sz w:val="13"/>
                <w:szCs w:val="13"/>
                <w:color w:val="auto"/>
              </w:rPr>
            </w:pPr>
          </w:p>
        </w:tc>
        <w:tc>
          <w:tcPr>
            <w:tcW w:w="72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22</w:t>
            </w:r>
          </w:p>
        </w:tc>
        <w:tc>
          <w:tcPr>
            <w:tcW w:w="320" w:type="dxa"/>
            <w:vAlign w:val="bottom"/>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62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5,008</w:t>
            </w:r>
          </w:p>
        </w:tc>
        <w:tc>
          <w:tcPr>
            <w:tcW w:w="380" w:type="dxa"/>
            <w:vAlign w:val="bottom"/>
            <w:gridSpan w:val="3"/>
            <w:shd w:val="clear" w:color="auto" w:fill="F0FF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620" w:type="dxa"/>
            <w:vAlign w:val="bottom"/>
            <w:gridSpan w:val="3"/>
            <w:shd w:val="clear" w:color="auto" w:fill="F0FFFF"/>
          </w:tcPr>
          <w:p>
            <w:pPr>
              <w:jc w:val="right"/>
              <w:ind w:right="60"/>
              <w:spacing w:after="0" w:line="134" w:lineRule="exact"/>
              <w:rPr>
                <w:sz w:val="20"/>
                <w:szCs w:val="20"/>
                <w:color w:val="auto"/>
              </w:rPr>
            </w:pPr>
            <w:r>
              <w:rPr>
                <w:rFonts w:ascii="Arial" w:cs="Arial" w:eastAsia="Arial" w:hAnsi="Arial"/>
                <w:sz w:val="13"/>
                <w:szCs w:val="13"/>
                <w:color w:val="auto"/>
              </w:rPr>
              <w:t>3,750</w:t>
            </w:r>
          </w:p>
        </w:tc>
        <w:tc>
          <w:tcPr>
            <w:tcW w:w="880" w:type="dxa"/>
            <w:vAlign w:val="bottom"/>
            <w:gridSpan w:val="4"/>
            <w:shd w:val="clear" w:color="auto" w:fill="F0FFFF"/>
          </w:tcPr>
          <w:p>
            <w:pPr>
              <w:jc w:val="right"/>
              <w:spacing w:after="0" w:line="134" w:lineRule="exact"/>
              <w:rPr>
                <w:sz w:val="20"/>
                <w:szCs w:val="20"/>
                <w:color w:val="auto"/>
              </w:rPr>
            </w:pPr>
            <w:r>
              <w:rPr>
                <w:rFonts w:ascii="Arial" w:cs="Arial" w:eastAsia="Arial" w:hAnsi="Arial"/>
                <w:sz w:val="13"/>
                <w:szCs w:val="13"/>
                <w:color w:val="auto"/>
              </w:rPr>
              <w:t>4</w:t>
            </w:r>
          </w:p>
        </w:tc>
        <w:tc>
          <w:tcPr>
            <w:tcW w:w="520" w:type="dxa"/>
            <w:vAlign w:val="bottom"/>
            <w:gridSpan w:val="4"/>
            <w:shd w:val="clear" w:color="auto" w:fill="F0FF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420" w:type="dxa"/>
            <w:vAlign w:val="bottom"/>
            <w:gridSpan w:val="3"/>
            <w:shd w:val="clear" w:color="auto" w:fill="F0FFFF"/>
          </w:tcPr>
          <w:p>
            <w:pPr>
              <w:jc w:val="right"/>
              <w:ind w:right="40"/>
              <w:spacing w:after="0" w:line="134" w:lineRule="exact"/>
              <w:rPr>
                <w:sz w:val="20"/>
                <w:szCs w:val="20"/>
                <w:color w:val="auto"/>
              </w:rPr>
            </w:pPr>
            <w:r>
              <w:rPr>
                <w:rFonts w:ascii="Arial" w:cs="Arial" w:eastAsia="Arial" w:hAnsi="Arial"/>
                <w:sz w:val="13"/>
                <w:szCs w:val="13"/>
                <w:color w:val="auto"/>
              </w:rPr>
              <w:t>956</w:t>
            </w:r>
          </w:p>
        </w:tc>
        <w:tc>
          <w:tcPr>
            <w:tcW w:w="860" w:type="dxa"/>
            <w:vAlign w:val="bottom"/>
            <w:tcBorders>
              <w:right w:val="single" w:sz="8" w:color="F0FFFF"/>
            </w:tcBorders>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72</w:t>
            </w:r>
          </w:p>
        </w:tc>
        <w:tc>
          <w:tcPr>
            <w:tcW w:w="340" w:type="dxa"/>
            <w:vAlign w:val="bottom"/>
            <w:gridSpan w:val="3"/>
            <w:shd w:val="clear" w:color="auto" w:fill="F0FFFF"/>
          </w:tcPr>
          <w:p>
            <w:pPr>
              <w:ind w:left="220"/>
              <w:spacing w:after="0" w:line="134" w:lineRule="exact"/>
              <w:rPr>
                <w:sz w:val="20"/>
                <w:szCs w:val="20"/>
                <w:color w:val="auto"/>
              </w:rPr>
            </w:pPr>
            <w:r>
              <w:rPr>
                <w:rFonts w:ascii="Arial" w:cs="Arial" w:eastAsia="Arial" w:hAnsi="Arial"/>
                <w:sz w:val="13"/>
                <w:szCs w:val="13"/>
                <w:color w:val="auto"/>
              </w:rPr>
              <w:t>$</w:t>
            </w:r>
          </w:p>
        </w:tc>
        <w:tc>
          <w:tcPr>
            <w:tcW w:w="560" w:type="dxa"/>
            <w:vAlign w:val="bottom"/>
            <w:tcBorders>
              <w:right w:val="single" w:sz="8" w:color="F0FFFF"/>
            </w:tcBorders>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19,822</w:t>
            </w:r>
          </w:p>
        </w:tc>
        <w:tc>
          <w:tcPr>
            <w:tcW w:w="340" w:type="dxa"/>
            <w:vAlign w:val="bottom"/>
            <w:gridSpan w:val="3"/>
            <w:shd w:val="clear" w:color="auto" w:fill="F0FFFF"/>
          </w:tcPr>
          <w:p>
            <w:pPr>
              <w:jc w:val="right"/>
              <w:spacing w:after="0" w:line="134" w:lineRule="exact"/>
              <w:rPr>
                <w:sz w:val="20"/>
                <w:szCs w:val="20"/>
                <w:color w:val="auto"/>
              </w:rPr>
            </w:pPr>
            <w:r>
              <w:rPr>
                <w:rFonts w:ascii="Arial" w:cs="Arial" w:eastAsia="Arial" w:hAnsi="Arial"/>
                <w:sz w:val="13"/>
                <w:szCs w:val="13"/>
                <w:color w:val="auto"/>
              </w:rPr>
              <w:t>$</w:t>
            </w:r>
          </w:p>
        </w:tc>
        <w:tc>
          <w:tcPr>
            <w:tcW w:w="660" w:type="dxa"/>
            <w:vAlign w:val="bottom"/>
            <w:tcBorders>
              <w:right w:val="single" w:sz="8" w:color="F0FFFF"/>
            </w:tcBorders>
            <w:gridSpan w:val="3"/>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18,185</w:t>
            </w:r>
          </w:p>
        </w:tc>
        <w:tc>
          <w:tcPr>
            <w:tcW w:w="100" w:type="dxa"/>
            <w:vAlign w:val="bottom"/>
            <w:shd w:val="clear" w:color="auto" w:fill="F0FFFF"/>
          </w:tcPr>
          <w:p>
            <w:pPr>
              <w:spacing w:after="0"/>
              <w:rPr>
                <w:sz w:val="13"/>
                <w:szCs w:val="13"/>
                <w:color w:val="auto"/>
              </w:rPr>
            </w:pPr>
          </w:p>
        </w:tc>
        <w:tc>
          <w:tcPr>
            <w:tcW w:w="80" w:type="dxa"/>
            <w:vAlign w:val="bottom"/>
            <w:shd w:val="clear" w:color="auto" w:fill="F0FFFF"/>
          </w:tcPr>
          <w:p>
            <w:pPr>
              <w:spacing w:after="0"/>
              <w:rPr>
                <w:sz w:val="13"/>
                <w:szCs w:val="13"/>
                <w:color w:val="auto"/>
              </w:rPr>
            </w:pPr>
          </w:p>
        </w:tc>
        <w:tc>
          <w:tcPr>
            <w:tcW w:w="600" w:type="dxa"/>
            <w:vAlign w:val="bottom"/>
            <w:gridSpan w:val="2"/>
            <w:shd w:val="clear" w:color="auto" w:fill="F0FFFF"/>
          </w:tcPr>
          <w:p>
            <w:pPr>
              <w:jc w:val="right"/>
              <w:spacing w:after="0" w:line="134" w:lineRule="exact"/>
              <w:rPr>
                <w:sz w:val="20"/>
                <w:szCs w:val="20"/>
                <w:color w:val="auto"/>
              </w:rPr>
            </w:pPr>
            <w:r>
              <w:rPr>
                <w:rFonts w:ascii="Arial" w:cs="Arial" w:eastAsia="Arial" w:hAnsi="Arial"/>
                <w:sz w:val="13"/>
                <w:szCs w:val="13"/>
                <w:color w:val="auto"/>
              </w:rPr>
              <w:t>15</w:t>
            </w:r>
          </w:p>
        </w:tc>
        <w:tc>
          <w:tcPr>
            <w:tcW w:w="600" w:type="dxa"/>
            <w:vAlign w:val="bottom"/>
            <w:tcBorders>
              <w:left w:val="single" w:sz="8" w:color="F0FFFF"/>
            </w:tcBorders>
            <w:gridSpan w:val="3"/>
            <w:shd w:val="clear" w:color="auto" w:fill="F0FFFF"/>
          </w:tcPr>
          <w:p>
            <w:pPr>
              <w:jc w:val="right"/>
              <w:ind w:right="255"/>
              <w:spacing w:after="0" w:line="134"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w w:val="85"/>
              </w:rPr>
              <w:t>3,122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left w:val="single" w:sz="8" w:color="F0FFFF"/>
              <w:right w:val="single" w:sz="8" w:color="F0FFFF"/>
            </w:tcBorders>
            <w:shd w:val="clear" w:color="auto" w:fill="F0FFFF"/>
          </w:tcPr>
          <w:p>
            <w:pPr>
              <w:spacing w:after="0" w:line="20" w:lineRule="exact"/>
              <w:rPr>
                <w:sz w:val="1"/>
                <w:szCs w:val="1"/>
                <w:color w:val="auto"/>
              </w:rPr>
            </w:pPr>
          </w:p>
        </w:tc>
        <w:tc>
          <w:tcPr>
            <w:tcW w:w="8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F0FFFF"/>
              <w:left w:val="single" w:sz="8" w:color="auto"/>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Collateral dependent TDRs that subsequently default and are placed on nonaccrual are charged down to the fair value of the collateral consistent with United’s policy for nonaccrual loans. Impairment on TDRs that are not collateral dependent continues to be measured on discounted cash flows regardless of whether the loan has subsequently defaulted.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22" w:name="page23"/>
    <w:bookmarkEnd w:id="22"/>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As of September 30, 2014, December 31, 2013 and September 30, 2013, and based on the most recent analysis performed, the risk category of loans by class of loans is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6"/>
          </w:tcPr>
          <w:p>
            <w:pPr>
              <w:ind w:left="700"/>
              <w:spacing w:after="0"/>
              <w:rPr>
                <w:sz w:val="20"/>
                <w:szCs w:val="20"/>
                <w:color w:val="auto"/>
              </w:rPr>
            </w:pPr>
            <w:r>
              <w:rPr>
                <w:rFonts w:ascii="Arial" w:cs="Arial" w:eastAsia="Arial" w:hAnsi="Arial"/>
                <w:sz w:val="16"/>
                <w:szCs w:val="16"/>
                <w:b w:val="1"/>
                <w:bCs w:val="1"/>
                <w:color w:val="auto"/>
              </w:rPr>
              <w:t>Substandard</w:t>
            </w:r>
          </w:p>
        </w:tc>
        <w:tc>
          <w:tcPr>
            <w:tcW w:w="160" w:type="dxa"/>
            <w:vAlign w:val="bottom"/>
          </w:tcPr>
          <w:p>
            <w:pPr>
              <w:spacing w:after="0"/>
              <w:rPr>
                <w:sz w:val="18"/>
                <w:szCs w:val="18"/>
                <w:color w:val="auto"/>
              </w:rPr>
            </w:pPr>
          </w:p>
        </w:tc>
        <w:tc>
          <w:tcPr>
            <w:tcW w:w="1080" w:type="dxa"/>
            <w:vAlign w:val="bottom"/>
            <w:gridSpan w:val="2"/>
          </w:tcPr>
          <w:p>
            <w:pPr>
              <w:ind w:left="60"/>
              <w:spacing w:after="0"/>
              <w:rPr>
                <w:sz w:val="20"/>
                <w:szCs w:val="20"/>
                <w:color w:val="auto"/>
              </w:rPr>
            </w:pPr>
            <w:r>
              <w:rPr>
                <w:rFonts w:ascii="Arial" w:cs="Arial" w:eastAsia="Arial" w:hAnsi="Arial"/>
                <w:sz w:val="16"/>
                <w:szCs w:val="16"/>
                <w:b w:val="1"/>
                <w:bCs w:val="1"/>
                <w:color w:val="auto"/>
              </w:rPr>
              <w:t>Doubtful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000" w:type="dxa"/>
            <w:vAlign w:val="bottom"/>
            <w:gridSpan w:val="4"/>
          </w:tcPr>
          <w:p>
            <w:pPr>
              <w:spacing w:after="0" w:line="158" w:lineRule="exact"/>
              <w:rPr>
                <w:sz w:val="20"/>
                <w:szCs w:val="20"/>
                <w:color w:val="auto"/>
              </w:rPr>
            </w:pPr>
            <w:r>
              <w:rPr>
                <w:rFonts w:ascii="Arial" w:cs="Arial" w:eastAsia="Arial" w:hAnsi="Arial"/>
                <w:sz w:val="16"/>
                <w:szCs w:val="16"/>
                <w:b w:val="1"/>
                <w:bCs w:val="1"/>
                <w:color w:val="auto"/>
              </w:rPr>
              <w:t>As of September 30, 2014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gridSpan w:val="2"/>
          </w:tcPr>
          <w:p>
            <w:pPr>
              <w:jc w:val="right"/>
              <w:ind w:right="540"/>
              <w:spacing w:after="0" w:line="158" w:lineRule="exact"/>
              <w:rPr>
                <w:sz w:val="20"/>
                <w:szCs w:val="20"/>
                <w:color w:val="auto"/>
              </w:rPr>
            </w:pPr>
            <w:r>
              <w:rPr>
                <w:rFonts w:ascii="Arial" w:cs="Arial" w:eastAsia="Arial" w:hAnsi="Arial"/>
                <w:sz w:val="16"/>
                <w:szCs w:val="16"/>
                <w:b w:val="1"/>
                <w:bCs w:val="1"/>
                <w:color w:val="auto"/>
              </w:rPr>
              <w:t>Pass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2"/>
          </w:tcPr>
          <w:p>
            <w:pPr>
              <w:ind w:left="140"/>
              <w:spacing w:after="0" w:line="158" w:lineRule="exact"/>
              <w:rPr>
                <w:sz w:val="20"/>
                <w:szCs w:val="20"/>
                <w:color w:val="auto"/>
              </w:rPr>
            </w:pPr>
            <w:r>
              <w:rPr>
                <w:rFonts w:ascii="Arial" w:cs="Arial" w:eastAsia="Arial" w:hAnsi="Arial"/>
                <w:sz w:val="16"/>
                <w:szCs w:val="16"/>
                <w:b w:val="1"/>
                <w:bCs w:val="1"/>
                <w:color w:val="auto"/>
              </w:rPr>
              <w:t>Watch</w:t>
            </w:r>
          </w:p>
        </w:tc>
        <w:tc>
          <w:tcPr>
            <w:tcW w:w="1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ind w:left="60"/>
              <w:spacing w:after="0" w:line="158" w:lineRule="exact"/>
              <w:rPr>
                <w:sz w:val="20"/>
                <w:szCs w:val="20"/>
                <w:color w:val="auto"/>
              </w:rPr>
            </w:pPr>
            <w:r>
              <w:rPr>
                <w:rFonts w:ascii="Arial" w:cs="Arial" w:eastAsia="Arial" w:hAnsi="Arial"/>
                <w:sz w:val="16"/>
                <w:szCs w:val="16"/>
                <w:b w:val="1"/>
                <w:bCs w:val="1"/>
                <w:color w:val="auto"/>
              </w:rPr>
              <w:t>Performing</w:t>
            </w: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99"/>
              <w:spacing w:after="0" w:line="158" w:lineRule="exact"/>
              <w:rPr>
                <w:sz w:val="20"/>
                <w:szCs w:val="20"/>
                <w:color w:val="auto"/>
              </w:rPr>
            </w:pPr>
            <w:r>
              <w:rPr>
                <w:rFonts w:ascii="Arial" w:cs="Arial" w:eastAsia="Arial" w:hAnsi="Arial"/>
                <w:sz w:val="16"/>
                <w:szCs w:val="16"/>
                <w:b w:val="1"/>
                <w:bCs w:val="1"/>
                <w:color w:val="auto"/>
                <w:w w:val="94"/>
              </w:rPr>
              <w:t>Nonaccrual</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260"/>
              <w:spacing w:after="0" w:line="158" w:lineRule="exact"/>
              <w:rPr>
                <w:sz w:val="20"/>
                <w:szCs w:val="20"/>
                <w:color w:val="auto"/>
              </w:rPr>
            </w:pPr>
            <w:r>
              <w:rPr>
                <w:rFonts w:ascii="Arial" w:cs="Arial" w:eastAsia="Arial" w:hAnsi="Arial"/>
                <w:sz w:val="16"/>
                <w:szCs w:val="16"/>
                <w:b w:val="1"/>
                <w:bCs w:val="1"/>
                <w:color w:val="auto"/>
              </w:rPr>
              <w:t>Loss</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gridSpan w:val="2"/>
          </w:tcPr>
          <w:p>
            <w:pPr>
              <w:jc w:val="right"/>
              <w:ind w:right="500"/>
              <w:spacing w:after="0" w:line="158"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5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1,076,822</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25,098</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49,857</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2,156</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1,153,933</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Income producing commercial real estate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563,451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17,319</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22,215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1,742</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604,727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637,160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3,602</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7,498</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1,593</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649,853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Commercial construction</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174,443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2,356</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3,847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180,794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ind w:left="260"/>
              <w:spacing w:after="0"/>
              <w:rPr>
                <w:sz w:val="20"/>
                <w:szCs w:val="20"/>
                <w:color w:val="auto"/>
              </w:rPr>
            </w:pPr>
            <w:r>
              <w:rPr>
                <w:rFonts w:ascii="Arial" w:cs="Arial" w:eastAsia="Arial" w:hAnsi="Arial"/>
                <w:sz w:val="16"/>
                <w:szCs w:val="16"/>
                <w:color w:val="auto"/>
              </w:rPr>
              <w:t>Total commercial</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2,451,876</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48,375</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83,417</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5,639</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2,589,307</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Residential mortgage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803,937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10,300</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42,981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8,350</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865,568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Home equity lines of credit</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450,026</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8,073</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720</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458,819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Residential construction</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284,491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7,389</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11,755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3,543</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307,178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Consumer installment</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102,460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2,746</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139</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105,345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Indirect auto</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242,315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354</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242,669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Total loans</w:t>
            </w:r>
          </w:p>
        </w:tc>
        <w:tc>
          <w:tcPr>
            <w:tcW w:w="5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4,335,105</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66,064</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148,972</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18,745</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4,568,886</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80" w:type="dxa"/>
            <w:vAlign w:val="bottom"/>
            <w:tcBorders>
              <w:top w:val="single" w:sz="8" w:color="F0FFFF"/>
            </w:tcBorders>
            <w:gridSpan w:val="3"/>
          </w:tcPr>
          <w:p>
            <w:pPr>
              <w:spacing w:after="0" w:line="146" w:lineRule="exact"/>
              <w:rPr>
                <w:sz w:val="20"/>
                <w:szCs w:val="20"/>
                <w:color w:val="auto"/>
              </w:rPr>
            </w:pPr>
            <w:r>
              <w:rPr>
                <w:rFonts w:ascii="Arial" w:cs="Arial" w:eastAsia="Arial" w:hAnsi="Arial"/>
                <w:sz w:val="16"/>
                <w:szCs w:val="16"/>
                <w:b w:val="1"/>
                <w:bCs w:val="1"/>
                <w:color w:val="auto"/>
              </w:rPr>
              <w:t>As of December 31, 2013</w:t>
            </w:r>
          </w:p>
        </w:tc>
        <w:tc>
          <w:tcPr>
            <w:tcW w:w="340" w:type="dxa"/>
            <w:vAlign w:val="bottom"/>
            <w:tcBorders>
              <w:top w:val="single" w:sz="8" w:color="F0FF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Borders>
              <w:top w:val="single" w:sz="8" w:color="F0FF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5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1,054,924</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29,714</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43,083</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5,822</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1,133,543</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Income producing commercial real estate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575,597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10,410</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34,642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2,518</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623,167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456,563</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5,382</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9,589</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427</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471,961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Commercial construction</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120,852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10,932</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16,758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361</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148,903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ind w:left="260"/>
              <w:spacing w:after="0"/>
              <w:rPr>
                <w:sz w:val="20"/>
                <w:szCs w:val="20"/>
                <w:color w:val="auto"/>
              </w:rPr>
            </w:pPr>
            <w:r>
              <w:rPr>
                <w:rFonts w:ascii="Arial" w:cs="Arial" w:eastAsia="Arial" w:hAnsi="Arial"/>
                <w:sz w:val="16"/>
                <w:szCs w:val="16"/>
                <w:color w:val="auto"/>
              </w:rPr>
              <w:t>Total commercial</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2,207,936</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56,438</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104,072</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9,128</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2,377,574</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Residential mortgage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793,381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25,944</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44,022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11,730</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875,077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Home equity lines of credit</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426,052</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5,420</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7,967</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1,448</w:t>
            </w:r>
          </w:p>
        </w:tc>
        <w:tc>
          <w:tcPr>
            <w:tcW w:w="16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440,887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Residential construction</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298,685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11,526</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14,104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4,264</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328,579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Consumer installment</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107,029</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1,229</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2,538</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249</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111,045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Indirect auto</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196,104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196,104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98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Total loans</w:t>
            </w:r>
          </w:p>
        </w:tc>
        <w:tc>
          <w:tcPr>
            <w:tcW w:w="5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4,029,187</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100,557</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172,703</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26,819</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4,329,266</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2980" w:type="dxa"/>
            <w:vAlign w:val="bottom"/>
            <w:tcBorders>
              <w:top w:val="single" w:sz="8" w:color="F0FFFF"/>
            </w:tcBorders>
            <w:gridSpan w:val="3"/>
          </w:tcPr>
          <w:p>
            <w:pPr>
              <w:spacing w:after="0" w:line="146" w:lineRule="exact"/>
              <w:rPr>
                <w:sz w:val="20"/>
                <w:szCs w:val="20"/>
                <w:color w:val="auto"/>
              </w:rPr>
            </w:pPr>
            <w:r>
              <w:rPr>
                <w:rFonts w:ascii="Arial" w:cs="Arial" w:eastAsia="Arial" w:hAnsi="Arial"/>
                <w:sz w:val="16"/>
                <w:szCs w:val="16"/>
                <w:b w:val="1"/>
                <w:bCs w:val="1"/>
                <w:color w:val="auto"/>
              </w:rPr>
              <w:t>As of September 30, 2013</w:t>
            </w:r>
          </w:p>
        </w:tc>
        <w:tc>
          <w:tcPr>
            <w:tcW w:w="340" w:type="dxa"/>
            <w:vAlign w:val="bottom"/>
            <w:tcBorders>
              <w:top w:val="single" w:sz="8" w:color="F0FFFF"/>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00" w:type="dxa"/>
            <w:vAlign w:val="bottom"/>
            <w:tcBorders>
              <w:top w:val="single" w:sz="8" w:color="F0FFFF"/>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Borders>
              <w:top w:val="single" w:sz="8" w:color="F0FFFF"/>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Borders>
              <w:top w:val="single" w:sz="8" w:color="F0FF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5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1,046,900</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35,948</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39,946</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6,358</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1,129,152</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Income producing commercial real estate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556,963</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19,403</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35,596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1,657</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613,619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436,401</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10,062</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10,342</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609</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457,414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Commercial construction</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109,332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10,560</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16,911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343</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137,146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ind w:left="260"/>
              <w:spacing w:after="0"/>
              <w:rPr>
                <w:sz w:val="20"/>
                <w:szCs w:val="20"/>
                <w:color w:val="auto"/>
              </w:rPr>
            </w:pPr>
            <w:r>
              <w:rPr>
                <w:rFonts w:ascii="Arial" w:cs="Arial" w:eastAsia="Arial" w:hAnsi="Arial"/>
                <w:sz w:val="16"/>
                <w:szCs w:val="16"/>
                <w:color w:val="auto"/>
              </w:rPr>
              <w:t>Total commercial</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2,149,596</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75,973</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102,795</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8,967</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2,337,331</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Residential mortgage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808,574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23,277</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45,493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11,335</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888,679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Home equity lines of credit</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406,575</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5,193</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7,679</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1,169</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420,616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Residential construction</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283,197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14,943</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15,552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4,097</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317,789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shd w:val="clear" w:color="auto" w:fill="F0FFFF"/>
          </w:tcPr>
          <w:p>
            <w:pPr>
              <w:spacing w:after="0"/>
              <w:rPr>
                <w:sz w:val="20"/>
                <w:szCs w:val="20"/>
                <w:color w:val="auto"/>
              </w:rPr>
            </w:pPr>
            <w:r>
              <w:rPr>
                <w:rFonts w:ascii="Arial" w:cs="Arial" w:eastAsia="Arial" w:hAnsi="Arial"/>
                <w:sz w:val="16"/>
                <w:szCs w:val="16"/>
                <w:color w:val="auto"/>
              </w:rPr>
              <w:t>Consumer installment</w:t>
            </w:r>
          </w:p>
        </w:tc>
        <w:tc>
          <w:tcPr>
            <w:tcW w:w="3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112,706</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1,162</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2,147</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520</w:t>
            </w:r>
          </w:p>
        </w:tc>
        <w:tc>
          <w:tcPr>
            <w:tcW w:w="16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116,535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6"/>
                <w:szCs w:val="16"/>
                <w:color w:val="auto"/>
              </w:rPr>
              <w:t>Indirect auto</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186,117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08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186,117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298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Total loans</w:t>
            </w:r>
          </w:p>
        </w:tc>
        <w:tc>
          <w:tcPr>
            <w:tcW w:w="5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3,946,765</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120,548</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173,666</w:t>
            </w:r>
          </w:p>
        </w:tc>
        <w:tc>
          <w:tcPr>
            <w:tcW w:w="2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26,088</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ind w:left="8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4,267,067</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F0FFFF"/>
            </w:tcBorders>
            <w:shd w:val="clear" w:color="auto" w:fill="F0FFFF"/>
          </w:tcPr>
          <w:p>
            <w:pPr>
              <w:spacing w:after="0" w:line="20" w:lineRule="exact"/>
              <w:rPr>
                <w:sz w:val="1"/>
                <w:szCs w:val="1"/>
                <w:color w:val="auto"/>
              </w:rPr>
            </w:pPr>
          </w:p>
        </w:tc>
        <w:tc>
          <w:tcPr>
            <w:tcW w:w="40" w:type="dxa"/>
            <w:vAlign w:val="bottom"/>
            <w:tcBorders>
              <w:top w:val="single" w:sz="8" w:color="F0FFFF"/>
            </w:tcBorders>
            <w:shd w:val="clear" w:color="auto" w:fill="F0FFFF"/>
          </w:tcPr>
          <w:p>
            <w:pPr>
              <w:spacing w:after="0" w:line="20" w:lineRule="exact"/>
              <w:rPr>
                <w:sz w:val="1"/>
                <w:szCs w:val="1"/>
                <w:color w:val="auto"/>
              </w:rPr>
            </w:pPr>
          </w:p>
        </w:tc>
        <w:tc>
          <w:tcPr>
            <w:tcW w:w="1260" w:type="dxa"/>
            <w:vAlign w:val="bottom"/>
            <w:tcBorders>
              <w:top w:val="single" w:sz="8" w:color="F0FFFF"/>
            </w:tcBorders>
            <w:shd w:val="clear" w:color="auto" w:fill="F0FFFF"/>
          </w:tcPr>
          <w:p>
            <w:pPr>
              <w:spacing w:after="0" w:line="20" w:lineRule="exact"/>
              <w:rPr>
                <w:sz w:val="1"/>
                <w:szCs w:val="1"/>
                <w:color w:val="auto"/>
              </w:rPr>
            </w:pPr>
          </w:p>
        </w:tc>
        <w:tc>
          <w:tcPr>
            <w:tcW w:w="34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Ratings</w:t>
      </w:r>
    </w:p>
    <w:p>
      <w:pPr>
        <w:spacing w:after="0" w:line="232"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United categorizes commercial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continual basis. United uses the following definitions for its risk ratings:</w:t>
      </w:r>
    </w:p>
    <w:p>
      <w:pPr>
        <w:spacing w:after="0" w:line="165" w:lineRule="exact"/>
        <w:rPr>
          <w:sz w:val="20"/>
          <w:szCs w:val="20"/>
          <w:color w:val="auto"/>
        </w:rPr>
      </w:pPr>
    </w:p>
    <w:p>
      <w:pPr>
        <w:jc w:val="both"/>
        <w:ind w:right="20"/>
        <w:spacing w:after="0" w:line="270" w:lineRule="auto"/>
        <w:rPr>
          <w:sz w:val="20"/>
          <w:szCs w:val="20"/>
          <w:color w:val="auto"/>
        </w:rPr>
      </w:pPr>
      <w:r>
        <w:rPr>
          <w:rFonts w:ascii="Arial" w:cs="Arial" w:eastAsia="Arial" w:hAnsi="Arial"/>
          <w:sz w:val="16"/>
          <w:szCs w:val="16"/>
          <w:b w:val="1"/>
          <w:bCs w:val="1"/>
          <w:color w:val="auto"/>
        </w:rPr>
        <w:t xml:space="preserve">Watch. </w:t>
      </w:r>
      <w:r>
        <w:rPr>
          <w:rFonts w:ascii="Arial" w:cs="Arial" w:eastAsia="Arial" w:hAnsi="Arial"/>
          <w:sz w:val="16"/>
          <w:szCs w:val="16"/>
          <w:color w:val="auto"/>
        </w:rPr>
        <w:t>Loans in this category are presently protected from apparent loss; however, weaknesses exist that could cause future impairment, including the deterioration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ratios, past due status and questionable management capabilities. These loans require more than the ordinary amount of supervision. Collateral values generally afford adequate coverage, but may not be immediately marketable.</w:t>
      </w:r>
    </w:p>
    <w:p>
      <w:pPr>
        <w:spacing w:after="0" w:line="179" w:lineRule="exact"/>
        <w:rPr>
          <w:sz w:val="20"/>
          <w:szCs w:val="20"/>
          <w:color w:val="auto"/>
        </w:rPr>
      </w:pPr>
    </w:p>
    <w:p>
      <w:pPr>
        <w:jc w:val="both"/>
        <w:ind w:right="20"/>
        <w:spacing w:after="0" w:line="296" w:lineRule="auto"/>
        <w:rPr>
          <w:sz w:val="20"/>
          <w:szCs w:val="20"/>
          <w:color w:val="auto"/>
        </w:rPr>
      </w:pPr>
      <w:r>
        <w:rPr>
          <w:rFonts w:ascii="Arial" w:cs="Arial" w:eastAsia="Arial" w:hAnsi="Arial"/>
          <w:sz w:val="15"/>
          <w:szCs w:val="15"/>
          <w:b w:val="1"/>
          <w:bCs w:val="1"/>
          <w:color w:val="auto"/>
        </w:rPr>
        <w:t xml:space="preserve">Substandard. </w:t>
      </w:r>
      <w:r>
        <w:rPr>
          <w:rFonts w:ascii="Arial" w:cs="Arial" w:eastAsia="Arial" w:hAnsi="Arial"/>
          <w:sz w:val="15"/>
          <w:szCs w:val="15"/>
          <w:color w:val="auto"/>
        </w:rPr>
        <w:t>These loans are inadequately protected by the current net worth and paying capacity of the obligor or by the collateral pledged. Specific and well-defined</w:t>
      </w:r>
      <w:r>
        <w:rPr>
          <w:rFonts w:ascii="Arial" w:cs="Arial" w:eastAsia="Arial" w:hAnsi="Arial"/>
          <w:sz w:val="15"/>
          <w:szCs w:val="15"/>
          <w:b w:val="1"/>
          <w:bCs w:val="1"/>
          <w:color w:val="auto"/>
        </w:rPr>
        <w:t xml:space="preserve"> </w:t>
      </w:r>
      <w:r>
        <w:rPr>
          <w:rFonts w:ascii="Arial" w:cs="Arial" w:eastAsia="Arial" w:hAnsi="Arial"/>
          <w:sz w:val="15"/>
          <w:szCs w:val="15"/>
          <w:color w:val="auto"/>
        </w:rPr>
        <w:t>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b w:val="1"/>
          <w:bCs w:val="1"/>
          <w:color w:val="auto"/>
        </w:rPr>
        <w:t xml:space="preserve">Doubtful. </w:t>
      </w:r>
      <w:r>
        <w:rPr>
          <w:rFonts w:ascii="Arial" w:cs="Arial" w:eastAsia="Arial" w:hAnsi="Arial"/>
          <w:sz w:val="16"/>
          <w:szCs w:val="16"/>
          <w:color w:val="auto"/>
        </w:rPr>
        <w:t>Specific weaknesses characterized as Substandard that are severe enough to make collection in full highly questionable and improbable. There is no reliable</w:t>
      </w:r>
      <w:r>
        <w:rPr>
          <w:rFonts w:ascii="Arial" w:cs="Arial" w:eastAsia="Arial" w:hAnsi="Arial"/>
          <w:sz w:val="16"/>
          <w:szCs w:val="16"/>
          <w:b w:val="1"/>
          <w:bCs w:val="1"/>
          <w:color w:val="auto"/>
        </w:rPr>
        <w:t xml:space="preserve"> </w:t>
      </w:r>
      <w:r>
        <w:rPr>
          <w:rFonts w:ascii="Arial" w:cs="Arial" w:eastAsia="Arial" w:hAnsi="Arial"/>
          <w:sz w:val="16"/>
          <w:szCs w:val="16"/>
          <w:color w:val="auto"/>
        </w:rPr>
        <w:t>secondary source of full repayment.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 off.</w:t>
      </w:r>
    </w:p>
    <w:p>
      <w:pPr>
        <w:spacing w:after="0" w:line="228" w:lineRule="exact"/>
        <w:rPr>
          <w:sz w:val="20"/>
          <w:szCs w:val="20"/>
          <w:color w:val="auto"/>
        </w:rPr>
      </w:pPr>
    </w:p>
    <w:p>
      <w:pPr>
        <w:jc w:val="both"/>
        <w:ind w:right="20"/>
        <w:spacing w:after="0" w:line="259" w:lineRule="auto"/>
        <w:rPr>
          <w:sz w:val="20"/>
          <w:szCs w:val="20"/>
          <w:color w:val="auto"/>
        </w:rPr>
      </w:pPr>
      <w:r>
        <w:rPr>
          <w:rFonts w:ascii="Arial" w:cs="Arial" w:eastAsia="Arial" w:hAnsi="Arial"/>
          <w:sz w:val="16"/>
          <w:szCs w:val="16"/>
          <w:b w:val="1"/>
          <w:bCs w:val="1"/>
          <w:color w:val="auto"/>
        </w:rPr>
        <w:t xml:space="preserve">Consumer Purpose Loans. </w:t>
      </w:r>
      <w:r>
        <w:rPr>
          <w:rFonts w:ascii="Arial" w:cs="Arial" w:eastAsia="Arial" w:hAnsi="Arial"/>
          <w:sz w:val="16"/>
          <w:szCs w:val="16"/>
          <w:color w:val="auto"/>
        </w:rPr>
        <w:t>Beginning in the first quarter of 2014, United began to apply a pass / fail grading system to all consumer purpose loans. Under the pass / fail</w:t>
      </w:r>
      <w:r>
        <w:rPr>
          <w:rFonts w:ascii="Arial" w:cs="Arial" w:eastAsia="Arial" w:hAnsi="Arial"/>
          <w:sz w:val="16"/>
          <w:szCs w:val="16"/>
          <w:b w:val="1"/>
          <w:bCs w:val="1"/>
          <w:color w:val="auto"/>
        </w:rPr>
        <w:t xml:space="preserve"> </w:t>
      </w:r>
      <w:r>
        <w:rPr>
          <w:rFonts w:ascii="Arial" w:cs="Arial" w:eastAsia="Arial" w:hAnsi="Arial"/>
          <w:sz w:val="16"/>
          <w:szCs w:val="16"/>
          <w:color w:val="auto"/>
        </w:rPr>
        <w:t>grading system, consumer purpose loans meeting the criteria of substandard are classified as “fail” and all other loans are classified as “pass”. For reporting purposes, consumer purpose loans classified as “fail” are reported in the performing substandard or nonaccrual columns and all other consumer purpose loans are reported in the “pass” column. The first quarter grading change resulted in decreases in loans categorized as “watch” for the consumer installment, residential mortgage and home equity lines of credit loan classifications. Loan balances reported in the “watch” column for residential mortgage in the first quarter are generally commercial purpose loans secured by the borrower’s residence.</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Loans not meeting the criteria above that are analyzed individually as part of the above described process are considered to be pass rated loans.</w:t>
      </w:r>
    </w:p>
    <w:p>
      <w:pPr>
        <w:spacing w:after="0" w:line="22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following table presents the recorded investment (unpaid principal less amounts charged off) in nonaccrual loans by loan class as of September 30, 2014, December 31, 2013 and September 30, 2013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6"/>
              </w:rPr>
              <w:t>Nonaccrual Loans</w:t>
            </w: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60" w:type="dxa"/>
            <w:vAlign w:val="bottom"/>
            <w:gridSpan w:val="3"/>
          </w:tcPr>
          <w:p>
            <w:pPr>
              <w:jc w:val="right"/>
              <w:ind w:right="200"/>
              <w:spacing w:after="0" w:line="178" w:lineRule="exact"/>
              <w:rPr>
                <w:sz w:val="20"/>
                <w:szCs w:val="20"/>
                <w:color w:val="auto"/>
              </w:rPr>
            </w:pPr>
            <w:r>
              <w:rPr>
                <w:rFonts w:ascii="Arial" w:cs="Arial" w:eastAsia="Arial" w:hAnsi="Arial"/>
                <w:sz w:val="16"/>
                <w:szCs w:val="16"/>
                <w:b w:val="1"/>
                <w:bCs w:val="1"/>
                <w:color w:val="auto"/>
                <w:w w:val="95"/>
              </w:rPr>
              <w:t>September 30,</w:t>
            </w:r>
          </w:p>
        </w:tc>
        <w:tc>
          <w:tcPr>
            <w:tcW w:w="120" w:type="dxa"/>
            <w:vAlign w:val="bottom"/>
          </w:tcPr>
          <w:p>
            <w:pPr>
              <w:spacing w:after="0"/>
              <w:rPr>
                <w:sz w:val="15"/>
                <w:szCs w:val="15"/>
                <w:color w:val="auto"/>
              </w:rPr>
            </w:pPr>
          </w:p>
        </w:tc>
        <w:tc>
          <w:tcPr>
            <w:tcW w:w="1340" w:type="dxa"/>
            <w:vAlign w:val="bottom"/>
            <w:gridSpan w:val="3"/>
          </w:tcPr>
          <w:p>
            <w:pPr>
              <w:jc w:val="right"/>
              <w:ind w:right="360"/>
              <w:spacing w:after="0" w:line="178" w:lineRule="exact"/>
              <w:rPr>
                <w:sz w:val="20"/>
                <w:szCs w:val="20"/>
                <w:color w:val="auto"/>
              </w:rPr>
            </w:pPr>
            <w:r>
              <w:rPr>
                <w:rFonts w:ascii="Arial" w:cs="Arial" w:eastAsia="Arial" w:hAnsi="Arial"/>
                <w:sz w:val="16"/>
                <w:szCs w:val="16"/>
                <w:b w:val="1"/>
                <w:bCs w:val="1"/>
                <w:color w:val="auto"/>
                <w:w w:val="92"/>
              </w:rPr>
              <w:t>December 31,</w:t>
            </w:r>
          </w:p>
        </w:tc>
        <w:tc>
          <w:tcPr>
            <w:tcW w:w="60" w:type="dxa"/>
            <w:vAlign w:val="bottom"/>
          </w:tcPr>
          <w:p>
            <w:pPr>
              <w:spacing w:after="0"/>
              <w:rPr>
                <w:sz w:val="15"/>
                <w:szCs w:val="15"/>
                <w:color w:val="auto"/>
              </w:rPr>
            </w:pPr>
          </w:p>
        </w:tc>
        <w:tc>
          <w:tcPr>
            <w:tcW w:w="1140" w:type="dxa"/>
            <w:vAlign w:val="bottom"/>
            <w:gridSpan w:val="2"/>
          </w:tcPr>
          <w:p>
            <w:pPr>
              <w:jc w:val="right"/>
              <w:spacing w:after="0" w:line="178" w:lineRule="exact"/>
              <w:rPr>
                <w:sz w:val="20"/>
                <w:szCs w:val="20"/>
                <w:color w:val="auto"/>
              </w:rPr>
            </w:pPr>
            <w:r>
              <w:rPr>
                <w:rFonts w:ascii="Arial" w:cs="Arial" w:eastAsia="Arial" w:hAnsi="Arial"/>
                <w:sz w:val="16"/>
                <w:szCs w:val="16"/>
                <w:b w:val="1"/>
                <w:bCs w:val="1"/>
                <w:color w:val="auto"/>
                <w:w w:val="95"/>
              </w:rPr>
              <w:t>September 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shd w:val="clear" w:color="auto" w:fill="F0FFFF"/>
          </w:tcPr>
          <w:p>
            <w:pPr>
              <w:spacing w:after="0"/>
              <w:rPr>
                <w:sz w:val="20"/>
                <w:szCs w:val="20"/>
                <w:color w:val="auto"/>
              </w:rPr>
            </w:pPr>
            <w:r>
              <w:rPr>
                <w:rFonts w:ascii="Arial" w:cs="Arial" w:eastAsia="Arial" w:hAnsi="Arial"/>
                <w:sz w:val="16"/>
                <w:szCs w:val="16"/>
                <w:color w:val="auto"/>
              </w:rPr>
              <w:t>Owner occupied commercial real estate</w:t>
            </w:r>
          </w:p>
        </w:tc>
        <w:tc>
          <w:tcPr>
            <w:tcW w:w="194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2,156</w:t>
            </w:r>
          </w:p>
        </w:tc>
        <w:tc>
          <w:tcPr>
            <w:tcW w:w="140" w:type="dxa"/>
            <w:vAlign w:val="bottom"/>
            <w:shd w:val="clear" w:color="auto" w:fill="F0FFFF"/>
          </w:tcPr>
          <w:p>
            <w:pPr>
              <w:spacing w:after="0"/>
              <w:rPr>
                <w:sz w:val="16"/>
                <w:szCs w:val="16"/>
                <w:color w:val="auto"/>
              </w:rPr>
            </w:pPr>
          </w:p>
        </w:tc>
        <w:tc>
          <w:tcPr>
            <w:tcW w:w="32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5,822</w:t>
            </w:r>
          </w:p>
        </w:tc>
        <w:tc>
          <w:tcPr>
            <w:tcW w:w="200" w:type="dxa"/>
            <w:vAlign w:val="bottom"/>
            <w:shd w:val="clear" w:color="auto" w:fill="F0FFFF"/>
          </w:tcPr>
          <w:p>
            <w:pPr>
              <w:spacing w:after="0"/>
              <w:rPr>
                <w:sz w:val="16"/>
                <w:szCs w:val="16"/>
                <w:color w:val="auto"/>
              </w:rPr>
            </w:pPr>
          </w:p>
        </w:tc>
        <w:tc>
          <w:tcPr>
            <w:tcW w:w="30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6,358</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Income producing commercial real estate</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2,518</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shd w:val="clear" w:color="auto" w:fill="F0FFFF"/>
          </w:tcPr>
          <w:p>
            <w:pPr>
              <w:spacing w:after="0"/>
              <w:rPr>
                <w:sz w:val="20"/>
                <w:szCs w:val="20"/>
                <w:color w:val="auto"/>
              </w:rPr>
            </w:pPr>
            <w:r>
              <w:rPr>
                <w:rFonts w:ascii="Arial" w:cs="Arial" w:eastAsia="Arial" w:hAnsi="Arial"/>
                <w:sz w:val="16"/>
                <w:szCs w:val="16"/>
                <w:color w:val="auto"/>
              </w:rPr>
              <w:t>Commercial &amp; industrial</w:t>
            </w:r>
          </w:p>
        </w:tc>
        <w:tc>
          <w:tcPr>
            <w:tcW w:w="17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1,593</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427</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609</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Commercial construction</w:t>
            </w:r>
          </w:p>
        </w:tc>
        <w:tc>
          <w:tcPr>
            <w:tcW w:w="1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361</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 commercial</w:t>
            </w:r>
          </w:p>
        </w:tc>
        <w:tc>
          <w:tcPr>
            <w:tcW w:w="17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5,639</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9,128</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8,967</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Residential mortgage</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8,350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11,730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11,335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shd w:val="clear" w:color="auto" w:fill="F0FFFF"/>
          </w:tcPr>
          <w:p>
            <w:pPr>
              <w:spacing w:after="0"/>
              <w:rPr>
                <w:sz w:val="20"/>
                <w:szCs w:val="20"/>
                <w:color w:val="auto"/>
              </w:rPr>
            </w:pPr>
            <w:r>
              <w:rPr>
                <w:rFonts w:ascii="Arial" w:cs="Arial" w:eastAsia="Arial" w:hAnsi="Arial"/>
                <w:sz w:val="16"/>
                <w:szCs w:val="16"/>
                <w:color w:val="auto"/>
              </w:rPr>
              <w:t>Home equity lines of credit</w:t>
            </w:r>
          </w:p>
        </w:tc>
        <w:tc>
          <w:tcPr>
            <w:tcW w:w="17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720</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1,448</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1,169</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Residential construction</w:t>
            </w:r>
          </w:p>
        </w:tc>
        <w:tc>
          <w:tcPr>
            <w:tcW w:w="1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3,543</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4,264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4,097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80" w:type="dxa"/>
            <w:vAlign w:val="bottom"/>
            <w:shd w:val="clear" w:color="auto" w:fill="F0FFFF"/>
          </w:tcPr>
          <w:p>
            <w:pPr>
              <w:spacing w:after="0"/>
              <w:rPr>
                <w:sz w:val="20"/>
                <w:szCs w:val="20"/>
                <w:color w:val="auto"/>
              </w:rPr>
            </w:pPr>
            <w:r>
              <w:rPr>
                <w:rFonts w:ascii="Arial" w:cs="Arial" w:eastAsia="Arial" w:hAnsi="Arial"/>
                <w:sz w:val="16"/>
                <w:szCs w:val="16"/>
                <w:color w:val="auto"/>
              </w:rPr>
              <w:t>Consumer installment</w:t>
            </w:r>
          </w:p>
        </w:tc>
        <w:tc>
          <w:tcPr>
            <w:tcW w:w="17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249</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520</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80" w:type="dxa"/>
            <w:vAlign w:val="bottom"/>
          </w:tcPr>
          <w:p>
            <w:pPr>
              <w:spacing w:after="0"/>
              <w:rPr>
                <w:sz w:val="20"/>
                <w:szCs w:val="20"/>
                <w:color w:val="auto"/>
              </w:rPr>
            </w:pPr>
            <w:r>
              <w:rPr>
                <w:rFonts w:ascii="Arial" w:cs="Arial" w:eastAsia="Arial" w:hAnsi="Arial"/>
                <w:sz w:val="16"/>
                <w:szCs w:val="16"/>
                <w:color w:val="auto"/>
              </w:rPr>
              <w:t>Indirect auto</w:t>
            </w:r>
          </w:p>
        </w:tc>
        <w:tc>
          <w:tcPr>
            <w:tcW w:w="17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w:t>
            </w:r>
          </w:p>
        </w:tc>
        <w:tc>
          <w:tcPr>
            <w:tcW w:w="194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18,745</w:t>
            </w:r>
          </w:p>
        </w:tc>
        <w:tc>
          <w:tcPr>
            <w:tcW w:w="140" w:type="dxa"/>
            <w:vAlign w:val="bottom"/>
            <w:shd w:val="clear" w:color="auto" w:fill="F0FFFF"/>
          </w:tcPr>
          <w:p>
            <w:pPr>
              <w:spacing w:after="0"/>
              <w:rPr>
                <w:sz w:val="20"/>
                <w:szCs w:val="20"/>
                <w:color w:val="auto"/>
              </w:rPr>
            </w:pPr>
          </w:p>
        </w:tc>
        <w:tc>
          <w:tcPr>
            <w:tcW w:w="320" w:type="dxa"/>
            <w:vAlign w:val="bottom"/>
            <w:gridSpan w:val="2"/>
            <w:shd w:val="clear" w:color="auto" w:fill="F0FFFF"/>
          </w:tcPr>
          <w:p>
            <w:pPr>
              <w:ind w:lef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26,819</w:t>
            </w:r>
          </w:p>
        </w:tc>
        <w:tc>
          <w:tcPr>
            <w:tcW w:w="200" w:type="dxa"/>
            <w:vAlign w:val="bottom"/>
            <w:shd w:val="clear" w:color="auto" w:fill="F0FFFF"/>
          </w:tcPr>
          <w:p>
            <w:pPr>
              <w:spacing w:after="0"/>
              <w:rPr>
                <w:sz w:val="20"/>
                <w:szCs w:val="20"/>
                <w:color w:val="auto"/>
              </w:rPr>
            </w:pPr>
          </w:p>
        </w:tc>
        <w:tc>
          <w:tcPr>
            <w:tcW w:w="30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26,088</w:t>
            </w:r>
          </w:p>
        </w:tc>
        <w:tc>
          <w:tcPr>
            <w:tcW w:w="16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480" w:type="dxa"/>
            <w:vAlign w:val="bottom"/>
            <w:tcBorders>
              <w:top w:val="single" w:sz="8" w:color="F0FFFF"/>
            </w:tcBorders>
          </w:tcPr>
          <w:p>
            <w:pPr>
              <w:spacing w:after="0"/>
              <w:rPr>
                <w:sz w:val="15"/>
                <w:szCs w:val="15"/>
                <w:color w:val="auto"/>
              </w:rPr>
            </w:pPr>
          </w:p>
        </w:tc>
        <w:tc>
          <w:tcPr>
            <w:tcW w:w="170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6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80" w:type="dxa"/>
            <w:vAlign w:val="bottom"/>
            <w:shd w:val="clear" w:color="auto" w:fill="F0FFFF"/>
          </w:tcPr>
          <w:p>
            <w:pPr>
              <w:spacing w:after="0"/>
              <w:rPr>
                <w:sz w:val="20"/>
                <w:szCs w:val="20"/>
                <w:color w:val="auto"/>
              </w:rPr>
            </w:pPr>
            <w:r>
              <w:rPr>
                <w:rFonts w:ascii="Arial" w:cs="Arial" w:eastAsia="Arial" w:hAnsi="Arial"/>
                <w:sz w:val="16"/>
                <w:szCs w:val="16"/>
                <w:color w:val="auto"/>
              </w:rPr>
              <w:t>Balance as a percentage of unpaid principal</w:t>
            </w:r>
          </w:p>
        </w:tc>
        <w:tc>
          <w:tcPr>
            <w:tcW w:w="17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68.6%</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65.3%</w:t>
            </w: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 Foreclosed Property</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Major classifications of foreclosed properties at September 30, 2014, December 31, 2013 and September 30, 2013 are summarized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58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6"/>
                <w:szCs w:val="16"/>
                <w:b w:val="1"/>
                <w:bCs w:val="1"/>
                <w:color w:val="auto"/>
                <w:w w:val="95"/>
              </w:rPr>
              <w:t>September 30,</w:t>
            </w:r>
          </w:p>
        </w:tc>
        <w:tc>
          <w:tcPr>
            <w:tcW w:w="80" w:type="dxa"/>
            <w:vAlign w:val="bottom"/>
          </w:tcPr>
          <w:p>
            <w:pPr>
              <w:spacing w:after="0"/>
              <w:rPr>
                <w:sz w:val="16"/>
                <w:szCs w:val="16"/>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0"/>
              </w:rPr>
              <w:t>December 31,</w:t>
            </w:r>
          </w:p>
        </w:tc>
        <w:tc>
          <w:tcPr>
            <w:tcW w:w="13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5"/>
              </w:rPr>
              <w:t>September 30,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6"/>
                <w:szCs w:val="16"/>
                <w:color w:val="auto"/>
              </w:rPr>
              <w:t>Commercial real estate</w:t>
            </w:r>
          </w:p>
        </w:tc>
        <w:tc>
          <w:tcPr>
            <w:tcW w:w="2080" w:type="dxa"/>
            <w:vAlign w:val="bottom"/>
            <w:gridSpan w:val="2"/>
            <w:shd w:val="clear" w:color="auto" w:fill="F0FFFF"/>
          </w:tcPr>
          <w:p>
            <w:pPr>
              <w:jc w:val="right"/>
              <w:ind w:right="82"/>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1,350</w:t>
            </w:r>
          </w:p>
        </w:tc>
        <w:tc>
          <w:tcPr>
            <w:tcW w:w="260" w:type="dxa"/>
            <w:vAlign w:val="bottom"/>
            <w:tcBorders>
              <w:right w:val="single" w:sz="8" w:color="F0FFFF"/>
            </w:tcBorders>
            <w:shd w:val="clear" w:color="auto" w:fill="F0FFFF"/>
          </w:tcPr>
          <w:p>
            <w:pPr>
              <w:spacing w:after="0"/>
              <w:rPr>
                <w:sz w:val="16"/>
                <w:szCs w:val="16"/>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1,287</w:t>
            </w:r>
          </w:p>
        </w:tc>
        <w:tc>
          <w:tcPr>
            <w:tcW w:w="260" w:type="dxa"/>
            <w:vAlign w:val="bottom"/>
            <w:tcBorders>
              <w:right w:val="single" w:sz="8" w:color="F0FFFF"/>
            </w:tcBorders>
            <w:shd w:val="clear" w:color="auto" w:fill="F0FFFF"/>
          </w:tcPr>
          <w:p>
            <w:pPr>
              <w:spacing w:after="0"/>
              <w:rPr>
                <w:sz w:val="16"/>
                <w:szCs w:val="16"/>
                <w:color w:val="auto"/>
              </w:rPr>
            </w:pP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1,130</w:t>
            </w:r>
          </w:p>
        </w:tc>
        <w:tc>
          <w:tcPr>
            <w:tcW w:w="160" w:type="dxa"/>
            <w:vAlign w:val="bottom"/>
            <w:shd w:val="clear" w:color="auto" w:fill="F0FF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Commercial construction</w:t>
            </w: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376</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360" w:type="dxa"/>
            <w:vAlign w:val="bottom"/>
            <w:shd w:val="clear" w:color="auto" w:fill="F0FFFF"/>
          </w:tcPr>
          <w:p>
            <w:pPr>
              <w:ind w:left="280"/>
              <w:spacing w:after="0"/>
              <w:rPr>
                <w:sz w:val="20"/>
                <w:szCs w:val="20"/>
                <w:color w:val="auto"/>
              </w:rPr>
            </w:pPr>
            <w:r>
              <w:rPr>
                <w:rFonts w:ascii="Arial" w:cs="Arial" w:eastAsia="Arial" w:hAnsi="Arial"/>
                <w:sz w:val="16"/>
                <w:szCs w:val="16"/>
                <w:color w:val="auto"/>
              </w:rPr>
              <w:t>Total commercial</w:t>
            </w:r>
          </w:p>
        </w:tc>
        <w:tc>
          <w:tcPr>
            <w:tcW w:w="184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88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1,350</w:t>
            </w:r>
          </w:p>
        </w:tc>
        <w:tc>
          <w:tcPr>
            <w:tcW w:w="260" w:type="dxa"/>
            <w:vAlign w:val="bottom"/>
            <w:tcBorders>
              <w:right w:val="single" w:sz="8" w:color="F0FFFF"/>
            </w:tcBorders>
            <w:shd w:val="clear" w:color="auto" w:fill="F0FFFF"/>
          </w:tcPr>
          <w:p>
            <w:pPr>
              <w:spacing w:after="0"/>
              <w:rPr>
                <w:sz w:val="16"/>
                <w:szCs w:val="16"/>
                <w:color w:val="auto"/>
              </w:rPr>
            </w:pPr>
          </w:p>
        </w:tc>
        <w:tc>
          <w:tcPr>
            <w:tcW w:w="80" w:type="dxa"/>
            <w:vAlign w:val="bottom"/>
            <w:tcBorders>
              <w:top w:val="single" w:sz="8" w:color="auto"/>
            </w:tcBorders>
            <w:shd w:val="clear" w:color="auto" w:fill="F0FFFF"/>
          </w:tcPr>
          <w:p>
            <w:pPr>
              <w:spacing w:after="0"/>
              <w:rPr>
                <w:sz w:val="16"/>
                <w:szCs w:val="16"/>
                <w:color w:val="auto"/>
              </w:rPr>
            </w:pPr>
          </w:p>
        </w:tc>
        <w:tc>
          <w:tcPr>
            <w:tcW w:w="106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1,287</w:t>
            </w:r>
          </w:p>
        </w:tc>
        <w:tc>
          <w:tcPr>
            <w:tcW w:w="260" w:type="dxa"/>
            <w:vAlign w:val="bottom"/>
            <w:tcBorders>
              <w:right w:val="single" w:sz="8" w:color="F0FFFF"/>
            </w:tcBorders>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1,506</w:t>
            </w:r>
          </w:p>
        </w:tc>
        <w:tc>
          <w:tcPr>
            <w:tcW w:w="160" w:type="dxa"/>
            <w:vAlign w:val="bottom"/>
            <w:shd w:val="clear" w:color="auto" w:fill="F0FFFF"/>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Residential mortgage</w:t>
            </w: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1,954</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3,380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2,420</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36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184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auto"/>
            </w:tcBorders>
            <w:shd w:val="clear" w:color="auto" w:fill="F0FFFF"/>
          </w:tcPr>
          <w:p>
            <w:pPr>
              <w:spacing w:after="0"/>
              <w:rPr>
                <w:sz w:val="17"/>
                <w:szCs w:val="17"/>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588</w:t>
            </w:r>
          </w:p>
        </w:tc>
        <w:tc>
          <w:tcPr>
            <w:tcW w:w="260" w:type="dxa"/>
            <w:vAlign w:val="bottom"/>
            <w:tcBorders>
              <w:bottom w:val="single" w:sz="8" w:color="F0FFFF"/>
              <w:right w:val="single" w:sz="8" w:color="F0FFFF"/>
            </w:tcBorders>
            <w:shd w:val="clear" w:color="auto" w:fill="F0FFFF"/>
          </w:tcPr>
          <w:p>
            <w:pPr>
              <w:spacing w:after="0"/>
              <w:rPr>
                <w:sz w:val="17"/>
                <w:szCs w:val="17"/>
                <w:color w:val="auto"/>
              </w:rPr>
            </w:pPr>
          </w:p>
        </w:tc>
        <w:tc>
          <w:tcPr>
            <w:tcW w:w="8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736</w:t>
            </w:r>
          </w:p>
        </w:tc>
        <w:tc>
          <w:tcPr>
            <w:tcW w:w="260" w:type="dxa"/>
            <w:vAlign w:val="bottom"/>
            <w:tcBorders>
              <w:bottom w:val="single" w:sz="8" w:color="F0FFFF"/>
              <w:right w:val="single" w:sz="8" w:color="F0FFFF"/>
            </w:tcBorders>
            <w:shd w:val="clear" w:color="auto" w:fill="F0FFFF"/>
          </w:tcPr>
          <w:p>
            <w:pPr>
              <w:spacing w:after="0"/>
              <w:rPr>
                <w:sz w:val="17"/>
                <w:szCs w:val="17"/>
                <w:color w:val="auto"/>
              </w:rPr>
            </w:pPr>
          </w:p>
        </w:tc>
        <w:tc>
          <w:tcPr>
            <w:tcW w:w="240" w:type="dxa"/>
            <w:vAlign w:val="bottom"/>
            <w:tcBorders>
              <w:bottom w:val="single" w:sz="8" w:color="auto"/>
            </w:tcBorders>
            <w:shd w:val="clear" w:color="auto" w:fill="F0FFFF"/>
          </w:tcPr>
          <w:p>
            <w:pPr>
              <w:spacing w:after="0"/>
              <w:rPr>
                <w:sz w:val="17"/>
                <w:szCs w:val="17"/>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1,981</w:t>
            </w:r>
          </w:p>
        </w:tc>
        <w:tc>
          <w:tcPr>
            <w:tcW w:w="160" w:type="dxa"/>
            <w:vAlign w:val="bottom"/>
            <w:tcBorders>
              <w:bottom w:val="single" w:sz="8" w:color="F0FFFF"/>
            </w:tcBorders>
            <w:shd w:val="clear" w:color="auto" w:fill="F0FF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Arial" w:cs="Arial" w:eastAsia="Arial" w:hAnsi="Arial"/>
                <w:sz w:val="16"/>
                <w:szCs w:val="16"/>
                <w:color w:val="auto"/>
              </w:rPr>
              <w:t>Total foreclosed property</w:t>
            </w:r>
          </w:p>
        </w:tc>
        <w:tc>
          <w:tcPr>
            <w:tcW w:w="1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3,892</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5,403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5,907</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4360" w:type="dxa"/>
            <w:vAlign w:val="bottom"/>
            <w:shd w:val="clear" w:color="auto" w:fill="F0FFFF"/>
          </w:tcPr>
          <w:p>
            <w:pPr>
              <w:spacing w:after="0"/>
              <w:rPr>
                <w:sz w:val="20"/>
                <w:szCs w:val="20"/>
                <w:color w:val="auto"/>
              </w:rPr>
            </w:pPr>
            <w:r>
              <w:rPr>
                <w:rFonts w:ascii="Arial" w:cs="Arial" w:eastAsia="Arial" w:hAnsi="Arial"/>
                <w:sz w:val="16"/>
                <w:szCs w:val="16"/>
                <w:color w:val="auto"/>
              </w:rPr>
              <w:t>Less valuation allowance</w:t>
            </w:r>
          </w:p>
        </w:tc>
        <w:tc>
          <w:tcPr>
            <w:tcW w:w="18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(746)</w:t>
            </w:r>
          </w:p>
        </w:tc>
        <w:tc>
          <w:tcPr>
            <w:tcW w:w="80" w:type="dxa"/>
            <w:vAlign w:val="bottom"/>
            <w:shd w:val="clear" w:color="auto" w:fill="F0FFFF"/>
          </w:tcPr>
          <w:p>
            <w:pPr>
              <w:spacing w:after="0"/>
              <w:rPr>
                <w:sz w:val="16"/>
                <w:szCs w:val="16"/>
                <w:color w:val="auto"/>
              </w:rPr>
            </w:pPr>
          </w:p>
        </w:tc>
        <w:tc>
          <w:tcPr>
            <w:tcW w:w="13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(1,182)</w:t>
            </w: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(1,440)</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0" w:type="dxa"/>
            <w:vAlign w:val="bottom"/>
          </w:tcPr>
          <w:p>
            <w:pPr>
              <w:spacing w:after="0"/>
              <w:rPr>
                <w:sz w:val="2"/>
                <w:szCs w:val="2"/>
                <w:color w:val="auto"/>
              </w:rPr>
            </w:pPr>
          </w:p>
        </w:tc>
        <w:tc>
          <w:tcPr>
            <w:tcW w:w="4360" w:type="dxa"/>
            <w:vAlign w:val="bottom"/>
            <w:shd w:val="clear" w:color="auto" w:fill="F0FFFF"/>
          </w:tcPr>
          <w:p>
            <w:pPr>
              <w:spacing w:after="0"/>
              <w:rPr>
                <w:sz w:val="2"/>
                <w:szCs w:val="2"/>
                <w:color w:val="auto"/>
              </w:rPr>
            </w:pPr>
          </w:p>
        </w:tc>
        <w:tc>
          <w:tcPr>
            <w:tcW w:w="18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580" w:type="dxa"/>
            <w:vAlign w:val="bottom"/>
          </w:tcPr>
          <w:p>
            <w:pPr>
              <w:spacing w:after="0"/>
              <w:rPr>
                <w:sz w:val="16"/>
                <w:szCs w:val="16"/>
                <w:color w:val="auto"/>
              </w:rPr>
            </w:pPr>
          </w:p>
        </w:tc>
        <w:tc>
          <w:tcPr>
            <w:tcW w:w="4360" w:type="dxa"/>
            <w:vAlign w:val="bottom"/>
          </w:tcPr>
          <w:p>
            <w:pPr>
              <w:ind w:left="140"/>
              <w:spacing w:after="0"/>
              <w:rPr>
                <w:sz w:val="20"/>
                <w:szCs w:val="20"/>
                <w:color w:val="auto"/>
              </w:rPr>
            </w:pPr>
            <w:r>
              <w:rPr>
                <w:rFonts w:ascii="Arial" w:cs="Arial" w:eastAsia="Arial" w:hAnsi="Arial"/>
                <w:sz w:val="16"/>
                <w:szCs w:val="16"/>
                <w:color w:val="auto"/>
              </w:rPr>
              <w:t>Foreclosed property, net</w:t>
            </w:r>
          </w:p>
        </w:tc>
        <w:tc>
          <w:tcPr>
            <w:tcW w:w="1840" w:type="dxa"/>
            <w:vAlign w:val="bottom"/>
          </w:tcPr>
          <w:p>
            <w:pPr>
              <w:spacing w:after="0"/>
              <w:rPr>
                <w:sz w:val="16"/>
                <w:szCs w:val="16"/>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3,146</w:t>
            </w:r>
          </w:p>
        </w:tc>
        <w:tc>
          <w:tcPr>
            <w:tcW w:w="26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4,221</w:t>
            </w:r>
          </w:p>
        </w:tc>
        <w:tc>
          <w:tcPr>
            <w:tcW w:w="260" w:type="dxa"/>
            <w:vAlign w:val="bottom"/>
          </w:tcPr>
          <w:p>
            <w:pPr>
              <w:spacing w:after="0"/>
              <w:rPr>
                <w:sz w:val="16"/>
                <w:szCs w:val="16"/>
                <w:color w:val="auto"/>
              </w:rPr>
            </w:pP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4,467</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vMerge w:val="restart"/>
          </w:tcPr>
          <w:p>
            <w:pPr>
              <w:spacing w:after="0"/>
              <w:rPr>
                <w:sz w:val="15"/>
                <w:szCs w:val="15"/>
                <w:color w:val="auto"/>
              </w:rPr>
            </w:pPr>
          </w:p>
        </w:tc>
        <w:tc>
          <w:tcPr>
            <w:tcW w:w="4360" w:type="dxa"/>
            <w:vAlign w:val="bottom"/>
            <w:shd w:val="clear" w:color="auto" w:fill="F0FFFF"/>
          </w:tcPr>
          <w:p>
            <w:pPr>
              <w:spacing w:after="0"/>
              <w:rPr>
                <w:sz w:val="15"/>
                <w:szCs w:val="15"/>
                <w:color w:val="auto"/>
              </w:rPr>
            </w:pPr>
          </w:p>
        </w:tc>
        <w:tc>
          <w:tcPr>
            <w:tcW w:w="184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60" w:type="dxa"/>
            <w:vAlign w:val="bottom"/>
            <w:tcBorders>
              <w:right w:val="single" w:sz="8" w:color="F0FFFF"/>
            </w:tcBorders>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60" w:type="dxa"/>
            <w:vAlign w:val="bottom"/>
            <w:tcBorders>
              <w:right w:val="single" w:sz="8" w:color="F0FFFF"/>
            </w:tcBorders>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580" w:type="dxa"/>
            <w:vAlign w:val="bottom"/>
            <w:vMerge w:val="continue"/>
          </w:tcPr>
          <w:p>
            <w:pPr>
              <w:spacing w:after="0"/>
              <w:rPr>
                <w:sz w:val="17"/>
                <w:szCs w:val="17"/>
                <w:color w:val="auto"/>
              </w:rPr>
            </w:pPr>
          </w:p>
        </w:tc>
        <w:tc>
          <w:tcPr>
            <w:tcW w:w="4360" w:type="dxa"/>
            <w:vAlign w:val="bottom"/>
          </w:tcPr>
          <w:p>
            <w:pPr>
              <w:spacing w:after="0"/>
              <w:rPr>
                <w:sz w:val="20"/>
                <w:szCs w:val="20"/>
                <w:color w:val="auto"/>
              </w:rPr>
            </w:pPr>
            <w:r>
              <w:rPr>
                <w:rFonts w:ascii="Arial" w:cs="Arial" w:eastAsia="Arial" w:hAnsi="Arial"/>
                <w:sz w:val="16"/>
                <w:szCs w:val="16"/>
                <w:color w:val="auto"/>
              </w:rPr>
              <w:t>Balance as a percentage of original loan unpaid principal</w:t>
            </w:r>
          </w:p>
        </w:tc>
        <w:tc>
          <w:tcPr>
            <w:tcW w:w="1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54.5%</w:t>
            </w: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44.5%</w:t>
            </w:r>
          </w:p>
        </w:tc>
        <w:tc>
          <w:tcPr>
            <w:tcW w:w="24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41.5%</w:t>
            </w: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4"/>
        </w:trPr>
        <w:tc>
          <w:tcPr>
            <w:tcW w:w="580" w:type="dxa"/>
            <w:vAlign w:val="bottom"/>
            <w:tcBorders>
              <w:bottom w:val="single" w:sz="8" w:color="DCDCDC"/>
            </w:tcBorders>
          </w:tcPr>
          <w:p>
            <w:pPr>
              <w:spacing w:after="0"/>
              <w:rPr>
                <w:sz w:val="24"/>
                <w:szCs w:val="24"/>
                <w:color w:val="auto"/>
              </w:rPr>
            </w:pPr>
          </w:p>
        </w:tc>
        <w:tc>
          <w:tcPr>
            <w:tcW w:w="4360" w:type="dxa"/>
            <w:vAlign w:val="bottom"/>
            <w:tcBorders>
              <w:bottom w:val="single" w:sz="8" w:color="DCDCDC"/>
            </w:tcBorders>
          </w:tcPr>
          <w:p>
            <w:pPr>
              <w:spacing w:after="0"/>
              <w:rPr>
                <w:sz w:val="24"/>
                <w:szCs w:val="24"/>
                <w:color w:val="auto"/>
              </w:rPr>
            </w:pPr>
          </w:p>
        </w:tc>
        <w:tc>
          <w:tcPr>
            <w:tcW w:w="1840" w:type="dxa"/>
            <w:vAlign w:val="bottom"/>
            <w:tcBorders>
              <w:bottom w:val="single" w:sz="8" w:color="DCDCDC"/>
            </w:tcBorders>
          </w:tcPr>
          <w:p>
            <w:pPr>
              <w:jc w:val="right"/>
              <w:ind w:right="899"/>
              <w:spacing w:after="0"/>
              <w:rPr>
                <w:sz w:val="20"/>
                <w:szCs w:val="20"/>
                <w:color w:val="auto"/>
              </w:rPr>
            </w:pPr>
            <w:r>
              <w:rPr>
                <w:rFonts w:ascii="Arial" w:cs="Arial" w:eastAsia="Arial" w:hAnsi="Arial"/>
                <w:sz w:val="16"/>
                <w:szCs w:val="16"/>
                <w:color w:val="auto"/>
              </w:rPr>
              <w:t>24</w:t>
            </w:r>
          </w:p>
        </w:tc>
        <w:tc>
          <w:tcPr>
            <w:tcW w:w="2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38" w:right="21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Activity in the valuation allowance for foreclosed property for the three and nine months ended September 30, 2014 and 2013 is presented in the following table </w:t>
      </w:r>
      <w:r>
        <w:rPr>
          <w:rFonts w:ascii="Arial" w:cs="Arial" w:eastAsia="Arial" w:hAnsi="Arial"/>
          <w:sz w:val="14"/>
          <w:szCs w:val="14"/>
          <w:i w:val="1"/>
          <w:iCs w:val="1"/>
          <w:color w:val="auto"/>
        </w:rPr>
        <w:t>(in thousands)</w:t>
      </w:r>
      <w:r>
        <w:rPr>
          <w:rFonts w:ascii="Arial" w:cs="Arial" w:eastAsia="Arial" w:hAnsi="Arial"/>
          <w:sz w:val="14"/>
          <w:szCs w:val="14"/>
          <w:color w:val="auto"/>
        </w:rPr>
        <w:t>.</w:t>
      </w:r>
    </w:p>
    <w:p>
      <w:pPr>
        <w:spacing w:after="0" w:line="223" w:lineRule="exact"/>
        <w:rPr>
          <w:sz w:val="20"/>
          <w:szCs w:val="20"/>
          <w:color w:val="auto"/>
        </w:rPr>
      </w:pPr>
    </w:p>
    <w:tbl>
      <w:tblPr>
        <w:tblLayout w:type="fixed"/>
        <w:tblInd w:w="1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60" w:type="dxa"/>
            <w:vAlign w:val="bottom"/>
            <w:gridSpan w:val="6"/>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95"/>
              </w:rPr>
              <w:t>2013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820" w:type="dxa"/>
            <w:vAlign w:val="bottom"/>
            <w:shd w:val="clear" w:color="auto" w:fill="F0FFFF"/>
          </w:tcPr>
          <w:p>
            <w:pPr>
              <w:spacing w:after="0"/>
              <w:rPr>
                <w:sz w:val="20"/>
                <w:szCs w:val="20"/>
                <w:color w:val="auto"/>
              </w:rPr>
            </w:pPr>
            <w:r>
              <w:rPr>
                <w:rFonts w:ascii="Arial" w:cs="Arial" w:eastAsia="Arial" w:hAnsi="Arial"/>
                <w:sz w:val="16"/>
                <w:szCs w:val="16"/>
                <w:color w:val="auto"/>
              </w:rPr>
              <w:t>Balance at beginning of period</w:t>
            </w:r>
          </w:p>
        </w:tc>
        <w:tc>
          <w:tcPr>
            <w:tcW w:w="36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F0FFFF"/>
          </w:tcPr>
          <w:p>
            <w:pPr>
              <w:spacing w:after="0"/>
              <w:rPr>
                <w:sz w:val="16"/>
                <w:szCs w:val="16"/>
                <w:color w:val="auto"/>
              </w:rPr>
            </w:pPr>
          </w:p>
        </w:tc>
        <w:tc>
          <w:tcPr>
            <w:tcW w:w="440" w:type="dxa"/>
            <w:vAlign w:val="bottom"/>
            <w:gridSpan w:val="2"/>
            <w:shd w:val="clear" w:color="auto" w:fill="F0FFFF"/>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3,602</w:t>
            </w:r>
          </w:p>
        </w:tc>
        <w:tc>
          <w:tcPr>
            <w:tcW w:w="140" w:type="dxa"/>
            <w:vAlign w:val="bottom"/>
            <w:shd w:val="clear" w:color="auto" w:fill="F0FFFF"/>
          </w:tcPr>
          <w:p>
            <w:pPr>
              <w:spacing w:after="0"/>
              <w:rPr>
                <w:sz w:val="16"/>
                <w:szCs w:val="16"/>
                <w:color w:val="auto"/>
              </w:rPr>
            </w:pPr>
          </w:p>
        </w:tc>
        <w:tc>
          <w:tcPr>
            <w:tcW w:w="32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1,182</w:t>
            </w:r>
          </w:p>
        </w:tc>
        <w:tc>
          <w:tcPr>
            <w:tcW w:w="120" w:type="dxa"/>
            <w:vAlign w:val="bottom"/>
            <w:shd w:val="clear" w:color="auto" w:fill="F0FFFF"/>
          </w:tcPr>
          <w:p>
            <w:pPr>
              <w:spacing w:after="0"/>
              <w:rPr>
                <w:sz w:val="16"/>
                <w:szCs w:val="16"/>
                <w:color w:val="auto"/>
              </w:rPr>
            </w:pPr>
          </w:p>
        </w:tc>
        <w:tc>
          <w:tcPr>
            <w:tcW w:w="48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6,954</w:t>
            </w:r>
          </w:p>
        </w:tc>
        <w:tc>
          <w:tcPr>
            <w:tcW w:w="10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820" w:type="dxa"/>
            <w:vAlign w:val="bottom"/>
          </w:tcPr>
          <w:p>
            <w:pPr>
              <w:spacing w:after="0"/>
              <w:rPr>
                <w:sz w:val="20"/>
                <w:szCs w:val="20"/>
                <w:color w:val="auto"/>
              </w:rPr>
            </w:pPr>
            <w:r>
              <w:rPr>
                <w:rFonts w:ascii="Arial" w:cs="Arial" w:eastAsia="Arial" w:hAnsi="Arial"/>
                <w:sz w:val="16"/>
                <w:szCs w:val="16"/>
                <w:color w:val="auto"/>
              </w:rPr>
              <w:t>Additions charged to expense</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820" w:type="dxa"/>
            <w:vAlign w:val="bottom"/>
            <w:shd w:val="clear" w:color="auto" w:fill="F0FFFF"/>
          </w:tcPr>
          <w:p>
            <w:pPr>
              <w:spacing w:after="0"/>
              <w:rPr>
                <w:sz w:val="20"/>
                <w:szCs w:val="20"/>
                <w:color w:val="auto"/>
              </w:rPr>
            </w:pPr>
            <w:r>
              <w:rPr>
                <w:rFonts w:ascii="Arial" w:cs="Arial" w:eastAsia="Arial" w:hAnsi="Arial"/>
                <w:sz w:val="16"/>
                <w:szCs w:val="16"/>
                <w:color w:val="auto"/>
              </w:rPr>
              <w:t>Disposals</w:t>
            </w:r>
          </w:p>
        </w:tc>
        <w:tc>
          <w:tcPr>
            <w:tcW w:w="120" w:type="dxa"/>
            <w:vAlign w:val="bottom"/>
            <w:tcBorders>
              <w:right w:val="single" w:sz="8" w:color="F0FFFF"/>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(103)</w:t>
            </w:r>
          </w:p>
        </w:tc>
        <w:tc>
          <w:tcPr>
            <w:tcW w:w="80" w:type="dxa"/>
            <w:vAlign w:val="bottom"/>
            <w:shd w:val="clear" w:color="auto" w:fill="F0FFFF"/>
          </w:tcPr>
          <w:p>
            <w:pPr>
              <w:spacing w:after="0"/>
              <w:rPr>
                <w:sz w:val="16"/>
                <w:szCs w:val="16"/>
                <w:color w:val="auto"/>
              </w:rPr>
            </w:pPr>
          </w:p>
        </w:tc>
        <w:tc>
          <w:tcPr>
            <w:tcW w:w="36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(2,491)</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(1,126)</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(8,253)</w:t>
            </w:r>
          </w:p>
        </w:tc>
      </w:tr>
      <w:tr>
        <w:trPr>
          <w:trHeight w:val="24"/>
        </w:trPr>
        <w:tc>
          <w:tcPr>
            <w:tcW w:w="20" w:type="dxa"/>
            <w:vAlign w:val="bottom"/>
          </w:tcPr>
          <w:p>
            <w:pPr>
              <w:spacing w:after="0"/>
              <w:rPr>
                <w:sz w:val="2"/>
                <w:szCs w:val="2"/>
                <w:color w:val="auto"/>
              </w:rPr>
            </w:pPr>
          </w:p>
        </w:tc>
        <w:tc>
          <w:tcPr>
            <w:tcW w:w="5820" w:type="dxa"/>
            <w:vAlign w:val="bottom"/>
            <w:shd w:val="clear" w:color="auto" w:fill="F0FFFF"/>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5820" w:type="dxa"/>
            <w:vAlign w:val="bottom"/>
          </w:tcPr>
          <w:p>
            <w:pPr>
              <w:ind w:left="120"/>
              <w:spacing w:after="0"/>
              <w:rPr>
                <w:sz w:val="20"/>
                <w:szCs w:val="20"/>
                <w:color w:val="auto"/>
              </w:rPr>
            </w:pPr>
            <w:r>
              <w:rPr>
                <w:rFonts w:ascii="Arial" w:cs="Arial" w:eastAsia="Arial" w:hAnsi="Arial"/>
                <w:sz w:val="16"/>
                <w:szCs w:val="16"/>
                <w:color w:val="auto"/>
              </w:rPr>
              <w:t>Balance at end of period</w:t>
            </w: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16"/>
                <w:szCs w:val="16"/>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1,440</w:t>
            </w:r>
          </w:p>
        </w:tc>
        <w:tc>
          <w:tcPr>
            <w:tcW w:w="14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Pr>
          <w:p>
            <w:pPr>
              <w:spacing w:after="0"/>
              <w:rPr>
                <w:sz w:val="16"/>
                <w:szCs w:val="16"/>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1,440</w:t>
            </w:r>
          </w:p>
        </w:tc>
        <w:tc>
          <w:tcPr>
            <w:tcW w:w="1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Expenses related to foreclosed property for the three and nine months ended September 30, 2014 and 2013 is presented in the following table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2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5"/>
          </w:tcPr>
          <w:p>
            <w:pPr>
              <w:jc w:val="right"/>
              <w:ind w:right="16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00" w:type="dxa"/>
            <w:vAlign w:val="bottom"/>
            <w:gridSpan w:val="6"/>
          </w:tcPr>
          <w:p>
            <w:pPr>
              <w:ind w:left="240"/>
              <w:spacing w:after="0"/>
              <w:rPr>
                <w:sz w:val="20"/>
                <w:szCs w:val="20"/>
                <w:color w:val="auto"/>
              </w:rPr>
            </w:pPr>
            <w:r>
              <w:rPr>
                <w:rFonts w:ascii="Arial" w:cs="Arial" w:eastAsia="Arial" w:hAnsi="Arial"/>
                <w:sz w:val="16"/>
                <w:szCs w:val="16"/>
                <w:b w:val="1"/>
                <w:bCs w:val="1"/>
                <w:color w:val="auto"/>
              </w:rPr>
              <w:t>Nine Months Ended</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6"/>
                <w:szCs w:val="16"/>
                <w:b w:val="1"/>
                <w:bCs w:val="1"/>
                <w:color w:val="auto"/>
                <w:w w:val="87"/>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2014</w:t>
            </w:r>
          </w:p>
        </w:tc>
        <w:tc>
          <w:tcPr>
            <w:tcW w:w="4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b w:val="1"/>
                <w:bCs w:val="1"/>
                <w:color w:val="auto"/>
              </w:rPr>
              <w:t>2013</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6"/>
                <w:szCs w:val="16"/>
                <w:color w:val="auto"/>
              </w:rPr>
              <w:t>Net (gain)/loss on sales</w:t>
            </w:r>
          </w:p>
        </w:tc>
        <w:tc>
          <w:tcPr>
            <w:tcW w:w="2620" w:type="dxa"/>
            <w:vAlign w:val="bottom"/>
            <w:gridSpan w:val="3"/>
            <w:shd w:val="clear" w:color="auto" w:fill="F0FFFF"/>
          </w:tcPr>
          <w:p>
            <w:pPr>
              <w:jc w:val="right"/>
              <w:ind w:right="499"/>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(264)</w:t>
            </w:r>
          </w:p>
        </w:tc>
        <w:tc>
          <w:tcPr>
            <w:tcW w:w="820" w:type="dxa"/>
            <w:vAlign w:val="bottom"/>
            <w:gridSpan w:val="2"/>
            <w:shd w:val="clear" w:color="auto" w:fill="F0FFFF"/>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513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(1,208)</w:t>
            </w:r>
          </w:p>
        </w:tc>
        <w:tc>
          <w:tcPr>
            <w:tcW w:w="4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3,563</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3880" w:type="dxa"/>
            <w:vAlign w:val="bottom"/>
          </w:tcPr>
          <w:p>
            <w:pPr>
              <w:spacing w:after="0"/>
              <w:rPr>
                <w:sz w:val="20"/>
                <w:szCs w:val="20"/>
                <w:color w:val="auto"/>
              </w:rPr>
            </w:pPr>
            <w:r>
              <w:rPr>
                <w:rFonts w:ascii="Arial" w:cs="Arial" w:eastAsia="Arial" w:hAnsi="Arial"/>
                <w:sz w:val="16"/>
                <w:szCs w:val="16"/>
                <w:color w:val="auto"/>
              </w:rPr>
              <w:t>Provision for unrealized losses</w:t>
            </w:r>
          </w:p>
        </w:tc>
        <w:tc>
          <w:tcPr>
            <w:tcW w:w="1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329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2,739</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20" w:type="dxa"/>
            <w:vAlign w:val="bottom"/>
          </w:tcPr>
          <w:p>
            <w:pPr>
              <w:spacing w:after="0"/>
              <w:rPr>
                <w:sz w:val="16"/>
                <w:szCs w:val="16"/>
                <w:color w:val="auto"/>
              </w:rPr>
            </w:pPr>
          </w:p>
        </w:tc>
        <w:tc>
          <w:tcPr>
            <w:tcW w:w="3880" w:type="dxa"/>
            <w:vAlign w:val="bottom"/>
            <w:shd w:val="clear" w:color="auto" w:fill="F0FFFF"/>
          </w:tcPr>
          <w:p>
            <w:pPr>
              <w:spacing w:after="0"/>
              <w:rPr>
                <w:sz w:val="20"/>
                <w:szCs w:val="20"/>
                <w:color w:val="auto"/>
              </w:rPr>
            </w:pPr>
            <w:r>
              <w:rPr>
                <w:rFonts w:ascii="Arial" w:cs="Arial" w:eastAsia="Arial" w:hAnsi="Arial"/>
                <w:sz w:val="16"/>
                <w:szCs w:val="16"/>
                <w:color w:val="auto"/>
              </w:rPr>
              <w:t>Operating expenses</w:t>
            </w:r>
          </w:p>
        </w:tc>
        <w:tc>
          <w:tcPr>
            <w:tcW w:w="18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5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441</w:t>
            </w:r>
          </w:p>
        </w:tc>
        <w:tc>
          <w:tcPr>
            <w:tcW w:w="100" w:type="dxa"/>
            <w:vAlign w:val="bottom"/>
            <w:shd w:val="clear" w:color="auto" w:fill="F0FFFF"/>
          </w:tcPr>
          <w:p>
            <w:pPr>
              <w:spacing w:after="0"/>
              <w:rPr>
                <w:sz w:val="16"/>
                <w:szCs w:val="16"/>
                <w:color w:val="auto"/>
              </w:rPr>
            </w:pPr>
          </w:p>
        </w:tc>
        <w:tc>
          <w:tcPr>
            <w:tcW w:w="720" w:type="dxa"/>
            <w:vAlign w:val="bottom"/>
            <w:shd w:val="clear" w:color="auto" w:fill="F0FFFF"/>
          </w:tcPr>
          <w:p>
            <w:pPr>
              <w:spacing w:after="0"/>
              <w:rPr>
                <w:sz w:val="16"/>
                <w:szCs w:val="16"/>
                <w:color w:val="auto"/>
              </w:rPr>
            </w:pPr>
          </w:p>
        </w:tc>
        <w:tc>
          <w:tcPr>
            <w:tcW w:w="4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(648)</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1,021</w:t>
            </w:r>
          </w:p>
        </w:tc>
        <w:tc>
          <w:tcPr>
            <w:tcW w:w="1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1,376</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20" w:type="dxa"/>
            <w:vAlign w:val="bottom"/>
          </w:tcPr>
          <w:p>
            <w:pPr>
              <w:spacing w:after="0"/>
              <w:rPr>
                <w:sz w:val="2"/>
                <w:szCs w:val="2"/>
                <w:color w:val="auto"/>
              </w:rPr>
            </w:pPr>
          </w:p>
        </w:tc>
        <w:tc>
          <w:tcPr>
            <w:tcW w:w="3880" w:type="dxa"/>
            <w:vAlign w:val="bottom"/>
            <w:shd w:val="clear" w:color="auto" w:fill="F0FFFF"/>
          </w:tcPr>
          <w:p>
            <w:pPr>
              <w:spacing w:after="0"/>
              <w:rPr>
                <w:sz w:val="2"/>
                <w:szCs w:val="2"/>
                <w:color w:val="auto"/>
              </w:rPr>
            </w:pPr>
          </w:p>
        </w:tc>
        <w:tc>
          <w:tcPr>
            <w:tcW w:w="18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20" w:type="dxa"/>
            <w:vAlign w:val="bottom"/>
          </w:tcPr>
          <w:p>
            <w:pPr>
              <w:spacing w:after="0"/>
              <w:rPr>
                <w:sz w:val="16"/>
                <w:szCs w:val="16"/>
                <w:color w:val="auto"/>
              </w:rPr>
            </w:pPr>
          </w:p>
        </w:tc>
        <w:tc>
          <w:tcPr>
            <w:tcW w:w="3880" w:type="dxa"/>
            <w:vAlign w:val="bottom"/>
          </w:tcPr>
          <w:p>
            <w:pPr>
              <w:ind w:left="160"/>
              <w:spacing w:after="0"/>
              <w:rPr>
                <w:sz w:val="20"/>
                <w:szCs w:val="20"/>
                <w:color w:val="auto"/>
              </w:rPr>
            </w:pPr>
            <w:r>
              <w:rPr>
                <w:rFonts w:ascii="Arial" w:cs="Arial" w:eastAsia="Arial" w:hAnsi="Arial"/>
                <w:sz w:val="16"/>
                <w:szCs w:val="16"/>
                <w:color w:val="auto"/>
              </w:rPr>
              <w:t>Total foreclosed property expense</w:t>
            </w:r>
          </w:p>
        </w:tc>
        <w:tc>
          <w:tcPr>
            <w:tcW w:w="2620" w:type="dxa"/>
            <w:vAlign w:val="bottom"/>
            <w:gridSpan w:val="3"/>
          </w:tcPr>
          <w:p>
            <w:pPr>
              <w:jc w:val="right"/>
              <w:ind w:right="499"/>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285</w:t>
            </w:r>
          </w:p>
        </w:tc>
        <w:tc>
          <w:tcPr>
            <w:tcW w:w="82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00"/>
              <w:spacing w:after="0"/>
              <w:rPr>
                <w:sz w:val="20"/>
                <w:szCs w:val="20"/>
                <w:color w:val="auto"/>
              </w:rPr>
            </w:pPr>
            <w:r>
              <w:rPr>
                <w:rFonts w:ascii="Arial" w:cs="Arial" w:eastAsia="Arial" w:hAnsi="Arial"/>
                <w:sz w:val="16"/>
                <w:szCs w:val="16"/>
                <w:color w:val="auto"/>
              </w:rPr>
              <w:t>194</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503</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6"/>
                <w:szCs w:val="16"/>
                <w:color w:val="auto"/>
              </w:rPr>
              <w:t>7,678</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40" w:type="dxa"/>
            <w:vAlign w:val="bottom"/>
            <w:vMerge w:val="restart"/>
          </w:tcPr>
          <w:p>
            <w:pPr>
              <w:jc w:val="right"/>
              <w:ind w:right="5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3"/>
        </w:trPr>
        <w:tc>
          <w:tcPr>
            <w:tcW w:w="220" w:type="dxa"/>
            <w:vAlign w:val="bottom"/>
            <w:tcBorders>
              <w:bottom w:val="single" w:sz="8" w:color="DCDCDC"/>
            </w:tcBorders>
          </w:tcPr>
          <w:p>
            <w:pPr>
              <w:spacing w:after="0"/>
              <w:rPr>
                <w:sz w:val="24"/>
                <w:szCs w:val="24"/>
                <w:color w:val="auto"/>
              </w:rPr>
            </w:pPr>
          </w:p>
        </w:tc>
        <w:tc>
          <w:tcPr>
            <w:tcW w:w="3880" w:type="dxa"/>
            <w:vAlign w:val="bottom"/>
            <w:tcBorders>
              <w:bottom w:val="single" w:sz="8" w:color="DCDCDC"/>
            </w:tcBorders>
          </w:tcPr>
          <w:p>
            <w:pPr>
              <w:spacing w:after="0"/>
              <w:rPr>
                <w:sz w:val="24"/>
                <w:szCs w:val="24"/>
                <w:color w:val="auto"/>
              </w:rPr>
            </w:pPr>
          </w:p>
        </w:tc>
        <w:tc>
          <w:tcPr>
            <w:tcW w:w="184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660" w:type="dxa"/>
            <w:vAlign w:val="bottom"/>
            <w:tcBorders>
              <w:bottom w:val="single" w:sz="8" w:color="DCDCDC"/>
            </w:tcBorders>
          </w:tcPr>
          <w:p>
            <w:pPr>
              <w:spacing w:after="0"/>
              <w:rPr>
                <w:sz w:val="24"/>
                <w:szCs w:val="24"/>
                <w:color w:val="auto"/>
              </w:rPr>
            </w:pPr>
          </w:p>
        </w:tc>
        <w:tc>
          <w:tcPr>
            <w:tcW w:w="4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720" w:type="dxa"/>
            <w:vAlign w:val="bottom"/>
            <w:tcBorders>
              <w:bottom w:val="single" w:sz="8" w:color="DCDCDC"/>
            </w:tcBorders>
          </w:tcPr>
          <w:p>
            <w:pPr>
              <w:spacing w:after="0"/>
              <w:rPr>
                <w:sz w:val="24"/>
                <w:szCs w:val="24"/>
                <w:color w:val="auto"/>
              </w:rPr>
            </w:pPr>
          </w:p>
        </w:tc>
        <w:tc>
          <w:tcPr>
            <w:tcW w:w="3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7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38" w:right="219" w:bottom="1440" w:gutter="0" w:footer="0" w:header="0"/>
        </w:sectPr>
      </w:pPr>
    </w:p>
    <w:bookmarkStart w:id="25" w:name="page26"/>
    <w:bookmarkEnd w:id="25"/>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 Reclassifications Out of Accumulated Other Comprehensive Income</w:t>
      </w:r>
    </w:p>
    <w:p>
      <w:pPr>
        <w:spacing w:after="0" w:line="2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following table presents the details regarding amounts reclassified out of accumulated other comprehensive income for the three and nine months ended September 30, 2014 and 2013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gridSpan w:val="11"/>
          </w:tcPr>
          <w:p>
            <w:pPr>
              <w:jc w:val="right"/>
              <w:ind w:right="20"/>
              <w:spacing w:after="0"/>
              <w:rPr>
                <w:sz w:val="20"/>
                <w:szCs w:val="20"/>
                <w:color w:val="auto"/>
              </w:rPr>
            </w:pPr>
            <w:r>
              <w:rPr>
                <w:rFonts w:ascii="Arial" w:cs="Arial" w:eastAsia="Arial" w:hAnsi="Arial"/>
                <w:sz w:val="16"/>
                <w:szCs w:val="16"/>
                <w:b w:val="1"/>
                <w:bCs w:val="1"/>
                <w:color w:val="auto"/>
              </w:rPr>
              <w:t>Amounts Reclassified from Accumulated Other</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6"/>
                <w:szCs w:val="16"/>
                <w:b w:val="1"/>
                <w:bCs w:val="1"/>
                <w:color w:val="auto"/>
                <w:w w:val="97"/>
              </w:rPr>
              <w:t>Comprehensive Income</w:t>
            </w: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80" w:type="dxa"/>
            <w:vAlign w:val="bottom"/>
            <w:gridSpan w:val="5"/>
          </w:tcPr>
          <w:p>
            <w:pPr>
              <w:jc w:val="right"/>
              <w:ind w:right="340"/>
              <w:spacing w:after="0" w:line="178" w:lineRule="exact"/>
              <w:rPr>
                <w:sz w:val="20"/>
                <w:szCs w:val="20"/>
                <w:color w:val="auto"/>
              </w:rPr>
            </w:pPr>
            <w:r>
              <w:rPr>
                <w:rFonts w:ascii="Arial" w:cs="Arial" w:eastAsia="Arial" w:hAnsi="Arial"/>
                <w:sz w:val="16"/>
                <w:szCs w:val="16"/>
                <w:b w:val="1"/>
                <w:bCs w:val="1"/>
                <w:color w:val="auto"/>
                <w:w w:val="90"/>
              </w:rPr>
              <w:t>For the three months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5"/>
          </w:tcPr>
          <w:p>
            <w:pPr>
              <w:jc w:val="right"/>
              <w:ind w:right="179"/>
              <w:spacing w:after="0" w:line="178" w:lineRule="exact"/>
              <w:rPr>
                <w:sz w:val="20"/>
                <w:szCs w:val="20"/>
                <w:color w:val="auto"/>
              </w:rPr>
            </w:pPr>
            <w:r>
              <w:rPr>
                <w:rFonts w:ascii="Arial" w:cs="Arial" w:eastAsia="Arial" w:hAnsi="Arial"/>
                <w:sz w:val="16"/>
                <w:szCs w:val="16"/>
                <w:b w:val="1"/>
                <w:bCs w:val="1"/>
                <w:color w:val="auto"/>
                <w:w w:val="90"/>
              </w:rPr>
              <w:t>For the nine months ended</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20" w:type="dxa"/>
            <w:vAlign w:val="bottom"/>
          </w:tcPr>
          <w:p>
            <w:pPr>
              <w:ind w:left="600"/>
              <w:spacing w:after="0"/>
              <w:rPr>
                <w:sz w:val="20"/>
                <w:szCs w:val="20"/>
                <w:color w:val="auto"/>
              </w:rPr>
            </w:pPr>
            <w:r>
              <w:rPr>
                <w:rFonts w:ascii="Arial" w:cs="Arial" w:eastAsia="Arial" w:hAnsi="Arial"/>
                <w:sz w:val="16"/>
                <w:szCs w:val="16"/>
                <w:b w:val="1"/>
                <w:bCs w:val="1"/>
                <w:color w:val="auto"/>
              </w:rPr>
              <w:t>Details about Accumulated 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8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gridSpan w:val="6"/>
          </w:tcPr>
          <w:p>
            <w:pPr>
              <w:jc w:val="right"/>
              <w:ind w:right="720"/>
              <w:spacing w:after="0"/>
              <w:rPr>
                <w:sz w:val="20"/>
                <w:szCs w:val="20"/>
                <w:color w:val="auto"/>
              </w:rPr>
            </w:pPr>
            <w:r>
              <w:rPr>
                <w:rFonts w:ascii="Arial" w:cs="Arial" w:eastAsia="Arial" w:hAnsi="Arial"/>
                <w:sz w:val="16"/>
                <w:szCs w:val="16"/>
                <w:b w:val="1"/>
                <w:bCs w:val="1"/>
                <w:color w:val="auto"/>
              </w:rPr>
              <w:t>September 30,</w:t>
            </w:r>
          </w:p>
        </w:tc>
        <w:tc>
          <w:tcPr>
            <w:tcW w:w="40" w:type="dxa"/>
            <w:vAlign w:val="bottom"/>
          </w:tcPr>
          <w:p>
            <w:pPr>
              <w:spacing w:after="0"/>
              <w:rPr>
                <w:sz w:val="18"/>
                <w:szCs w:val="18"/>
                <w:color w:val="auto"/>
              </w:rPr>
            </w:pPr>
          </w:p>
        </w:tc>
        <w:tc>
          <w:tcPr>
            <w:tcW w:w="2960" w:type="dxa"/>
            <w:vAlign w:val="bottom"/>
          </w:tcPr>
          <w:p>
            <w:pPr>
              <w:jc w:val="center"/>
              <w:spacing w:after="0"/>
              <w:rPr>
                <w:sz w:val="20"/>
                <w:szCs w:val="20"/>
                <w:color w:val="auto"/>
              </w:rPr>
            </w:pPr>
            <w:r>
              <w:rPr>
                <w:rFonts w:ascii="Arial" w:cs="Arial" w:eastAsia="Arial" w:hAnsi="Arial"/>
                <w:sz w:val="16"/>
                <w:szCs w:val="16"/>
                <w:b w:val="1"/>
                <w:bCs w:val="1"/>
                <w:color w:val="auto"/>
                <w:w w:val="91"/>
              </w:rPr>
              <w:t>Affected Line Item in the Statement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rPr>
              <w:t>Comprehensive Income Components</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5"/>
              </w:rPr>
              <w:t>2013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Where Net Income is Presented</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20" w:type="dxa"/>
            <w:vAlign w:val="bottom"/>
            <w:shd w:val="clear" w:color="auto" w:fill="F0FFFF"/>
          </w:tcPr>
          <w:p>
            <w:pPr>
              <w:spacing w:after="0"/>
              <w:rPr>
                <w:sz w:val="20"/>
                <w:szCs w:val="20"/>
                <w:color w:val="auto"/>
              </w:rPr>
            </w:pPr>
            <w:r>
              <w:rPr>
                <w:rFonts w:ascii="Arial" w:cs="Arial" w:eastAsia="Arial" w:hAnsi="Arial"/>
                <w:sz w:val="16"/>
                <w:szCs w:val="16"/>
                <w:color w:val="auto"/>
                <w:w w:val="89"/>
              </w:rPr>
              <w:t>Realized gains on sales of available-for-sale securities:</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29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4,663</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116</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Securities gains, net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w:t>
            </w:r>
          </w:p>
        </w:tc>
        <w:tc>
          <w:tcPr>
            <w:tcW w:w="20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(1,821)</w:t>
            </w:r>
          </w:p>
        </w:tc>
        <w:tc>
          <w:tcPr>
            <w:tcW w:w="8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(45)</w:t>
            </w:r>
          </w:p>
        </w:tc>
        <w:tc>
          <w:tcPr>
            <w:tcW w:w="3000" w:type="dxa"/>
            <w:vAlign w:val="bottom"/>
            <w:gridSpan w:val="2"/>
            <w:shd w:val="clear" w:color="auto" w:fill="F0FFFF"/>
          </w:tcPr>
          <w:p>
            <w:pPr>
              <w:ind w:left="40"/>
              <w:spacing w:after="0"/>
              <w:rPr>
                <w:sz w:val="20"/>
                <w:szCs w:val="20"/>
                <w:color w:val="auto"/>
              </w:rPr>
            </w:pPr>
            <w:r>
              <w:rPr>
                <w:rFonts w:ascii="Arial" w:cs="Arial" w:eastAsia="Arial" w:hAnsi="Arial"/>
                <w:sz w:val="16"/>
                <w:szCs w:val="16"/>
                <w:color w:val="auto"/>
              </w:rPr>
              <w:t>Tax expense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5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29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2,842</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71</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620" w:type="dxa"/>
            <w:vAlign w:val="bottom"/>
            <w:gridSpan w:val="2"/>
            <w:shd w:val="clear" w:color="auto" w:fill="F0FFFF"/>
          </w:tcPr>
          <w:p>
            <w:pPr>
              <w:spacing w:after="0"/>
              <w:rPr>
                <w:sz w:val="15"/>
                <w:szCs w:val="15"/>
                <w:color w:val="auto"/>
              </w:rPr>
            </w:pPr>
          </w:p>
        </w:tc>
        <w:tc>
          <w:tcPr>
            <w:tcW w:w="1020" w:type="dxa"/>
            <w:vAlign w:val="bottom"/>
            <w:gridSpan w:val="2"/>
            <w:shd w:val="clear" w:color="auto" w:fill="F0FFFF"/>
          </w:tcPr>
          <w:p>
            <w:pPr>
              <w:spacing w:after="0"/>
              <w:rPr>
                <w:sz w:val="15"/>
                <w:szCs w:val="15"/>
                <w:color w:val="auto"/>
              </w:rPr>
            </w:pPr>
          </w:p>
        </w:tc>
        <w:tc>
          <w:tcPr>
            <w:tcW w:w="1220" w:type="dxa"/>
            <w:vAlign w:val="bottom"/>
            <w:gridSpan w:val="3"/>
            <w:shd w:val="clear" w:color="auto" w:fill="F0FFFF"/>
          </w:tcPr>
          <w:p>
            <w:pPr>
              <w:spacing w:after="0"/>
              <w:rPr>
                <w:sz w:val="15"/>
                <w:szCs w:val="15"/>
                <w:color w:val="auto"/>
              </w:rPr>
            </w:pPr>
          </w:p>
        </w:tc>
        <w:tc>
          <w:tcPr>
            <w:tcW w:w="220" w:type="dxa"/>
            <w:vAlign w:val="bottom"/>
            <w:gridSpan w:val="2"/>
            <w:shd w:val="clear" w:color="auto" w:fill="F0FFFF"/>
          </w:tcPr>
          <w:p>
            <w:pPr>
              <w:spacing w:after="0"/>
              <w:rPr>
                <w:sz w:val="15"/>
                <w:szCs w:val="15"/>
                <w:color w:val="auto"/>
              </w:rPr>
            </w:pPr>
          </w:p>
        </w:tc>
        <w:tc>
          <w:tcPr>
            <w:tcW w:w="1020" w:type="dxa"/>
            <w:vAlign w:val="bottom"/>
            <w:gridSpan w:val="2"/>
            <w:shd w:val="clear" w:color="auto" w:fill="F0FFFF"/>
          </w:tcPr>
          <w:p>
            <w:pPr>
              <w:spacing w:after="0"/>
              <w:rPr>
                <w:sz w:val="15"/>
                <w:szCs w:val="15"/>
                <w:color w:val="auto"/>
              </w:rPr>
            </w:pPr>
          </w:p>
        </w:tc>
        <w:tc>
          <w:tcPr>
            <w:tcW w:w="220" w:type="dxa"/>
            <w:vAlign w:val="bottom"/>
            <w:gridSpan w:val="2"/>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29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640" w:type="dxa"/>
            <w:vAlign w:val="bottom"/>
            <w:gridSpan w:val="14"/>
          </w:tcPr>
          <w:p>
            <w:pPr>
              <w:spacing w:after="0"/>
              <w:rPr>
                <w:sz w:val="20"/>
                <w:szCs w:val="20"/>
                <w:color w:val="auto"/>
              </w:rPr>
            </w:pPr>
            <w:r>
              <w:rPr>
                <w:rFonts w:ascii="Arial" w:cs="Arial" w:eastAsia="Arial" w:hAnsi="Arial"/>
                <w:sz w:val="16"/>
                <w:szCs w:val="16"/>
                <w:color w:val="auto"/>
                <w:w w:val="93"/>
              </w:rPr>
              <w:t>Amortization of (losses) gains included in net income on available-for-sale securities transferred to held to maturity:</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F0FFFF"/>
          </w:tcPr>
          <w:p>
            <w:pPr>
              <w:spacing w:after="0"/>
              <w:rPr>
                <w:sz w:val="16"/>
                <w:szCs w:val="16"/>
                <w:color w:val="auto"/>
              </w:rPr>
            </w:pPr>
          </w:p>
        </w:tc>
        <w:tc>
          <w:tcPr>
            <w:tcW w:w="20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(468)</w:t>
            </w:r>
          </w:p>
        </w:tc>
        <w:tc>
          <w:tcPr>
            <w:tcW w:w="200" w:type="dxa"/>
            <w:vAlign w:val="bottom"/>
            <w:shd w:val="clear" w:color="auto" w:fill="F0FF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214</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(1,207)</w:t>
            </w:r>
          </w:p>
        </w:tc>
        <w:tc>
          <w:tcPr>
            <w:tcW w:w="4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803</w:t>
            </w:r>
          </w:p>
        </w:tc>
        <w:tc>
          <w:tcPr>
            <w:tcW w:w="3000" w:type="dxa"/>
            <w:vAlign w:val="bottom"/>
            <w:gridSpan w:val="2"/>
            <w:shd w:val="clear" w:color="auto" w:fill="F0FFFF"/>
          </w:tcPr>
          <w:p>
            <w:pPr>
              <w:ind w:left="40"/>
              <w:spacing w:after="0"/>
              <w:rPr>
                <w:sz w:val="20"/>
                <w:szCs w:val="20"/>
                <w:color w:val="auto"/>
              </w:rPr>
            </w:pPr>
            <w:r>
              <w:rPr>
                <w:rFonts w:ascii="Arial" w:cs="Arial" w:eastAsia="Arial" w:hAnsi="Arial"/>
                <w:sz w:val="16"/>
                <w:szCs w:val="16"/>
                <w:color w:val="auto"/>
              </w:rPr>
              <w:t>Investment securities interest revenue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176</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453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(310)</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Tax benefit (expense)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(292)</w:t>
            </w:r>
          </w:p>
        </w:tc>
        <w:tc>
          <w:tcPr>
            <w:tcW w:w="200" w:type="dxa"/>
            <w:vAlign w:val="bottom"/>
            <w:shd w:val="clear" w:color="auto" w:fill="F0FFFF"/>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131</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(754)</w:t>
            </w:r>
          </w:p>
        </w:tc>
        <w:tc>
          <w:tcPr>
            <w:tcW w:w="4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493</w:t>
            </w:r>
          </w:p>
        </w:tc>
        <w:tc>
          <w:tcPr>
            <w:tcW w:w="3000" w:type="dxa"/>
            <w:vAlign w:val="bottom"/>
            <w:gridSpan w:val="2"/>
            <w:shd w:val="clear" w:color="auto" w:fill="F0FFFF"/>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20" w:type="dxa"/>
            <w:vAlign w:val="bottom"/>
            <w:tcBorders>
              <w:top w:val="single" w:sz="8" w:color="F0FFFF"/>
            </w:tcBorders>
            <w:gridSpan w:val="2"/>
          </w:tcPr>
          <w:p>
            <w:pPr>
              <w:spacing w:after="0"/>
              <w:rPr>
                <w:sz w:val="15"/>
                <w:szCs w:val="15"/>
                <w:color w:val="auto"/>
              </w:rPr>
            </w:pPr>
          </w:p>
        </w:tc>
        <w:tc>
          <w:tcPr>
            <w:tcW w:w="102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00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F0FFFF"/>
            </w:tcBorders>
            <w:gridSpan w:val="2"/>
          </w:tcPr>
          <w:p>
            <w:pPr>
              <w:spacing w:after="0"/>
              <w:rPr>
                <w:sz w:val="15"/>
                <w:szCs w:val="15"/>
                <w:color w:val="auto"/>
              </w:rPr>
            </w:pPr>
          </w:p>
        </w:tc>
        <w:tc>
          <w:tcPr>
            <w:tcW w:w="1020" w:type="dxa"/>
            <w:vAlign w:val="bottom"/>
            <w:tcBorders>
              <w:top w:val="single" w:sz="8" w:color="auto"/>
            </w:tcBorders>
            <w:gridSpan w:val="2"/>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40" w:type="dxa"/>
            <w:vAlign w:val="bottom"/>
            <w:tcBorders>
              <w:top w:val="single" w:sz="8" w:color="F0FFFF"/>
            </w:tcBorders>
          </w:tcPr>
          <w:p>
            <w:pPr>
              <w:spacing w:after="0"/>
              <w:rPr>
                <w:sz w:val="15"/>
                <w:szCs w:val="15"/>
                <w:color w:val="auto"/>
              </w:rPr>
            </w:pPr>
          </w:p>
        </w:tc>
        <w:tc>
          <w:tcPr>
            <w:tcW w:w="296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7240" w:type="dxa"/>
            <w:vAlign w:val="bottom"/>
            <w:gridSpan w:val="12"/>
            <w:shd w:val="clear" w:color="auto" w:fill="F0FFFF"/>
          </w:tcPr>
          <w:p>
            <w:pPr>
              <w:spacing w:after="0"/>
              <w:rPr>
                <w:sz w:val="20"/>
                <w:szCs w:val="20"/>
                <w:color w:val="auto"/>
              </w:rPr>
            </w:pPr>
            <w:r>
              <w:rPr>
                <w:rFonts w:ascii="Arial" w:cs="Arial" w:eastAsia="Arial" w:hAnsi="Arial"/>
                <w:sz w:val="16"/>
                <w:szCs w:val="16"/>
                <w:color w:val="auto"/>
                <w:w w:val="99"/>
              </w:rPr>
              <w:t>Amounts included in net income on derivative financial instruments accounted for as cash flow hedges:</w:t>
            </w:r>
          </w:p>
        </w:tc>
        <w:tc>
          <w:tcPr>
            <w:tcW w:w="8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40" w:type="dxa"/>
            <w:vAlign w:val="bottom"/>
            <w:shd w:val="clear" w:color="auto" w:fill="F0FFFF"/>
          </w:tcPr>
          <w:p>
            <w:pPr>
              <w:spacing w:after="0"/>
              <w:rPr>
                <w:sz w:val="16"/>
                <w:szCs w:val="16"/>
                <w:color w:val="auto"/>
              </w:rPr>
            </w:pPr>
          </w:p>
        </w:tc>
        <w:tc>
          <w:tcPr>
            <w:tcW w:w="29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ind w:left="120"/>
              <w:spacing w:after="0"/>
              <w:rPr>
                <w:sz w:val="20"/>
                <w:szCs w:val="20"/>
                <w:color w:val="auto"/>
              </w:rPr>
            </w:pPr>
            <w:r>
              <w:rPr>
                <w:rFonts w:ascii="Arial" w:cs="Arial" w:eastAsia="Arial" w:hAnsi="Arial"/>
                <w:sz w:val="16"/>
                <w:szCs w:val="16"/>
                <w:color w:val="auto"/>
              </w:rPr>
              <w:t>Effective portion of interest rate contracts</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850</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Loan interest revenue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F0FFFF"/>
          </w:tcPr>
          <w:p>
            <w:pPr>
              <w:ind w:left="120"/>
              <w:spacing w:after="0"/>
              <w:rPr>
                <w:sz w:val="20"/>
                <w:szCs w:val="20"/>
                <w:color w:val="auto"/>
              </w:rPr>
            </w:pPr>
            <w:r>
              <w:rPr>
                <w:rFonts w:ascii="Arial" w:cs="Arial" w:eastAsia="Arial" w:hAnsi="Arial"/>
                <w:sz w:val="16"/>
                <w:szCs w:val="16"/>
                <w:color w:val="auto"/>
              </w:rPr>
              <w:t>Ineffective portion of interest rate contracts</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6"/>
                <w:szCs w:val="16"/>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48</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52</w:t>
            </w:r>
          </w:p>
        </w:tc>
        <w:tc>
          <w:tcPr>
            <w:tcW w:w="3000" w:type="dxa"/>
            <w:vAlign w:val="bottom"/>
            <w:gridSpan w:val="2"/>
            <w:shd w:val="clear" w:color="auto" w:fill="F0FFFF"/>
          </w:tcPr>
          <w:p>
            <w:pPr>
              <w:ind w:left="40"/>
              <w:spacing w:after="0"/>
              <w:rPr>
                <w:sz w:val="20"/>
                <w:szCs w:val="20"/>
                <w:color w:val="auto"/>
              </w:rPr>
            </w:pPr>
            <w:r>
              <w:rPr>
                <w:rFonts w:ascii="Arial" w:cs="Arial" w:eastAsia="Arial" w:hAnsi="Arial"/>
                <w:sz w:val="16"/>
                <w:szCs w:val="16"/>
                <w:color w:val="auto"/>
              </w:rPr>
              <w:t>Loan interest revenue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ind w:left="120"/>
              <w:spacing w:after="0"/>
              <w:rPr>
                <w:sz w:val="20"/>
                <w:szCs w:val="20"/>
                <w:color w:val="auto"/>
              </w:rPr>
            </w:pPr>
            <w:r>
              <w:rPr>
                <w:rFonts w:ascii="Arial" w:cs="Arial" w:eastAsia="Arial" w:hAnsi="Arial"/>
                <w:sz w:val="16"/>
                <w:szCs w:val="16"/>
                <w:color w:val="auto"/>
              </w:rPr>
              <w:t>Effective portion of interest rate contracts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(317)</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(764)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Brokered deposit interest expense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F0FFFF"/>
          </w:tcPr>
          <w:p>
            <w:pPr>
              <w:ind w:left="120"/>
              <w:spacing w:after="0"/>
              <w:rPr>
                <w:sz w:val="20"/>
                <w:szCs w:val="20"/>
                <w:color w:val="auto"/>
              </w:rPr>
            </w:pPr>
            <w:r>
              <w:rPr>
                <w:rFonts w:ascii="Arial" w:cs="Arial" w:eastAsia="Arial" w:hAnsi="Arial"/>
                <w:sz w:val="16"/>
                <w:szCs w:val="16"/>
                <w:color w:val="auto"/>
                <w:w w:val="95"/>
              </w:rPr>
              <w:t>Amortization of losses on de-designated positions</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(81)</w:t>
            </w:r>
          </w:p>
        </w:tc>
        <w:tc>
          <w:tcPr>
            <w:tcW w:w="20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(105)</w:t>
            </w:r>
          </w:p>
        </w:tc>
        <w:tc>
          <w:tcPr>
            <w:tcW w:w="8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w:t>
            </w:r>
          </w:p>
        </w:tc>
        <w:tc>
          <w:tcPr>
            <w:tcW w:w="3000" w:type="dxa"/>
            <w:vAlign w:val="bottom"/>
            <w:gridSpan w:val="2"/>
            <w:shd w:val="clear" w:color="auto" w:fill="F0FFFF"/>
          </w:tcPr>
          <w:p>
            <w:pPr>
              <w:ind w:left="40"/>
              <w:spacing w:after="0"/>
              <w:rPr>
                <w:sz w:val="20"/>
                <w:szCs w:val="20"/>
                <w:color w:val="auto"/>
              </w:rPr>
            </w:pPr>
            <w:r>
              <w:rPr>
                <w:rFonts w:ascii="Arial" w:cs="Arial" w:eastAsia="Arial" w:hAnsi="Arial"/>
                <w:sz w:val="16"/>
                <w:szCs w:val="16"/>
                <w:color w:val="auto"/>
              </w:rPr>
              <w:t>Money market deposit interest expense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ind w:left="120"/>
              <w:spacing w:after="0"/>
              <w:rPr>
                <w:sz w:val="20"/>
                <w:szCs w:val="20"/>
                <w:color w:val="auto"/>
              </w:rPr>
            </w:pPr>
            <w:r>
              <w:rPr>
                <w:rFonts w:ascii="Arial" w:cs="Arial" w:eastAsia="Arial" w:hAnsi="Arial"/>
                <w:sz w:val="16"/>
                <w:szCs w:val="16"/>
                <w:color w:val="auto"/>
                <w:w w:val="95"/>
              </w:rPr>
              <w:t>Amortization of losses on de-designated positions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(313)</w:t>
            </w:r>
          </w:p>
        </w:tc>
        <w:tc>
          <w:tcPr>
            <w:tcW w:w="20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(512)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Brokered deposit interest expense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(711)</w:t>
            </w:r>
          </w:p>
        </w:tc>
        <w:tc>
          <w:tcPr>
            <w:tcW w:w="200" w:type="dxa"/>
            <w:vAlign w:val="bottom"/>
            <w:shd w:val="clear" w:color="auto" w:fill="F0FFFF"/>
          </w:tcPr>
          <w:p>
            <w:pPr>
              <w:spacing w:after="0"/>
              <w:rPr>
                <w:sz w:val="16"/>
                <w:szCs w:val="16"/>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58</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(1,381)</w:t>
            </w:r>
          </w:p>
        </w:tc>
        <w:tc>
          <w:tcPr>
            <w:tcW w:w="8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902</w:t>
            </w:r>
          </w:p>
        </w:tc>
        <w:tc>
          <w:tcPr>
            <w:tcW w:w="3000" w:type="dxa"/>
            <w:vAlign w:val="bottom"/>
            <w:gridSpan w:val="2"/>
            <w:shd w:val="clear" w:color="auto" w:fill="F0FFFF"/>
          </w:tcPr>
          <w:p>
            <w:pPr>
              <w:ind w:left="4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538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(351)</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Tax or benefit (expense)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520" w:type="dxa"/>
            <w:vAlign w:val="bottom"/>
            <w:shd w:val="clear" w:color="auto" w:fill="F0FFFF"/>
          </w:tcPr>
          <w:p>
            <w:pPr>
              <w:spacing w:after="0"/>
              <w:rPr>
                <w:sz w:val="20"/>
                <w:szCs w:val="20"/>
                <w:color w:val="auto"/>
              </w:rPr>
            </w:pPr>
          </w:p>
        </w:tc>
        <w:tc>
          <w:tcPr>
            <w:tcW w:w="100" w:type="dxa"/>
            <w:vAlign w:val="bottom"/>
            <w:shd w:val="clear" w:color="auto" w:fill="F0FFFF"/>
          </w:tcPr>
          <w:p>
            <w:pPr>
              <w:spacing w:after="0"/>
              <w:rPr>
                <w:sz w:val="20"/>
                <w:szCs w:val="20"/>
                <w:color w:val="auto"/>
              </w:rPr>
            </w:pP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(434)</w:t>
            </w:r>
          </w:p>
        </w:tc>
        <w:tc>
          <w:tcPr>
            <w:tcW w:w="200" w:type="dxa"/>
            <w:vAlign w:val="bottom"/>
            <w:shd w:val="clear" w:color="auto" w:fill="F0FF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w:t>
            </w:r>
          </w:p>
        </w:tc>
        <w:tc>
          <w:tcPr>
            <w:tcW w:w="140" w:type="dxa"/>
            <w:vAlign w:val="bottom"/>
            <w:shd w:val="clear" w:color="auto" w:fill="F0FFFF"/>
          </w:tcPr>
          <w:p>
            <w:pPr>
              <w:spacing w:after="0"/>
              <w:rPr>
                <w:sz w:val="20"/>
                <w:szCs w:val="20"/>
                <w:color w:val="auto"/>
              </w:rPr>
            </w:pP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(843)</w:t>
            </w:r>
          </w:p>
        </w:tc>
        <w:tc>
          <w:tcPr>
            <w:tcW w:w="4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551</w:t>
            </w:r>
          </w:p>
        </w:tc>
        <w:tc>
          <w:tcPr>
            <w:tcW w:w="3000" w:type="dxa"/>
            <w:vAlign w:val="bottom"/>
            <w:gridSpan w:val="2"/>
            <w:shd w:val="clear" w:color="auto" w:fill="F0FFFF"/>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620" w:type="dxa"/>
            <w:vAlign w:val="bottom"/>
            <w:tcBorders>
              <w:top w:val="single" w:sz="8" w:color="F0FFFF"/>
            </w:tcBorders>
            <w:gridSpan w:val="2"/>
          </w:tcPr>
          <w:p>
            <w:pPr>
              <w:spacing w:after="0"/>
              <w:rPr>
                <w:sz w:val="15"/>
                <w:szCs w:val="15"/>
                <w:color w:val="auto"/>
              </w:rPr>
            </w:pPr>
          </w:p>
        </w:tc>
        <w:tc>
          <w:tcPr>
            <w:tcW w:w="102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00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F0FFFF"/>
            </w:tcBorders>
            <w:gridSpan w:val="2"/>
          </w:tcPr>
          <w:p>
            <w:pPr>
              <w:spacing w:after="0"/>
              <w:rPr>
                <w:sz w:val="15"/>
                <w:szCs w:val="15"/>
                <w:color w:val="auto"/>
              </w:rPr>
            </w:pPr>
          </w:p>
        </w:tc>
        <w:tc>
          <w:tcPr>
            <w:tcW w:w="1020" w:type="dxa"/>
            <w:vAlign w:val="bottom"/>
            <w:tcBorders>
              <w:top w:val="single" w:sz="8" w:color="auto"/>
            </w:tcBorders>
            <w:gridSpan w:val="2"/>
          </w:tcPr>
          <w:p>
            <w:pPr>
              <w:spacing w:after="0"/>
              <w:rPr>
                <w:sz w:val="15"/>
                <w:szCs w:val="15"/>
                <w:color w:val="auto"/>
              </w:rPr>
            </w:pPr>
          </w:p>
        </w:tc>
        <w:tc>
          <w:tcPr>
            <w:tcW w:w="220" w:type="dxa"/>
            <w:vAlign w:val="bottom"/>
            <w:tcBorders>
              <w:top w:val="single" w:sz="8" w:color="F0FFFF"/>
            </w:tcBorders>
            <w:gridSpan w:val="2"/>
          </w:tcPr>
          <w:p>
            <w:pPr>
              <w:spacing w:after="0"/>
              <w:rPr>
                <w:sz w:val="15"/>
                <w:szCs w:val="15"/>
                <w:color w:val="auto"/>
              </w:rPr>
            </w:pPr>
          </w:p>
        </w:tc>
        <w:tc>
          <w:tcPr>
            <w:tcW w:w="1020" w:type="dxa"/>
            <w:vAlign w:val="bottom"/>
            <w:tcBorders>
              <w:top w:val="single" w:sz="8" w:color="auto"/>
            </w:tcBorders>
            <w:gridSpan w:val="2"/>
          </w:tcPr>
          <w:p>
            <w:pPr>
              <w:spacing w:after="0"/>
              <w:rPr>
                <w:sz w:val="15"/>
                <w:szCs w:val="15"/>
                <w:color w:val="auto"/>
              </w:rPr>
            </w:pPr>
          </w:p>
        </w:tc>
        <w:tc>
          <w:tcPr>
            <w:tcW w:w="80" w:type="dxa"/>
            <w:vAlign w:val="bottom"/>
            <w:tcBorders>
              <w:top w:val="single" w:sz="8" w:color="F0FFFF"/>
            </w:tcBorders>
          </w:tcPr>
          <w:p>
            <w:pPr>
              <w:spacing w:after="0"/>
              <w:rPr>
                <w:sz w:val="15"/>
                <w:szCs w:val="15"/>
                <w:color w:val="auto"/>
              </w:rPr>
            </w:pPr>
          </w:p>
        </w:tc>
        <w:tc>
          <w:tcPr>
            <w:tcW w:w="40" w:type="dxa"/>
            <w:vAlign w:val="bottom"/>
            <w:tcBorders>
              <w:top w:val="single" w:sz="8" w:color="F0FFFF"/>
            </w:tcBorders>
          </w:tcPr>
          <w:p>
            <w:pPr>
              <w:spacing w:after="0"/>
              <w:rPr>
                <w:sz w:val="15"/>
                <w:szCs w:val="15"/>
                <w:color w:val="auto"/>
              </w:rPr>
            </w:pPr>
          </w:p>
        </w:tc>
        <w:tc>
          <w:tcPr>
            <w:tcW w:w="296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8420" w:type="dxa"/>
            <w:vAlign w:val="bottom"/>
            <w:gridSpan w:val="16"/>
            <w:shd w:val="clear" w:color="auto" w:fill="F0FFFF"/>
          </w:tcPr>
          <w:p>
            <w:pPr>
              <w:spacing w:after="0"/>
              <w:rPr>
                <w:sz w:val="20"/>
                <w:szCs w:val="20"/>
                <w:color w:val="auto"/>
              </w:rPr>
            </w:pPr>
            <w:r>
              <w:rPr>
                <w:rFonts w:ascii="Arial" w:cs="Arial" w:eastAsia="Arial" w:hAnsi="Arial"/>
                <w:sz w:val="16"/>
                <w:szCs w:val="16"/>
                <w:color w:val="auto"/>
                <w:w w:val="96"/>
              </w:rPr>
              <w:t>Amortization of prior service cost and actuarial losses included in net periodic pension cost for defined benefit pension plan</w:t>
            </w:r>
          </w:p>
        </w:tc>
        <w:tc>
          <w:tcPr>
            <w:tcW w:w="40" w:type="dxa"/>
            <w:vAlign w:val="bottom"/>
            <w:shd w:val="clear" w:color="auto" w:fill="F0FFFF"/>
          </w:tcPr>
          <w:p>
            <w:pPr>
              <w:spacing w:after="0"/>
              <w:rPr>
                <w:sz w:val="16"/>
                <w:szCs w:val="16"/>
                <w:color w:val="auto"/>
              </w:rPr>
            </w:pPr>
          </w:p>
        </w:tc>
        <w:tc>
          <w:tcPr>
            <w:tcW w:w="29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ind w:left="120"/>
              <w:spacing w:after="0"/>
              <w:rPr>
                <w:sz w:val="20"/>
                <w:szCs w:val="20"/>
                <w:color w:val="auto"/>
              </w:rPr>
            </w:pPr>
            <w:r>
              <w:rPr>
                <w:rFonts w:ascii="Arial" w:cs="Arial" w:eastAsia="Arial" w:hAnsi="Arial"/>
                <w:sz w:val="16"/>
                <w:szCs w:val="16"/>
                <w:color w:val="auto"/>
              </w:rPr>
              <w:t>Prior service cost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(91)</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(274)</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(273)</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Salaries and employee benefits expense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Actuarial losses</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(42)</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(126)</w:t>
            </w:r>
          </w:p>
        </w:tc>
        <w:tc>
          <w:tcPr>
            <w:tcW w:w="3000" w:type="dxa"/>
            <w:vAlign w:val="bottom"/>
            <w:gridSpan w:val="2"/>
            <w:shd w:val="clear" w:color="auto" w:fill="F0FFFF"/>
          </w:tcPr>
          <w:p>
            <w:pPr>
              <w:ind w:left="40"/>
              <w:spacing w:after="0"/>
              <w:rPr>
                <w:sz w:val="20"/>
                <w:szCs w:val="20"/>
                <w:color w:val="auto"/>
              </w:rPr>
            </w:pPr>
            <w:r>
              <w:rPr>
                <w:rFonts w:ascii="Arial" w:cs="Arial" w:eastAsia="Arial" w:hAnsi="Arial"/>
                <w:sz w:val="16"/>
                <w:szCs w:val="16"/>
                <w:color w:val="auto"/>
              </w:rPr>
              <w:t>Salaries and employee benefits expense</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5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29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(91)</w:t>
            </w:r>
          </w:p>
        </w:tc>
        <w:tc>
          <w:tcPr>
            <w:tcW w:w="200" w:type="dxa"/>
            <w:vAlign w:val="bottom"/>
          </w:tcPr>
          <w:p>
            <w:pPr>
              <w:spacing w:after="0"/>
              <w:rPr>
                <w:sz w:val="16"/>
                <w:szCs w:val="16"/>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(133)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(274)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(399)</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Total before tax</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w:t>
            </w:r>
          </w:p>
        </w:tc>
        <w:tc>
          <w:tcPr>
            <w:tcW w:w="2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107</w:t>
            </w:r>
          </w:p>
        </w:tc>
        <w:tc>
          <w:tcPr>
            <w:tcW w:w="8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155</w:t>
            </w:r>
          </w:p>
        </w:tc>
        <w:tc>
          <w:tcPr>
            <w:tcW w:w="3000" w:type="dxa"/>
            <w:vAlign w:val="bottom"/>
            <w:gridSpan w:val="2"/>
            <w:shd w:val="clear" w:color="auto" w:fill="F0FFFF"/>
          </w:tcPr>
          <w:p>
            <w:pPr>
              <w:ind w:left="40"/>
              <w:spacing w:after="0"/>
              <w:rPr>
                <w:sz w:val="20"/>
                <w:szCs w:val="20"/>
                <w:color w:val="auto"/>
              </w:rPr>
            </w:pPr>
            <w:r>
              <w:rPr>
                <w:rFonts w:ascii="Arial" w:cs="Arial" w:eastAsia="Arial" w:hAnsi="Arial"/>
                <w:sz w:val="16"/>
                <w:szCs w:val="16"/>
                <w:color w:val="auto"/>
              </w:rPr>
              <w:t>Tax benefit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5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40" w:type="dxa"/>
            <w:vAlign w:val="bottom"/>
            <w:shd w:val="clear" w:color="auto" w:fill="F0FFFF"/>
          </w:tcPr>
          <w:p>
            <w:pPr>
              <w:spacing w:after="0"/>
              <w:rPr>
                <w:sz w:val="2"/>
                <w:szCs w:val="2"/>
                <w:color w:val="auto"/>
              </w:rPr>
            </w:pPr>
          </w:p>
        </w:tc>
        <w:tc>
          <w:tcPr>
            <w:tcW w:w="29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(55)</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(81)</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(167)</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(244)</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5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29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520" w:type="dxa"/>
            <w:vAlign w:val="bottom"/>
          </w:tcPr>
          <w:p>
            <w:pPr>
              <w:spacing w:after="0"/>
              <w:rPr>
                <w:sz w:val="20"/>
                <w:szCs w:val="20"/>
                <w:color w:val="auto"/>
              </w:rPr>
            </w:pPr>
            <w:r>
              <w:rPr>
                <w:rFonts w:ascii="Arial" w:cs="Arial" w:eastAsia="Arial" w:hAnsi="Arial"/>
                <w:sz w:val="16"/>
                <w:szCs w:val="16"/>
                <w:color w:val="auto"/>
              </w:rPr>
              <w:t>Total reclassifications for the period</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(774)</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w:t>
            </w:r>
          </w:p>
        </w:tc>
        <w:tc>
          <w:tcPr>
            <w:tcW w:w="140" w:type="dxa"/>
            <w:vAlign w:val="bottom"/>
          </w:tcPr>
          <w:p>
            <w:pPr>
              <w:spacing w:after="0"/>
              <w:rPr>
                <w:sz w:val="16"/>
                <w:szCs w:val="16"/>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1,078</w:t>
            </w: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871</w:t>
            </w:r>
          </w:p>
        </w:tc>
        <w:tc>
          <w:tcPr>
            <w:tcW w:w="3000" w:type="dxa"/>
            <w:vAlign w:val="bottom"/>
            <w:gridSpan w:val="2"/>
          </w:tcPr>
          <w:p>
            <w:pPr>
              <w:ind w:left="40"/>
              <w:spacing w:after="0"/>
              <w:rPr>
                <w:sz w:val="20"/>
                <w:szCs w:val="20"/>
                <w:color w:val="auto"/>
              </w:rPr>
            </w:pPr>
            <w:r>
              <w:rPr>
                <w:rFonts w:ascii="Arial" w:cs="Arial" w:eastAsia="Arial" w:hAnsi="Arial"/>
                <w:sz w:val="16"/>
                <w:szCs w:val="16"/>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5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40" w:type="dxa"/>
            <w:vAlign w:val="bottom"/>
            <w:shd w:val="clear" w:color="auto" w:fill="F0FFFF"/>
          </w:tcPr>
          <w:p>
            <w:pPr>
              <w:spacing w:after="0"/>
              <w:rPr>
                <w:sz w:val="15"/>
                <w:szCs w:val="15"/>
                <w:color w:val="auto"/>
              </w:rPr>
            </w:pPr>
          </w:p>
        </w:tc>
        <w:tc>
          <w:tcPr>
            <w:tcW w:w="29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3520" w:type="dxa"/>
            <w:vAlign w:val="bottom"/>
          </w:tcPr>
          <w:p>
            <w:pPr>
              <w:spacing w:after="0"/>
              <w:rPr>
                <w:sz w:val="20"/>
                <w:szCs w:val="20"/>
                <w:color w:val="auto"/>
              </w:rPr>
            </w:pPr>
            <w:r>
              <w:rPr>
                <w:rFonts w:ascii="Arial" w:cs="Arial" w:eastAsia="Arial" w:hAnsi="Arial"/>
                <w:sz w:val="16"/>
                <w:szCs w:val="16"/>
                <w:color w:val="auto"/>
                <w:w w:val="89"/>
              </w:rPr>
              <w:t>Amounts shown above in parentheses reduce earnings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5"/>
        </w:trPr>
        <w:tc>
          <w:tcPr>
            <w:tcW w:w="3540" w:type="dxa"/>
            <w:vAlign w:val="bottom"/>
            <w:gridSpan w:val="2"/>
          </w:tcPr>
          <w:p>
            <w:pPr>
              <w:spacing w:after="0"/>
              <w:rPr>
                <w:sz w:val="20"/>
                <w:szCs w:val="20"/>
                <w:color w:val="auto"/>
              </w:rPr>
            </w:pPr>
            <w:r>
              <w:rPr>
                <w:rFonts w:ascii="Arial" w:cs="Arial" w:eastAsia="Arial" w:hAnsi="Arial"/>
                <w:sz w:val="16"/>
                <w:szCs w:val="16"/>
                <w:b w:val="1"/>
                <w:bCs w:val="1"/>
                <w:color w:val="auto"/>
              </w:rPr>
              <w:t>Note 9 – Earnings Per Share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169"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During the three and nine months ended September 30, 2014 and 2013, United accrued dividends on preferred stock, including accretion of discounts, as shown in the following table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1" w:lineRule="exact"/>
        <w:rPr>
          <w:sz w:val="20"/>
          <w:szCs w:val="20"/>
          <w:color w:val="auto"/>
        </w:rPr>
      </w:pPr>
    </w:p>
    <w:tbl>
      <w:tblPr>
        <w:tblLayout w:type="fixed"/>
        <w:tblInd w:w="58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gridSpan w:val="4"/>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3"/>
              </w:rPr>
              <w:t>Nine Months Ended</w:t>
            </w:r>
          </w:p>
        </w:tc>
      </w:tr>
      <w:tr>
        <w:trPr>
          <w:trHeight w:val="215"/>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4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1"/>
              </w:rPr>
              <w:t>September 30,</w:t>
            </w:r>
          </w:p>
        </w:tc>
      </w:tr>
      <w:tr>
        <w:trPr>
          <w:trHeight w:val="198"/>
        </w:trPr>
        <w:tc>
          <w:tcPr>
            <w:tcW w:w="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2014</w:t>
            </w:r>
          </w:p>
        </w:tc>
        <w:tc>
          <w:tcPr>
            <w:tcW w:w="2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gridSpan w:val="2"/>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2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2014</w:t>
            </w:r>
          </w:p>
        </w:tc>
        <w:tc>
          <w:tcPr>
            <w:tcW w:w="20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400" w:type="dxa"/>
            <w:vAlign w:val="bottom"/>
            <w:shd w:val="clear" w:color="auto" w:fill="F0FFFF"/>
          </w:tcPr>
          <w:p>
            <w:pPr>
              <w:spacing w:after="0"/>
              <w:rPr>
                <w:sz w:val="20"/>
                <w:szCs w:val="20"/>
                <w:color w:val="auto"/>
              </w:rPr>
            </w:pPr>
            <w:r>
              <w:rPr>
                <w:rFonts w:ascii="Arial" w:cs="Arial" w:eastAsia="Arial" w:hAnsi="Arial"/>
                <w:sz w:val="16"/>
                <w:szCs w:val="16"/>
                <w:color w:val="auto"/>
              </w:rPr>
              <w:t>Series A - 6% fixed</w:t>
            </w:r>
          </w:p>
        </w:tc>
        <w:tc>
          <w:tcPr>
            <w:tcW w:w="760" w:type="dxa"/>
            <w:vAlign w:val="bottom"/>
            <w:gridSpan w:val="2"/>
            <w:shd w:val="clear" w:color="auto" w:fill="F0FFFF"/>
          </w:tcPr>
          <w:p>
            <w:pPr>
              <w:jc w:val="right"/>
              <w:ind w:right="599"/>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F0FFFF"/>
          </w:tcPr>
          <w:p>
            <w:pPr>
              <w:ind w:left="80"/>
              <w:spacing w:after="0"/>
              <w:rPr>
                <w:sz w:val="20"/>
                <w:szCs w:val="20"/>
                <w:color w:val="auto"/>
              </w:rPr>
            </w:pPr>
            <w:r>
              <w:rPr>
                <w:rFonts w:ascii="Arial" w:cs="Arial" w:eastAsia="Arial" w:hAnsi="Arial"/>
                <w:sz w:val="16"/>
                <w:szCs w:val="16"/>
                <w:color w:val="auto"/>
                <w:w w:val="99"/>
              </w:rPr>
              <w:t>—</w:t>
            </w:r>
          </w:p>
        </w:tc>
        <w:tc>
          <w:tcPr>
            <w:tcW w:w="840" w:type="dxa"/>
            <w:vAlign w:val="bottom"/>
            <w:gridSpan w:val="2"/>
            <w:shd w:val="clear" w:color="auto" w:fill="F0FFFF"/>
          </w:tcPr>
          <w:p>
            <w:pPr>
              <w:jc w:val="right"/>
              <w:ind w:right="459"/>
              <w:spacing w:after="0"/>
              <w:rPr>
                <w:sz w:val="20"/>
                <w:szCs w:val="20"/>
                <w:color w:val="auto"/>
              </w:rPr>
            </w:pPr>
            <w:r>
              <w:rPr>
                <w:rFonts w:ascii="Arial" w:cs="Arial" w:eastAsia="Arial" w:hAnsi="Arial"/>
                <w:sz w:val="16"/>
                <w:szCs w:val="16"/>
                <w:color w:val="auto"/>
              </w:rPr>
              <w:t>$</w:t>
            </w:r>
          </w:p>
        </w:tc>
        <w:tc>
          <w:tcPr>
            <w:tcW w:w="4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6"/>
                <w:szCs w:val="16"/>
                <w:color w:val="auto"/>
              </w:rPr>
              <w:t>Series B - 5% fixed until December 6, 2013, 9% thereafter</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ind w:left="80"/>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89"/>
              </w:rPr>
              <w:t>2,641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7,907</w:t>
            </w:r>
          </w:p>
        </w:tc>
        <w:tc>
          <w:tcPr>
            <w:tcW w:w="120" w:type="dxa"/>
            <w:vAlign w:val="bottom"/>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54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Series D - LIBOR plus 9.6875%, resets quarterly</w:t>
            </w:r>
          </w:p>
        </w:tc>
        <w:tc>
          <w:tcPr>
            <w:tcW w:w="20" w:type="dxa"/>
            <w:vAlign w:val="bottom"/>
            <w:tcBorders>
              <w:bottom w:val="single" w:sz="8" w:color="F0FFFF"/>
            </w:tcBorders>
            <w:shd w:val="clear" w:color="auto" w:fill="F0FFFF"/>
          </w:tcPr>
          <w:p>
            <w:pPr>
              <w:spacing w:after="0"/>
              <w:rPr>
                <w:sz w:val="17"/>
                <w:szCs w:val="17"/>
                <w:color w:val="auto"/>
              </w:rPr>
            </w:pPr>
          </w:p>
        </w:tc>
        <w:tc>
          <w:tcPr>
            <w:tcW w:w="740" w:type="dxa"/>
            <w:vAlign w:val="bottom"/>
            <w:tcBorders>
              <w:bottom w:val="single" w:sz="8" w:color="auto"/>
            </w:tcBorders>
            <w:shd w:val="clear" w:color="auto" w:fill="F0FFFF"/>
          </w:tcPr>
          <w:p>
            <w:pPr>
              <w:spacing w:after="0"/>
              <w:rPr>
                <w:sz w:val="17"/>
                <w:szCs w:val="17"/>
                <w:color w:val="auto"/>
              </w:rPr>
            </w:pPr>
          </w:p>
        </w:tc>
        <w:tc>
          <w:tcPr>
            <w:tcW w:w="260" w:type="dxa"/>
            <w:vAlign w:val="bottom"/>
            <w:tcBorders>
              <w:bottom w:val="single" w:sz="8" w:color="auto"/>
            </w:tcBorders>
            <w:shd w:val="clear" w:color="auto" w:fill="F0FFFF"/>
          </w:tcPr>
          <w:p>
            <w:pPr>
              <w:ind w:left="80"/>
              <w:spacing w:after="0"/>
              <w:rPr>
                <w:sz w:val="20"/>
                <w:szCs w:val="20"/>
                <w:color w:val="auto"/>
              </w:rPr>
            </w:pPr>
            <w:r>
              <w:rPr>
                <w:rFonts w:ascii="Arial" w:cs="Arial" w:eastAsia="Arial" w:hAnsi="Arial"/>
                <w:sz w:val="16"/>
                <w:szCs w:val="16"/>
                <w:color w:val="auto"/>
                <w:w w:val="99"/>
              </w:rPr>
              <w:t>—</w:t>
            </w:r>
          </w:p>
        </w:tc>
        <w:tc>
          <w:tcPr>
            <w:tcW w:w="220" w:type="dxa"/>
            <w:vAlign w:val="bottom"/>
            <w:tcBorders>
              <w:bottom w:val="single" w:sz="8" w:color="F0FFFF"/>
            </w:tcBorders>
            <w:shd w:val="clear" w:color="auto" w:fill="F0FFFF"/>
          </w:tcPr>
          <w:p>
            <w:pPr>
              <w:spacing w:after="0"/>
              <w:rPr>
                <w:sz w:val="17"/>
                <w:szCs w:val="17"/>
                <w:color w:val="auto"/>
              </w:rPr>
            </w:pPr>
          </w:p>
        </w:tc>
        <w:tc>
          <w:tcPr>
            <w:tcW w:w="620" w:type="dxa"/>
            <w:vAlign w:val="bottom"/>
            <w:tcBorders>
              <w:bottom w:val="single" w:sz="8" w:color="auto"/>
            </w:tcBorders>
            <w:shd w:val="clear" w:color="auto" w:fill="F0FFFF"/>
          </w:tcPr>
          <w:p>
            <w:pPr>
              <w:spacing w:after="0"/>
              <w:rPr>
                <w:sz w:val="17"/>
                <w:szCs w:val="17"/>
                <w:color w:val="auto"/>
              </w:rPr>
            </w:pPr>
          </w:p>
        </w:tc>
        <w:tc>
          <w:tcPr>
            <w:tcW w:w="4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415</w:t>
            </w:r>
          </w:p>
        </w:tc>
        <w:tc>
          <w:tcPr>
            <w:tcW w:w="22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auto"/>
            </w:tcBorders>
            <w:shd w:val="clear" w:color="auto" w:fill="F0FFFF"/>
          </w:tcPr>
          <w:p>
            <w:pPr>
              <w:spacing w:after="0"/>
              <w:rPr>
                <w:sz w:val="17"/>
                <w:szCs w:val="17"/>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280</w:t>
            </w:r>
          </w:p>
        </w:tc>
        <w:tc>
          <w:tcPr>
            <w:tcW w:w="20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auto"/>
            </w:tcBorders>
            <w:shd w:val="clear" w:color="auto" w:fill="F0FFFF"/>
          </w:tcPr>
          <w:p>
            <w:pPr>
              <w:spacing w:after="0"/>
              <w:rPr>
                <w:sz w:val="17"/>
                <w:szCs w:val="17"/>
                <w:color w:val="auto"/>
              </w:rPr>
            </w:pPr>
          </w:p>
        </w:tc>
        <w:tc>
          <w:tcPr>
            <w:tcW w:w="82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1,250</w:t>
            </w:r>
          </w:p>
        </w:tc>
        <w:tc>
          <w:tcPr>
            <w:tcW w:w="120" w:type="dxa"/>
            <w:vAlign w:val="bottom"/>
            <w:tcBorders>
              <w:bottom w:val="single" w:sz="8" w:color="F0FFFF"/>
            </w:tcBorders>
            <w:shd w:val="clear" w:color="auto" w:fill="F0FFFF"/>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5400" w:type="dxa"/>
            <w:vAlign w:val="bottom"/>
          </w:tcPr>
          <w:p>
            <w:pPr>
              <w:ind w:left="120"/>
              <w:spacing w:after="0"/>
              <w:rPr>
                <w:sz w:val="20"/>
                <w:szCs w:val="20"/>
                <w:color w:val="auto"/>
              </w:rPr>
            </w:pPr>
            <w:r>
              <w:rPr>
                <w:rFonts w:ascii="Arial" w:cs="Arial" w:eastAsia="Arial" w:hAnsi="Arial"/>
                <w:sz w:val="16"/>
                <w:szCs w:val="16"/>
                <w:color w:val="auto"/>
              </w:rPr>
              <w:t>Total preferred stock dividends</w:t>
            </w:r>
          </w:p>
        </w:tc>
        <w:tc>
          <w:tcPr>
            <w:tcW w:w="760" w:type="dxa"/>
            <w:vAlign w:val="bottom"/>
            <w:gridSpan w:val="2"/>
          </w:tcPr>
          <w:p>
            <w:pPr>
              <w:jc w:val="right"/>
              <w:ind w:right="599"/>
              <w:spacing w:after="0"/>
              <w:rPr>
                <w:sz w:val="20"/>
                <w:szCs w:val="20"/>
                <w:color w:val="auto"/>
              </w:rPr>
            </w:pPr>
            <w:r>
              <w:rPr>
                <w:rFonts w:ascii="Arial" w:cs="Arial" w:eastAsia="Arial" w:hAnsi="Arial"/>
                <w:sz w:val="15"/>
                <w:szCs w:val="15"/>
                <w:color w:val="auto"/>
                <w:w w:val="71"/>
              </w:rPr>
              <w:t>$</w:t>
            </w:r>
          </w:p>
        </w:tc>
        <w:tc>
          <w:tcPr>
            <w:tcW w:w="260" w:type="dxa"/>
            <w:vAlign w:val="bottom"/>
          </w:tcPr>
          <w:p>
            <w:pPr>
              <w:ind w:left="80"/>
              <w:spacing w:after="0"/>
              <w:rPr>
                <w:sz w:val="20"/>
                <w:szCs w:val="20"/>
                <w:color w:val="auto"/>
              </w:rPr>
            </w:pPr>
            <w:r>
              <w:rPr>
                <w:rFonts w:ascii="Arial" w:cs="Arial" w:eastAsia="Arial" w:hAnsi="Arial"/>
                <w:sz w:val="16"/>
                <w:szCs w:val="16"/>
                <w:color w:val="auto"/>
                <w:w w:val="99"/>
              </w:rPr>
              <w:t>—</w:t>
            </w:r>
          </w:p>
        </w:tc>
        <w:tc>
          <w:tcPr>
            <w:tcW w:w="840" w:type="dxa"/>
            <w:vAlign w:val="bottom"/>
            <w:gridSpan w:val="2"/>
          </w:tcPr>
          <w:p>
            <w:pPr>
              <w:jc w:val="right"/>
              <w:ind w:right="459"/>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89"/>
              </w:rPr>
              <w:t>3,059</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439</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9,166</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Series B preferred stock was issued at a discount. Dividend amounts shown include discount accretion for each period.</w:t>
      </w:r>
    </w:p>
    <w:p>
      <w:pPr>
        <w:spacing w:after="0" w:line="22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The preferred stock dividends were subtracted from net income in order to arrive at net income available to common shareholders. All of United’s preferred stock was redeemed during the fourth quarter of 2013 and the first quarter of 2014.</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following table sets forth the computation of basic and diluted earnings per share for the three and nine months ended September 30, 2014 and 2013 </w:t>
      </w:r>
      <w:r>
        <w:rPr>
          <w:rFonts w:ascii="Arial" w:cs="Arial" w:eastAsia="Arial" w:hAnsi="Arial"/>
          <w:sz w:val="16"/>
          <w:szCs w:val="16"/>
          <w:i w:val="1"/>
          <w:iCs w:val="1"/>
          <w:color w:val="auto"/>
        </w:rPr>
        <w:t>(in thousands, except</w:t>
      </w:r>
      <w:r>
        <w:rPr>
          <w:rFonts w:ascii="Arial" w:cs="Arial" w:eastAsia="Arial" w:hAnsi="Arial"/>
          <w:sz w:val="16"/>
          <w:szCs w:val="16"/>
          <w:color w:val="auto"/>
        </w:rPr>
        <w:t xml:space="preserve"> </w:t>
      </w:r>
      <w:r>
        <w:rPr>
          <w:rFonts w:ascii="Arial" w:cs="Arial" w:eastAsia="Arial" w:hAnsi="Arial"/>
          <w:sz w:val="16"/>
          <w:szCs w:val="16"/>
          <w:i w:val="1"/>
          <w:iCs w:val="1"/>
          <w:color w:val="auto"/>
        </w:rPr>
        <w:t>per share data)</w:t>
      </w:r>
      <w:r>
        <w:rPr>
          <w:rFonts w:ascii="Arial" w:cs="Arial" w:eastAsia="Arial" w:hAnsi="Arial"/>
          <w:sz w:val="16"/>
          <w:szCs w:val="16"/>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2360" w:type="dxa"/>
            <w:vAlign w:val="bottom"/>
            <w:gridSpan w:val="6"/>
          </w:tcPr>
          <w:p>
            <w:pPr>
              <w:jc w:val="right"/>
              <w:ind w:right="6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89"/>
              </w:rPr>
              <w:t>2013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6"/>
                <w:szCs w:val="16"/>
                <w:color w:val="auto"/>
              </w:rPr>
              <w:t>Net income available to common shareholders</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17,616</w:t>
            </w:r>
          </w:p>
        </w:tc>
        <w:tc>
          <w:tcPr>
            <w:tcW w:w="520" w:type="dxa"/>
            <w:vAlign w:val="bottom"/>
            <w:gridSpan w:val="2"/>
            <w:shd w:val="clear" w:color="auto" w:fill="F0FFFF"/>
          </w:tcPr>
          <w:p>
            <w:pPr>
              <w:jc w:val="right"/>
              <w:ind w:right="24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12,441</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48,934</w:t>
            </w:r>
          </w:p>
        </w:tc>
        <w:tc>
          <w:tcPr>
            <w:tcW w:w="50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248,063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606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06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60,776</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59,100</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60,511</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58,443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Effect of dilutive securities</w:t>
            </w: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tcPr>
          <w:p>
            <w:pPr>
              <w:ind w:left="260"/>
              <w:spacing w:after="0"/>
              <w:rPr>
                <w:sz w:val="20"/>
                <w:szCs w:val="20"/>
                <w:color w:val="auto"/>
              </w:rPr>
            </w:pPr>
            <w:r>
              <w:rPr>
                <w:rFonts w:ascii="Arial" w:cs="Arial" w:eastAsia="Arial" w:hAnsi="Arial"/>
                <w:sz w:val="16"/>
                <w:szCs w:val="16"/>
                <w:color w:val="auto"/>
              </w:rPr>
              <w:t>Stock options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Warrants</w:t>
            </w:r>
          </w:p>
        </w:tc>
        <w:tc>
          <w:tcPr>
            <w:tcW w:w="24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101</w:t>
            </w: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0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060" w:type="dxa"/>
            <w:vAlign w:val="bottom"/>
          </w:tcPr>
          <w:p>
            <w:pPr>
              <w:ind w:left="120"/>
              <w:spacing w:after="0"/>
              <w:rPr>
                <w:sz w:val="20"/>
                <w:szCs w:val="20"/>
                <w:color w:val="auto"/>
              </w:rPr>
            </w:pPr>
            <w:r>
              <w:rPr>
                <w:rFonts w:ascii="Arial" w:cs="Arial" w:eastAsia="Arial" w:hAnsi="Arial"/>
                <w:sz w:val="16"/>
                <w:szCs w:val="16"/>
                <w:color w:val="auto"/>
              </w:rPr>
              <w:t>Diluted</w:t>
            </w:r>
          </w:p>
        </w:tc>
        <w:tc>
          <w:tcPr>
            <w:tcW w:w="24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60,779</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59,202</w:t>
            </w:r>
          </w:p>
        </w:tc>
        <w:tc>
          <w:tcPr>
            <w:tcW w:w="24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6"/>
                <w:szCs w:val="16"/>
                <w:color w:val="auto"/>
              </w:rPr>
              <w:t>60,513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58,444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0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400" w:type="dxa"/>
            <w:vAlign w:val="bottom"/>
            <w:shd w:val="clear" w:color="auto" w:fill="F0FFFF"/>
          </w:tcPr>
          <w:p>
            <w:pPr>
              <w:spacing w:after="0"/>
              <w:rPr>
                <w:sz w:val="15"/>
                <w:szCs w:val="15"/>
                <w:color w:val="auto"/>
              </w:rPr>
            </w:pPr>
          </w:p>
        </w:tc>
        <w:tc>
          <w:tcPr>
            <w:tcW w:w="7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38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060" w:type="dxa"/>
            <w:vAlign w:val="bottom"/>
          </w:tcPr>
          <w:p>
            <w:pPr>
              <w:spacing w:after="0"/>
              <w:rPr>
                <w:sz w:val="20"/>
                <w:szCs w:val="20"/>
                <w:color w:val="auto"/>
              </w:rPr>
            </w:pPr>
            <w:r>
              <w:rPr>
                <w:rFonts w:ascii="Arial" w:cs="Arial" w:eastAsia="Arial" w:hAnsi="Arial"/>
                <w:sz w:val="16"/>
                <w:szCs w:val="16"/>
                <w:b w:val="1"/>
                <w:bCs w:val="1"/>
                <w:color w:val="auto"/>
              </w:rPr>
              <w:t>Income per common share:</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Basic</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400" w:type="dxa"/>
            <w:vAlign w:val="bottom"/>
            <w:shd w:val="clear" w:color="auto" w:fill="F0FFFF"/>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w:t>
            </w:r>
          </w:p>
        </w:tc>
        <w:tc>
          <w:tcPr>
            <w:tcW w:w="220" w:type="dxa"/>
            <w:vAlign w:val="bottom"/>
            <w:shd w:val="clear" w:color="auto" w:fill="F0FFFF"/>
          </w:tcPr>
          <w:p>
            <w:pPr>
              <w:spacing w:after="0"/>
              <w:rPr>
                <w:sz w:val="18"/>
                <w:szCs w:val="18"/>
                <w:color w:val="auto"/>
              </w:rPr>
            </w:pP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F0FFFF"/>
          </w:tcPr>
          <w:p>
            <w:pPr>
              <w:spacing w:after="0"/>
              <w:rPr>
                <w:sz w:val="18"/>
                <w:szCs w:val="18"/>
                <w:color w:val="auto"/>
              </w:rPr>
            </w:pPr>
          </w:p>
        </w:tc>
        <w:tc>
          <w:tcPr>
            <w:tcW w:w="50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60" w:type="dxa"/>
            <w:vAlign w:val="bottom"/>
          </w:tcPr>
          <w:p>
            <w:pPr>
              <w:ind w:left="120"/>
              <w:spacing w:after="0" w:line="183" w:lineRule="exact"/>
              <w:rPr>
                <w:sz w:val="20"/>
                <w:szCs w:val="20"/>
                <w:color w:val="auto"/>
              </w:rPr>
            </w:pPr>
            <w:r>
              <w:rPr>
                <w:rFonts w:ascii="Arial" w:cs="Arial" w:eastAsia="Arial" w:hAnsi="Arial"/>
                <w:sz w:val="16"/>
                <w:szCs w:val="16"/>
                <w:color w:val="auto"/>
              </w:rPr>
              <w:t>Diluted</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.21</w:t>
            </w:r>
          </w:p>
        </w:tc>
        <w:tc>
          <w:tcPr>
            <w:tcW w:w="220" w:type="dxa"/>
            <w:vAlign w:val="bottom"/>
          </w:tcPr>
          <w:p>
            <w:pPr>
              <w:spacing w:after="0"/>
              <w:rPr>
                <w:sz w:val="15"/>
                <w:szCs w:val="15"/>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3" w:lineRule="exact"/>
              <w:rPr>
                <w:sz w:val="20"/>
                <w:szCs w:val="20"/>
                <w:color w:val="auto"/>
              </w:rPr>
            </w:pPr>
            <w:r>
              <w:rPr>
                <w:rFonts w:ascii="Arial" w:cs="Arial" w:eastAsia="Arial" w:hAnsi="Arial"/>
                <w:sz w:val="16"/>
                <w:szCs w:val="16"/>
                <w:color w:val="auto"/>
              </w:rPr>
              <w:t>.81</w:t>
            </w:r>
          </w:p>
        </w:tc>
        <w:tc>
          <w:tcPr>
            <w:tcW w:w="100" w:type="dxa"/>
            <w:vAlign w:val="bottom"/>
          </w:tcPr>
          <w:p>
            <w:pPr>
              <w:spacing w:after="0"/>
              <w:rPr>
                <w:sz w:val="15"/>
                <w:szCs w:val="15"/>
                <w:color w:val="auto"/>
              </w:rPr>
            </w:pPr>
          </w:p>
        </w:tc>
        <w:tc>
          <w:tcPr>
            <w:tcW w:w="500" w:type="dxa"/>
            <w:vAlign w:val="bottom"/>
            <w:gridSpan w:val="2"/>
          </w:tcPr>
          <w:p>
            <w:pPr>
              <w:jc w:val="right"/>
              <w:ind w:right="300"/>
              <w:spacing w:after="0" w:line="183" w:lineRule="exact"/>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4.24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98" w:lineRule="auto"/>
        <w:rPr>
          <w:sz w:val="20"/>
          <w:szCs w:val="20"/>
          <w:color w:val="auto"/>
        </w:rPr>
      </w:pPr>
      <w:r>
        <w:rPr>
          <w:rFonts w:ascii="Arial" w:cs="Arial" w:eastAsia="Arial" w:hAnsi="Arial"/>
          <w:sz w:val="14"/>
          <w:szCs w:val="14"/>
          <w:color w:val="auto"/>
        </w:rPr>
        <w:t>At September 30, 2014, United had the following potentially dilutive stock options and warrants outstanding: a warrant to purchase 219,909 common shares at $61.40 per share originally issued to the U.S. Treasury; 305,291 common shares issuable upon exercise of stock options granted to employees with a weighted average exercise price of $95.98; 801,334 shares issuable upon completion of vesting of restricted stock awards; and warrants to purchase common stock equivalent junior preferred stock that would be convertible into 1,411,765 common shares exercisable at $21.25 per share granted to Fletcher International Ltd. (“Fletcher”) in connection with a 2010 asset purchase and sale agreement. On March 5, 2014, United announced that it and the Chapter 11 Trustee for Fletcher had agreed to settle all potential claims and counterclaims between them relating to or arising out of, among other things, their respective rights and obligations under such warrants. Pursuant to the settlement agreement with Fletcher, United has agreed to repurchase the warrants and resolve all claims between the parties. The settlement agreement and the transactions contemplated thereby have been approved by the bankruptcy court and are no longer subject to appeal. As noted in Note 12, in November 2014, the settlement was completed and the net proceeds were paid to Fletcher.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14" w:right="21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At September 30, 2013, United had the following potentially dilutive stock options and warrants outstanding: a warrant to purchase 219,909 common shares at $61.40 per share originally issued to the U.S. Treasury; 371,449 common shares issuable upon exercise of stock options granted to employees with a weighted average exercise price of $98.54; 1,073,259 shares issuable upon completion of vesting of restricted stock awards; warrants to purchase common stock equivalent junior preferred stock that would be convertible into 1,411,765 common shares exercisable at $21.25 per share granted to Fletcher in connection with a 2010 asset purchase and sale agreement.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10 – Derivatives and Hedging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Risk Management Objective of Using Derivatives</w:t>
      </w:r>
    </w:p>
    <w:p>
      <w:pPr>
        <w:spacing w:after="0" w:line="26"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investment securities, wholesale borrowings and deposits.</w:t>
      </w:r>
    </w:p>
    <w:p>
      <w:pPr>
        <w:spacing w:after="0" w:line="18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In conjunction with the FASB’s fair value measurement guidance, United made an accounting policy election to measure the credit risk of its derivative financial instruments that are subject to master netting agreements on a gross basis.</w:t>
      </w:r>
    </w:p>
    <w:p>
      <w:pPr>
        <w:spacing w:after="0" w:line="17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table below presents the fair value of United’s derivative financial instruments as well as their classification on the consolidated balance sheet as of September 30, 2014, December 31, 2013 and September 30, 2013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92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Derivatives designated as hedging instruments under ASC 815</w:t>
            </w: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96"/>
              </w:rPr>
              <w:t>Fair Value</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2"/>
          </w:tcPr>
          <w:p>
            <w:pPr>
              <w:jc w:val="center"/>
              <w:ind w:right="140"/>
              <w:spacing w:after="0" w:line="178" w:lineRule="exact"/>
              <w:rPr>
                <w:sz w:val="20"/>
                <w:szCs w:val="20"/>
                <w:color w:val="auto"/>
              </w:rPr>
            </w:pPr>
            <w:r>
              <w:rPr>
                <w:rFonts w:ascii="Arial" w:cs="Arial" w:eastAsia="Arial" w:hAnsi="Arial"/>
                <w:sz w:val="16"/>
                <w:szCs w:val="16"/>
                <w:b w:val="1"/>
                <w:bCs w:val="1"/>
                <w:color w:val="auto"/>
                <w:w w:val="87"/>
              </w:rPr>
              <w:t>Balance Sheet</w:t>
            </w:r>
          </w:p>
        </w:tc>
        <w:tc>
          <w:tcPr>
            <w:tcW w:w="80" w:type="dxa"/>
            <w:vAlign w:val="bottom"/>
          </w:tcPr>
          <w:p>
            <w:pPr>
              <w:spacing w:after="0"/>
              <w:rPr>
                <w:sz w:val="15"/>
                <w:szCs w:val="15"/>
                <w:color w:val="auto"/>
              </w:rPr>
            </w:pPr>
          </w:p>
        </w:tc>
        <w:tc>
          <w:tcPr>
            <w:tcW w:w="1300" w:type="dxa"/>
            <w:vAlign w:val="bottom"/>
            <w:gridSpan w:val="2"/>
          </w:tcPr>
          <w:p>
            <w:pPr>
              <w:jc w:val="center"/>
              <w:ind w:right="320"/>
              <w:spacing w:after="0" w:line="178"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5"/>
                <w:szCs w:val="15"/>
                <w:color w:val="auto"/>
              </w:rPr>
            </w:pPr>
          </w:p>
        </w:tc>
        <w:tc>
          <w:tcPr>
            <w:tcW w:w="1140" w:type="dxa"/>
            <w:vAlign w:val="bottom"/>
            <w:gridSpan w:val="2"/>
          </w:tcPr>
          <w:p>
            <w:pPr>
              <w:jc w:val="center"/>
              <w:ind w:right="200"/>
              <w:spacing w:after="0" w:line="178" w:lineRule="exact"/>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5"/>
                <w:szCs w:val="15"/>
                <w:color w:val="auto"/>
              </w:rPr>
            </w:pPr>
          </w:p>
        </w:tc>
        <w:tc>
          <w:tcPr>
            <w:tcW w:w="112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Interest Rate Products</w:t>
            </w:r>
          </w:p>
        </w:tc>
        <w:tc>
          <w:tcPr>
            <w:tcW w:w="1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2014</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6"/>
                <w:szCs w:val="16"/>
                <w:color w:val="auto"/>
              </w:rPr>
              <w:t>Cash flow hedge of money market deposits</w:t>
            </w:r>
          </w:p>
        </w:tc>
        <w:tc>
          <w:tcPr>
            <w:tcW w:w="254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4,782</w:t>
            </w:r>
          </w:p>
        </w:tc>
        <w:tc>
          <w:tcPr>
            <w:tcW w:w="3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3,580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Fair value hedge of corporate bonds</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3,939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2,709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3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1,349</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8,721</w:t>
            </w:r>
          </w:p>
        </w:tc>
        <w:tc>
          <w:tcPr>
            <w:tcW w:w="3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6,289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23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6"/>
                <w:szCs w:val="16"/>
                <w:color w:val="auto"/>
              </w:rPr>
              <w:t>Cash flow hedge of short-term debt</w:t>
            </w:r>
          </w:p>
        </w:tc>
        <w:tc>
          <w:tcPr>
            <w:tcW w:w="254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3,368</w:t>
            </w:r>
          </w:p>
        </w:tc>
        <w:tc>
          <w:tcPr>
            <w:tcW w:w="3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3,247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Cash flow hedge of money market deposits</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Other liabilities</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431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6"/>
                <w:szCs w:val="16"/>
                <w:color w:val="auto"/>
              </w:rPr>
              <w:t>Fair value hedge of brokered CD’s</w:t>
            </w:r>
          </w:p>
        </w:tc>
        <w:tc>
          <w:tcPr>
            <w:tcW w:w="254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F0FFFF"/>
          </w:tcPr>
          <w:p>
            <w:pPr>
              <w:spacing w:after="0"/>
              <w:rPr>
                <w:sz w:val="16"/>
                <w:szCs w:val="16"/>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10,201</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19,970</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28,748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Fair value hedge of corporate bonds</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Other liabilities</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3,025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49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23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10,201</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25,646</w:t>
            </w:r>
          </w:p>
        </w:tc>
        <w:tc>
          <w:tcPr>
            <w:tcW w:w="3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35,451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3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920" w:type="dxa"/>
            <w:vAlign w:val="bottom"/>
            <w:gridSpan w:val="2"/>
          </w:tcPr>
          <w:p>
            <w:pPr>
              <w:spacing w:after="0"/>
              <w:rPr>
                <w:sz w:val="20"/>
                <w:szCs w:val="20"/>
                <w:color w:val="auto"/>
              </w:rPr>
            </w:pPr>
            <w:r>
              <w:rPr>
                <w:rFonts w:ascii="Arial" w:cs="Arial" w:eastAsia="Arial" w:hAnsi="Arial"/>
                <w:sz w:val="16"/>
                <w:szCs w:val="16"/>
                <w:b w:val="1"/>
                <w:bCs w:val="1"/>
                <w:i w:val="1"/>
                <w:iCs w:val="1"/>
                <w:color w:val="auto"/>
                <w:w w:val="96"/>
              </w:rPr>
              <w:t>Derivatives not designated as hedging instruments under ASC 815</w:t>
            </w: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Fair Value</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20" w:type="dxa"/>
            <w:vAlign w:val="bottom"/>
            <w:gridSpan w:val="2"/>
          </w:tcPr>
          <w:p>
            <w:pPr>
              <w:jc w:val="center"/>
              <w:ind w:right="140"/>
              <w:spacing w:after="0" w:line="178" w:lineRule="exact"/>
              <w:rPr>
                <w:sz w:val="20"/>
                <w:szCs w:val="20"/>
                <w:color w:val="auto"/>
              </w:rPr>
            </w:pPr>
            <w:r>
              <w:rPr>
                <w:rFonts w:ascii="Arial" w:cs="Arial" w:eastAsia="Arial" w:hAnsi="Arial"/>
                <w:sz w:val="16"/>
                <w:szCs w:val="16"/>
                <w:b w:val="1"/>
                <w:bCs w:val="1"/>
                <w:color w:val="auto"/>
                <w:w w:val="87"/>
              </w:rPr>
              <w:t>Balance Sheet</w:t>
            </w:r>
          </w:p>
        </w:tc>
        <w:tc>
          <w:tcPr>
            <w:tcW w:w="80" w:type="dxa"/>
            <w:vAlign w:val="bottom"/>
          </w:tcPr>
          <w:p>
            <w:pPr>
              <w:spacing w:after="0"/>
              <w:rPr>
                <w:sz w:val="15"/>
                <w:szCs w:val="15"/>
                <w:color w:val="auto"/>
              </w:rPr>
            </w:pPr>
          </w:p>
        </w:tc>
        <w:tc>
          <w:tcPr>
            <w:tcW w:w="1300" w:type="dxa"/>
            <w:vAlign w:val="bottom"/>
            <w:gridSpan w:val="2"/>
          </w:tcPr>
          <w:p>
            <w:pPr>
              <w:jc w:val="center"/>
              <w:ind w:right="320"/>
              <w:spacing w:after="0" w:line="178" w:lineRule="exact"/>
              <w:rPr>
                <w:sz w:val="20"/>
                <w:szCs w:val="20"/>
                <w:color w:val="auto"/>
              </w:rPr>
            </w:pPr>
            <w:r>
              <w:rPr>
                <w:rFonts w:ascii="Arial" w:cs="Arial" w:eastAsia="Arial" w:hAnsi="Arial"/>
                <w:sz w:val="16"/>
                <w:szCs w:val="16"/>
                <w:b w:val="1"/>
                <w:bCs w:val="1"/>
                <w:color w:val="auto"/>
                <w:w w:val="89"/>
              </w:rPr>
              <w:t>September 30,</w:t>
            </w:r>
          </w:p>
        </w:tc>
        <w:tc>
          <w:tcPr>
            <w:tcW w:w="100" w:type="dxa"/>
            <w:vAlign w:val="bottom"/>
          </w:tcPr>
          <w:p>
            <w:pPr>
              <w:spacing w:after="0"/>
              <w:rPr>
                <w:sz w:val="15"/>
                <w:szCs w:val="15"/>
                <w:color w:val="auto"/>
              </w:rPr>
            </w:pPr>
          </w:p>
        </w:tc>
        <w:tc>
          <w:tcPr>
            <w:tcW w:w="1140" w:type="dxa"/>
            <w:vAlign w:val="bottom"/>
            <w:gridSpan w:val="2"/>
          </w:tcPr>
          <w:p>
            <w:pPr>
              <w:jc w:val="center"/>
              <w:ind w:right="200"/>
              <w:spacing w:after="0" w:line="178" w:lineRule="exact"/>
              <w:rPr>
                <w:sz w:val="20"/>
                <w:szCs w:val="20"/>
                <w:color w:val="auto"/>
              </w:rPr>
            </w:pPr>
            <w:r>
              <w:rPr>
                <w:rFonts w:ascii="Arial" w:cs="Arial" w:eastAsia="Arial" w:hAnsi="Arial"/>
                <w:sz w:val="16"/>
                <w:szCs w:val="16"/>
                <w:b w:val="1"/>
                <w:bCs w:val="1"/>
                <w:color w:val="auto"/>
                <w:w w:val="90"/>
              </w:rPr>
              <w:t>December 31,</w:t>
            </w:r>
          </w:p>
        </w:tc>
        <w:tc>
          <w:tcPr>
            <w:tcW w:w="120" w:type="dxa"/>
            <w:vAlign w:val="bottom"/>
          </w:tcPr>
          <w:p>
            <w:pPr>
              <w:spacing w:after="0"/>
              <w:rPr>
                <w:sz w:val="15"/>
                <w:szCs w:val="15"/>
                <w:color w:val="auto"/>
              </w:rPr>
            </w:pPr>
          </w:p>
        </w:tc>
        <w:tc>
          <w:tcPr>
            <w:tcW w:w="1120" w:type="dxa"/>
            <w:vAlign w:val="bottom"/>
            <w:gridSpan w:val="2"/>
          </w:tcPr>
          <w:p>
            <w:pPr>
              <w:jc w:val="center"/>
              <w:spacing w:after="0" w:line="178" w:lineRule="exact"/>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Borders>
              <w:bottom w:val="single" w:sz="8" w:color="auto"/>
            </w:tcBorders>
          </w:tcPr>
          <w:p>
            <w:pPr>
              <w:ind w:left="1660"/>
              <w:spacing w:after="0"/>
              <w:rPr>
                <w:sz w:val="20"/>
                <w:szCs w:val="20"/>
                <w:color w:val="auto"/>
              </w:rPr>
            </w:pPr>
            <w:r>
              <w:rPr>
                <w:rFonts w:ascii="Arial" w:cs="Arial" w:eastAsia="Arial" w:hAnsi="Arial"/>
                <w:sz w:val="16"/>
                <w:szCs w:val="16"/>
                <w:b w:val="1"/>
                <w:bCs w:val="1"/>
                <w:color w:val="auto"/>
              </w:rPr>
              <w:t>Interest Rate Products</w:t>
            </w:r>
          </w:p>
        </w:tc>
        <w:tc>
          <w:tcPr>
            <w:tcW w:w="120" w:type="dxa"/>
            <w:vAlign w:val="bottom"/>
          </w:tcPr>
          <w:p>
            <w:pPr>
              <w:spacing w:after="0"/>
              <w:rPr>
                <w:sz w:val="18"/>
                <w:szCs w:val="18"/>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Location</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2014</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6"/>
                <w:szCs w:val="16"/>
                <w:color w:val="auto"/>
              </w:rPr>
              <w:t>Customer swap positions</w:t>
            </w:r>
          </w:p>
        </w:tc>
        <w:tc>
          <w:tcPr>
            <w:tcW w:w="254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2,067</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898</w:t>
            </w:r>
          </w:p>
        </w:tc>
        <w:tc>
          <w:tcPr>
            <w:tcW w:w="3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Dealer offsets to customer swap positions</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475</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1,347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6"/>
                <w:szCs w:val="16"/>
                <w:color w:val="auto"/>
              </w:rPr>
              <w:t>Bifurcated embedded derivatives</w:t>
            </w:r>
          </w:p>
        </w:tc>
        <w:tc>
          <w:tcPr>
            <w:tcW w:w="254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Other assets</w:t>
            </w:r>
          </w:p>
        </w:tc>
        <w:tc>
          <w:tcPr>
            <w:tcW w:w="80" w:type="dxa"/>
            <w:vAlign w:val="bottom"/>
            <w:shd w:val="clear" w:color="auto" w:fill="F0FFFF"/>
          </w:tcPr>
          <w:p>
            <w:pPr>
              <w:spacing w:after="0"/>
              <w:rPr>
                <w:sz w:val="16"/>
                <w:szCs w:val="16"/>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14,780</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12,867</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Offsetting positions for de-designated cash flow hedges</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3,550</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49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2300" w:type="dxa"/>
            <w:vAlign w:val="bottom"/>
            <w:shd w:val="clear" w:color="auto" w:fill="F0FFFF"/>
          </w:tcPr>
          <w:p>
            <w:pPr>
              <w:spacing w:after="0"/>
              <w:rPr>
                <w:sz w:val="20"/>
                <w:szCs w:val="20"/>
                <w:color w:val="auto"/>
              </w:rPr>
            </w:pPr>
          </w:p>
        </w:tc>
        <w:tc>
          <w:tcPr>
            <w:tcW w:w="120" w:type="dxa"/>
            <w:vAlign w:val="bottom"/>
            <w:shd w:val="clear" w:color="auto" w:fill="F0FFFF"/>
          </w:tcPr>
          <w:p>
            <w:pPr>
              <w:spacing w:after="0"/>
              <w:rPr>
                <w:sz w:val="20"/>
                <w:szCs w:val="20"/>
                <w:color w:val="auto"/>
              </w:rPr>
            </w:pP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20,872</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15,112</w:t>
            </w:r>
          </w:p>
        </w:tc>
        <w:tc>
          <w:tcPr>
            <w:tcW w:w="3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1,803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900" w:type="dxa"/>
            <w:vAlign w:val="bottom"/>
            <w:tcBorders>
              <w:top w:val="single" w:sz="8" w:color="F0FFFF"/>
            </w:tcBorders>
          </w:tcPr>
          <w:p>
            <w:pPr>
              <w:spacing w:after="0"/>
              <w:rPr>
                <w:sz w:val="15"/>
                <w:szCs w:val="15"/>
                <w:color w:val="auto"/>
              </w:rPr>
            </w:pPr>
          </w:p>
        </w:tc>
        <w:tc>
          <w:tcPr>
            <w:tcW w:w="2540" w:type="dxa"/>
            <w:vAlign w:val="bottom"/>
            <w:tcBorders>
              <w:top w:val="single" w:sz="8" w:color="F0FFFF"/>
            </w:tcBorders>
            <w:gridSpan w:val="3"/>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Borders>
              <w:top w:val="single" w:sz="8" w:color="F0FF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6"/>
                <w:szCs w:val="16"/>
                <w:color w:val="auto"/>
              </w:rPr>
              <w:t>Customer swap positions</w:t>
            </w:r>
          </w:p>
        </w:tc>
        <w:tc>
          <w:tcPr>
            <w:tcW w:w="254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1,347</w:t>
            </w:r>
          </w:p>
        </w:tc>
        <w:tc>
          <w:tcPr>
            <w:tcW w:w="36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707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Dealer offsets to customer swap positions</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Other liabilities</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2,087</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915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6"/>
                <w:szCs w:val="16"/>
                <w:color w:val="auto"/>
              </w:rPr>
              <w:t>Dealer offsets to bifurcated embedded derivatives</w:t>
            </w:r>
          </w:p>
        </w:tc>
        <w:tc>
          <w:tcPr>
            <w:tcW w:w="254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F0FFFF"/>
          </w:tcPr>
          <w:p>
            <w:pPr>
              <w:spacing w:after="0"/>
              <w:rPr>
                <w:sz w:val="16"/>
                <w:szCs w:val="16"/>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19,858</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18,324</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20"/>
                <w:szCs w:val="20"/>
                <w:color w:val="auto"/>
              </w:rPr>
            </w:pPr>
            <w:r>
              <w:rPr>
                <w:rFonts w:ascii="Arial" w:cs="Arial" w:eastAsia="Arial" w:hAnsi="Arial"/>
                <w:sz w:val="16"/>
                <w:szCs w:val="16"/>
                <w:color w:val="auto"/>
              </w:rPr>
              <w:t>De-designated cash flow hedge of brokered CDs</w:t>
            </w:r>
          </w:p>
        </w:tc>
        <w:tc>
          <w:tcPr>
            <w:tcW w:w="2540" w:type="dxa"/>
            <w:vAlign w:val="bottom"/>
            <w:gridSpan w:val="3"/>
          </w:tcPr>
          <w:p>
            <w:pPr>
              <w:ind w:left="120"/>
              <w:spacing w:after="0"/>
              <w:rPr>
                <w:sz w:val="20"/>
                <w:szCs w:val="20"/>
                <w:color w:val="auto"/>
              </w:rPr>
            </w:pPr>
            <w:r>
              <w:rPr>
                <w:rFonts w:ascii="Arial" w:cs="Arial" w:eastAsia="Arial" w:hAnsi="Arial"/>
                <w:sz w:val="16"/>
                <w:szCs w:val="16"/>
                <w:color w:val="auto"/>
              </w:rPr>
              <w:t>Other liabilities</w:t>
            </w:r>
          </w:p>
        </w:tc>
        <w:tc>
          <w:tcPr>
            <w:tcW w:w="8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2,645</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shd w:val="clear" w:color="auto" w:fill="F0FFFF"/>
          </w:tcPr>
          <w:p>
            <w:pPr>
              <w:spacing w:after="0"/>
              <w:rPr>
                <w:sz w:val="20"/>
                <w:szCs w:val="20"/>
                <w:color w:val="auto"/>
              </w:rPr>
            </w:pPr>
            <w:r>
              <w:rPr>
                <w:rFonts w:ascii="Arial" w:cs="Arial" w:eastAsia="Arial" w:hAnsi="Arial"/>
                <w:sz w:val="16"/>
                <w:szCs w:val="16"/>
                <w:color w:val="auto"/>
              </w:rPr>
              <w:t>De-designated cash flow hedge of money market deposits</w:t>
            </w:r>
          </w:p>
        </w:tc>
        <w:tc>
          <w:tcPr>
            <w:tcW w:w="2540" w:type="dxa"/>
            <w:vAlign w:val="bottom"/>
            <w:gridSpan w:val="3"/>
            <w:shd w:val="clear" w:color="auto" w:fill="F0FFFF"/>
          </w:tcPr>
          <w:p>
            <w:pPr>
              <w:ind w:left="120"/>
              <w:spacing w:after="0"/>
              <w:rPr>
                <w:sz w:val="20"/>
                <w:szCs w:val="20"/>
                <w:color w:val="auto"/>
              </w:rPr>
            </w:pPr>
            <w:r>
              <w:rPr>
                <w:rFonts w:ascii="Arial" w:cs="Arial" w:eastAsia="Arial" w:hAnsi="Arial"/>
                <w:sz w:val="16"/>
                <w:szCs w:val="16"/>
                <w:color w:val="auto"/>
              </w:rPr>
              <w:t>Other liabilities</w:t>
            </w:r>
          </w:p>
        </w:tc>
        <w:tc>
          <w:tcPr>
            <w:tcW w:w="80" w:type="dxa"/>
            <w:vAlign w:val="bottom"/>
            <w:shd w:val="clear" w:color="auto" w:fill="F0FFFF"/>
          </w:tcPr>
          <w:p>
            <w:pPr>
              <w:spacing w:after="0"/>
              <w:rPr>
                <w:sz w:val="16"/>
                <w:szCs w:val="16"/>
                <w:color w:val="auto"/>
              </w:rPr>
            </w:pPr>
          </w:p>
        </w:tc>
        <w:tc>
          <w:tcPr>
            <w:tcW w:w="130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905</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9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3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25,970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20,586</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420" w:type="dxa"/>
            <w:vAlign w:val="bottom"/>
            <w:gridSpan w:val="2"/>
            <w:vMerge w:val="restart"/>
          </w:tcPr>
          <w:p>
            <w:pPr>
              <w:jc w:val="right"/>
              <w:ind w:right="145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20" w:type="dxa"/>
            <w:vAlign w:val="bottom"/>
          </w:tcPr>
          <w:p>
            <w:pPr>
              <w:spacing w:after="0"/>
              <w:rPr>
                <w:sz w:val="24"/>
                <w:szCs w:val="24"/>
                <w:color w:val="auto"/>
              </w:rPr>
            </w:pPr>
          </w:p>
        </w:tc>
        <w:tc>
          <w:tcPr>
            <w:tcW w:w="4900" w:type="dxa"/>
            <w:vAlign w:val="bottom"/>
            <w:tcBorders>
              <w:bottom w:val="single" w:sz="8" w:color="DCDCDC"/>
            </w:tcBorders>
          </w:tcPr>
          <w:p>
            <w:pPr>
              <w:spacing w:after="0"/>
              <w:rPr>
                <w:sz w:val="24"/>
                <w:szCs w:val="24"/>
                <w:color w:val="auto"/>
              </w:rPr>
            </w:pPr>
          </w:p>
        </w:tc>
        <w:tc>
          <w:tcPr>
            <w:tcW w:w="2420" w:type="dxa"/>
            <w:vAlign w:val="bottom"/>
            <w:tcBorders>
              <w:bottom w:val="single" w:sz="8" w:color="DCDCDC"/>
            </w:tcBorders>
            <w:gridSpan w:val="2"/>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38" w:right="219" w:bottom="1440" w:gutter="0" w:footer="0" w:header="0"/>
        </w:sectPr>
      </w:pPr>
    </w:p>
    <w:bookmarkStart w:id="28" w:name="page29"/>
    <w:bookmarkEnd w:id="28"/>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 xml:space="preserve">Derivative contracts that are not accounted for as hedging instruments under ASC 815, </w:t>
      </w:r>
      <w:r>
        <w:rPr>
          <w:rFonts w:ascii="Arial" w:cs="Arial" w:eastAsia="Arial" w:hAnsi="Arial"/>
          <w:sz w:val="15"/>
          <w:szCs w:val="15"/>
          <w:i w:val="1"/>
          <w:iCs w:val="1"/>
          <w:color w:val="auto"/>
        </w:rPr>
        <w:t>Derivatives and Hedging,</w:t>
      </w:r>
      <w:r>
        <w:rPr>
          <w:rFonts w:ascii="Arial" w:cs="Arial" w:eastAsia="Arial" w:hAnsi="Arial"/>
          <w:sz w:val="15"/>
          <w:szCs w:val="15"/>
          <w:color w:val="auto"/>
        </w:rPr>
        <w:t xml:space="preserve"> and are described as “customer derivatives,” are between United and certain commercial loan customers with offsetting positions to dealers under a back-to-back swap program. United also has three interest rate swap contracts that are not designated as hedging instruments but are economic hedges of market linked brokered certificates of deposit. The market linked brokered certificates of deposit contain embedded derivatives that are bifurcated from the host instruments and marked to market through earnings. The marks on the market linked swaps and the bifurcated embedded derivatives tend to move in opposite directions with changes in 90-day LIBOR and therefore provide an effective economic hedge.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Hedges of Interest Rate Risk</w:t>
      </w:r>
    </w:p>
    <w:p>
      <w:pPr>
        <w:spacing w:after="0" w:line="232"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United’s objectives in using interest rate derivatives are to add stability to net interest revenue and to manage its exposure to interest rate movements. To accomplish this objective, United uses interest rate swaps as part of its interest rate risk management strategy. At September 30, 2014, United’s interest rate swaps designated as cash flow hedges involved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United in a rising rate environment. At September 30, 2014, United had two swap contracts outstanding with a total notional amount of $275 million that were designated as cash flow hedges of indexed money market accounts. One of the swaps with a notional amount of $175 million is forward starting and will become effective later in 2015. At December 31, 2013 and September 30, 2013, United had three swap contracts outstanding with a total notional amount of $200 million that were designated as cash flow hedges of future issuances of three-month brokered deposits or other LIBOR based floating rate wholesale borrowings, and three swap contracts outstanding with a total notional amount of $375 million that were designated as cash flow hedges of indexed money market accounts. During the second quarter of 2014, United de-designated swaps with a notional of $400 million and put on offsetting positions which had a similar effect to terminating the positions. Changes in United’s balance sheet composition and interest rate risk position made the hedges no longer necessary as protection against rising interest rates. The loss remaining in other comprehensive income on the de-designated swaps is being amortized into earnings over the original term of the swaps as the forecasted transactions that the swaps were originally designated to hedge are still expected to occur.</w:t>
      </w:r>
    </w:p>
    <w:p>
      <w:pPr>
        <w:spacing w:after="0" w:line="190"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as interest payments are made on United’s LIBOR based, variable-rate wholesale borrowings and indexed deposit accounts. United’s active forward starting cash flow hedges of floating rate liabilities began interest settlements in the first quarter of 2014. United recognized $12,000 in hedge ineffectiveness gains and $73,000 in hedge ineffectiveness losses, respectively, in interest expense on active cash flow hedges during the third quarter and first nine months of 2014. United recognized $33,000 in hedge ineffectiveness gains during the third quarter and first nine months of 2013. United expects that $3.77 million will be reclassified as an increase to deposit interest expense over the next twelve months related to these cash flow hedges.</w:t>
      </w:r>
    </w:p>
    <w:p>
      <w:pPr>
        <w:spacing w:after="0" w:line="183" w:lineRule="exact"/>
        <w:rPr>
          <w:sz w:val="20"/>
          <w:szCs w:val="20"/>
          <w:color w:val="auto"/>
        </w:rPr>
      </w:pPr>
    </w:p>
    <w:p>
      <w:pPr>
        <w:jc w:val="both"/>
        <w:ind w:right="20"/>
        <w:spacing w:after="0" w:line="316" w:lineRule="auto"/>
        <w:rPr>
          <w:sz w:val="20"/>
          <w:szCs w:val="20"/>
          <w:color w:val="auto"/>
        </w:rPr>
      </w:pPr>
      <w:r>
        <w:rPr>
          <w:rFonts w:ascii="Arial" w:cs="Arial" w:eastAsia="Arial" w:hAnsi="Arial"/>
          <w:sz w:val="15"/>
          <w:szCs w:val="15"/>
          <w:color w:val="auto"/>
        </w:rPr>
        <w:t>During the three and nine months ended September 30, 2013, United accelerated the reclassification of $48,000 and $53,000, respectively, in gains from terminated positions, as a result of the forecasted transactions becoming probable not to occur. These amounts were recognized in loan interest revenue as hedge ineffectiveness.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Hedges of Interest Rate Risk</w:t>
      </w:r>
    </w:p>
    <w:p>
      <w:pPr>
        <w:spacing w:after="0" w:line="232" w:lineRule="exact"/>
        <w:rPr>
          <w:sz w:val="20"/>
          <w:szCs w:val="20"/>
          <w:color w:val="auto"/>
        </w:rPr>
      </w:pPr>
    </w:p>
    <w:p>
      <w:pPr>
        <w:jc w:val="both"/>
        <w:ind w:right="20"/>
        <w:spacing w:after="0" w:line="274" w:lineRule="auto"/>
        <w:rPr>
          <w:sz w:val="20"/>
          <w:szCs w:val="20"/>
          <w:color w:val="auto"/>
        </w:rPr>
      </w:pPr>
      <w:r>
        <w:rPr>
          <w:rFonts w:ascii="Arial" w:cs="Arial" w:eastAsia="Arial" w:hAnsi="Arial"/>
          <w:sz w:val="15"/>
          <w:szCs w:val="15"/>
          <w:color w:val="auto"/>
        </w:rPr>
        <w:t>United is exposed to changes in the fair value of certain of its fixed rate investments and obligations due to changes in interest rates. United uses interest rate swaps to manage its exposure to changes in fair value on these instruments attributable to changes in interest rates. Interest rate swaps designated as fair value hedges of brokered deposits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amounts from a counterparty in exchange for United making fixed rate payments over the life of the instrument without the exchange of the underlying notional amount. At September 30, 2014, United had 16 interest rate swaps with an aggregate notional amount of $199 million that were designated as fair value hedges of interest rate risk. These contracts were pay-variable / receive-fixed swaps hedging changes in the fair value of fixed rate brokered time deposits resulting from changes in interest rates. At September 30, 2013, United had 27 interest rate swaps with an aggregate notional amount of $387 million that were designated as fair value hedges. At September 30, 2013, eight of the interest rate swaps with an aggregate notional amount of $86 million were receive-variable / pay-fixed swaps that were used for the purpose of hedging changes in the fair value of corporate bonds resulting from changes in interest rates. These swaps were cancelled and the bonds were sold in the second quarter of 2014. The other 19 were pay-variable / receive-fixed swaps hedging changes in fair value of fixed rate brokered time deposits resulting from changes in interest rates.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income statement line item as the offsetting loss or gain on the related derivatives. During the three and nine months ended September 30, 2014 United recognized net losses of $312,000 and $937,000, respectively, and during the three and nine months ended September 30, 2013, United recognized net gains of $38,000 and $241,000, respectively, related to ineffectiveness of the fair value hedging relationships. United also recognized net reductions of interest expense of $1.04 million and $3.47 million, respectively, for the three and nine months ended September 30, 2014 and net reductions of interest expense of $2.47 million and $4.73 million, respectively, for the three and nine months ended September 30, 2013 related to United’s fair value hedges of brokered time deposits, which include net settlements on the derivatives. United recognized reductions of interest revenue on securities during the nine months ended September 30, 2014 in the amount of $955,000 related to United’s fair value hedges of corporate bonds that were terminated in the second quarter of 2014. For the three and nine months ended September 30, 2013, United recognized reductions of interest revenue on securities in the amounts of $516,000 and $811,000, respectively related to United’s fair value hedges of corporate bonds.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Tabular Disclosure of the Effect of Derivative Instruments on the Income Statement</w:t>
      </w:r>
    </w:p>
    <w:p>
      <w:pPr>
        <w:spacing w:after="0" w:line="23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tables below present the effect of United’s derivative financial instruments on the consolidated statement of operations for the three and nine months ended September 30, 2014 and 2013.</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Derivatives in Fair Value Hedging Relationships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1"/>
              </w:rPr>
              <w:t>Location of Gain</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center"/>
              <w:ind w:right="480"/>
              <w:spacing w:after="0"/>
              <w:rPr>
                <w:sz w:val="20"/>
                <w:szCs w:val="20"/>
                <w:color w:val="auto"/>
              </w:rPr>
            </w:pPr>
            <w:r>
              <w:rPr>
                <w:rFonts w:ascii="Arial" w:cs="Arial" w:eastAsia="Arial" w:hAnsi="Arial"/>
                <w:sz w:val="16"/>
                <w:szCs w:val="16"/>
                <w:b w:val="1"/>
                <w:bCs w:val="1"/>
                <w:color w:val="auto"/>
                <w:w w:val="91"/>
              </w:rPr>
              <w:t>Amount of Gain (Loss)</w:t>
            </w:r>
          </w:p>
        </w:tc>
        <w:tc>
          <w:tcPr>
            <w:tcW w:w="240" w:type="dxa"/>
            <w:vAlign w:val="bottom"/>
          </w:tcPr>
          <w:p>
            <w:pPr>
              <w:spacing w:after="0"/>
              <w:rPr>
                <w:sz w:val="16"/>
                <w:szCs w:val="16"/>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1"/>
              </w:rPr>
              <w:t>Amount of Gain (Loss)</w:t>
            </w:r>
          </w:p>
        </w:tc>
      </w:tr>
      <w:tr>
        <w:trPr>
          <w:trHeight w:val="194"/>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87"/>
              </w:rPr>
              <w:t>(Loss) Recognized</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6"/>
                <w:szCs w:val="16"/>
                <w:b w:val="1"/>
                <w:bCs w:val="1"/>
                <w:color w:val="auto"/>
                <w:w w:val="89"/>
              </w:rPr>
              <w:t>Recognized in Income</w:t>
            </w:r>
          </w:p>
        </w:tc>
        <w:tc>
          <w:tcPr>
            <w:tcW w:w="240" w:type="dxa"/>
            <w:vAlign w:val="bottom"/>
          </w:tcPr>
          <w:p>
            <w:pPr>
              <w:spacing w:after="0"/>
              <w:rPr>
                <w:sz w:val="16"/>
                <w:szCs w:val="16"/>
                <w:color w:val="auto"/>
              </w:rPr>
            </w:pPr>
          </w:p>
        </w:tc>
        <w:tc>
          <w:tcPr>
            <w:tcW w:w="2360" w:type="dxa"/>
            <w:vAlign w:val="bottom"/>
            <w:gridSpan w:val="6"/>
          </w:tcPr>
          <w:p>
            <w:pPr>
              <w:jc w:val="center"/>
              <w:ind w:right="360"/>
              <w:spacing w:after="0"/>
              <w:rPr>
                <w:sz w:val="20"/>
                <w:szCs w:val="20"/>
                <w:color w:val="auto"/>
              </w:rPr>
            </w:pPr>
            <w:r>
              <w:rPr>
                <w:rFonts w:ascii="Arial" w:cs="Arial" w:eastAsia="Arial" w:hAnsi="Arial"/>
                <w:sz w:val="16"/>
                <w:szCs w:val="16"/>
                <w:b w:val="1"/>
                <w:bCs w:val="1"/>
                <w:color w:val="auto"/>
                <w:w w:val="89"/>
              </w:rPr>
              <w:t>Recognized in Income</w:t>
            </w:r>
          </w:p>
        </w:tc>
      </w:tr>
      <w:tr>
        <w:trPr>
          <w:trHeight w:val="215"/>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6"/>
                <w:szCs w:val="16"/>
                <w:b w:val="1"/>
                <w:bCs w:val="1"/>
                <w:color w:val="auto"/>
                <w:w w:val="91"/>
              </w:rPr>
              <w:t>in Income 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4"/>
          </w:tcPr>
          <w:p>
            <w:pPr>
              <w:jc w:val="center"/>
              <w:ind w:left="439"/>
              <w:spacing w:after="0"/>
              <w:rPr>
                <w:sz w:val="20"/>
                <w:szCs w:val="20"/>
                <w:color w:val="auto"/>
              </w:rPr>
            </w:pPr>
            <w:r>
              <w:rPr>
                <w:rFonts w:ascii="Arial" w:cs="Arial" w:eastAsia="Arial" w:hAnsi="Arial"/>
                <w:sz w:val="16"/>
                <w:szCs w:val="16"/>
                <w:b w:val="1"/>
                <w:bCs w:val="1"/>
                <w:color w:val="auto"/>
                <w:w w:val="91"/>
              </w:rPr>
              <w:t>on Derivative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6"/>
          </w:tcPr>
          <w:p>
            <w:pPr>
              <w:jc w:val="center"/>
              <w:ind w:right="340"/>
              <w:spacing w:after="0"/>
              <w:rPr>
                <w:sz w:val="20"/>
                <w:szCs w:val="20"/>
                <w:color w:val="auto"/>
              </w:rPr>
            </w:pPr>
            <w:r>
              <w:rPr>
                <w:rFonts w:ascii="Arial" w:cs="Arial" w:eastAsia="Arial" w:hAnsi="Arial"/>
                <w:sz w:val="16"/>
                <w:szCs w:val="16"/>
                <w:b w:val="1"/>
                <w:bCs w:val="1"/>
                <w:color w:val="auto"/>
                <w:w w:val="91"/>
              </w:rPr>
              <w:t>on Hedged Item</w:t>
            </w:r>
          </w:p>
        </w:tc>
      </w:tr>
      <w:tr>
        <w:trPr>
          <w:trHeight w:val="198"/>
        </w:trPr>
        <w:tc>
          <w:tcPr>
            <w:tcW w:w="2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5"/>
              </w:rPr>
              <w:t>2013</w:t>
            </w:r>
          </w:p>
        </w:tc>
        <w:tc>
          <w:tcPr>
            <w:tcW w:w="2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r>
      <w:tr>
        <w:trPr>
          <w:trHeight w:val="194"/>
        </w:trPr>
        <w:tc>
          <w:tcPr>
            <w:tcW w:w="20" w:type="dxa"/>
            <w:vAlign w:val="bottom"/>
          </w:tcPr>
          <w:p>
            <w:pPr>
              <w:spacing w:after="0"/>
              <w:rPr>
                <w:sz w:val="16"/>
                <w:szCs w:val="16"/>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Three Months Ended September 30,</w:t>
            </w:r>
          </w:p>
        </w:tc>
        <w:tc>
          <w:tcPr>
            <w:tcW w:w="520" w:type="dxa"/>
            <w:vAlign w:val="bottom"/>
            <w:shd w:val="clear" w:color="auto" w:fill="F0FFFF"/>
          </w:tcPr>
          <w:p>
            <w:pPr>
              <w:spacing w:after="0"/>
              <w:rPr>
                <w:sz w:val="16"/>
                <w:szCs w:val="16"/>
                <w:color w:val="auto"/>
              </w:rPr>
            </w:pPr>
          </w:p>
        </w:tc>
        <w:tc>
          <w:tcPr>
            <w:tcW w:w="24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Fair value hedges of brokered CD’s</w:t>
            </w:r>
          </w:p>
        </w:tc>
        <w:tc>
          <w:tcPr>
            <w:tcW w:w="2940" w:type="dxa"/>
            <w:vAlign w:val="bottom"/>
            <w:gridSpan w:val="2"/>
          </w:tcPr>
          <w:p>
            <w:pPr>
              <w:ind w:left="520"/>
              <w:spacing w:after="0"/>
              <w:rPr>
                <w:sz w:val="20"/>
                <w:szCs w:val="20"/>
                <w:color w:val="auto"/>
              </w:rPr>
            </w:pPr>
            <w:r>
              <w:rPr>
                <w:rFonts w:ascii="Arial" w:cs="Arial" w:eastAsia="Arial" w:hAnsi="Arial"/>
                <w:sz w:val="16"/>
                <w:szCs w:val="16"/>
                <w:color w:val="auto"/>
              </w:rPr>
              <w:t>Interest expense</w:t>
            </w:r>
          </w:p>
        </w:tc>
        <w:tc>
          <w:tcPr>
            <w:tcW w:w="38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(37)</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(2,849)</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(275)</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2,872</w:t>
            </w:r>
          </w:p>
        </w:tc>
      </w:tr>
      <w:tr>
        <w:trPr>
          <w:trHeight w:val="194"/>
        </w:trPr>
        <w:tc>
          <w:tcPr>
            <w:tcW w:w="20" w:type="dxa"/>
            <w:vAlign w:val="bottom"/>
          </w:tcPr>
          <w:p>
            <w:pPr>
              <w:spacing w:after="0"/>
              <w:rPr>
                <w:sz w:val="16"/>
                <w:szCs w:val="16"/>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6"/>
                <w:szCs w:val="16"/>
                <w:color w:val="auto"/>
              </w:rPr>
              <w:t>Fair value hedges of corporate bonds</w:t>
            </w:r>
          </w:p>
        </w:tc>
        <w:tc>
          <w:tcPr>
            <w:tcW w:w="2940" w:type="dxa"/>
            <w:vAlign w:val="bottom"/>
            <w:gridSpan w:val="2"/>
            <w:shd w:val="clear" w:color="auto" w:fill="F0FFFF"/>
          </w:tcPr>
          <w:p>
            <w:pPr>
              <w:ind w:left="520"/>
              <w:spacing w:after="0"/>
              <w:rPr>
                <w:sz w:val="20"/>
                <w:szCs w:val="20"/>
                <w:color w:val="auto"/>
              </w:rPr>
            </w:pPr>
            <w:r>
              <w:rPr>
                <w:rFonts w:ascii="Arial" w:cs="Arial" w:eastAsia="Arial" w:hAnsi="Arial"/>
                <w:sz w:val="16"/>
                <w:szCs w:val="16"/>
                <w:color w:val="auto"/>
              </w:rPr>
              <w:t>Interest revenue</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109</w:t>
            </w:r>
          </w:p>
        </w:tc>
        <w:tc>
          <w:tcPr>
            <w:tcW w:w="20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(94)</w:t>
            </w:r>
          </w:p>
        </w:tc>
      </w:tr>
      <w:tr>
        <w:trPr>
          <w:trHeight w:val="24"/>
        </w:trPr>
        <w:tc>
          <w:tcPr>
            <w:tcW w:w="20" w:type="dxa"/>
            <w:vAlign w:val="bottom"/>
          </w:tcPr>
          <w:p>
            <w:pPr>
              <w:spacing w:after="0"/>
              <w:rPr>
                <w:sz w:val="2"/>
                <w:szCs w:val="2"/>
                <w:color w:val="auto"/>
              </w:rPr>
            </w:pPr>
          </w:p>
        </w:tc>
        <w:tc>
          <w:tcPr>
            <w:tcW w:w="3000" w:type="dxa"/>
            <w:vAlign w:val="bottom"/>
            <w:shd w:val="clear" w:color="auto" w:fill="F0FFFF"/>
          </w:tcPr>
          <w:p>
            <w:pPr>
              <w:spacing w:after="0"/>
              <w:rPr>
                <w:sz w:val="2"/>
                <w:szCs w:val="2"/>
                <w:color w:val="auto"/>
              </w:rPr>
            </w:pPr>
          </w:p>
        </w:tc>
        <w:tc>
          <w:tcPr>
            <w:tcW w:w="520" w:type="dxa"/>
            <w:vAlign w:val="bottom"/>
            <w:shd w:val="clear" w:color="auto" w:fill="F0FFFF"/>
          </w:tcPr>
          <w:p>
            <w:pPr>
              <w:spacing w:after="0"/>
              <w:rPr>
                <w:sz w:val="2"/>
                <w:szCs w:val="2"/>
                <w:color w:val="auto"/>
              </w:rPr>
            </w:pPr>
          </w:p>
        </w:tc>
        <w:tc>
          <w:tcPr>
            <w:tcW w:w="24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(37)</w:t>
            </w: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(2,740)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(275)</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2,778</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3000" w:type="dxa"/>
            <w:vAlign w:val="bottom"/>
            <w:shd w:val="clear" w:color="auto" w:fill="F0FFFF"/>
          </w:tcPr>
          <w:p>
            <w:pPr>
              <w:spacing w:after="0" w:line="183" w:lineRule="exact"/>
              <w:rPr>
                <w:sz w:val="20"/>
                <w:szCs w:val="20"/>
                <w:color w:val="auto"/>
              </w:rPr>
            </w:pPr>
            <w:r>
              <w:rPr>
                <w:rFonts w:ascii="Arial" w:cs="Arial" w:eastAsia="Arial" w:hAnsi="Arial"/>
                <w:sz w:val="16"/>
                <w:szCs w:val="16"/>
                <w:b w:val="1"/>
                <w:bCs w:val="1"/>
                <w:color w:val="auto"/>
              </w:rPr>
              <w:t>Nine Months Ended September 30,</w:t>
            </w:r>
          </w:p>
        </w:tc>
        <w:tc>
          <w:tcPr>
            <w:tcW w:w="520" w:type="dxa"/>
            <w:vAlign w:val="bottom"/>
            <w:shd w:val="clear" w:color="auto" w:fill="F0FFFF"/>
          </w:tcPr>
          <w:p>
            <w:pPr>
              <w:spacing w:after="0"/>
              <w:rPr>
                <w:sz w:val="15"/>
                <w:szCs w:val="15"/>
                <w:color w:val="auto"/>
              </w:rPr>
            </w:pPr>
          </w:p>
        </w:tc>
        <w:tc>
          <w:tcPr>
            <w:tcW w:w="24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38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Fair value hedges of brokered CD’s</w:t>
            </w:r>
          </w:p>
        </w:tc>
        <w:tc>
          <w:tcPr>
            <w:tcW w:w="2940" w:type="dxa"/>
            <w:vAlign w:val="bottom"/>
            <w:gridSpan w:val="2"/>
          </w:tcPr>
          <w:p>
            <w:pPr>
              <w:ind w:left="520"/>
              <w:spacing w:after="0"/>
              <w:rPr>
                <w:sz w:val="20"/>
                <w:szCs w:val="20"/>
                <w:color w:val="auto"/>
              </w:rPr>
            </w:pPr>
            <w:r>
              <w:rPr>
                <w:rFonts w:ascii="Arial" w:cs="Arial" w:eastAsia="Arial" w:hAnsi="Arial"/>
                <w:sz w:val="16"/>
                <w:szCs w:val="16"/>
                <w:color w:val="auto"/>
              </w:rPr>
              <w:t>Interest expense</w:t>
            </w:r>
          </w:p>
        </w:tc>
        <w:tc>
          <w:tcPr>
            <w:tcW w:w="38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10,078</w:t>
            </w:r>
          </w:p>
        </w:tc>
        <w:tc>
          <w:tcPr>
            <w:tcW w:w="140" w:type="dxa"/>
            <w:vAlign w:val="bottom"/>
          </w:tcPr>
          <w:p>
            <w:pPr>
              <w:spacing w:after="0"/>
              <w:rPr>
                <w:sz w:val="16"/>
                <w:szCs w:val="16"/>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(20,134)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(10,691)</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19,988</w:t>
            </w:r>
          </w:p>
        </w:tc>
      </w:tr>
      <w:tr>
        <w:trPr>
          <w:trHeight w:val="194"/>
        </w:trPr>
        <w:tc>
          <w:tcPr>
            <w:tcW w:w="20" w:type="dxa"/>
            <w:vAlign w:val="bottom"/>
          </w:tcPr>
          <w:p>
            <w:pPr>
              <w:spacing w:after="0"/>
              <w:rPr>
                <w:sz w:val="16"/>
                <w:szCs w:val="16"/>
                <w:color w:val="auto"/>
              </w:rPr>
            </w:pPr>
          </w:p>
        </w:tc>
        <w:tc>
          <w:tcPr>
            <w:tcW w:w="3000" w:type="dxa"/>
            <w:vAlign w:val="bottom"/>
            <w:shd w:val="clear" w:color="auto" w:fill="F0FFFF"/>
          </w:tcPr>
          <w:p>
            <w:pPr>
              <w:spacing w:after="0"/>
              <w:rPr>
                <w:sz w:val="20"/>
                <w:szCs w:val="20"/>
                <w:color w:val="auto"/>
              </w:rPr>
            </w:pPr>
            <w:r>
              <w:rPr>
                <w:rFonts w:ascii="Arial" w:cs="Arial" w:eastAsia="Arial" w:hAnsi="Arial"/>
                <w:sz w:val="16"/>
                <w:szCs w:val="16"/>
                <w:color w:val="auto"/>
              </w:rPr>
              <w:t>Fair value hedges of corporate bonds</w:t>
            </w:r>
          </w:p>
        </w:tc>
        <w:tc>
          <w:tcPr>
            <w:tcW w:w="2940" w:type="dxa"/>
            <w:vAlign w:val="bottom"/>
            <w:gridSpan w:val="2"/>
            <w:shd w:val="clear" w:color="auto" w:fill="F0FFFF"/>
          </w:tcPr>
          <w:p>
            <w:pPr>
              <w:ind w:left="520"/>
              <w:spacing w:after="0"/>
              <w:rPr>
                <w:sz w:val="20"/>
                <w:szCs w:val="20"/>
                <w:color w:val="auto"/>
              </w:rPr>
            </w:pPr>
            <w:r>
              <w:rPr>
                <w:rFonts w:ascii="Arial" w:cs="Arial" w:eastAsia="Arial" w:hAnsi="Arial"/>
                <w:sz w:val="16"/>
                <w:szCs w:val="16"/>
                <w:color w:val="auto"/>
              </w:rPr>
              <w:t>Interest revenue</w:t>
            </w:r>
          </w:p>
        </w:tc>
        <w:tc>
          <w:tcPr>
            <w:tcW w:w="12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4,338</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2,163</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(3,951)</w:t>
            </w:r>
          </w:p>
        </w:tc>
      </w:tr>
      <w:tr>
        <w:trPr>
          <w:trHeight w:val="24"/>
        </w:trPr>
        <w:tc>
          <w:tcPr>
            <w:tcW w:w="20" w:type="dxa"/>
            <w:vAlign w:val="bottom"/>
          </w:tcPr>
          <w:p>
            <w:pPr>
              <w:spacing w:after="0"/>
              <w:rPr>
                <w:sz w:val="2"/>
                <w:szCs w:val="2"/>
                <w:color w:val="auto"/>
              </w:rPr>
            </w:pPr>
          </w:p>
        </w:tc>
        <w:tc>
          <w:tcPr>
            <w:tcW w:w="3000" w:type="dxa"/>
            <w:vAlign w:val="bottom"/>
            <w:shd w:val="clear" w:color="auto" w:fill="F0FFFF"/>
          </w:tcPr>
          <w:p>
            <w:pPr>
              <w:spacing w:after="0"/>
              <w:rPr>
                <w:sz w:val="2"/>
                <w:szCs w:val="2"/>
                <w:color w:val="auto"/>
              </w:rPr>
            </w:pPr>
          </w:p>
        </w:tc>
        <w:tc>
          <w:tcPr>
            <w:tcW w:w="520" w:type="dxa"/>
            <w:vAlign w:val="bottom"/>
            <w:shd w:val="clear" w:color="auto" w:fill="F0FFFF"/>
          </w:tcPr>
          <w:p>
            <w:pPr>
              <w:spacing w:after="0"/>
              <w:rPr>
                <w:sz w:val="2"/>
                <w:szCs w:val="2"/>
                <w:color w:val="auto"/>
              </w:rPr>
            </w:pPr>
          </w:p>
        </w:tc>
        <w:tc>
          <w:tcPr>
            <w:tcW w:w="24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7,591</w:t>
            </w:r>
          </w:p>
        </w:tc>
        <w:tc>
          <w:tcPr>
            <w:tcW w:w="140" w:type="dxa"/>
            <w:vAlign w:val="bottom"/>
          </w:tcPr>
          <w:p>
            <w:pPr>
              <w:spacing w:after="0"/>
              <w:rPr>
                <w:sz w:val="16"/>
                <w:szCs w:val="16"/>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(15,796)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(8,528)</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16,037</w:t>
            </w: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In certain cases, the estate of deceased brokered certificate of deposit holders may put the certificate of deposit back to the issuing bank at par upon the death of the holder. When these estate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estate puts and such gains and losses are included in the amount of reported ineffectiveness gains or losses.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14" w:right="21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20" w:type="dxa"/>
            <w:vAlign w:val="bottom"/>
            <w:gridSpan w:val="10"/>
          </w:tcPr>
          <w:p>
            <w:pPr>
              <w:spacing w:after="0"/>
              <w:rPr>
                <w:sz w:val="20"/>
                <w:szCs w:val="20"/>
                <w:color w:val="auto"/>
              </w:rPr>
            </w:pPr>
            <w:r>
              <w:rPr>
                <w:rFonts w:ascii="Arial" w:cs="Arial" w:eastAsia="Arial" w:hAnsi="Arial"/>
                <w:sz w:val="16"/>
                <w:szCs w:val="16"/>
                <w:b w:val="1"/>
                <w:bCs w:val="1"/>
                <w:color w:val="auto"/>
              </w:rPr>
              <w:t xml:space="preserve">Derivatives in Cash Flow Hedging Relationships </w:t>
            </w:r>
            <w:r>
              <w:rPr>
                <w:rFonts w:ascii="Arial" w:cs="Arial" w:eastAsia="Arial" w:hAnsi="Arial"/>
                <w:sz w:val="16"/>
                <w:szCs w:val="16"/>
                <w:i w:val="1"/>
                <w:iCs w:val="1"/>
                <w:color w:val="auto"/>
              </w:rPr>
              <w:t>(in thousands)</w:t>
            </w: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1"/>
              </w:rPr>
              <w:t>Amount of Gain (Loss)</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w w:val="91"/>
              </w:rPr>
              <w:t>Recognized in Other</w:t>
            </w:r>
          </w:p>
        </w:tc>
        <w:tc>
          <w:tcPr>
            <w:tcW w:w="3220" w:type="dxa"/>
            <w:vAlign w:val="bottom"/>
            <w:gridSpan w:val="8"/>
          </w:tcPr>
          <w:p>
            <w:pPr>
              <w:jc w:val="center"/>
              <w:ind w:left="219"/>
              <w:spacing w:after="0"/>
              <w:rPr>
                <w:sz w:val="20"/>
                <w:szCs w:val="20"/>
                <w:color w:val="auto"/>
              </w:rPr>
            </w:pPr>
            <w:r>
              <w:rPr>
                <w:rFonts w:ascii="Arial" w:cs="Arial" w:eastAsia="Arial" w:hAnsi="Arial"/>
                <w:sz w:val="16"/>
                <w:szCs w:val="16"/>
                <w:b w:val="1"/>
                <w:bCs w:val="1"/>
                <w:color w:val="auto"/>
                <w:w w:val="90"/>
              </w:rPr>
              <w:t>Gain (Loss) Reclassified from</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Comprehensive</w:t>
            </w:r>
          </w:p>
        </w:tc>
        <w:tc>
          <w:tcPr>
            <w:tcW w:w="3220" w:type="dxa"/>
            <w:vAlign w:val="bottom"/>
            <w:gridSpan w:val="8"/>
          </w:tcPr>
          <w:p>
            <w:pPr>
              <w:jc w:val="center"/>
              <w:ind w:left="239"/>
              <w:spacing w:after="0"/>
              <w:rPr>
                <w:sz w:val="20"/>
                <w:szCs w:val="20"/>
                <w:color w:val="auto"/>
              </w:rPr>
            </w:pPr>
            <w:r>
              <w:rPr>
                <w:rFonts w:ascii="Arial" w:cs="Arial" w:eastAsia="Arial" w:hAnsi="Arial"/>
                <w:sz w:val="16"/>
                <w:szCs w:val="16"/>
                <w:b w:val="1"/>
                <w:bCs w:val="1"/>
                <w:color w:val="auto"/>
                <w:w w:val="91"/>
              </w:rPr>
              <w:t>Accumulated Other Comprehensive</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40" w:type="dxa"/>
            <w:vAlign w:val="bottom"/>
            <w:gridSpan w:val="10"/>
          </w:tcPr>
          <w:p>
            <w:pPr>
              <w:jc w:val="center"/>
              <w:ind w:right="120"/>
              <w:spacing w:after="0"/>
              <w:rPr>
                <w:sz w:val="20"/>
                <w:szCs w:val="20"/>
                <w:color w:val="auto"/>
              </w:rPr>
            </w:pPr>
            <w:r>
              <w:rPr>
                <w:rFonts w:ascii="Arial" w:cs="Arial" w:eastAsia="Arial" w:hAnsi="Arial"/>
                <w:sz w:val="16"/>
                <w:szCs w:val="16"/>
                <w:b w:val="1"/>
                <w:bCs w:val="1"/>
                <w:color w:val="auto"/>
                <w:w w:val="90"/>
              </w:rPr>
              <w:t>Gain (Loss) Recognized in Income 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1"/>
              </w:rPr>
              <w:t>Income on Derivative</w:t>
            </w:r>
          </w:p>
        </w:tc>
        <w:tc>
          <w:tcPr>
            <w:tcW w:w="1060" w:type="dxa"/>
            <w:vAlign w:val="bottom"/>
          </w:tcPr>
          <w:p>
            <w:pPr>
              <w:spacing w:after="0"/>
              <w:rPr>
                <w:sz w:val="16"/>
                <w:szCs w:val="16"/>
                <w:color w:val="auto"/>
              </w:rPr>
            </w:pPr>
          </w:p>
        </w:tc>
        <w:tc>
          <w:tcPr>
            <w:tcW w:w="1460" w:type="dxa"/>
            <w:vAlign w:val="bottom"/>
            <w:gridSpan w:val="6"/>
          </w:tcPr>
          <w:p>
            <w:pPr>
              <w:jc w:val="center"/>
              <w:ind w:right="40"/>
              <w:spacing w:after="0"/>
              <w:rPr>
                <w:sz w:val="20"/>
                <w:szCs w:val="20"/>
                <w:color w:val="auto"/>
              </w:rPr>
            </w:pPr>
            <w:r>
              <w:rPr>
                <w:rFonts w:ascii="Arial" w:cs="Arial" w:eastAsia="Arial" w:hAnsi="Arial"/>
                <w:sz w:val="16"/>
                <w:szCs w:val="16"/>
                <w:b w:val="1"/>
                <w:bCs w:val="1"/>
                <w:color w:val="auto"/>
                <w:w w:val="91"/>
              </w:rPr>
              <w:t>Income into Income</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94"/>
              </w:rPr>
              <w:t>Derivative</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6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(Effective Portion)</w:t>
            </w:r>
          </w:p>
        </w:tc>
        <w:tc>
          <w:tcPr>
            <w:tcW w:w="1060" w:type="dxa"/>
            <w:vAlign w:val="bottom"/>
          </w:tcPr>
          <w:p>
            <w:pPr>
              <w:spacing w:after="0"/>
              <w:rPr>
                <w:sz w:val="18"/>
                <w:szCs w:val="18"/>
                <w:color w:val="auto"/>
              </w:rPr>
            </w:pPr>
          </w:p>
        </w:tc>
        <w:tc>
          <w:tcPr>
            <w:tcW w:w="1460" w:type="dxa"/>
            <w:vAlign w:val="bottom"/>
            <w:gridSpan w:val="6"/>
          </w:tcPr>
          <w:p>
            <w:pPr>
              <w:jc w:val="center"/>
              <w:ind w:right="60"/>
              <w:spacing w:after="0"/>
              <w:rPr>
                <w:sz w:val="20"/>
                <w:szCs w:val="20"/>
                <w:color w:val="auto"/>
              </w:rPr>
            </w:pPr>
            <w:r>
              <w:rPr>
                <w:rFonts w:ascii="Arial" w:cs="Arial" w:eastAsia="Arial" w:hAnsi="Arial"/>
                <w:sz w:val="16"/>
                <w:szCs w:val="16"/>
                <w:b w:val="1"/>
                <w:bCs w:val="1"/>
                <w:color w:val="auto"/>
                <w:w w:val="92"/>
              </w:rPr>
              <w:t>(Effective Portion)</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6"/>
          </w:tcPr>
          <w:p>
            <w:pPr>
              <w:jc w:val="center"/>
              <w:ind w:right="40"/>
              <w:spacing w:after="0"/>
              <w:rPr>
                <w:sz w:val="20"/>
                <w:szCs w:val="20"/>
                <w:color w:val="auto"/>
              </w:rPr>
            </w:pPr>
            <w:r>
              <w:rPr>
                <w:rFonts w:ascii="Arial" w:cs="Arial" w:eastAsia="Arial" w:hAnsi="Arial"/>
                <w:sz w:val="16"/>
                <w:szCs w:val="16"/>
                <w:b w:val="1"/>
                <w:bCs w:val="1"/>
                <w:color w:val="auto"/>
                <w:w w:val="93"/>
              </w:rPr>
              <w:t>(Ineffective Portion)</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b w:val="1"/>
                <w:bCs w:val="1"/>
                <w:color w:val="auto"/>
              </w:rPr>
              <w:t>Location</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b w:val="1"/>
                <w:bCs w:val="1"/>
                <w:color w:val="auto"/>
              </w:rPr>
              <w:t>2013</w:t>
            </w: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6"/>
                <w:szCs w:val="16"/>
                <w:b w:val="1"/>
                <w:bCs w:val="1"/>
                <w:color w:val="auto"/>
              </w:rPr>
              <w:t>Location</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80" w:type="dxa"/>
            <w:vAlign w:val="bottom"/>
            <w:gridSpan w:val="5"/>
            <w:shd w:val="clear" w:color="auto" w:fill="F0FFFF"/>
          </w:tcPr>
          <w:p>
            <w:pPr>
              <w:spacing w:after="0"/>
              <w:rPr>
                <w:sz w:val="20"/>
                <w:szCs w:val="20"/>
                <w:color w:val="auto"/>
              </w:rPr>
            </w:pPr>
            <w:r>
              <w:rPr>
                <w:rFonts w:ascii="Arial" w:cs="Arial" w:eastAsia="Arial" w:hAnsi="Arial"/>
                <w:sz w:val="16"/>
                <w:szCs w:val="16"/>
                <w:b w:val="1"/>
                <w:bCs w:val="1"/>
                <w:color w:val="auto"/>
              </w:rPr>
              <w:t>Three Months Ended September 30,</w:t>
            </w:r>
          </w:p>
        </w:tc>
        <w:tc>
          <w:tcPr>
            <w:tcW w:w="22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3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color w:val="auto"/>
                <w:w w:val="89"/>
              </w:rPr>
              <w:t>Interest revenue</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20"/>
                <w:szCs w:val="20"/>
                <w:color w:val="auto"/>
              </w:rPr>
            </w:pPr>
            <w:r>
              <w:rPr>
                <w:rFonts w:ascii="Arial" w:cs="Arial" w:eastAsia="Arial" w:hAnsi="Arial"/>
                <w:sz w:val="16"/>
                <w:szCs w:val="16"/>
                <w:color w:val="auto"/>
                <w:w w:val="87"/>
              </w:rPr>
              <w:t>Interest expense</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4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4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60" w:type="dxa"/>
            <w:vAlign w:val="bottom"/>
            <w:shd w:val="clear" w:color="auto" w:fill="F0FFFF"/>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80" w:type="dxa"/>
            <w:vAlign w:val="bottom"/>
            <w:shd w:val="clear" w:color="auto" w:fill="F0FFFF"/>
          </w:tcPr>
          <w:p>
            <w:pPr>
              <w:spacing w:after="0"/>
              <w:rPr>
                <w:sz w:val="2"/>
                <w:szCs w:val="2"/>
                <w:color w:val="auto"/>
              </w:rPr>
            </w:pPr>
          </w:p>
        </w:tc>
        <w:tc>
          <w:tcPr>
            <w:tcW w:w="6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9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1460" w:type="dxa"/>
            <w:vAlign w:val="bottom"/>
          </w:tcPr>
          <w:p>
            <w:pPr>
              <w:spacing w:after="0"/>
              <w:rPr>
                <w:sz w:val="20"/>
                <w:szCs w:val="20"/>
                <w:color w:val="auto"/>
              </w:rPr>
            </w:pPr>
            <w:r>
              <w:rPr>
                <w:rFonts w:ascii="Arial" w:cs="Arial" w:eastAsia="Arial" w:hAnsi="Arial"/>
                <w:sz w:val="16"/>
                <w:szCs w:val="16"/>
                <w:color w:val="auto"/>
              </w:rPr>
              <w:t>Interest rate swaps</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6"/>
                <w:szCs w:val="16"/>
                <w:color w:val="auto"/>
              </w:rPr>
              <w:t>412</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(3,507)</w:t>
            </w:r>
          </w:p>
        </w:tc>
        <w:tc>
          <w:tcPr>
            <w:tcW w:w="1060" w:type="dxa"/>
            <w:vAlign w:val="bottom"/>
          </w:tcPr>
          <w:p>
            <w:pPr>
              <w:spacing w:after="0"/>
              <w:rPr>
                <w:sz w:val="20"/>
                <w:szCs w:val="20"/>
                <w:color w:val="auto"/>
              </w:rPr>
            </w:pPr>
            <w:r>
              <w:rPr>
                <w:rFonts w:ascii="Arial" w:cs="Arial" w:eastAsia="Arial" w:hAnsi="Arial"/>
                <w:sz w:val="16"/>
                <w:szCs w:val="16"/>
                <w:color w:val="auto"/>
              </w:rPr>
              <w:t>Total</w:t>
            </w:r>
          </w:p>
        </w:tc>
        <w:tc>
          <w:tcPr>
            <w:tcW w:w="40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(711)</w:t>
            </w:r>
          </w:p>
        </w:tc>
        <w:tc>
          <w:tcPr>
            <w:tcW w:w="100" w:type="dxa"/>
            <w:vAlign w:val="bottom"/>
          </w:tcPr>
          <w:p>
            <w:pPr>
              <w:spacing w:after="0"/>
              <w:rPr>
                <w:sz w:val="16"/>
                <w:szCs w:val="16"/>
                <w:color w:val="auto"/>
              </w:rPr>
            </w:pPr>
          </w:p>
        </w:tc>
        <w:tc>
          <w:tcPr>
            <w:tcW w:w="700" w:type="dxa"/>
            <w:vAlign w:val="bottom"/>
          </w:tcPr>
          <w:p>
            <w:pPr>
              <w:jc w:val="right"/>
              <w:ind w:right="543"/>
              <w:spacing w:after="0"/>
              <w:rPr>
                <w:sz w:val="20"/>
                <w:szCs w:val="20"/>
                <w:color w:val="auto"/>
              </w:rPr>
            </w:pPr>
            <w:r>
              <w:rPr>
                <w:rFonts w:ascii="Arial" w:cs="Arial" w:eastAsia="Arial" w:hAnsi="Arial"/>
                <w:sz w:val="15"/>
                <w:szCs w:val="15"/>
                <w:color w:val="auto"/>
                <w:w w:val="71"/>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6"/>
                <w:szCs w:val="16"/>
                <w:color w:val="auto"/>
              </w:rPr>
            </w:pPr>
          </w:p>
        </w:tc>
        <w:tc>
          <w:tcPr>
            <w:tcW w:w="1080" w:type="dxa"/>
            <w:vAlign w:val="bottom"/>
          </w:tcPr>
          <w:p>
            <w:pPr>
              <w:spacing w:after="0"/>
              <w:rPr>
                <w:sz w:val="20"/>
                <w:szCs w:val="20"/>
                <w:color w:val="auto"/>
              </w:rPr>
            </w:pPr>
            <w:r>
              <w:rPr>
                <w:rFonts w:ascii="Arial" w:cs="Arial" w:eastAsia="Arial" w:hAnsi="Arial"/>
                <w:sz w:val="16"/>
                <w:szCs w:val="16"/>
                <w:color w:val="auto"/>
                <w:w w:val="89"/>
              </w:rPr>
              <w:t>Interest expense</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1580" w:type="dxa"/>
            <w:vAlign w:val="bottom"/>
            <w:gridSpan w:val="2"/>
            <w:shd w:val="clear" w:color="auto" w:fill="F0FFFF"/>
          </w:tcPr>
          <w:p>
            <w:pPr>
              <w:spacing w:after="0"/>
              <w:rPr>
                <w:sz w:val="15"/>
                <w:szCs w:val="15"/>
                <w:color w:val="auto"/>
              </w:rPr>
            </w:pPr>
          </w:p>
        </w:tc>
        <w:tc>
          <w:tcPr>
            <w:tcW w:w="1060" w:type="dxa"/>
            <w:vAlign w:val="bottom"/>
            <w:gridSpan w:val="2"/>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8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700" w:type="dxa"/>
            <w:vAlign w:val="bottom"/>
            <w:shd w:val="clear" w:color="auto" w:fill="F0FFFF"/>
          </w:tcPr>
          <w:p>
            <w:pPr>
              <w:spacing w:after="0"/>
              <w:rPr>
                <w:sz w:val="15"/>
                <w:szCs w:val="15"/>
                <w:color w:val="auto"/>
              </w:rPr>
            </w:pPr>
          </w:p>
        </w:tc>
        <w:tc>
          <w:tcPr>
            <w:tcW w:w="3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9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8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2880" w:type="dxa"/>
            <w:vAlign w:val="bottom"/>
            <w:gridSpan w:val="5"/>
          </w:tcPr>
          <w:p>
            <w:pPr>
              <w:spacing w:after="0"/>
              <w:rPr>
                <w:sz w:val="20"/>
                <w:szCs w:val="20"/>
                <w:color w:val="auto"/>
              </w:rPr>
            </w:pPr>
            <w:r>
              <w:rPr>
                <w:rFonts w:ascii="Arial" w:cs="Arial" w:eastAsia="Arial" w:hAnsi="Arial"/>
                <w:sz w:val="16"/>
                <w:szCs w:val="16"/>
                <w:b w:val="1"/>
                <w:bCs w:val="1"/>
                <w:color w:val="auto"/>
              </w:rPr>
              <w:t>Nine Months Ended September 30,</w:t>
            </w: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20"/>
                <w:szCs w:val="20"/>
                <w:color w:val="auto"/>
              </w:rPr>
            </w:pPr>
            <w:r>
              <w:rPr>
                <w:rFonts w:ascii="Arial" w:cs="Arial" w:eastAsia="Arial" w:hAnsi="Arial"/>
                <w:sz w:val="16"/>
                <w:szCs w:val="16"/>
                <w:color w:val="auto"/>
                <w:w w:val="89"/>
              </w:rPr>
              <w:t>Interest revenue</w:t>
            </w:r>
          </w:p>
        </w:tc>
        <w:tc>
          <w:tcPr>
            <w:tcW w:w="400" w:type="dxa"/>
            <w:vAlign w:val="bottom"/>
            <w:gridSpan w:val="3"/>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60" w:type="dxa"/>
            <w:vAlign w:val="bottom"/>
            <w:gridSpan w:val="3"/>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700" w:type="dxa"/>
            <w:vAlign w:val="bottom"/>
            <w:shd w:val="clear" w:color="auto" w:fill="F0FFFF"/>
          </w:tcPr>
          <w:p>
            <w:pPr>
              <w:jc w:val="right"/>
              <w:ind w:right="54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902</w:t>
            </w:r>
          </w:p>
        </w:tc>
        <w:tc>
          <w:tcPr>
            <w:tcW w:w="108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20"/>
                <w:szCs w:val="20"/>
                <w:color w:val="auto"/>
              </w:rPr>
            </w:pPr>
            <w:r>
              <w:rPr>
                <w:rFonts w:ascii="Arial" w:cs="Arial" w:eastAsia="Arial" w:hAnsi="Arial"/>
                <w:sz w:val="16"/>
                <w:szCs w:val="16"/>
                <w:color w:val="auto"/>
                <w:w w:val="87"/>
              </w:rPr>
              <w:t>Interest expense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(1,381)</w:t>
            </w: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1460" w:type="dxa"/>
            <w:vAlign w:val="bottom"/>
            <w:shd w:val="clear" w:color="auto" w:fill="F0FFFF"/>
          </w:tcPr>
          <w:p>
            <w:pPr>
              <w:spacing w:after="0"/>
              <w:rPr>
                <w:sz w:val="20"/>
                <w:szCs w:val="20"/>
                <w:color w:val="auto"/>
              </w:rPr>
            </w:pPr>
            <w:r>
              <w:rPr>
                <w:rFonts w:ascii="Arial" w:cs="Arial" w:eastAsia="Arial" w:hAnsi="Arial"/>
                <w:sz w:val="16"/>
                <w:szCs w:val="16"/>
                <w:color w:val="auto"/>
              </w:rPr>
              <w:t>Interest rate swaps</w:t>
            </w:r>
          </w:p>
        </w:tc>
        <w:tc>
          <w:tcPr>
            <w:tcW w:w="3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(5,967)</w:t>
            </w: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8,595</w:t>
            </w:r>
          </w:p>
        </w:tc>
        <w:tc>
          <w:tcPr>
            <w:tcW w:w="1060" w:type="dxa"/>
            <w:vAlign w:val="bottom"/>
            <w:shd w:val="clear" w:color="auto" w:fill="F0FFFF"/>
          </w:tcPr>
          <w:p>
            <w:pPr>
              <w:spacing w:after="0"/>
              <w:rPr>
                <w:sz w:val="20"/>
                <w:szCs w:val="20"/>
                <w:color w:val="auto"/>
              </w:rPr>
            </w:pPr>
            <w:r>
              <w:rPr>
                <w:rFonts w:ascii="Arial" w:cs="Arial" w:eastAsia="Arial" w:hAnsi="Arial"/>
                <w:sz w:val="16"/>
                <w:szCs w:val="16"/>
                <w:color w:val="auto"/>
              </w:rPr>
              <w:t>Total</w:t>
            </w:r>
          </w:p>
        </w:tc>
        <w:tc>
          <w:tcPr>
            <w:tcW w:w="400" w:type="dxa"/>
            <w:vAlign w:val="bottom"/>
            <w:gridSpan w:val="3"/>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(1,381)</w:t>
            </w:r>
          </w:p>
        </w:tc>
        <w:tc>
          <w:tcPr>
            <w:tcW w:w="100" w:type="dxa"/>
            <w:vAlign w:val="bottom"/>
            <w:shd w:val="clear" w:color="auto" w:fill="F0FFFF"/>
          </w:tcPr>
          <w:p>
            <w:pPr>
              <w:spacing w:after="0"/>
              <w:rPr>
                <w:sz w:val="20"/>
                <w:szCs w:val="20"/>
                <w:color w:val="auto"/>
              </w:rPr>
            </w:pPr>
          </w:p>
        </w:tc>
        <w:tc>
          <w:tcPr>
            <w:tcW w:w="700" w:type="dxa"/>
            <w:vAlign w:val="bottom"/>
            <w:shd w:val="clear" w:color="auto" w:fill="F0FFFF"/>
          </w:tcPr>
          <w:p>
            <w:pPr>
              <w:jc w:val="right"/>
              <w:ind w:right="543"/>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902</w:t>
            </w:r>
          </w:p>
        </w:tc>
        <w:tc>
          <w:tcPr>
            <w:tcW w:w="1080" w:type="dxa"/>
            <w:vAlign w:val="bottom"/>
            <w:shd w:val="clear" w:color="auto" w:fill="F0FFFF"/>
          </w:tcPr>
          <w:p>
            <w:pPr>
              <w:spacing w:after="0"/>
              <w:rPr>
                <w:sz w:val="20"/>
                <w:szCs w:val="20"/>
                <w:color w:val="auto"/>
              </w:rPr>
            </w:pPr>
            <w:r>
              <w:rPr>
                <w:rFonts w:ascii="Arial" w:cs="Arial" w:eastAsia="Arial" w:hAnsi="Arial"/>
                <w:sz w:val="16"/>
                <w:szCs w:val="16"/>
                <w:color w:val="auto"/>
                <w:w w:val="89"/>
              </w:rPr>
              <w:t>Interest expense</w:t>
            </w:r>
          </w:p>
        </w:tc>
        <w:tc>
          <w:tcPr>
            <w:tcW w:w="320" w:type="dxa"/>
            <w:vAlign w:val="bottom"/>
            <w:gridSpan w:val="3"/>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(73)</w:t>
            </w:r>
          </w:p>
        </w:tc>
        <w:tc>
          <w:tcPr>
            <w:tcW w:w="100" w:type="dxa"/>
            <w:vAlign w:val="bottom"/>
            <w:shd w:val="clear" w:color="auto" w:fill="F0FFFF"/>
          </w:tcPr>
          <w:p>
            <w:pPr>
              <w:spacing w:after="0"/>
              <w:rPr>
                <w:sz w:val="20"/>
                <w:szCs w:val="20"/>
                <w:color w:val="auto"/>
              </w:rPr>
            </w:pPr>
          </w:p>
        </w:tc>
        <w:tc>
          <w:tcPr>
            <w:tcW w:w="200" w:type="dxa"/>
            <w:vAlign w:val="bottom"/>
            <w:shd w:val="clear" w:color="auto" w:fill="F0FFFF"/>
          </w:tcPr>
          <w:p>
            <w:pPr>
              <w:jc w:val="right"/>
              <w:ind w:right="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146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200" w:type="dxa"/>
            <w:vAlign w:val="bottom"/>
            <w:tcBorders>
              <w:top w:val="single" w:sz="8" w:color="auto"/>
              <w:bottom w:val="single" w:sz="8" w:color="DCDCDC"/>
            </w:tcBorders>
          </w:tcPr>
          <w:p>
            <w:pPr>
              <w:spacing w:after="0"/>
              <w:rPr>
                <w:sz w:val="24"/>
                <w:szCs w:val="24"/>
                <w:color w:val="auto"/>
              </w:rPr>
            </w:pPr>
          </w:p>
        </w:tc>
        <w:tc>
          <w:tcPr>
            <w:tcW w:w="860" w:type="dxa"/>
            <w:vAlign w:val="bottom"/>
            <w:tcBorders>
              <w:top w:val="single" w:sz="8" w:color="auto"/>
              <w:bottom w:val="single" w:sz="8" w:color="DCDCDC"/>
            </w:tcBorders>
          </w:tcPr>
          <w:p>
            <w:pPr>
              <w:spacing w:after="0"/>
              <w:rPr>
                <w:sz w:val="24"/>
                <w:szCs w:val="24"/>
                <w:color w:val="auto"/>
              </w:rPr>
            </w:pPr>
          </w:p>
        </w:tc>
        <w:tc>
          <w:tcPr>
            <w:tcW w:w="240" w:type="dxa"/>
            <w:vAlign w:val="bottom"/>
            <w:tcBorders>
              <w:top w:val="single" w:sz="8" w:color="F0FF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82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06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80" w:type="dxa"/>
            <w:vAlign w:val="bottom"/>
            <w:tcBorders>
              <w:top w:val="single" w:sz="8" w:color="auto"/>
              <w:bottom w:val="single" w:sz="8" w:color="DCDCDC"/>
            </w:tcBorders>
          </w:tcPr>
          <w:p>
            <w:pPr>
              <w:spacing w:after="0"/>
              <w:rPr>
                <w:sz w:val="24"/>
                <w:szCs w:val="24"/>
                <w:color w:val="auto"/>
              </w:rPr>
            </w:pPr>
          </w:p>
        </w:tc>
        <w:tc>
          <w:tcPr>
            <w:tcW w:w="840" w:type="dxa"/>
            <w:vAlign w:val="bottom"/>
            <w:tcBorders>
              <w:top w:val="single" w:sz="8" w:color="auto"/>
              <w:bottom w:val="single" w:sz="8" w:color="DCDCDC"/>
            </w:tcBorders>
          </w:tcPr>
          <w:p>
            <w:pPr>
              <w:jc w:val="right"/>
              <w:ind w:right="479"/>
              <w:spacing w:after="0"/>
              <w:rPr>
                <w:sz w:val="20"/>
                <w:szCs w:val="20"/>
                <w:color w:val="auto"/>
              </w:rPr>
            </w:pPr>
            <w:r>
              <w:rPr>
                <w:rFonts w:ascii="Arial" w:cs="Arial" w:eastAsia="Arial" w:hAnsi="Arial"/>
                <w:sz w:val="16"/>
                <w:szCs w:val="16"/>
                <w:color w:val="auto"/>
              </w:rPr>
              <w:t>31</w:t>
            </w:r>
          </w:p>
        </w:tc>
        <w:tc>
          <w:tcPr>
            <w:tcW w:w="1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700" w:type="dxa"/>
            <w:vAlign w:val="bottom"/>
            <w:tcBorders>
              <w:top w:val="single" w:sz="8" w:color="auto"/>
              <w:bottom w:val="single" w:sz="8" w:color="DCDCDC"/>
            </w:tcBorders>
          </w:tcPr>
          <w:p>
            <w:pPr>
              <w:spacing w:after="0"/>
              <w:rPr>
                <w:sz w:val="24"/>
                <w:szCs w:val="24"/>
                <w:color w:val="auto"/>
              </w:rPr>
            </w:pPr>
          </w:p>
        </w:tc>
        <w:tc>
          <w:tcPr>
            <w:tcW w:w="32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080" w:type="dxa"/>
            <w:vAlign w:val="bottom"/>
            <w:tcBorders>
              <w:top w:val="single" w:sz="8" w:color="F0FFFF"/>
              <w:bottom w:val="single" w:sz="8" w:color="DCDCDC"/>
            </w:tcBorders>
          </w:tcPr>
          <w:p>
            <w:pPr>
              <w:spacing w:after="0"/>
              <w:rPr>
                <w:sz w:val="24"/>
                <w:szCs w:val="24"/>
                <w:color w:val="auto"/>
              </w:rPr>
            </w:pPr>
          </w:p>
        </w:tc>
        <w:tc>
          <w:tcPr>
            <w:tcW w:w="6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40" w:type="dxa"/>
            <w:vAlign w:val="bottom"/>
            <w:tcBorders>
              <w:top w:val="single" w:sz="8" w:color="auto"/>
              <w:bottom w:val="single" w:sz="8" w:color="DCDCDC"/>
            </w:tcBorders>
          </w:tcPr>
          <w:p>
            <w:pPr>
              <w:spacing w:after="0"/>
              <w:rPr>
                <w:sz w:val="24"/>
                <w:szCs w:val="24"/>
                <w:color w:val="auto"/>
              </w:rPr>
            </w:pPr>
          </w:p>
        </w:tc>
        <w:tc>
          <w:tcPr>
            <w:tcW w:w="98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200" w:type="dxa"/>
            <w:vAlign w:val="bottom"/>
            <w:tcBorders>
              <w:top w:val="single" w:sz="8" w:color="auto"/>
              <w:bottom w:val="single" w:sz="8" w:color="DCDCDC"/>
            </w:tcBorders>
          </w:tcPr>
          <w:p>
            <w:pPr>
              <w:spacing w:after="0"/>
              <w:rPr>
                <w:sz w:val="24"/>
                <w:szCs w:val="24"/>
                <w:color w:val="auto"/>
              </w:rPr>
            </w:pPr>
          </w:p>
        </w:tc>
        <w:tc>
          <w:tcPr>
            <w:tcW w:w="82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38" w:right="21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Credit-Risk-Related Contingent Features</w:t>
      </w:r>
    </w:p>
    <w:p>
      <w:pPr>
        <w:spacing w:after="0" w:line="23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September 30, 2014, collateral totaling $38.2 million was pledged toward derivatives in a liability position.</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 Stock-Based Compensation</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options, restricted stock and restricted stock unit awards provide for accelerated vesting if there is a change in control (as defined in the plan). As of September 30, 2014, 529,000 additional awards could be granted under the plan. Through September 30, 2014, incentive stock options, nonqualified stock options, restricted stock and restricted stock unit awards, base salary stock grants and performance share awards have been granted under the plan.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960" w:type="dxa"/>
            <w:vAlign w:val="bottom"/>
            <w:gridSpan w:val="2"/>
          </w:tcPr>
          <w:p>
            <w:pPr>
              <w:spacing w:after="0"/>
              <w:rPr>
                <w:sz w:val="20"/>
                <w:szCs w:val="20"/>
                <w:color w:val="auto"/>
              </w:rPr>
            </w:pPr>
            <w:r>
              <w:rPr>
                <w:rFonts w:ascii="Arial" w:cs="Arial" w:eastAsia="Arial" w:hAnsi="Arial"/>
                <w:sz w:val="16"/>
                <w:szCs w:val="16"/>
                <w:color w:val="auto"/>
              </w:rPr>
              <w:t>The following table shows stock option activity for the first nine months of 2014.</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Weighted-</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Remaining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Intrinisic</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8"/>
              </w:rPr>
              <w:t>Average Exercise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Contractual</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40" w:type="dxa"/>
            <w:vAlign w:val="bottom"/>
          </w:tcPr>
          <w:p>
            <w:pPr>
              <w:ind w:left="2680"/>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8"/>
                <w:szCs w:val="18"/>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Term (Years)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b w:val="1"/>
                <w:bCs w:val="1"/>
                <w:color w:val="auto"/>
                <w:w w:val="95"/>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6"/>
                <w:szCs w:val="16"/>
                <w:color w:val="auto"/>
              </w:rPr>
              <w:t>Outstanding at December 31, 2013</w:t>
            </w:r>
          </w:p>
        </w:tc>
        <w:tc>
          <w:tcPr>
            <w:tcW w:w="1500" w:type="dxa"/>
            <w:vAlign w:val="bottom"/>
            <w:gridSpan w:val="3"/>
            <w:shd w:val="clear" w:color="auto" w:fill="F0FFFF"/>
          </w:tcPr>
          <w:p>
            <w:pPr>
              <w:jc w:val="right"/>
              <w:ind w:right="240"/>
              <w:spacing w:after="0"/>
              <w:rPr>
                <w:sz w:val="20"/>
                <w:szCs w:val="20"/>
                <w:color w:val="auto"/>
              </w:rPr>
            </w:pPr>
            <w:r>
              <w:rPr>
                <w:rFonts w:ascii="Arial" w:cs="Arial" w:eastAsia="Arial" w:hAnsi="Arial"/>
                <w:sz w:val="16"/>
                <w:szCs w:val="16"/>
                <w:color w:val="auto"/>
              </w:rPr>
              <w:t>350,772</w:t>
            </w:r>
          </w:p>
        </w:tc>
        <w:tc>
          <w:tcPr>
            <w:tcW w:w="160" w:type="dxa"/>
            <w:vAlign w:val="bottom"/>
            <w:shd w:val="clear" w:color="auto" w:fill="F0FFFF"/>
          </w:tcPr>
          <w:p>
            <w:pPr>
              <w:jc w:val="right"/>
              <w:ind w:right="2"/>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97.87</w:t>
            </w:r>
          </w:p>
        </w:tc>
        <w:tc>
          <w:tcPr>
            <w:tcW w:w="1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Expired</w:t>
            </w:r>
          </w:p>
        </w:tc>
        <w:tc>
          <w:tcPr>
            <w:tcW w:w="12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(45,481)</w:t>
            </w:r>
          </w:p>
        </w:tc>
        <w:tc>
          <w:tcPr>
            <w:tcW w:w="160" w:type="dxa"/>
            <w:vAlign w:val="bottom"/>
          </w:tcPr>
          <w:p>
            <w:pPr>
              <w:spacing w:after="0"/>
              <w:rPr>
                <w:sz w:val="16"/>
                <w:szCs w:val="16"/>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110.57</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6"/>
                <w:szCs w:val="16"/>
                <w:color w:val="auto"/>
              </w:rPr>
              <w:t>Outstanding at September 30, 2014</w:t>
            </w:r>
          </w:p>
        </w:tc>
        <w:tc>
          <w:tcPr>
            <w:tcW w:w="120" w:type="dxa"/>
            <w:vAlign w:val="bottom"/>
            <w:shd w:val="clear" w:color="auto" w:fill="F0FFFF"/>
          </w:tcPr>
          <w:p>
            <w:pPr>
              <w:spacing w:after="0"/>
              <w:rPr>
                <w:sz w:val="20"/>
                <w:szCs w:val="20"/>
                <w:color w:val="auto"/>
              </w:rPr>
            </w:pPr>
          </w:p>
        </w:tc>
        <w:tc>
          <w:tcPr>
            <w:tcW w:w="13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305,291</w:t>
            </w:r>
          </w:p>
        </w:tc>
        <w:tc>
          <w:tcPr>
            <w:tcW w:w="160" w:type="dxa"/>
            <w:vAlign w:val="bottom"/>
            <w:shd w:val="clear" w:color="auto" w:fill="F0FFFF"/>
          </w:tcPr>
          <w:p>
            <w:pPr>
              <w:spacing w:after="0"/>
              <w:rPr>
                <w:sz w:val="20"/>
                <w:szCs w:val="20"/>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95.98</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2.9</w:t>
            </w:r>
          </w:p>
        </w:tc>
        <w:tc>
          <w:tcPr>
            <w:tcW w:w="2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59</w:t>
            </w:r>
          </w:p>
        </w:tc>
        <w:tc>
          <w:tcPr>
            <w:tcW w:w="120" w:type="dxa"/>
            <w:vAlign w:val="bottom"/>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594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F0FFFF"/>
            </w:tcBorders>
          </w:tcPr>
          <w:p>
            <w:pPr>
              <w:spacing w:after="0"/>
              <w:rPr>
                <w:sz w:val="15"/>
                <w:szCs w:val="15"/>
                <w:color w:val="auto"/>
              </w:rPr>
            </w:pPr>
          </w:p>
        </w:tc>
        <w:tc>
          <w:tcPr>
            <w:tcW w:w="160" w:type="dxa"/>
            <w:vAlign w:val="bottom"/>
            <w:tcBorders>
              <w:top w:val="single" w:sz="8" w:color="F0FFFF"/>
            </w:tcBorders>
          </w:tcPr>
          <w:p>
            <w:pPr>
              <w:spacing w:after="0"/>
              <w:rPr>
                <w:sz w:val="15"/>
                <w:szCs w:val="15"/>
                <w:color w:val="auto"/>
              </w:rPr>
            </w:pPr>
          </w:p>
        </w:tc>
        <w:tc>
          <w:tcPr>
            <w:tcW w:w="1020" w:type="dxa"/>
            <w:vAlign w:val="bottom"/>
            <w:tcBorders>
              <w:top w:val="single" w:sz="8" w:color="F0FFFF"/>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114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140" w:type="dxa"/>
            <w:vAlign w:val="bottom"/>
            <w:tcBorders>
              <w:top w:val="single" w:sz="8" w:color="F0FFFF"/>
            </w:tcBorders>
          </w:tcPr>
          <w:p>
            <w:pPr>
              <w:spacing w:after="0"/>
              <w:rPr>
                <w:sz w:val="15"/>
                <w:szCs w:val="15"/>
                <w:color w:val="auto"/>
              </w:rPr>
            </w:pPr>
          </w:p>
        </w:tc>
        <w:tc>
          <w:tcPr>
            <w:tcW w:w="98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6"/>
                <w:szCs w:val="16"/>
                <w:color w:val="auto"/>
              </w:rPr>
              <w:t>Exercisable at September 30, 2014</w:t>
            </w:r>
          </w:p>
        </w:tc>
        <w:tc>
          <w:tcPr>
            <w:tcW w:w="120" w:type="dxa"/>
            <w:vAlign w:val="bottom"/>
            <w:shd w:val="clear" w:color="auto" w:fill="F0FFFF"/>
          </w:tcPr>
          <w:p>
            <w:pPr>
              <w:spacing w:after="0"/>
              <w:rPr>
                <w:sz w:val="18"/>
                <w:szCs w:val="18"/>
                <w:color w:val="auto"/>
              </w:rPr>
            </w:pPr>
          </w:p>
        </w:tc>
        <w:tc>
          <w:tcPr>
            <w:tcW w:w="13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299,041</w:t>
            </w:r>
          </w:p>
        </w:tc>
        <w:tc>
          <w:tcPr>
            <w:tcW w:w="160" w:type="dxa"/>
            <w:vAlign w:val="bottom"/>
            <w:shd w:val="clear" w:color="auto" w:fill="F0FFFF"/>
          </w:tcPr>
          <w:p>
            <w:pPr>
              <w:spacing w:after="0"/>
              <w:rPr>
                <w:sz w:val="18"/>
                <w:szCs w:val="18"/>
                <w:color w:val="auto"/>
              </w:rPr>
            </w:pPr>
          </w:p>
        </w:tc>
        <w:tc>
          <w:tcPr>
            <w:tcW w:w="12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97.70</w:t>
            </w:r>
          </w:p>
        </w:tc>
        <w:tc>
          <w:tcPr>
            <w:tcW w:w="12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2.8</w:t>
            </w:r>
          </w:p>
        </w:tc>
        <w:tc>
          <w:tcPr>
            <w:tcW w:w="120" w:type="dxa"/>
            <w:vAlign w:val="bottom"/>
            <w:shd w:val="clear" w:color="auto" w:fill="F0FFFF"/>
          </w:tcPr>
          <w:p>
            <w:pPr>
              <w:spacing w:after="0"/>
              <w:rPr>
                <w:sz w:val="18"/>
                <w:szCs w:val="18"/>
                <w:color w:val="auto"/>
              </w:rPr>
            </w:pPr>
          </w:p>
        </w:tc>
        <w:tc>
          <w:tcPr>
            <w:tcW w:w="140" w:type="dxa"/>
            <w:vAlign w:val="bottom"/>
            <w:shd w:val="clear" w:color="auto" w:fill="F0FFFF"/>
          </w:tcPr>
          <w:p>
            <w:pPr>
              <w:spacing w:after="0"/>
              <w:rPr>
                <w:sz w:val="18"/>
                <w:szCs w:val="18"/>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F0FF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10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40" w:type="dxa"/>
            <w:vAlign w:val="bottom"/>
            <w:tcBorders>
              <w:top w:val="single" w:sz="8" w:color="F0FFFF"/>
            </w:tcBorders>
            <w:shd w:val="clear" w:color="auto" w:fill="F0FFFF"/>
          </w:tcPr>
          <w:p>
            <w:pPr>
              <w:spacing w:after="0" w:line="20" w:lineRule="exact"/>
              <w:rPr>
                <w:sz w:val="1"/>
                <w:szCs w:val="1"/>
                <w:color w:val="auto"/>
              </w:rPr>
            </w:pPr>
          </w:p>
        </w:tc>
        <w:tc>
          <w:tcPr>
            <w:tcW w:w="98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fair value of each option is estimated on the date of grant using the Black-Scholes model. Key assumptions used to determine the fair value of options granted to employees during the first nine months of 2013 are shown below. No stock options were granted during the nine months ended September 30, 2014.</w:t>
      </w:r>
    </w:p>
    <w:p>
      <w:pPr>
        <w:spacing w:after="0" w:line="147" w:lineRule="exact"/>
        <w:rPr>
          <w:sz w:val="20"/>
          <w:szCs w:val="20"/>
          <w:color w:val="auto"/>
        </w:rPr>
      </w:pPr>
    </w:p>
    <w:tbl>
      <w:tblPr>
        <w:tblLayout w:type="fixed"/>
        <w:tblInd w:w="17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500" w:type="dxa"/>
            <w:vAlign w:val="bottom"/>
            <w:gridSpan w:val="3"/>
          </w:tcPr>
          <w:p>
            <w:pPr>
              <w:jc w:val="center"/>
              <w:ind w:right="1060"/>
              <w:spacing w:after="0"/>
              <w:rPr>
                <w:sz w:val="20"/>
                <w:szCs w:val="20"/>
                <w:color w:val="auto"/>
              </w:rPr>
            </w:pPr>
            <w:r>
              <w:rPr>
                <w:rFonts w:ascii="Arial" w:cs="Arial" w:eastAsia="Arial" w:hAnsi="Arial"/>
                <w:sz w:val="16"/>
                <w:szCs w:val="16"/>
                <w:b w:val="1"/>
                <w:bCs w:val="1"/>
                <w:color w:val="auto"/>
                <w:w w:val="93"/>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center"/>
              <w:ind w:right="106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60" w:type="dxa"/>
            <w:vAlign w:val="bottom"/>
          </w:tcPr>
          <w:p>
            <w:pPr>
              <w:jc w:val="center"/>
              <w:ind w:left="579"/>
              <w:spacing w:after="0"/>
              <w:rPr>
                <w:sz w:val="20"/>
                <w:szCs w:val="20"/>
                <w:color w:val="auto"/>
              </w:rPr>
            </w:pPr>
            <w:r>
              <w:rPr>
                <w:rFonts w:ascii="Arial" w:cs="Arial" w:eastAsia="Arial" w:hAnsi="Arial"/>
                <w:sz w:val="16"/>
                <w:szCs w:val="16"/>
                <w:b w:val="1"/>
                <w:bCs w:val="1"/>
                <w:color w:val="auto"/>
                <w:w w:val="89"/>
              </w:rPr>
              <w:t>2014</w:t>
            </w:r>
          </w:p>
        </w:tc>
        <w:tc>
          <w:tcPr>
            <w:tcW w:w="2500" w:type="dxa"/>
            <w:vAlign w:val="bottom"/>
            <w:gridSpan w:val="3"/>
          </w:tcPr>
          <w:p>
            <w:pPr>
              <w:jc w:val="center"/>
              <w:ind w:left="679"/>
              <w:spacing w:after="0"/>
              <w:rPr>
                <w:sz w:val="20"/>
                <w:szCs w:val="20"/>
                <w:color w:val="auto"/>
              </w:rPr>
            </w:pPr>
            <w:r>
              <w:rPr>
                <w:rFonts w:ascii="Arial" w:cs="Arial" w:eastAsia="Arial" w:hAnsi="Arial"/>
                <w:sz w:val="16"/>
                <w:szCs w:val="16"/>
                <w:b w:val="1"/>
                <w:bCs w:val="1"/>
                <w:color w:val="auto"/>
                <w:w w:val="95"/>
              </w:rPr>
              <w:t>2013</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42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420" w:type="dxa"/>
            <w:vAlign w:val="bottom"/>
            <w:shd w:val="clear" w:color="auto" w:fill="F0FFFF"/>
          </w:tcPr>
          <w:p>
            <w:pPr>
              <w:spacing w:after="0"/>
              <w:rPr>
                <w:sz w:val="20"/>
                <w:szCs w:val="20"/>
                <w:color w:val="auto"/>
              </w:rPr>
            </w:pPr>
            <w:r>
              <w:rPr>
                <w:rFonts w:ascii="Arial" w:cs="Arial" w:eastAsia="Arial" w:hAnsi="Arial"/>
                <w:sz w:val="16"/>
                <w:szCs w:val="16"/>
                <w:color w:val="auto"/>
              </w:rPr>
              <w:t>Expected volatility</w:t>
            </w:r>
          </w:p>
        </w:tc>
        <w:tc>
          <w:tcPr>
            <w:tcW w:w="1060" w:type="dxa"/>
            <w:vAlign w:val="bottom"/>
            <w:shd w:val="clear" w:color="auto" w:fill="F0FFFF"/>
          </w:tcPr>
          <w:p>
            <w:pPr>
              <w:jc w:val="center"/>
              <w:ind w:left="579"/>
              <w:spacing w:after="0"/>
              <w:rPr>
                <w:sz w:val="20"/>
                <w:szCs w:val="20"/>
                <w:color w:val="auto"/>
              </w:rPr>
            </w:pPr>
            <w:r>
              <w:rPr>
                <w:rFonts w:ascii="Arial" w:cs="Arial" w:eastAsia="Arial" w:hAnsi="Arial"/>
                <w:sz w:val="16"/>
                <w:szCs w:val="16"/>
                <w:color w:val="auto"/>
              </w:rPr>
              <w:t>NA</w:t>
            </w:r>
          </w:p>
        </w:tc>
        <w:tc>
          <w:tcPr>
            <w:tcW w:w="2500" w:type="dxa"/>
            <w:vAlign w:val="bottom"/>
            <w:gridSpan w:val="3"/>
            <w:shd w:val="clear" w:color="auto" w:fill="F0FFFF"/>
          </w:tcPr>
          <w:p>
            <w:pPr>
              <w:jc w:val="center"/>
              <w:ind w:left="679"/>
              <w:spacing w:after="0"/>
              <w:rPr>
                <w:sz w:val="20"/>
                <w:szCs w:val="20"/>
                <w:color w:val="auto"/>
              </w:rPr>
            </w:pPr>
            <w:r>
              <w:rPr>
                <w:rFonts w:ascii="Arial" w:cs="Arial" w:eastAsia="Arial" w:hAnsi="Arial"/>
                <w:sz w:val="16"/>
                <w:szCs w:val="16"/>
                <w:color w:val="auto"/>
                <w:w w:val="92"/>
              </w:rPr>
              <w:t>30.00%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Expected dividend yield</w:t>
            </w:r>
          </w:p>
        </w:tc>
        <w:tc>
          <w:tcPr>
            <w:tcW w:w="1060" w:type="dxa"/>
            <w:vAlign w:val="bottom"/>
          </w:tcPr>
          <w:p>
            <w:pPr>
              <w:jc w:val="center"/>
              <w:ind w:left="579"/>
              <w:spacing w:after="0"/>
              <w:rPr>
                <w:sz w:val="20"/>
                <w:szCs w:val="20"/>
                <w:color w:val="auto"/>
              </w:rPr>
            </w:pPr>
            <w:r>
              <w:rPr>
                <w:rFonts w:ascii="Arial" w:cs="Arial" w:eastAsia="Arial" w:hAnsi="Arial"/>
                <w:sz w:val="16"/>
                <w:szCs w:val="16"/>
                <w:color w:val="auto"/>
              </w:rPr>
              <w:t>NA</w:t>
            </w:r>
          </w:p>
        </w:tc>
        <w:tc>
          <w:tcPr>
            <w:tcW w:w="2500" w:type="dxa"/>
            <w:vAlign w:val="bottom"/>
            <w:gridSpan w:val="3"/>
          </w:tcPr>
          <w:p>
            <w:pPr>
              <w:jc w:val="center"/>
              <w:ind w:left="679"/>
              <w:spacing w:after="0"/>
              <w:rPr>
                <w:sz w:val="20"/>
                <w:szCs w:val="20"/>
                <w:color w:val="auto"/>
              </w:rPr>
            </w:pPr>
            <w:r>
              <w:rPr>
                <w:rFonts w:ascii="Arial" w:cs="Arial" w:eastAsia="Arial" w:hAnsi="Arial"/>
                <w:sz w:val="16"/>
                <w:szCs w:val="16"/>
                <w:color w:val="auto"/>
                <w:w w:val="92"/>
              </w:rPr>
              <w:t>0.00%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420" w:type="dxa"/>
            <w:vAlign w:val="bottom"/>
            <w:shd w:val="clear" w:color="auto" w:fill="F0FFFF"/>
          </w:tcPr>
          <w:p>
            <w:pPr>
              <w:spacing w:after="0"/>
              <w:rPr>
                <w:sz w:val="20"/>
                <w:szCs w:val="20"/>
                <w:color w:val="auto"/>
              </w:rPr>
            </w:pPr>
            <w:r>
              <w:rPr>
                <w:rFonts w:ascii="Arial" w:cs="Arial" w:eastAsia="Arial" w:hAnsi="Arial"/>
                <w:sz w:val="16"/>
                <w:szCs w:val="16"/>
                <w:color w:val="auto"/>
              </w:rPr>
              <w:t>Expected life (in years)</w:t>
            </w:r>
          </w:p>
        </w:tc>
        <w:tc>
          <w:tcPr>
            <w:tcW w:w="1060" w:type="dxa"/>
            <w:vAlign w:val="bottom"/>
            <w:shd w:val="clear" w:color="auto" w:fill="F0FFFF"/>
          </w:tcPr>
          <w:p>
            <w:pPr>
              <w:jc w:val="center"/>
              <w:ind w:left="579"/>
              <w:spacing w:after="0"/>
              <w:rPr>
                <w:sz w:val="20"/>
                <w:szCs w:val="20"/>
                <w:color w:val="auto"/>
              </w:rPr>
            </w:pPr>
            <w:r>
              <w:rPr>
                <w:rFonts w:ascii="Arial" w:cs="Arial" w:eastAsia="Arial" w:hAnsi="Arial"/>
                <w:sz w:val="16"/>
                <w:szCs w:val="16"/>
                <w:color w:val="auto"/>
              </w:rPr>
              <w:t>NA</w:t>
            </w:r>
          </w:p>
        </w:tc>
        <w:tc>
          <w:tcPr>
            <w:tcW w:w="2500" w:type="dxa"/>
            <w:vAlign w:val="bottom"/>
            <w:gridSpan w:val="3"/>
            <w:shd w:val="clear" w:color="auto" w:fill="F0FFFF"/>
          </w:tcPr>
          <w:p>
            <w:pPr>
              <w:jc w:val="center"/>
              <w:ind w:left="659"/>
              <w:spacing w:after="0"/>
              <w:rPr>
                <w:sz w:val="20"/>
                <w:szCs w:val="20"/>
                <w:color w:val="auto"/>
              </w:rPr>
            </w:pPr>
            <w:r>
              <w:rPr>
                <w:rFonts w:ascii="Arial" w:cs="Arial" w:eastAsia="Arial" w:hAnsi="Arial"/>
                <w:sz w:val="16"/>
                <w:szCs w:val="16"/>
                <w:color w:val="auto"/>
                <w:w w:val="89"/>
              </w:rPr>
              <w:t>6.25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420" w:type="dxa"/>
            <w:vAlign w:val="bottom"/>
          </w:tcPr>
          <w:p>
            <w:pPr>
              <w:spacing w:after="0"/>
              <w:rPr>
                <w:sz w:val="20"/>
                <w:szCs w:val="20"/>
                <w:color w:val="auto"/>
              </w:rPr>
            </w:pPr>
            <w:r>
              <w:rPr>
                <w:rFonts w:ascii="Arial" w:cs="Arial" w:eastAsia="Arial" w:hAnsi="Arial"/>
                <w:sz w:val="16"/>
                <w:szCs w:val="16"/>
                <w:color w:val="auto"/>
              </w:rPr>
              <w:t>Risk-free rate</w:t>
            </w:r>
          </w:p>
        </w:tc>
        <w:tc>
          <w:tcPr>
            <w:tcW w:w="1060" w:type="dxa"/>
            <w:vAlign w:val="bottom"/>
          </w:tcPr>
          <w:p>
            <w:pPr>
              <w:jc w:val="center"/>
              <w:ind w:left="579"/>
              <w:spacing w:after="0"/>
              <w:rPr>
                <w:sz w:val="20"/>
                <w:szCs w:val="20"/>
                <w:color w:val="auto"/>
              </w:rPr>
            </w:pPr>
            <w:r>
              <w:rPr>
                <w:rFonts w:ascii="Arial" w:cs="Arial" w:eastAsia="Arial" w:hAnsi="Arial"/>
                <w:sz w:val="16"/>
                <w:szCs w:val="16"/>
                <w:color w:val="auto"/>
              </w:rPr>
              <w:t>NA</w:t>
            </w:r>
          </w:p>
        </w:tc>
        <w:tc>
          <w:tcPr>
            <w:tcW w:w="2500" w:type="dxa"/>
            <w:vAlign w:val="bottom"/>
            <w:gridSpan w:val="3"/>
          </w:tcPr>
          <w:p>
            <w:pPr>
              <w:jc w:val="center"/>
              <w:ind w:left="679"/>
              <w:spacing w:after="0"/>
              <w:rPr>
                <w:sz w:val="20"/>
                <w:szCs w:val="20"/>
                <w:color w:val="auto"/>
              </w:rPr>
            </w:pPr>
            <w:r>
              <w:rPr>
                <w:rFonts w:ascii="Arial" w:cs="Arial" w:eastAsia="Arial" w:hAnsi="Arial"/>
                <w:sz w:val="16"/>
                <w:szCs w:val="16"/>
                <w:color w:val="auto"/>
                <w:w w:val="92"/>
              </w:rPr>
              <w:t>2.01%</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Most of United’s outstanding stock options were granted prior to the economic downturn during which time United’s stock price decreased sharply. The lower stock price has rendered most of United’s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options.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United recognized $5,000 in compensation expense related to stock options during the nine months ended September 30, 2014. Compensation expense relating to stock options for the nine months ended September 30, 2013 was a reduction of expense of $56,000 due to the reversal of previously recognized expense on grants that did not vest. The amount of compensation expense was determined based on the fair value of the options at the time of grant, multiplied by the number of options granted that were expected to vest, which was then amortized over the vesting period. The forfeiture rate for new options issued is estimated to be approximately 3% per year. No options were exercised during the first nine months of 2014 or 2013.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60" w:type="dxa"/>
            <w:vAlign w:val="bottom"/>
            <w:gridSpan w:val="2"/>
          </w:tcPr>
          <w:p>
            <w:pPr>
              <w:spacing w:after="0"/>
              <w:rPr>
                <w:sz w:val="20"/>
                <w:szCs w:val="20"/>
                <w:color w:val="auto"/>
              </w:rPr>
            </w:pPr>
            <w:r>
              <w:rPr>
                <w:rFonts w:ascii="Arial" w:cs="Arial" w:eastAsia="Arial" w:hAnsi="Arial"/>
                <w:sz w:val="16"/>
                <w:szCs w:val="16"/>
                <w:color w:val="auto"/>
              </w:rPr>
              <w:t>The table below presents restricted stock activity for the first nine months of 2014.</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178"/>
        </w:trPr>
        <w:tc>
          <w:tcPr>
            <w:tcW w:w="17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40" w:type="dxa"/>
            <w:vAlign w:val="bottom"/>
            <w:vMerge w:val="restart"/>
          </w:tcPr>
          <w:p>
            <w:pPr>
              <w:ind w:left="1940"/>
              <w:spacing w:after="0"/>
              <w:rPr>
                <w:sz w:val="20"/>
                <w:szCs w:val="20"/>
                <w:color w:val="auto"/>
              </w:rPr>
            </w:pPr>
            <w:r>
              <w:rPr>
                <w:rFonts w:ascii="Arial" w:cs="Arial" w:eastAsia="Arial" w:hAnsi="Arial"/>
                <w:sz w:val="16"/>
                <w:szCs w:val="16"/>
                <w:b w:val="1"/>
                <w:bCs w:val="1"/>
                <w:color w:val="auto"/>
              </w:rPr>
              <w:t>Restricted Stock</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Average Grant-</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Date Fair Value</w:t>
            </w:r>
          </w:p>
        </w:tc>
        <w:tc>
          <w:tcPr>
            <w:tcW w:w="0" w:type="dxa"/>
            <w:vAlign w:val="bottom"/>
          </w:tcPr>
          <w:p>
            <w:pPr>
              <w:spacing w:after="0"/>
              <w:rPr>
                <w:sz w:val="1"/>
                <w:szCs w:val="1"/>
                <w:color w:val="auto"/>
              </w:rPr>
            </w:pPr>
          </w:p>
        </w:tc>
      </w:tr>
      <w:tr>
        <w:trPr>
          <w:trHeight w:val="194"/>
        </w:trPr>
        <w:tc>
          <w:tcPr>
            <w:tcW w:w="1720" w:type="dxa"/>
            <w:vAlign w:val="bottom"/>
            <w:vMerge w:val="restart"/>
          </w:tcPr>
          <w:p>
            <w:pPr>
              <w:spacing w:after="0"/>
              <w:rPr>
                <w:sz w:val="16"/>
                <w:szCs w:val="16"/>
                <w:color w:val="auto"/>
              </w:rPr>
            </w:pPr>
          </w:p>
        </w:tc>
        <w:tc>
          <w:tcPr>
            <w:tcW w:w="5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20" w:type="dxa"/>
            <w:vAlign w:val="bottom"/>
            <w:vMerge w:val="continue"/>
          </w:tcPr>
          <w:p>
            <w:pPr>
              <w:spacing w:after="0"/>
              <w:rPr>
                <w:sz w:val="16"/>
                <w:szCs w:val="16"/>
                <w:color w:val="auto"/>
              </w:rPr>
            </w:pPr>
          </w:p>
        </w:tc>
        <w:tc>
          <w:tcPr>
            <w:tcW w:w="5040" w:type="dxa"/>
            <w:vAlign w:val="bottom"/>
            <w:shd w:val="clear" w:color="auto" w:fill="F0FFFF"/>
          </w:tcPr>
          <w:p>
            <w:pPr>
              <w:spacing w:after="0"/>
              <w:rPr>
                <w:sz w:val="20"/>
                <w:szCs w:val="20"/>
                <w:color w:val="auto"/>
              </w:rPr>
            </w:pPr>
            <w:r>
              <w:rPr>
                <w:rFonts w:ascii="Arial" w:cs="Arial" w:eastAsia="Arial" w:hAnsi="Arial"/>
                <w:sz w:val="16"/>
                <w:szCs w:val="16"/>
                <w:color w:val="auto"/>
              </w:rPr>
              <w:t>Outstanding at December 31, 2013</w:t>
            </w:r>
          </w:p>
        </w:tc>
        <w:tc>
          <w:tcPr>
            <w:tcW w:w="13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1,073,676</w:t>
            </w:r>
          </w:p>
        </w:tc>
        <w:tc>
          <w:tcPr>
            <w:tcW w:w="140" w:type="dxa"/>
            <w:vAlign w:val="bottom"/>
            <w:shd w:val="clear" w:color="auto" w:fill="F0FFFF"/>
          </w:tcPr>
          <w:p>
            <w:pPr>
              <w:spacing w:after="0"/>
              <w:rPr>
                <w:sz w:val="16"/>
                <w:szCs w:val="16"/>
                <w:color w:val="auto"/>
              </w:rPr>
            </w:pP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13.73</w:t>
            </w: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Granted</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55,066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17.73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040" w:type="dxa"/>
            <w:vAlign w:val="bottom"/>
            <w:shd w:val="clear" w:color="auto" w:fill="F0FFFF"/>
          </w:tcPr>
          <w:p>
            <w:pPr>
              <w:spacing w:after="0"/>
              <w:rPr>
                <w:sz w:val="20"/>
                <w:szCs w:val="20"/>
                <w:color w:val="auto"/>
              </w:rPr>
            </w:pPr>
            <w:r>
              <w:rPr>
                <w:rFonts w:ascii="Arial" w:cs="Arial" w:eastAsia="Arial" w:hAnsi="Arial"/>
                <w:sz w:val="16"/>
                <w:szCs w:val="16"/>
                <w:color w:val="auto"/>
              </w:rPr>
              <w:t>Excercised</w:t>
            </w:r>
          </w:p>
        </w:tc>
        <w:tc>
          <w:tcPr>
            <w:tcW w:w="1480" w:type="dxa"/>
            <w:vAlign w:val="bottom"/>
            <w:gridSpan w:val="3"/>
            <w:shd w:val="clear" w:color="auto" w:fill="F0FFFF"/>
          </w:tcPr>
          <w:p>
            <w:pPr>
              <w:jc w:val="right"/>
              <w:ind w:right="80"/>
              <w:spacing w:after="0"/>
              <w:rPr>
                <w:sz w:val="20"/>
                <w:szCs w:val="20"/>
                <w:color w:val="auto"/>
              </w:rPr>
            </w:pPr>
            <w:r>
              <w:rPr>
                <w:rFonts w:ascii="Arial" w:cs="Arial" w:eastAsia="Arial" w:hAnsi="Arial"/>
                <w:sz w:val="16"/>
                <w:szCs w:val="16"/>
                <w:color w:val="auto"/>
              </w:rPr>
              <w:t>(324,108)</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12.24</w:t>
            </w:r>
          </w:p>
        </w:tc>
        <w:tc>
          <w:tcPr>
            <w:tcW w:w="10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5040" w:type="dxa"/>
            <w:vAlign w:val="bottom"/>
          </w:tcPr>
          <w:p>
            <w:pPr>
              <w:spacing w:after="0"/>
              <w:rPr>
                <w:sz w:val="20"/>
                <w:szCs w:val="20"/>
                <w:color w:val="auto"/>
              </w:rPr>
            </w:pPr>
            <w:r>
              <w:rPr>
                <w:rFonts w:ascii="Arial" w:cs="Arial" w:eastAsia="Arial" w:hAnsi="Arial"/>
                <w:sz w:val="16"/>
                <w:szCs w:val="16"/>
                <w:color w:val="auto"/>
              </w:rPr>
              <w:t>Cancelled</w:t>
            </w:r>
          </w:p>
        </w:tc>
        <w:tc>
          <w:tcPr>
            <w:tcW w:w="100" w:type="dxa"/>
            <w:vAlign w:val="bottom"/>
          </w:tcPr>
          <w:p>
            <w:pPr>
              <w:spacing w:after="0"/>
              <w:rPr>
                <w:sz w:val="17"/>
                <w:szCs w:val="17"/>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(3,300)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50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Outstanding at September 30, 2014</w:t>
            </w:r>
          </w:p>
        </w:tc>
        <w:tc>
          <w:tcPr>
            <w:tcW w:w="100" w:type="dxa"/>
            <w:vAlign w:val="bottom"/>
            <w:tcBorders>
              <w:bottom w:val="single" w:sz="8" w:color="F0FFFF"/>
            </w:tcBorders>
            <w:shd w:val="clear" w:color="auto" w:fill="F0FFFF"/>
          </w:tcPr>
          <w:p>
            <w:pPr>
              <w:spacing w:after="0"/>
              <w:rPr>
                <w:sz w:val="20"/>
                <w:szCs w:val="20"/>
                <w:color w:val="auto"/>
              </w:rPr>
            </w:pPr>
          </w:p>
        </w:tc>
        <w:tc>
          <w:tcPr>
            <w:tcW w:w="1240" w:type="dxa"/>
            <w:vAlign w:val="bottom"/>
            <w:tcBorders>
              <w:top w:val="single" w:sz="8" w:color="auto"/>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801,334</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2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720" w:type="dxa"/>
            <w:vAlign w:val="bottom"/>
            <w:vMerge w:val="restart"/>
          </w:tcPr>
          <w:p>
            <w:pPr>
              <w:spacing w:after="0"/>
              <w:rPr>
                <w:sz w:val="15"/>
                <w:szCs w:val="15"/>
                <w:color w:val="auto"/>
              </w:rPr>
            </w:pPr>
          </w:p>
        </w:tc>
        <w:tc>
          <w:tcPr>
            <w:tcW w:w="5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720" w:type="dxa"/>
            <w:vAlign w:val="bottom"/>
            <w:vMerge w:val="continue"/>
          </w:tcPr>
          <w:p>
            <w:pPr>
              <w:spacing w:after="0"/>
              <w:rPr>
                <w:sz w:val="20"/>
                <w:szCs w:val="20"/>
                <w:color w:val="auto"/>
              </w:rPr>
            </w:pPr>
          </w:p>
        </w:tc>
        <w:tc>
          <w:tcPr>
            <w:tcW w:w="504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Vested at September 30, 2014</w:t>
            </w:r>
          </w:p>
        </w:tc>
        <w:tc>
          <w:tcPr>
            <w:tcW w:w="100" w:type="dxa"/>
            <w:vAlign w:val="bottom"/>
            <w:tcBorders>
              <w:bottom w:val="single" w:sz="8" w:color="F0FFFF"/>
            </w:tcBorders>
            <w:shd w:val="clear" w:color="auto" w:fill="F0FFFF"/>
          </w:tcPr>
          <w:p>
            <w:pPr>
              <w:spacing w:after="0"/>
              <w:rPr>
                <w:sz w:val="20"/>
                <w:szCs w:val="20"/>
                <w:color w:val="auto"/>
              </w:rPr>
            </w:pPr>
          </w:p>
        </w:tc>
        <w:tc>
          <w:tcPr>
            <w:tcW w:w="12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7,580</w:t>
            </w:r>
          </w:p>
        </w:tc>
        <w:tc>
          <w:tcPr>
            <w:tcW w:w="140" w:type="dxa"/>
            <w:vAlign w:val="bottom"/>
            <w:tcBorders>
              <w:bottom w:val="single" w:sz="8" w:color="F0FFFF"/>
            </w:tcBorders>
            <w:shd w:val="clear" w:color="auto" w:fill="F0FFFF"/>
          </w:tcPr>
          <w:p>
            <w:pPr>
              <w:spacing w:after="0"/>
              <w:rPr>
                <w:sz w:val="20"/>
                <w:szCs w:val="20"/>
                <w:color w:val="auto"/>
              </w:rPr>
            </w:pPr>
          </w:p>
        </w:tc>
        <w:tc>
          <w:tcPr>
            <w:tcW w:w="80" w:type="dxa"/>
            <w:vAlign w:val="bottom"/>
            <w:tcBorders>
              <w:bottom w:val="single" w:sz="8" w:color="F0FFFF"/>
            </w:tcBorders>
            <w:shd w:val="clear" w:color="auto" w:fill="F0FFFF"/>
          </w:tcPr>
          <w:p>
            <w:pPr>
              <w:spacing w:after="0"/>
              <w:rPr>
                <w:sz w:val="20"/>
                <w:szCs w:val="20"/>
                <w:color w:val="auto"/>
              </w:rPr>
            </w:pPr>
          </w:p>
        </w:tc>
        <w:tc>
          <w:tcPr>
            <w:tcW w:w="100" w:type="dxa"/>
            <w:vAlign w:val="bottom"/>
            <w:tcBorders>
              <w:bottom w:val="single" w:sz="8" w:color="F0FFFF"/>
            </w:tcBorders>
            <w:shd w:val="clear" w:color="auto" w:fill="F0FFFF"/>
          </w:tcPr>
          <w:p>
            <w:pPr>
              <w:spacing w:after="0"/>
              <w:rPr>
                <w:sz w:val="20"/>
                <w:szCs w:val="20"/>
                <w:color w:val="auto"/>
              </w:rPr>
            </w:pPr>
          </w:p>
        </w:tc>
        <w:tc>
          <w:tcPr>
            <w:tcW w:w="1200" w:type="dxa"/>
            <w:vAlign w:val="bottom"/>
            <w:tcBorders>
              <w:bottom w:val="single" w:sz="8" w:color="F0FFFF"/>
            </w:tcBorders>
            <w:shd w:val="clear" w:color="auto" w:fill="F0FFFF"/>
          </w:tcPr>
          <w:p>
            <w:pPr>
              <w:jc w:val="right"/>
              <w:spacing w:after="0"/>
              <w:rPr>
                <w:sz w:val="20"/>
                <w:szCs w:val="20"/>
                <w:color w:val="auto"/>
              </w:rPr>
            </w:pPr>
            <w:r>
              <w:rPr>
                <w:rFonts w:ascii="Arial" w:cs="Arial" w:eastAsia="Arial" w:hAnsi="Arial"/>
                <w:sz w:val="16"/>
                <w:szCs w:val="16"/>
                <w:color w:val="auto"/>
              </w:rPr>
              <w:t>9.90</w:t>
            </w:r>
          </w:p>
        </w:tc>
        <w:tc>
          <w:tcPr>
            <w:tcW w:w="100" w:type="dxa"/>
            <w:vAlign w:val="bottom"/>
            <w:tcBorders>
              <w:bottom w:val="single" w:sz="8" w:color="F0FFFF"/>
            </w:tcBorders>
            <w:shd w:val="clear" w:color="auto" w:fill="F0FFFF"/>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For the nine months ended September 30, 2014 and 2013, compensation expense of $3.23 million and $2.01 million, respectively, was recognized related to restricted stock awards. In addition, for the nine months ended September 30, 2014 and 2013, $76,000 and $118,000, respectively, was recognized in other operating expense for restricted stock units granted to members of United’s board of directors. The total intrinsic value of outstanding restricted stock awards was $13.2 million at September 30, 2014.</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As of September 30, 2014, there was $10.0 million of unrecognized compensation cost related to non-vested stock options and restricted stock awards granted under the plan. That cost is expected to be recognized over a weighted-average period of 3.0 years. The aggregate grant date fair value of options and restricted stock awards that vested during the nine months ended September 30, 2014, was $3.83 million.</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 Common and Preferred Stock Issued / Common Stock Issuable</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United sponsors a Dividend Reinvestment and Share Purchase Plan (“DRIP”) that allows participants who already own United’s common stock to purchase additional shares directly from United. The DRIP also allows participants to automatically reinvest their quarterly dividends in additional shares of common stock without a commission. No shares were issued through the DRIP in 2013 as the DRIP was suspended during that time. The DRIP was re-activated following United’s reinstatement of its quarterly dividend in the second quarter of 2014. In the third quarter of 2014, no shares were issued through the DRIP.</w:t>
      </w:r>
    </w:p>
    <w:p>
      <w:pPr>
        <w:spacing w:after="0" w:line="191"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United’s 401(k) retirement plan regularly purchases shares of United’s common stock directly from United. In addition, United has an Employee Stock Purchase Program that allows eligible employees to purchase shares of common stock at a 5% discount, with no commission charges. For the nine months ended September 30, 2014 and 2013, United issued 25,284 and 49,830 shares, respectively, and increased capital by $424,000 and $582,000, respectively, through these programs.</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United offers its common stock as an investment option in its deferred compensation plan. United also allows for the deferral of restricted stock awards.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United’s common stock and settlement must be accomplished in shares at the time the deferral period is completed. At September 30, 2014 and 2013, 354,961 and 242,262 shares of common stock, respectively, were issuable under the deferred compensation plan.</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the fourth quarter of 2013 and first quarter of 2014, United redeemed all of its outstanding preferred stock. The preferred stock was redeemed at par and did not result in any gain or loss. The redemptions were funded from a combination of dividends from United Community Bank, borrowings on United’s holding company line of credit and cash on hand.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20"/>
          </w:cols>
          <w:pgMar w:left="240" w:top="838"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Pursuant to its settlement agreement with Fletcher, United agreed to deliver 640,000 shares of its common stock and cash that, together with the common stock, would have a combined fair value of $12 million. On March 25, 2014, to satisfy its obligations under the settlement agreement, United completed the sale of 640,000 shares of common stock and received approximately $12.2 million in net proceeds after discounts and expenses, $12.0 million of which is payable to Fletcher once the settlement is completed. In November 2014, the settlement was completed and the net proceeds were paid to Fletcher.</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 Income Taxes</w:t>
      </w:r>
    </w:p>
    <w:p>
      <w:pPr>
        <w:spacing w:after="0" w:line="232" w:lineRule="exact"/>
        <w:rPr>
          <w:sz w:val="20"/>
          <w:szCs w:val="20"/>
          <w:color w:val="auto"/>
        </w:rPr>
      </w:pPr>
    </w:p>
    <w:p>
      <w:pPr>
        <w:jc w:val="both"/>
        <w:spacing w:after="0" w:line="279" w:lineRule="auto"/>
        <w:rPr>
          <w:sz w:val="20"/>
          <w:szCs w:val="20"/>
          <w:color w:val="auto"/>
        </w:rPr>
      </w:pPr>
      <w:r>
        <w:rPr>
          <w:rFonts w:ascii="Arial" w:cs="Arial" w:eastAsia="Arial" w:hAnsi="Arial"/>
          <w:sz w:val="15"/>
          <w:szCs w:val="15"/>
          <w:color w:val="auto"/>
        </w:rPr>
        <w:t>The income tax provision for the three and nine months ended September 30, 2014 was $9.99 million and $28.7 million, respectively, which represents effective tax rates of 36.2% and 36.7%, respectively. The income tax provision for the three and nine months ended September 30, 2013 was $9.52 million and a net benefit of $247 million, respectively. The net income tax benefit for the first nine months of 2013 reflects the reversal of a $272 million valuation allowance on United’s net deferred tax asset. At September 30, 2014, December 31, 2013 and September 30, 2013, the valuation allowance on United’s net deferred tax asset was $4.45 million, $4.10 million and $4.61 million, respectively. Management assesses the valuation allowance recorded against its net deferred tax asset at each reporting period. The determination of whether a valuation allowance for its net deferred tax asset is appropriate is subject to considerable judgment and requires an evaluation of all the positive and negative evidence.</w:t>
      </w:r>
    </w:p>
    <w:p>
      <w:pPr>
        <w:spacing w:after="0" w:line="179"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In the second quarter of 2013, United reversed $272 million of the valuation allowance on its net deferred tax asset. United had established a full valuation allowance on its net deferred tax asset in 2010 due to the realization of significant losses and uncertainty about United’s future earnings forecasts.</w:t>
      </w:r>
    </w:p>
    <w:p>
      <w:pPr>
        <w:spacing w:after="0" w:line="175"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color w:val="auto"/>
        </w:rPr>
        <w:t>United evaluated the need for a valuation allowance again at September 30, 2014. Based on the assessment of all the positive and negative evidence, management concluded that it is more likely than not that nearly all of its net deferred tax asset will be realized based upon future taxable income. The remaining valuation allowance of $4.45 million is related to specific state income tax credits that have short carryforward periods and are expected to expire unused. The positive evidence considered by management in arriving at the conclusion that a full valuation allowance is not necessary included consecutive profitable quarters beginning with the fourth quarter of 2011, United’s strong pre-crisis earnings history and growth in pre-tax, pre-credit earnings, which demonstrate demand for United’s products and services, and United’s significant improvement in credit measures, which improve both the sustainability of profitability and management’s ability to forecast future credit losses. The negative evidence previously considered by management included a three-year cumulative loss position and United’s and United Community Bank’s informal memorandums of understanding with the bank regulatory agencies. The informal memorandums of understanding were terminated in the fourth quarter of 2013 and first quarter of 2014 and United was no longer in a three-year cumulative loss position effective with the first quarter of 2014, based on a rolling twelve quarters.</w:t>
      </w:r>
    </w:p>
    <w:p>
      <w:pPr>
        <w:spacing w:after="0" w:line="186" w:lineRule="exact"/>
        <w:rPr>
          <w:sz w:val="20"/>
          <w:szCs w:val="20"/>
          <w:color w:val="auto"/>
        </w:rPr>
      </w:pPr>
    </w:p>
    <w:p>
      <w:pPr>
        <w:jc w:val="both"/>
        <w:ind w:right="20"/>
        <w:spacing w:after="0" w:line="302" w:lineRule="auto"/>
        <w:rPr>
          <w:sz w:val="20"/>
          <w:szCs w:val="20"/>
          <w:color w:val="auto"/>
        </w:rPr>
      </w:pPr>
      <w:r>
        <w:rPr>
          <w:rFonts w:ascii="Arial" w:cs="Arial" w:eastAsia="Arial" w:hAnsi="Arial"/>
          <w:sz w:val="14"/>
          <w:szCs w:val="14"/>
          <w:color w:val="auto"/>
        </w:rPr>
        <w:t>The valuation allowance could fluctuate in future periods based on the assessment of the positive and negative evidence. Management’s conclusion at September 30, 2014 that it was more likely than not that United’s net deferred tax asset of $225 million will be realized is based upon management’s estimate of future taxable income. Management’s estimate of future taxable income is based on internal forecasts that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its net deferred tax asset. Such an increase to the net deferred tax asset valuation allowance could have a material adverse effect on United’s financial condition and results of operations.</w:t>
      </w:r>
    </w:p>
    <w:p>
      <w:pPr>
        <w:spacing w:after="0" w:line="167"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2010. Although United is unable to determine the ultimate outcome of future examinations, United believes that the liability recorded for uncertain tax positions is appropriate.</w:t>
      </w:r>
    </w:p>
    <w:p>
      <w:pPr>
        <w:spacing w:after="0" w:line="191"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 xml:space="preserve">At September 30, 2014, December 31, 2013 and September 30, 2013, unrecognized income tax benefits totaled $4.10 million, $4.50 million and $4.45 million, respectively. In the first quarter of 2014, United adopted the provisions of ASU No. 2013-11, </w:t>
      </w:r>
      <w:r>
        <w:rPr>
          <w:rFonts w:ascii="Arial" w:cs="Arial" w:eastAsia="Arial" w:hAnsi="Arial"/>
          <w:sz w:val="16"/>
          <w:szCs w:val="16"/>
          <w:i w:val="1"/>
          <w:iCs w:val="1"/>
          <w:color w:val="auto"/>
        </w:rPr>
        <w:t>Presentation of an Unrecognized Tax Benefit When a Net Operating Loss Carryforward, a Similar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 Loss, or a Tax Credit Carryforward Exists. </w:t>
      </w:r>
      <w:r>
        <w:rPr>
          <w:rFonts w:ascii="Arial" w:cs="Arial" w:eastAsia="Arial" w:hAnsi="Arial"/>
          <w:sz w:val="16"/>
          <w:szCs w:val="16"/>
          <w:color w:val="auto"/>
        </w:rPr>
        <w:t>ASU No. 2013-11 requires unrecognized tax benefits to be presented as a reduction of a deferred tax asset unless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are present. Prior to adoption, unrecognized tax benefits were presented as a component of the current tax liability payable. Upon adoption, United reclassified $4.59 million in unrecognized tax benefits from other liabilities to its net deferred tax asset. The reclassification resulted in decreases in United’s net deferred tax asset and other liabilities.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 Assets and Liabilities Measured at Fair Value</w:t>
      </w:r>
    </w:p>
    <w:p>
      <w:pPr>
        <w:spacing w:after="0" w:line="23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Fair value measurements are determined based on the assumptions that market participants would use in pricing the asset or liability. As a basis for considering market participant assumptions in fair value measurements, United uses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Fair Value Hierarchy</w:t>
      </w:r>
    </w:p>
    <w:p>
      <w:pPr>
        <w:spacing w:after="0" w:line="228" w:lineRule="exact"/>
        <w:rPr>
          <w:sz w:val="20"/>
          <w:szCs w:val="20"/>
          <w:color w:val="auto"/>
        </w:rPr>
      </w:pPr>
    </w:p>
    <w:p>
      <w:pPr>
        <w:ind w:left="440"/>
        <w:spacing w:after="0"/>
        <w:tabs>
          <w:tab w:leader="none" w:pos="1080" w:val="left"/>
        </w:tabs>
        <w:rPr>
          <w:sz w:val="20"/>
          <w:szCs w:val="20"/>
          <w:color w:val="auto"/>
        </w:rPr>
      </w:pPr>
      <w:r>
        <w:rPr>
          <w:rFonts w:ascii="Arial" w:cs="Arial" w:eastAsia="Arial" w:hAnsi="Arial"/>
          <w:sz w:val="16"/>
          <w:szCs w:val="16"/>
          <w:i w:val="1"/>
          <w:iCs w:val="1"/>
          <w:color w:val="auto"/>
        </w:rPr>
        <w:t>Level 1</w:t>
      </w:r>
      <w:r>
        <w:rPr>
          <w:sz w:val="20"/>
          <w:szCs w:val="20"/>
          <w:color w:val="auto"/>
        </w:rPr>
        <w:tab/>
      </w:r>
      <w:r>
        <w:rPr>
          <w:rFonts w:ascii="Arial" w:cs="Arial" w:eastAsia="Arial" w:hAnsi="Arial"/>
          <w:sz w:val="14"/>
          <w:szCs w:val="14"/>
          <w:color w:val="auto"/>
        </w:rPr>
        <w:t>Valuation is based upon quoted prices (unadjusted) in active markets for identical assets or liabilities that United has the ability to access.</w:t>
      </w:r>
    </w:p>
    <w:p>
      <w:pPr>
        <w:spacing w:after="0" w:line="228" w:lineRule="exact"/>
        <w:rPr>
          <w:sz w:val="20"/>
          <w:szCs w:val="20"/>
          <w:color w:val="auto"/>
        </w:rPr>
      </w:pPr>
    </w:p>
    <w:p>
      <w:pPr>
        <w:jc w:val="both"/>
        <w:ind w:left="440" w:right="20"/>
        <w:spacing w:after="0" w:line="281"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 liability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than quoted prices), such as interest rates, foreign exchange rates, and yield curves that are observable at commonly quoted intervals.</w:t>
      </w:r>
    </w:p>
    <w:p>
      <w:pPr>
        <w:spacing w:after="0" w:line="175" w:lineRule="exact"/>
        <w:rPr>
          <w:sz w:val="20"/>
          <w:szCs w:val="20"/>
          <w:color w:val="auto"/>
        </w:rPr>
      </w:pPr>
    </w:p>
    <w:p>
      <w:pPr>
        <w:jc w:val="both"/>
        <w:ind w:left="440"/>
        <w:spacing w:after="0" w:line="260"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Valuation is generated from model-based techniques that use at least one significant assumption based on unobservable inputs for the asset or liability,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description of the valuation methodologies used for assets and liabilities recorded at fair value.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Securities Available-for-Sale</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corporate debt securities and asset-backed securities and are valued based on observable inputs that are observable in the market and can be corroborated by observable market data for substantially the full term of the securities. Securities classified as Level 3 are valued based on estimates obtained from broker-dealers.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Deferred Compensation Plan Assets and Liabilities</w:t>
      </w:r>
    </w:p>
    <w:p>
      <w:pPr>
        <w:spacing w:after="0" w:line="228"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Mortgage Loans Held for Sale</w:t>
      </w:r>
    </w:p>
    <w:p>
      <w:pPr>
        <w:spacing w:after="0" w:line="22" w:lineRule="exact"/>
        <w:rPr>
          <w:sz w:val="20"/>
          <w:szCs w:val="20"/>
          <w:color w:val="auto"/>
        </w:rPr>
      </w:pPr>
    </w:p>
    <w:p>
      <w:pPr>
        <w:jc w:val="both"/>
        <w:ind w:right="20"/>
        <w:spacing w:after="0" w:line="266" w:lineRule="auto"/>
        <w:rPr>
          <w:sz w:val="20"/>
          <w:szCs w:val="20"/>
          <w:color w:val="auto"/>
        </w:rPr>
      </w:pPr>
      <w:r>
        <w:rPr>
          <w:rFonts w:ascii="Arial" w:cs="Arial" w:eastAsia="Arial" w:hAnsi="Arial"/>
          <w:sz w:val="16"/>
          <w:szCs w:val="16"/>
          <w:color w:val="auto"/>
        </w:rPr>
        <w:t>Mortgage loans held for sale are carried at the lower of cost or market value. The fair value of mortgage loans held for sale is based on what secondary markets are currently offering for portfolios with similar characteristics.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Loans</w:t>
      </w:r>
    </w:p>
    <w:p>
      <w:pPr>
        <w:spacing w:after="0" w:line="228"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Foreclosed Assets</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Derivative Financial Instruments</w:t>
      </w:r>
    </w:p>
    <w:p>
      <w:pPr>
        <w:spacing w:after="0" w:line="228"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17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9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September 30, 2014,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36" w:name="page37"/>
    <w:bookmarkEnd w:id="36"/>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Recurring Basis</w:t>
      </w:r>
    </w:p>
    <w:p>
      <w:pPr>
        <w:spacing w:after="0" w:line="232"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 xml:space="preserve">The table below presents United’s assets and liabilities measured at fair value on a recurring basis as of September 30, 2014, December 31, 2013 and September 30, 2013, aggregated by the level in the fair value hierarchy within which those measurements fall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September 30, 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94"/>
        </w:trPr>
        <w:tc>
          <w:tcPr>
            <w:tcW w:w="20" w:type="dxa"/>
            <w:vAlign w:val="bottom"/>
          </w:tcPr>
          <w:p>
            <w:pPr>
              <w:spacing w:after="0"/>
              <w:rPr>
                <w:sz w:val="16"/>
                <w:szCs w:val="16"/>
                <w:color w:val="auto"/>
              </w:rPr>
            </w:pPr>
          </w:p>
        </w:tc>
        <w:tc>
          <w:tcPr>
            <w:tcW w:w="59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6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Securities available for sale: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U.S. Treasury securities</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4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105,022</w:t>
            </w:r>
          </w:p>
        </w:tc>
        <w:tc>
          <w:tcPr>
            <w:tcW w:w="860" w:type="dxa"/>
            <w:vAlign w:val="bottom"/>
            <w:shd w:val="clear" w:color="auto" w:fill="F0FFFF"/>
          </w:tcPr>
          <w:p>
            <w:pPr>
              <w:jc w:val="right"/>
              <w:ind w:right="70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105,022</w:t>
            </w: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color w:val="auto"/>
              </w:rPr>
              <w:t>State and political subdivisions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20,321</w:t>
            </w:r>
          </w:p>
        </w:tc>
        <w:tc>
          <w:tcPr>
            <w:tcW w:w="8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20,321</w:t>
            </w: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Mortgage-backed securities</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1,034,992</w:t>
            </w:r>
          </w:p>
        </w:tc>
        <w:tc>
          <w:tcPr>
            <w:tcW w:w="860" w:type="dxa"/>
            <w:vAlign w:val="bottom"/>
            <w:shd w:val="clear" w:color="auto" w:fill="F0FFFF"/>
          </w:tcPr>
          <w:p>
            <w:pPr>
              <w:spacing w:after="0"/>
              <w:rPr>
                <w:sz w:val="16"/>
                <w:szCs w:val="16"/>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1,034,992</w:t>
            </w: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color w:val="auto"/>
              </w:rPr>
              <w:t>Corporate bonds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164,952</w:t>
            </w:r>
          </w:p>
        </w:tc>
        <w:tc>
          <w:tcPr>
            <w:tcW w:w="8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300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165,252</w:t>
            </w: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Asset-backed securities</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462,044</w:t>
            </w:r>
          </w:p>
        </w:tc>
        <w:tc>
          <w:tcPr>
            <w:tcW w:w="860" w:type="dxa"/>
            <w:vAlign w:val="bottom"/>
            <w:shd w:val="clear" w:color="auto" w:fill="F0FFFF"/>
          </w:tcPr>
          <w:p>
            <w:pPr>
              <w:spacing w:after="0"/>
              <w:rPr>
                <w:sz w:val="16"/>
                <w:szCs w:val="16"/>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462,044</w:t>
            </w: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2,036</w:t>
            </w:r>
          </w:p>
        </w:tc>
        <w:tc>
          <w:tcPr>
            <w:tcW w:w="8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2,036</w:t>
            </w: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Deferred compensation plan assets</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3,734</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F0FFFF"/>
          </w:tcPr>
          <w:p>
            <w:pPr>
              <w:spacing w:after="0"/>
              <w:rPr>
                <w:sz w:val="16"/>
                <w:szCs w:val="16"/>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3,734</w:t>
            </w: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22,221</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22,221</w:t>
            </w:r>
          </w:p>
        </w:tc>
      </w:tr>
      <w:tr>
        <w:trPr>
          <w:trHeight w:val="24"/>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4"/>
        </w:trPr>
        <w:tc>
          <w:tcPr>
            <w:tcW w:w="20" w:type="dxa"/>
            <w:vAlign w:val="bottom"/>
          </w:tcPr>
          <w:p>
            <w:pPr>
              <w:spacing w:after="0"/>
              <w:rPr>
                <w:sz w:val="20"/>
                <w:szCs w:val="20"/>
                <w:color w:val="auto"/>
              </w:rPr>
            </w:pPr>
          </w:p>
        </w:tc>
        <w:tc>
          <w:tcPr>
            <w:tcW w:w="5940" w:type="dxa"/>
            <w:vAlign w:val="bottom"/>
            <w:shd w:val="clear" w:color="auto" w:fill="F0FFFF"/>
          </w:tcPr>
          <w:p>
            <w:pPr>
              <w:ind w:left="420"/>
              <w:spacing w:after="0"/>
              <w:rPr>
                <w:sz w:val="20"/>
                <w:szCs w:val="20"/>
                <w:color w:val="auto"/>
              </w:rPr>
            </w:pPr>
            <w:r>
              <w:rPr>
                <w:rFonts w:ascii="Arial" w:cs="Arial" w:eastAsia="Arial" w:hAnsi="Arial"/>
                <w:sz w:val="16"/>
                <w:szCs w:val="16"/>
                <w:color w:val="auto"/>
              </w:rPr>
              <w:t>Total assets</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3,734</w:t>
            </w:r>
          </w:p>
        </w:tc>
        <w:tc>
          <w:tcPr>
            <w:tcW w:w="4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1,811,588</w:t>
            </w:r>
          </w:p>
        </w:tc>
        <w:tc>
          <w:tcPr>
            <w:tcW w:w="860" w:type="dxa"/>
            <w:vAlign w:val="bottom"/>
            <w:shd w:val="clear" w:color="auto" w:fill="F0FFFF"/>
          </w:tcPr>
          <w:p>
            <w:pPr>
              <w:jc w:val="right"/>
              <w:ind w:right="70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w w:val="97"/>
              </w:rPr>
              <w:t>300</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1,815,622</w:t>
            </w:r>
          </w:p>
        </w:tc>
        <w:tc>
          <w:tcPr>
            <w:tcW w:w="120" w:type="dxa"/>
            <w:vAlign w:val="bottom"/>
            <w:shd w:val="clear" w:color="auto" w:fill="F0FFFF"/>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5940" w:type="dxa"/>
            <w:vAlign w:val="bottom"/>
            <w:tcBorders>
              <w:top w:val="single" w:sz="8" w:color="F0FFFF"/>
            </w:tcBorders>
          </w:tcPr>
          <w:p>
            <w:pPr>
              <w:spacing w:after="0" w:line="183" w:lineRule="exact"/>
              <w:rPr>
                <w:sz w:val="20"/>
                <w:szCs w:val="20"/>
                <w:color w:val="auto"/>
              </w:rPr>
            </w:pPr>
            <w:r>
              <w:rPr>
                <w:rFonts w:ascii="Arial" w:cs="Arial" w:eastAsia="Arial" w:hAnsi="Arial"/>
                <w:sz w:val="16"/>
                <w:szCs w:val="16"/>
                <w:b w:val="1"/>
                <w:bCs w:val="1"/>
                <w:color w:val="auto"/>
              </w:rPr>
              <w:t>Liabilities:</w:t>
            </w:r>
          </w:p>
        </w:tc>
        <w:tc>
          <w:tcPr>
            <w:tcW w:w="120" w:type="dxa"/>
            <w:vAlign w:val="bottom"/>
            <w:tcBorders>
              <w:top w:val="single" w:sz="8" w:color="F0FF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Borders>
              <w:top w:val="single" w:sz="8" w:color="F0FF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F0FFFF"/>
            </w:tcBorders>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Deferred compensation plan liability</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3,734</w:t>
            </w:r>
          </w:p>
        </w:tc>
        <w:tc>
          <w:tcPr>
            <w:tcW w:w="4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shd w:val="clear" w:color="auto" w:fill="F0FFFF"/>
          </w:tcPr>
          <w:p>
            <w:pPr>
              <w:jc w:val="right"/>
              <w:ind w:right="70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3,734</w:t>
            </w: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Brokered certificates of deposit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175,053</w:t>
            </w:r>
          </w:p>
        </w:tc>
        <w:tc>
          <w:tcPr>
            <w:tcW w:w="8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175,053</w:t>
            </w: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36,171</w:t>
            </w:r>
          </w:p>
        </w:tc>
        <w:tc>
          <w:tcPr>
            <w:tcW w:w="22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36,171</w:t>
            </w:r>
          </w:p>
        </w:tc>
      </w:tr>
      <w:tr>
        <w:trPr>
          <w:trHeight w:val="24"/>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420"/>
              <w:spacing w:after="0"/>
              <w:rPr>
                <w:sz w:val="20"/>
                <w:szCs w:val="20"/>
                <w:color w:val="auto"/>
              </w:rPr>
            </w:pPr>
            <w:r>
              <w:rPr>
                <w:rFonts w:ascii="Arial" w:cs="Arial" w:eastAsia="Arial" w:hAnsi="Arial"/>
                <w:sz w:val="16"/>
                <w:szCs w:val="16"/>
                <w:color w:val="auto"/>
              </w:rPr>
              <w:t>Total liabilities</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3,734</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211,224</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214,958</w:t>
            </w: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gridSpan w:val="2"/>
          </w:tcPr>
          <w:p>
            <w:pPr>
              <w:spacing w:after="0"/>
              <w:rPr>
                <w:sz w:val="20"/>
                <w:szCs w:val="20"/>
                <w:color w:val="auto"/>
              </w:rPr>
            </w:pPr>
            <w:r>
              <w:rPr>
                <w:rFonts w:ascii="Arial" w:cs="Arial" w:eastAsia="Arial" w:hAnsi="Arial"/>
                <w:sz w:val="16"/>
                <w:szCs w:val="16"/>
                <w:b w:val="1"/>
                <w:bCs w:val="1"/>
                <w:color w:val="auto"/>
              </w:rPr>
              <w:t>December 31, 2013</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94"/>
        </w:trPr>
        <w:tc>
          <w:tcPr>
            <w:tcW w:w="20" w:type="dxa"/>
            <w:vAlign w:val="bottom"/>
          </w:tcPr>
          <w:p>
            <w:pPr>
              <w:spacing w:after="0"/>
              <w:rPr>
                <w:sz w:val="16"/>
                <w:szCs w:val="16"/>
                <w:color w:val="auto"/>
              </w:rPr>
            </w:pPr>
          </w:p>
        </w:tc>
        <w:tc>
          <w:tcPr>
            <w:tcW w:w="40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Assets:</w:t>
            </w:r>
          </w:p>
        </w:tc>
        <w:tc>
          <w:tcPr>
            <w:tcW w:w="188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rPr>
              <w:t>Securities available for sale</w:t>
            </w: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0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State and political subdivisions</w:t>
            </w:r>
          </w:p>
        </w:tc>
        <w:tc>
          <w:tcPr>
            <w:tcW w:w="2200" w:type="dxa"/>
            <w:vAlign w:val="bottom"/>
            <w:gridSpan w:val="3"/>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23,242</w:t>
            </w:r>
          </w:p>
        </w:tc>
        <w:tc>
          <w:tcPr>
            <w:tcW w:w="200" w:type="dxa"/>
            <w:vAlign w:val="bottom"/>
            <w:shd w:val="clear" w:color="auto" w:fill="F0FF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23,242</w:t>
            </w:r>
          </w:p>
        </w:tc>
      </w:tr>
      <w:tr>
        <w:trPr>
          <w:trHeight w:val="194"/>
        </w:trPr>
        <w:tc>
          <w:tcPr>
            <w:tcW w:w="20" w:type="dxa"/>
            <w:vAlign w:val="bottom"/>
          </w:tcPr>
          <w:p>
            <w:pPr>
              <w:spacing w:after="0"/>
              <w:rPr>
                <w:sz w:val="16"/>
                <w:szCs w:val="16"/>
                <w:color w:val="auto"/>
              </w:rPr>
            </w:pPr>
          </w:p>
        </w:tc>
        <w:tc>
          <w:tcPr>
            <w:tcW w:w="4060" w:type="dxa"/>
            <w:vAlign w:val="bottom"/>
          </w:tcPr>
          <w:p>
            <w:pPr>
              <w:ind w:left="260"/>
              <w:spacing w:after="0"/>
              <w:rPr>
                <w:sz w:val="20"/>
                <w:szCs w:val="20"/>
                <w:color w:val="auto"/>
              </w:rPr>
            </w:pPr>
            <w:r>
              <w:rPr>
                <w:rFonts w:ascii="Arial" w:cs="Arial" w:eastAsia="Arial" w:hAnsi="Arial"/>
                <w:sz w:val="16"/>
                <w:szCs w:val="16"/>
                <w:color w:val="auto"/>
              </w:rPr>
              <w:t>Mortgage-backed securities</w:t>
            </w: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1,145,347</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1,145,347</w:t>
            </w: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40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Corporate bonds</w:t>
            </w:r>
          </w:p>
        </w:tc>
        <w:tc>
          <w:tcPr>
            <w:tcW w:w="1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249,946</w:t>
            </w:r>
          </w:p>
        </w:tc>
        <w:tc>
          <w:tcPr>
            <w:tcW w:w="20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350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250,296</w:t>
            </w:r>
          </w:p>
        </w:tc>
      </w:tr>
      <w:tr>
        <w:trPr>
          <w:trHeight w:val="194"/>
        </w:trPr>
        <w:tc>
          <w:tcPr>
            <w:tcW w:w="20" w:type="dxa"/>
            <w:vAlign w:val="bottom"/>
          </w:tcPr>
          <w:p>
            <w:pPr>
              <w:spacing w:after="0"/>
              <w:rPr>
                <w:sz w:val="16"/>
                <w:szCs w:val="16"/>
                <w:color w:val="auto"/>
              </w:rPr>
            </w:pPr>
          </w:p>
        </w:tc>
        <w:tc>
          <w:tcPr>
            <w:tcW w:w="4060" w:type="dxa"/>
            <w:vAlign w:val="bottom"/>
          </w:tcPr>
          <w:p>
            <w:pPr>
              <w:ind w:left="260"/>
              <w:spacing w:after="0"/>
              <w:rPr>
                <w:sz w:val="20"/>
                <w:szCs w:val="20"/>
                <w:color w:val="auto"/>
              </w:rPr>
            </w:pPr>
            <w:r>
              <w:rPr>
                <w:rFonts w:ascii="Arial" w:cs="Arial" w:eastAsia="Arial" w:hAnsi="Arial"/>
                <w:sz w:val="16"/>
                <w:szCs w:val="16"/>
                <w:color w:val="auto"/>
              </w:rPr>
              <w:t>Asset-backed securities</w:t>
            </w: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410,633</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410,633</w:t>
            </w:r>
          </w:p>
        </w:tc>
      </w:tr>
      <w:tr>
        <w:trPr>
          <w:trHeight w:val="194"/>
        </w:trPr>
        <w:tc>
          <w:tcPr>
            <w:tcW w:w="20" w:type="dxa"/>
            <w:vAlign w:val="bottom"/>
          </w:tcPr>
          <w:p>
            <w:pPr>
              <w:spacing w:after="0"/>
              <w:rPr>
                <w:sz w:val="16"/>
                <w:szCs w:val="16"/>
                <w:color w:val="auto"/>
              </w:rPr>
            </w:pPr>
          </w:p>
        </w:tc>
        <w:tc>
          <w:tcPr>
            <w:tcW w:w="4060" w:type="dxa"/>
            <w:vAlign w:val="bottom"/>
            <w:shd w:val="clear" w:color="auto" w:fill="F0FFFF"/>
          </w:tcPr>
          <w:p>
            <w:pPr>
              <w:ind w:left="260"/>
              <w:spacing w:after="0"/>
              <w:rPr>
                <w:sz w:val="20"/>
                <w:szCs w:val="20"/>
                <w:color w:val="auto"/>
              </w:rPr>
            </w:pPr>
            <w:r>
              <w:rPr>
                <w:rFonts w:ascii="Arial" w:cs="Arial" w:eastAsia="Arial" w:hAnsi="Arial"/>
                <w:sz w:val="16"/>
                <w:szCs w:val="16"/>
                <w:color w:val="auto"/>
              </w:rPr>
              <w:t>Other</w:t>
            </w:r>
          </w:p>
        </w:tc>
        <w:tc>
          <w:tcPr>
            <w:tcW w:w="1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2,699</w:t>
            </w:r>
          </w:p>
        </w:tc>
        <w:tc>
          <w:tcPr>
            <w:tcW w:w="20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2,699</w:t>
            </w:r>
          </w:p>
        </w:tc>
      </w:tr>
      <w:tr>
        <w:trPr>
          <w:trHeight w:val="194"/>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rPr>
              <w:t>Deferred compensation plan assets</w:t>
            </w: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3,496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3,496</w:t>
            </w:r>
          </w:p>
        </w:tc>
      </w:tr>
      <w:tr>
        <w:trPr>
          <w:trHeight w:val="194"/>
        </w:trPr>
        <w:tc>
          <w:tcPr>
            <w:tcW w:w="20" w:type="dxa"/>
            <w:vAlign w:val="bottom"/>
          </w:tcPr>
          <w:p>
            <w:pPr>
              <w:spacing w:after="0"/>
              <w:rPr>
                <w:sz w:val="16"/>
                <w:szCs w:val="16"/>
                <w:color w:val="auto"/>
              </w:rPr>
            </w:pPr>
          </w:p>
        </w:tc>
        <w:tc>
          <w:tcPr>
            <w:tcW w:w="40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Derivative financial instruments</w:t>
            </w:r>
          </w:p>
        </w:tc>
        <w:tc>
          <w:tcPr>
            <w:tcW w:w="1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23,833</w:t>
            </w:r>
          </w:p>
        </w:tc>
        <w:tc>
          <w:tcPr>
            <w:tcW w:w="20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23,833</w:t>
            </w:r>
          </w:p>
        </w:tc>
      </w:tr>
      <w:tr>
        <w:trPr>
          <w:trHeight w:val="24"/>
        </w:trPr>
        <w:tc>
          <w:tcPr>
            <w:tcW w:w="20" w:type="dxa"/>
            <w:vAlign w:val="bottom"/>
          </w:tcPr>
          <w:p>
            <w:pPr>
              <w:spacing w:after="0"/>
              <w:rPr>
                <w:sz w:val="2"/>
                <w:szCs w:val="2"/>
                <w:color w:val="auto"/>
              </w:rPr>
            </w:pPr>
          </w:p>
        </w:tc>
        <w:tc>
          <w:tcPr>
            <w:tcW w:w="4060" w:type="dxa"/>
            <w:vAlign w:val="bottom"/>
            <w:shd w:val="clear" w:color="auto" w:fill="F0FFFF"/>
          </w:tcPr>
          <w:p>
            <w:pPr>
              <w:spacing w:after="0"/>
              <w:rPr>
                <w:sz w:val="2"/>
                <w:szCs w:val="2"/>
                <w:color w:val="auto"/>
              </w:rPr>
            </w:pPr>
          </w:p>
        </w:tc>
        <w:tc>
          <w:tcPr>
            <w:tcW w:w="18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4060" w:type="dxa"/>
            <w:vAlign w:val="bottom"/>
          </w:tcPr>
          <w:p>
            <w:pPr>
              <w:ind w:left="420"/>
              <w:spacing w:after="0"/>
              <w:rPr>
                <w:sz w:val="20"/>
                <w:szCs w:val="20"/>
                <w:color w:val="auto"/>
              </w:rPr>
            </w:pPr>
            <w:r>
              <w:rPr>
                <w:rFonts w:ascii="Arial" w:cs="Arial" w:eastAsia="Arial" w:hAnsi="Arial"/>
                <w:sz w:val="16"/>
                <w:szCs w:val="16"/>
                <w:color w:val="auto"/>
              </w:rPr>
              <w:t>Total assets</w:t>
            </w:r>
          </w:p>
        </w:tc>
        <w:tc>
          <w:tcPr>
            <w:tcW w:w="22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3,496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1,855,700</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350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1,859,546</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060" w:type="dxa"/>
            <w:vAlign w:val="bottom"/>
            <w:shd w:val="clear" w:color="auto" w:fill="F0FFFF"/>
          </w:tcPr>
          <w:p>
            <w:pPr>
              <w:spacing w:after="0" w:line="183" w:lineRule="exact"/>
              <w:rPr>
                <w:sz w:val="20"/>
                <w:szCs w:val="20"/>
                <w:color w:val="auto"/>
              </w:rPr>
            </w:pPr>
            <w:r>
              <w:rPr>
                <w:rFonts w:ascii="Arial" w:cs="Arial" w:eastAsia="Arial" w:hAnsi="Arial"/>
                <w:sz w:val="16"/>
                <w:szCs w:val="16"/>
                <w:b w:val="1"/>
                <w:bCs w:val="1"/>
                <w:color w:val="auto"/>
              </w:rPr>
              <w:t>Liabilities:</w:t>
            </w:r>
          </w:p>
        </w:tc>
        <w:tc>
          <w:tcPr>
            <w:tcW w:w="18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rPr>
              <w:t>Deferred compensation plan liability</w:t>
            </w:r>
          </w:p>
        </w:tc>
        <w:tc>
          <w:tcPr>
            <w:tcW w:w="22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3,496</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3,496</w:t>
            </w:r>
          </w:p>
        </w:tc>
      </w:tr>
      <w:tr>
        <w:trPr>
          <w:trHeight w:val="194"/>
        </w:trPr>
        <w:tc>
          <w:tcPr>
            <w:tcW w:w="20" w:type="dxa"/>
            <w:vAlign w:val="bottom"/>
          </w:tcPr>
          <w:p>
            <w:pPr>
              <w:spacing w:after="0"/>
              <w:rPr>
                <w:sz w:val="16"/>
                <w:szCs w:val="16"/>
                <w:color w:val="auto"/>
              </w:rPr>
            </w:pPr>
          </w:p>
        </w:tc>
        <w:tc>
          <w:tcPr>
            <w:tcW w:w="40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Brokered certificates of deposit</w:t>
            </w:r>
          </w:p>
        </w:tc>
        <w:tc>
          <w:tcPr>
            <w:tcW w:w="1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173,657</w:t>
            </w:r>
          </w:p>
        </w:tc>
        <w:tc>
          <w:tcPr>
            <w:tcW w:w="20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173,657</w:t>
            </w:r>
          </w:p>
        </w:tc>
      </w:tr>
      <w:tr>
        <w:trPr>
          <w:trHeight w:val="194"/>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6"/>
                <w:szCs w:val="16"/>
                <w:color w:val="auto"/>
              </w:rPr>
              <w:t>Derivative financial instruments</w:t>
            </w: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46,232</w:t>
            </w:r>
          </w:p>
        </w:tc>
        <w:tc>
          <w:tcPr>
            <w:tcW w:w="20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46,232</w:t>
            </w:r>
          </w:p>
        </w:tc>
      </w:tr>
      <w:tr>
        <w:trPr>
          <w:trHeight w:val="24"/>
        </w:trPr>
        <w:tc>
          <w:tcPr>
            <w:tcW w:w="20" w:type="dxa"/>
            <w:vAlign w:val="bottom"/>
          </w:tcPr>
          <w:p>
            <w:pPr>
              <w:spacing w:after="0"/>
              <w:rPr>
                <w:sz w:val="2"/>
                <w:szCs w:val="2"/>
                <w:color w:val="auto"/>
              </w:rPr>
            </w:pPr>
          </w:p>
        </w:tc>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4"/>
        </w:trPr>
        <w:tc>
          <w:tcPr>
            <w:tcW w:w="20" w:type="dxa"/>
            <w:vAlign w:val="bottom"/>
          </w:tcPr>
          <w:p>
            <w:pPr>
              <w:spacing w:after="0"/>
              <w:rPr>
                <w:sz w:val="20"/>
                <w:szCs w:val="20"/>
                <w:color w:val="auto"/>
              </w:rPr>
            </w:pPr>
          </w:p>
        </w:tc>
        <w:tc>
          <w:tcPr>
            <w:tcW w:w="4060" w:type="dxa"/>
            <w:vAlign w:val="bottom"/>
            <w:shd w:val="clear" w:color="auto" w:fill="F0FFFF"/>
          </w:tcPr>
          <w:p>
            <w:pPr>
              <w:ind w:left="420"/>
              <w:spacing w:after="0"/>
              <w:rPr>
                <w:sz w:val="20"/>
                <w:szCs w:val="20"/>
                <w:color w:val="auto"/>
              </w:rPr>
            </w:pPr>
            <w:r>
              <w:rPr>
                <w:rFonts w:ascii="Arial" w:cs="Arial" w:eastAsia="Arial" w:hAnsi="Arial"/>
                <w:sz w:val="16"/>
                <w:szCs w:val="16"/>
                <w:color w:val="auto"/>
              </w:rPr>
              <w:t>Total liabilities</w:t>
            </w:r>
          </w:p>
        </w:tc>
        <w:tc>
          <w:tcPr>
            <w:tcW w:w="2200" w:type="dxa"/>
            <w:vAlign w:val="bottom"/>
            <w:gridSpan w:val="3"/>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3,496</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219,889</w:t>
            </w:r>
          </w:p>
        </w:tc>
        <w:tc>
          <w:tcPr>
            <w:tcW w:w="200" w:type="dxa"/>
            <w:vAlign w:val="bottom"/>
            <w:shd w:val="clear" w:color="auto" w:fill="F0FF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223,385</w:t>
            </w:r>
          </w:p>
        </w:tc>
      </w:tr>
      <w:tr>
        <w:trPr>
          <w:trHeight w:val="595"/>
        </w:trPr>
        <w:tc>
          <w:tcPr>
            <w:tcW w:w="20" w:type="dxa"/>
            <w:vAlign w:val="bottom"/>
          </w:tcPr>
          <w:p>
            <w:pPr>
              <w:spacing w:after="0"/>
              <w:rPr>
                <w:sz w:val="24"/>
                <w:szCs w:val="24"/>
                <w:color w:val="auto"/>
              </w:rPr>
            </w:pPr>
          </w:p>
        </w:tc>
        <w:tc>
          <w:tcPr>
            <w:tcW w:w="4060" w:type="dxa"/>
            <w:vAlign w:val="bottom"/>
            <w:tcBorders>
              <w:top w:val="single" w:sz="8" w:color="F0FFFF"/>
              <w:bottom w:val="single" w:sz="8" w:color="DCDCDC"/>
            </w:tcBorders>
          </w:tcPr>
          <w:p>
            <w:pPr>
              <w:spacing w:after="0"/>
              <w:rPr>
                <w:sz w:val="24"/>
                <w:szCs w:val="24"/>
                <w:color w:val="auto"/>
              </w:rPr>
            </w:pPr>
          </w:p>
        </w:tc>
        <w:tc>
          <w:tcPr>
            <w:tcW w:w="1880" w:type="dxa"/>
            <w:vAlign w:val="bottom"/>
            <w:tcBorders>
              <w:top w:val="single" w:sz="8" w:color="F0FFFF"/>
              <w:bottom w:val="single" w:sz="8" w:color="DCDCDC"/>
            </w:tcBorders>
          </w:tcPr>
          <w:p>
            <w:pPr>
              <w:jc w:val="right"/>
              <w:ind w:right="79"/>
              <w:spacing w:after="0"/>
              <w:rPr>
                <w:sz w:val="20"/>
                <w:szCs w:val="20"/>
                <w:color w:val="auto"/>
              </w:rPr>
            </w:pPr>
            <w:r>
              <w:rPr>
                <w:rFonts w:ascii="Arial" w:cs="Arial" w:eastAsia="Arial" w:hAnsi="Arial"/>
                <w:sz w:val="16"/>
                <w:szCs w:val="16"/>
                <w:color w:val="auto"/>
              </w:rPr>
              <w:t>37</w:t>
            </w:r>
          </w:p>
        </w:tc>
        <w:tc>
          <w:tcPr>
            <w:tcW w:w="120" w:type="dxa"/>
            <w:vAlign w:val="bottom"/>
            <w:tcBorders>
              <w:top w:val="single" w:sz="8" w:color="F0FFFF"/>
              <w:bottom w:val="single" w:sz="8" w:color="DCDCDC"/>
            </w:tcBorders>
          </w:tcPr>
          <w:p>
            <w:pPr>
              <w:spacing w:after="0"/>
              <w:rPr>
                <w:sz w:val="24"/>
                <w:szCs w:val="24"/>
                <w:color w:val="auto"/>
              </w:rPr>
            </w:pPr>
          </w:p>
        </w:tc>
        <w:tc>
          <w:tcPr>
            <w:tcW w:w="200" w:type="dxa"/>
            <w:vAlign w:val="bottom"/>
            <w:tcBorders>
              <w:top w:val="single" w:sz="8" w:color="auto"/>
              <w:bottom w:val="single" w:sz="8" w:color="DCDCDC"/>
            </w:tcBorders>
          </w:tcPr>
          <w:p>
            <w:pPr>
              <w:spacing w:after="0"/>
              <w:rPr>
                <w:sz w:val="24"/>
                <w:szCs w:val="24"/>
                <w:color w:val="auto"/>
              </w:rPr>
            </w:pPr>
          </w:p>
        </w:tc>
        <w:tc>
          <w:tcPr>
            <w:tcW w:w="94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200" w:type="dxa"/>
            <w:vAlign w:val="bottom"/>
            <w:tcBorders>
              <w:top w:val="single" w:sz="8" w:color="auto"/>
              <w:bottom w:val="single" w:sz="8" w:color="DCDCDC"/>
            </w:tcBorders>
          </w:tcPr>
          <w:p>
            <w:pPr>
              <w:spacing w:after="0"/>
              <w:rPr>
                <w:sz w:val="24"/>
                <w:szCs w:val="24"/>
                <w:color w:val="auto"/>
              </w:rPr>
            </w:pPr>
          </w:p>
        </w:tc>
        <w:tc>
          <w:tcPr>
            <w:tcW w:w="960" w:type="dxa"/>
            <w:vAlign w:val="bottom"/>
            <w:tcBorders>
              <w:top w:val="single" w:sz="8" w:color="auto"/>
              <w:bottom w:val="single" w:sz="8" w:color="DCDCDC"/>
            </w:tcBorders>
          </w:tcPr>
          <w:p>
            <w:pPr>
              <w:spacing w:after="0"/>
              <w:rPr>
                <w:sz w:val="24"/>
                <w:szCs w:val="24"/>
                <w:color w:val="auto"/>
              </w:rPr>
            </w:pPr>
          </w:p>
        </w:tc>
        <w:tc>
          <w:tcPr>
            <w:tcW w:w="220" w:type="dxa"/>
            <w:vAlign w:val="bottom"/>
            <w:tcBorders>
              <w:top w:val="single" w:sz="8" w:color="F0FFFF"/>
              <w:bottom w:val="single" w:sz="8" w:color="DCDCDC"/>
            </w:tcBorders>
          </w:tcPr>
          <w:p>
            <w:pPr>
              <w:spacing w:after="0"/>
              <w:rPr>
                <w:sz w:val="24"/>
                <w:szCs w:val="24"/>
                <w:color w:val="auto"/>
              </w:rPr>
            </w:pPr>
          </w:p>
        </w:tc>
        <w:tc>
          <w:tcPr>
            <w:tcW w:w="200" w:type="dxa"/>
            <w:vAlign w:val="bottom"/>
            <w:tcBorders>
              <w:top w:val="single" w:sz="8" w:color="auto"/>
              <w:bottom w:val="single" w:sz="8" w:color="DCDCDC"/>
            </w:tcBorders>
          </w:tcPr>
          <w:p>
            <w:pPr>
              <w:spacing w:after="0"/>
              <w:rPr>
                <w:sz w:val="24"/>
                <w:szCs w:val="24"/>
                <w:color w:val="auto"/>
              </w:rPr>
            </w:pPr>
          </w:p>
        </w:tc>
        <w:tc>
          <w:tcPr>
            <w:tcW w:w="940" w:type="dxa"/>
            <w:vAlign w:val="bottom"/>
            <w:tcBorders>
              <w:top w:val="single" w:sz="8" w:color="auto"/>
              <w:bottom w:val="single" w:sz="8" w:color="DCDCDC"/>
            </w:tcBorders>
          </w:tcPr>
          <w:p>
            <w:pPr>
              <w:spacing w:after="0"/>
              <w:rPr>
                <w:sz w:val="24"/>
                <w:szCs w:val="24"/>
                <w:color w:val="auto"/>
              </w:rPr>
            </w:pPr>
          </w:p>
        </w:tc>
        <w:tc>
          <w:tcPr>
            <w:tcW w:w="100" w:type="dxa"/>
            <w:vAlign w:val="bottom"/>
            <w:tcBorders>
              <w:top w:val="single" w:sz="8" w:color="F0FFFF"/>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c>
          <w:tcPr>
            <w:tcW w:w="220" w:type="dxa"/>
            <w:vAlign w:val="bottom"/>
            <w:tcBorders>
              <w:top w:val="single" w:sz="8" w:color="auto"/>
              <w:bottom w:val="single" w:sz="8" w:color="DCDCDC"/>
            </w:tcBorders>
          </w:tcPr>
          <w:p>
            <w:pPr>
              <w:spacing w:after="0"/>
              <w:rPr>
                <w:sz w:val="24"/>
                <w:szCs w:val="24"/>
                <w:color w:val="auto"/>
              </w:rPr>
            </w:pPr>
          </w:p>
        </w:tc>
        <w:tc>
          <w:tcPr>
            <w:tcW w:w="900" w:type="dxa"/>
            <w:vAlign w:val="bottom"/>
            <w:tcBorders>
              <w:top w:val="single" w:sz="8" w:color="auto"/>
              <w:bottom w:val="single" w:sz="8" w:color="DCDCDC"/>
            </w:tcBorders>
          </w:tcPr>
          <w:p>
            <w:pPr>
              <w:spacing w:after="0"/>
              <w:rPr>
                <w:sz w:val="24"/>
                <w:szCs w:val="24"/>
                <w:color w:val="auto"/>
              </w:rPr>
            </w:pPr>
          </w:p>
        </w:tc>
        <w:tc>
          <w:tcPr>
            <w:tcW w:w="120" w:type="dxa"/>
            <w:vAlign w:val="bottom"/>
            <w:tcBorders>
              <w:top w:val="single" w:sz="8" w:color="F0FFFF"/>
              <w:bottom w:val="single" w:sz="8" w:color="DCDCDC"/>
            </w:tcBorders>
          </w:tcPr>
          <w:p>
            <w:pPr>
              <w:spacing w:after="0"/>
              <w:rPr>
                <w:sz w:val="24"/>
                <w:szCs w:val="24"/>
                <w:color w:val="auto"/>
              </w:rPr>
            </w:pPr>
          </w:p>
        </w:tc>
      </w:tr>
    </w:tbl>
    <w:p>
      <w:pPr>
        <w:sectPr>
          <w:pgSz w:w="11900" w:h="16838" w:orient="portrait"/>
          <w:cols w:equalWidth="0" w:num="1">
            <w:col w:w="11440"/>
          </w:cols>
          <w:pgMar w:left="240" w:top="838" w:right="219" w:bottom="1440" w:gutter="0" w:footer="0" w:header="0"/>
        </w:sectPr>
      </w:pPr>
    </w:p>
    <w:bookmarkStart w:id="37" w:name="page38"/>
    <w:bookmarkEnd w:id="37"/>
    <w:p>
      <w:pPr>
        <w:jc w:val="center"/>
        <w:ind w:right="40"/>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September 30, 2013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Level 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r>
      <w:tr>
        <w:trPr>
          <w:trHeight w:val="194"/>
        </w:trPr>
        <w:tc>
          <w:tcPr>
            <w:tcW w:w="20" w:type="dxa"/>
            <w:vAlign w:val="bottom"/>
          </w:tcPr>
          <w:p>
            <w:pPr>
              <w:spacing w:after="0"/>
              <w:rPr>
                <w:sz w:val="16"/>
                <w:szCs w:val="16"/>
                <w:color w:val="auto"/>
              </w:rPr>
            </w:pPr>
          </w:p>
        </w:tc>
        <w:tc>
          <w:tcPr>
            <w:tcW w:w="59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60" w:type="dxa"/>
            <w:vAlign w:val="bottom"/>
            <w:tcBorders>
              <w:top w:val="single" w:sz="8" w:color="auto"/>
            </w:tcBorders>
            <w:shd w:val="clear" w:color="auto" w:fill="F0FFFF"/>
          </w:tcPr>
          <w:p>
            <w:pPr>
              <w:spacing w:after="0"/>
              <w:rPr>
                <w:sz w:val="16"/>
                <w:szCs w:val="16"/>
                <w:color w:val="auto"/>
              </w:rPr>
            </w:pPr>
          </w:p>
        </w:tc>
        <w:tc>
          <w:tcPr>
            <w:tcW w:w="280" w:type="dxa"/>
            <w:vAlign w:val="bottom"/>
            <w:tcBorders>
              <w:top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Securities available for sale:</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State and political subdivisions</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23,524</w:t>
            </w:r>
          </w:p>
        </w:tc>
        <w:tc>
          <w:tcPr>
            <w:tcW w:w="860" w:type="dxa"/>
            <w:vAlign w:val="bottom"/>
            <w:shd w:val="clear" w:color="auto" w:fill="F0FFFF"/>
          </w:tcPr>
          <w:p>
            <w:pPr>
              <w:jc w:val="right"/>
              <w:ind w:right="70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23,524</w:t>
            </w: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1,383,317</w:t>
            </w:r>
          </w:p>
        </w:tc>
        <w:tc>
          <w:tcPr>
            <w:tcW w:w="8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1,383,317</w:t>
            </w:r>
          </w:p>
        </w:tc>
        <w:tc>
          <w:tcPr>
            <w:tcW w:w="12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Corporate bonds</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246,601</w:t>
            </w:r>
          </w:p>
        </w:tc>
        <w:tc>
          <w:tcPr>
            <w:tcW w:w="860" w:type="dxa"/>
            <w:vAlign w:val="bottom"/>
            <w:shd w:val="clear" w:color="auto" w:fill="F0FFFF"/>
          </w:tcPr>
          <w:p>
            <w:pPr>
              <w:spacing w:after="0"/>
              <w:rPr>
                <w:sz w:val="16"/>
                <w:szCs w:val="16"/>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w w:val="97"/>
              </w:rPr>
              <w:t>350</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246,951</w:t>
            </w:r>
          </w:p>
        </w:tc>
      </w:tr>
      <w:tr>
        <w:trPr>
          <w:trHeight w:val="194"/>
        </w:trPr>
        <w:tc>
          <w:tcPr>
            <w:tcW w:w="20" w:type="dxa"/>
            <w:vAlign w:val="bottom"/>
          </w:tcPr>
          <w:p>
            <w:pPr>
              <w:spacing w:after="0"/>
              <w:rPr>
                <w:sz w:val="16"/>
                <w:szCs w:val="16"/>
                <w:color w:val="auto"/>
              </w:rPr>
            </w:pPr>
          </w:p>
        </w:tc>
        <w:tc>
          <w:tcPr>
            <w:tcW w:w="5940" w:type="dxa"/>
            <w:vAlign w:val="bottom"/>
          </w:tcPr>
          <w:p>
            <w:pPr>
              <w:ind w:left="260"/>
              <w:spacing w:after="0"/>
              <w:rPr>
                <w:sz w:val="20"/>
                <w:szCs w:val="20"/>
                <w:color w:val="auto"/>
              </w:rPr>
            </w:pPr>
            <w:r>
              <w:rPr>
                <w:rFonts w:ascii="Arial" w:cs="Arial" w:eastAsia="Arial" w:hAnsi="Arial"/>
                <w:sz w:val="16"/>
                <w:szCs w:val="16"/>
                <w:color w:val="auto"/>
              </w:rPr>
              <w:t>Asset-backed securities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307,238</w:t>
            </w:r>
          </w:p>
        </w:tc>
        <w:tc>
          <w:tcPr>
            <w:tcW w:w="8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307,238</w:t>
            </w: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260"/>
              <w:spacing w:after="0"/>
              <w:rPr>
                <w:sz w:val="20"/>
                <w:szCs w:val="20"/>
                <w:color w:val="auto"/>
              </w:rPr>
            </w:pPr>
            <w:r>
              <w:rPr>
                <w:rFonts w:ascii="Arial" w:cs="Arial" w:eastAsia="Arial" w:hAnsi="Arial"/>
                <w:sz w:val="16"/>
                <w:szCs w:val="16"/>
                <w:color w:val="auto"/>
              </w:rPr>
              <w:t>Other</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2,394</w:t>
            </w:r>
          </w:p>
        </w:tc>
        <w:tc>
          <w:tcPr>
            <w:tcW w:w="860" w:type="dxa"/>
            <w:vAlign w:val="bottom"/>
            <w:shd w:val="clear" w:color="auto" w:fill="F0FFFF"/>
          </w:tcPr>
          <w:p>
            <w:pPr>
              <w:spacing w:after="0"/>
              <w:rPr>
                <w:sz w:val="16"/>
                <w:szCs w:val="16"/>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2,394</w:t>
            </w: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Deferred compensation plan assets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3,203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3,203</w:t>
            </w: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8,092</w:t>
            </w:r>
          </w:p>
        </w:tc>
        <w:tc>
          <w:tcPr>
            <w:tcW w:w="860" w:type="dxa"/>
            <w:vAlign w:val="bottom"/>
            <w:shd w:val="clear" w:color="auto" w:fill="F0FFFF"/>
          </w:tcPr>
          <w:p>
            <w:pPr>
              <w:spacing w:after="0"/>
              <w:rPr>
                <w:sz w:val="16"/>
                <w:szCs w:val="16"/>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8,092</w:t>
            </w:r>
          </w:p>
        </w:tc>
      </w:tr>
      <w:tr>
        <w:trPr>
          <w:trHeight w:val="24"/>
        </w:trPr>
        <w:tc>
          <w:tcPr>
            <w:tcW w:w="20" w:type="dxa"/>
            <w:vAlign w:val="bottom"/>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420"/>
              <w:spacing w:after="0"/>
              <w:rPr>
                <w:sz w:val="20"/>
                <w:szCs w:val="20"/>
                <w:color w:val="auto"/>
              </w:rPr>
            </w:pPr>
            <w:r>
              <w:rPr>
                <w:rFonts w:ascii="Arial" w:cs="Arial" w:eastAsia="Arial" w:hAnsi="Arial"/>
                <w:sz w:val="16"/>
                <w:szCs w:val="16"/>
                <w:color w:val="auto"/>
              </w:rPr>
              <w:t>Total assets</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3,203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1,971,166</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w w:val="97"/>
              </w:rPr>
              <w:t>350</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1,974,719</w:t>
            </w:r>
          </w:p>
        </w:tc>
        <w:tc>
          <w:tcPr>
            <w:tcW w:w="1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940" w:type="dxa"/>
            <w:vAlign w:val="bottom"/>
            <w:shd w:val="clear" w:color="auto" w:fill="F0FFFF"/>
          </w:tcPr>
          <w:p>
            <w:pPr>
              <w:spacing w:after="0" w:line="183" w:lineRule="exact"/>
              <w:rPr>
                <w:sz w:val="20"/>
                <w:szCs w:val="20"/>
                <w:color w:val="auto"/>
              </w:rPr>
            </w:pPr>
            <w:r>
              <w:rPr>
                <w:rFonts w:ascii="Arial" w:cs="Arial" w:eastAsia="Arial" w:hAnsi="Arial"/>
                <w:sz w:val="16"/>
                <w:szCs w:val="16"/>
                <w:b w:val="1"/>
                <w:bCs w:val="1"/>
                <w:color w:val="auto"/>
              </w:rPr>
              <w:t>Liabilities:</w:t>
            </w: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Deferred compensation plan liability</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3,203</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03"/>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3,203</w:t>
            </w: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Brokered certificates of deposit</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273,282</w:t>
            </w:r>
          </w:p>
        </w:tc>
        <w:tc>
          <w:tcPr>
            <w:tcW w:w="860" w:type="dxa"/>
            <w:vAlign w:val="bottom"/>
            <w:shd w:val="clear" w:color="auto" w:fill="F0FFFF"/>
          </w:tcPr>
          <w:p>
            <w:pPr>
              <w:spacing w:after="0"/>
              <w:rPr>
                <w:sz w:val="16"/>
                <w:szCs w:val="16"/>
                <w:color w:val="auto"/>
              </w:rPr>
            </w:pP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273,282</w:t>
            </w: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Derivative financial instruments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37,269</w:t>
            </w:r>
          </w:p>
        </w:tc>
        <w:tc>
          <w:tcPr>
            <w:tcW w:w="860" w:type="dxa"/>
            <w:vAlign w:val="bottom"/>
          </w:tcPr>
          <w:p>
            <w:pPr>
              <w:spacing w:after="0"/>
              <w:rPr>
                <w:sz w:val="16"/>
                <w:szCs w:val="16"/>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37,269</w:t>
            </w:r>
          </w:p>
        </w:tc>
      </w:tr>
      <w:tr>
        <w:trPr>
          <w:trHeight w:val="24"/>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F0FFFF"/>
          </w:tcPr>
          <w:p>
            <w:pPr>
              <w:ind w:left="420"/>
              <w:spacing w:after="0"/>
              <w:rPr>
                <w:sz w:val="20"/>
                <w:szCs w:val="20"/>
                <w:color w:val="auto"/>
              </w:rPr>
            </w:pPr>
            <w:r>
              <w:rPr>
                <w:rFonts w:ascii="Arial" w:cs="Arial" w:eastAsia="Arial" w:hAnsi="Arial"/>
                <w:sz w:val="16"/>
                <w:szCs w:val="16"/>
                <w:color w:val="auto"/>
              </w:rPr>
              <w:t>Total liabilities</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3,203</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310,551</w:t>
            </w:r>
          </w:p>
        </w:tc>
        <w:tc>
          <w:tcPr>
            <w:tcW w:w="860" w:type="dxa"/>
            <w:vAlign w:val="bottom"/>
            <w:shd w:val="clear" w:color="auto" w:fill="F0FFFF"/>
          </w:tcPr>
          <w:p>
            <w:pPr>
              <w:jc w:val="right"/>
              <w:ind w:right="703"/>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313,754</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7" w:lineRule="exact"/>
        <w:rPr>
          <w:sz w:val="20"/>
          <w:szCs w:val="20"/>
          <w:color w:val="auto"/>
        </w:rPr>
      </w:pPr>
    </w:p>
    <w:tbl>
      <w:tblPr>
        <w:tblLayout w:type="fixed"/>
        <w:tblInd w:w="28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4"/>
          </w:tcPr>
          <w:p>
            <w:pPr>
              <w:jc w:val="right"/>
              <w:ind w:right="16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6"/>
                <w:szCs w:val="16"/>
                <w:b w:val="1"/>
                <w:bCs w:val="1"/>
                <w:color w:val="auto"/>
                <w:w w:val="87"/>
              </w:rPr>
              <w:t>September 30,</w:t>
            </w:r>
          </w:p>
        </w:tc>
        <w:tc>
          <w:tcPr>
            <w:tcW w:w="3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300" w:type="dxa"/>
            <w:vAlign w:val="bottom"/>
            <w:gridSpan w:val="2"/>
          </w:tcPr>
          <w:p>
            <w:pPr>
              <w:spacing w:after="0"/>
              <w:rPr>
                <w:sz w:val="20"/>
                <w:szCs w:val="20"/>
                <w:color w:val="auto"/>
              </w:rPr>
            </w:pPr>
            <w:r>
              <w:rPr>
                <w:rFonts w:ascii="Arial" w:cs="Arial" w:eastAsia="Arial" w:hAnsi="Arial"/>
                <w:sz w:val="16"/>
                <w:szCs w:val="16"/>
                <w:b w:val="1"/>
                <w:bCs w:val="1"/>
                <w:color w:val="auto"/>
              </w:rPr>
              <w:t>Securities Available for Sale</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2013</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39"/>
              <w:spacing w:after="0"/>
              <w:rPr>
                <w:sz w:val="20"/>
                <w:szCs w:val="20"/>
                <w:color w:val="auto"/>
              </w:rPr>
            </w:pPr>
            <w:r>
              <w:rPr>
                <w:rFonts w:ascii="Arial" w:cs="Arial" w:eastAsia="Arial" w:hAnsi="Arial"/>
                <w:sz w:val="16"/>
                <w:szCs w:val="16"/>
                <w:b w:val="1"/>
                <w:bCs w:val="1"/>
                <w:color w:val="auto"/>
                <w:w w:val="84"/>
              </w:rPr>
              <w:t>2013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280" w:type="dxa"/>
            <w:vAlign w:val="bottom"/>
            <w:shd w:val="clear" w:color="auto" w:fill="F0FFFF"/>
          </w:tcPr>
          <w:p>
            <w:pPr>
              <w:spacing w:after="0"/>
              <w:rPr>
                <w:sz w:val="20"/>
                <w:szCs w:val="20"/>
                <w:color w:val="auto"/>
              </w:rPr>
            </w:pPr>
            <w:r>
              <w:rPr>
                <w:rFonts w:ascii="Arial" w:cs="Arial" w:eastAsia="Arial" w:hAnsi="Arial"/>
                <w:sz w:val="16"/>
                <w:szCs w:val="16"/>
                <w:color w:val="auto"/>
              </w:rPr>
              <w:t>Balance at beginning of period</w:t>
            </w:r>
          </w:p>
        </w:tc>
        <w:tc>
          <w:tcPr>
            <w:tcW w:w="820" w:type="dxa"/>
            <w:vAlign w:val="bottom"/>
            <w:gridSpan w:val="2"/>
            <w:shd w:val="clear" w:color="auto" w:fill="F0FFFF"/>
          </w:tcPr>
          <w:p>
            <w:pPr>
              <w:jc w:val="right"/>
              <w:ind w:right="559"/>
              <w:spacing w:after="0"/>
              <w:rPr>
                <w:sz w:val="20"/>
                <w:szCs w:val="20"/>
                <w:color w:val="auto"/>
              </w:rPr>
            </w:pPr>
            <w:r>
              <w:rPr>
                <w:rFonts w:ascii="Arial" w:cs="Arial" w:eastAsia="Arial" w:hAnsi="Arial"/>
                <w:sz w:val="16"/>
                <w:szCs w:val="16"/>
                <w:color w:val="auto"/>
              </w:rPr>
              <w:t>$</w:t>
            </w:r>
          </w:p>
        </w:tc>
        <w:tc>
          <w:tcPr>
            <w:tcW w:w="3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300</w:t>
            </w:r>
          </w:p>
        </w:tc>
        <w:tc>
          <w:tcPr>
            <w:tcW w:w="1000" w:type="dxa"/>
            <w:vAlign w:val="bottom"/>
            <w:gridSpan w:val="2"/>
            <w:shd w:val="clear" w:color="auto" w:fill="F0FFFF"/>
          </w:tcPr>
          <w:p>
            <w:pPr>
              <w:jc w:val="right"/>
              <w:ind w:right="7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w:t>
            </w:r>
          </w:p>
        </w:tc>
        <w:tc>
          <w:tcPr>
            <w:tcW w:w="220" w:type="dxa"/>
            <w:vAlign w:val="bottom"/>
            <w:shd w:val="clear" w:color="auto" w:fill="F0FFFF"/>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350</w:t>
            </w:r>
          </w:p>
        </w:tc>
        <w:tc>
          <w:tcPr>
            <w:tcW w:w="420" w:type="dxa"/>
            <w:vAlign w:val="bottom"/>
            <w:shd w:val="clear" w:color="auto" w:fill="F0FFFF"/>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tcPr>
          <w:p>
            <w:pPr>
              <w:ind w:left="140"/>
              <w:spacing w:after="0"/>
              <w:rPr>
                <w:sz w:val="20"/>
                <w:szCs w:val="20"/>
                <w:color w:val="auto"/>
              </w:rPr>
            </w:pPr>
            <w:r>
              <w:rPr>
                <w:rFonts w:ascii="Arial" w:cs="Arial" w:eastAsia="Arial" w:hAnsi="Arial"/>
                <w:sz w:val="16"/>
                <w:szCs w:val="16"/>
                <w:color w:val="auto"/>
              </w:rPr>
              <w:t>Amounts included in earnings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80" w:type="dxa"/>
            <w:vAlign w:val="bottom"/>
            <w:shd w:val="clear" w:color="auto" w:fill="F0FFFF"/>
          </w:tcPr>
          <w:p>
            <w:pPr>
              <w:ind w:left="140"/>
              <w:spacing w:after="0"/>
              <w:rPr>
                <w:sz w:val="20"/>
                <w:szCs w:val="20"/>
                <w:color w:val="auto"/>
              </w:rPr>
            </w:pPr>
            <w:r>
              <w:rPr>
                <w:rFonts w:ascii="Arial" w:cs="Arial" w:eastAsia="Arial" w:hAnsi="Arial"/>
                <w:sz w:val="16"/>
                <w:szCs w:val="16"/>
                <w:color w:val="auto"/>
              </w:rPr>
              <w:t>Paydowns / sales</w:t>
            </w:r>
          </w:p>
        </w:tc>
        <w:tc>
          <w:tcPr>
            <w:tcW w:w="120" w:type="dxa"/>
            <w:vAlign w:val="bottom"/>
            <w:tcBorders>
              <w:right w:val="single" w:sz="8" w:color="F0FFFF"/>
            </w:tcBorders>
            <w:shd w:val="clear" w:color="auto" w:fill="F0FFFF"/>
          </w:tcPr>
          <w:p>
            <w:pPr>
              <w:spacing w:after="0"/>
              <w:rPr>
                <w:sz w:val="16"/>
                <w:szCs w:val="16"/>
                <w:color w:val="auto"/>
              </w:rPr>
            </w:pPr>
          </w:p>
        </w:tc>
        <w:tc>
          <w:tcPr>
            <w:tcW w:w="700" w:type="dxa"/>
            <w:vAlign w:val="bottom"/>
            <w:shd w:val="clear" w:color="auto" w:fill="F0FFFF"/>
          </w:tcPr>
          <w:p>
            <w:pPr>
              <w:spacing w:after="0"/>
              <w:rPr>
                <w:sz w:val="16"/>
                <w:szCs w:val="16"/>
                <w:color w:val="auto"/>
              </w:rPr>
            </w:pPr>
          </w:p>
        </w:tc>
        <w:tc>
          <w:tcPr>
            <w:tcW w:w="3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6"/>
                <w:szCs w:val="16"/>
                <w:color w:val="auto"/>
              </w:rPr>
            </w:pPr>
          </w:p>
        </w:tc>
        <w:tc>
          <w:tcPr>
            <w:tcW w:w="800" w:type="dxa"/>
            <w:vAlign w:val="bottom"/>
            <w:shd w:val="clear" w:color="auto" w:fill="F0FFFF"/>
          </w:tcPr>
          <w:p>
            <w:pPr>
              <w:spacing w:after="0"/>
              <w:rPr>
                <w:sz w:val="16"/>
                <w:szCs w:val="16"/>
                <w:color w:val="auto"/>
              </w:rPr>
            </w:pPr>
          </w:p>
        </w:tc>
        <w:tc>
          <w:tcPr>
            <w:tcW w:w="3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(50)</w:t>
            </w:r>
          </w:p>
        </w:tc>
        <w:tc>
          <w:tcPr>
            <w:tcW w:w="42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280" w:type="dxa"/>
            <w:vAlign w:val="bottom"/>
            <w:shd w:val="clear" w:color="auto" w:fill="F0FFFF"/>
          </w:tcPr>
          <w:p>
            <w:pPr>
              <w:spacing w:after="0"/>
              <w:rPr>
                <w:sz w:val="2"/>
                <w:szCs w:val="2"/>
                <w:color w:val="auto"/>
              </w:rPr>
            </w:pPr>
          </w:p>
        </w:tc>
        <w:tc>
          <w:tcPr>
            <w:tcW w:w="120" w:type="dxa"/>
            <w:vAlign w:val="bottom"/>
            <w:tcBorders>
              <w:right w:val="single" w:sz="8" w:color="F0FFFF"/>
            </w:tcBorders>
            <w:shd w:val="clear" w:color="auto" w:fill="F0FF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280" w:type="dxa"/>
            <w:vAlign w:val="bottom"/>
          </w:tcPr>
          <w:p>
            <w:pPr>
              <w:spacing w:after="0"/>
              <w:rPr>
                <w:sz w:val="20"/>
                <w:szCs w:val="20"/>
                <w:color w:val="auto"/>
              </w:rPr>
            </w:pPr>
            <w:r>
              <w:rPr>
                <w:rFonts w:ascii="Arial" w:cs="Arial" w:eastAsia="Arial" w:hAnsi="Arial"/>
                <w:sz w:val="16"/>
                <w:szCs w:val="16"/>
                <w:color w:val="auto"/>
              </w:rPr>
              <w:t>Balance at end of period</w:t>
            </w:r>
          </w:p>
        </w:tc>
        <w:tc>
          <w:tcPr>
            <w:tcW w:w="820" w:type="dxa"/>
            <w:vAlign w:val="bottom"/>
            <w:gridSpan w:val="2"/>
          </w:tcPr>
          <w:p>
            <w:pPr>
              <w:jc w:val="right"/>
              <w:ind w:right="55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300</w:t>
            </w:r>
          </w:p>
        </w:tc>
        <w:tc>
          <w:tcPr>
            <w:tcW w:w="1000" w:type="dxa"/>
            <w:vAlign w:val="bottom"/>
            <w:gridSpan w:val="2"/>
          </w:tcPr>
          <w:p>
            <w:pPr>
              <w:jc w:val="right"/>
              <w:ind w:right="720"/>
              <w:spacing w:after="0"/>
              <w:rPr>
                <w:sz w:val="20"/>
                <w:szCs w:val="20"/>
                <w:color w:val="auto"/>
              </w:rPr>
            </w:pPr>
            <w:r>
              <w:rPr>
                <w:rFonts w:ascii="Arial" w:cs="Arial" w:eastAsia="Arial" w:hAnsi="Arial"/>
                <w:sz w:val="16"/>
                <w:szCs w:val="16"/>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350</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300</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At September 30, 2014, United had one security that has a Level 3 valuation. It is a trust preferred security in a community bank that has shown deteriorating financial condition during the financial crisis, and is currently deferring interest payments. Since the investment is not actively traded, there is no recent trade activity upon which to assess value. The value assigned to the investment is based on a sales price estimate from a broker. The investment has a par amount of $1 million. The investment is carried at its original cost basis of $1 million with a $700,000 negative mark to fair value through other comprehensive income. United does not consider this investment to be other-than-temporarily impaired, as the community bank was recapitalized by a private equity investment that management believes will result in full payment at maturity.</w:t>
      </w:r>
    </w:p>
    <w:p>
      <w:pPr>
        <w:spacing w:after="0" w:line="179"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United had a second trust preferred security in another community bank that was acquired by United through an acquisition of another financial institution. The investment was recorded at its par amount of $1 million at the time of the acquisition which was estimated to be its fair value. During the financial crisis, the community bank discontinued the payment of interest. United considered the investment to be other than temporarily impaired and recorded a $950,000 impairment charge to write the asset down to its estimated value of $50,000. In the second quarter of 2014, United sold the investment for $200,000 and recorded a gain from the sale of $150,000.</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Measured at Fair Value on a Nonrecurring Basis</w:t>
      </w:r>
    </w:p>
    <w:p>
      <w:pPr>
        <w:spacing w:after="0" w:line="232" w:lineRule="exact"/>
        <w:rPr>
          <w:sz w:val="20"/>
          <w:szCs w:val="20"/>
          <w:color w:val="auto"/>
        </w:rPr>
      </w:pPr>
    </w:p>
    <w:p>
      <w:pPr>
        <w:jc w:val="both"/>
        <w:ind w:right="20"/>
        <w:spacing w:after="0" w:line="322" w:lineRule="auto"/>
        <w:rPr>
          <w:sz w:val="20"/>
          <w:szCs w:val="20"/>
          <w:color w:val="auto"/>
        </w:rPr>
      </w:pPr>
      <w:r>
        <w:rPr>
          <w:rFonts w:ascii="Arial" w:cs="Arial" w:eastAsia="Arial" w:hAnsi="Arial"/>
          <w:sz w:val="14"/>
          <w:szCs w:val="14"/>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September 30, 2014, December 31, 2013 and September 30, 2013, aggregated by the level in the fair value hierarchy within which those measurements fall </w:t>
      </w:r>
      <w:r>
        <w:rPr>
          <w:rFonts w:ascii="Arial" w:cs="Arial" w:eastAsia="Arial" w:hAnsi="Arial"/>
          <w:sz w:val="14"/>
          <w:szCs w:val="14"/>
          <w:i w:val="1"/>
          <w:iCs w:val="1"/>
          <w:color w:val="auto"/>
        </w:rPr>
        <w:t>(in thousands)</w:t>
      </w:r>
      <w:r>
        <w:rPr>
          <w:rFonts w:ascii="Arial" w:cs="Arial" w:eastAsia="Arial" w:hAnsi="Arial"/>
          <w:sz w:val="14"/>
          <w:szCs w:val="14"/>
          <w:color w:val="auto"/>
        </w:rPr>
        <w:t>.</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60" w:type="dxa"/>
            <w:vAlign w:val="bottom"/>
            <w:gridSpan w:val="2"/>
          </w:tcPr>
          <w:p>
            <w:pPr>
              <w:spacing w:after="0"/>
              <w:rPr>
                <w:sz w:val="20"/>
                <w:szCs w:val="20"/>
                <w:color w:val="auto"/>
              </w:rPr>
            </w:pPr>
            <w:r>
              <w:rPr>
                <w:rFonts w:ascii="Arial" w:cs="Arial" w:eastAsia="Arial" w:hAnsi="Arial"/>
                <w:sz w:val="16"/>
                <w:szCs w:val="16"/>
                <w:b w:val="1"/>
                <w:bCs w:val="1"/>
                <w:color w:val="auto"/>
              </w:rPr>
              <w:t>September 30, 2014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8"/>
                <w:szCs w:val="18"/>
                <w:color w:val="auto"/>
              </w:rPr>
            </w:pPr>
          </w:p>
        </w:tc>
        <w:tc>
          <w:tcPr>
            <w:tcW w:w="10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Loans</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85,827</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85,827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Foreclosed properties</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ind w:left="78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60" w:type="dxa"/>
            <w:vAlign w:val="bottom"/>
            <w:shd w:val="clear" w:color="auto" w:fill="F0FFFF"/>
          </w:tcPr>
          <w:p>
            <w:pPr>
              <w:ind w:left="8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2,204</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2,204</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Total</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88,031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88,031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5940" w:type="dxa"/>
            <w:vAlign w:val="bottom"/>
            <w:tcBorders>
              <w:bottom w:val="single" w:sz="8" w:color="auto"/>
            </w:tcBorders>
            <w:shd w:val="clear" w:color="auto" w:fill="F0FFFF"/>
          </w:tcPr>
          <w:p>
            <w:pPr>
              <w:spacing w:after="0" w:line="183" w:lineRule="exact"/>
              <w:rPr>
                <w:sz w:val="20"/>
                <w:szCs w:val="20"/>
                <w:color w:val="auto"/>
              </w:rPr>
            </w:pPr>
            <w:r>
              <w:rPr>
                <w:rFonts w:ascii="Arial" w:cs="Arial" w:eastAsia="Arial" w:hAnsi="Arial"/>
                <w:sz w:val="16"/>
                <w:szCs w:val="16"/>
                <w:b w:val="1"/>
                <w:bCs w:val="1"/>
                <w:color w:val="auto"/>
              </w:rPr>
              <w:t>December 31, 2013</w:t>
            </w:r>
          </w:p>
        </w:tc>
        <w:tc>
          <w:tcPr>
            <w:tcW w:w="120" w:type="dxa"/>
            <w:vAlign w:val="bottom"/>
            <w:tcBorders>
              <w:bottom w:val="single" w:sz="8" w:color="F0FFFF"/>
            </w:tcBorders>
            <w:shd w:val="clear" w:color="auto" w:fill="F0FFFF"/>
          </w:tcPr>
          <w:p>
            <w:pPr>
              <w:spacing w:after="0"/>
              <w:rPr>
                <w:sz w:val="16"/>
                <w:szCs w:val="16"/>
                <w:color w:val="auto"/>
              </w:rPr>
            </w:pPr>
          </w:p>
        </w:tc>
        <w:tc>
          <w:tcPr>
            <w:tcW w:w="200" w:type="dxa"/>
            <w:vAlign w:val="bottom"/>
            <w:tcBorders>
              <w:bottom w:val="single" w:sz="8" w:color="F0FFFF"/>
            </w:tcBorders>
            <w:shd w:val="clear" w:color="auto" w:fill="F0FFFF"/>
          </w:tcPr>
          <w:p>
            <w:pPr>
              <w:spacing w:after="0"/>
              <w:rPr>
                <w:sz w:val="16"/>
                <w:szCs w:val="16"/>
                <w:color w:val="auto"/>
              </w:rPr>
            </w:pPr>
          </w:p>
        </w:tc>
        <w:tc>
          <w:tcPr>
            <w:tcW w:w="940" w:type="dxa"/>
            <w:vAlign w:val="bottom"/>
            <w:tcBorders>
              <w:bottom w:val="single" w:sz="8" w:color="F0FFFF"/>
            </w:tcBorders>
            <w:shd w:val="clear" w:color="auto" w:fill="F0FFFF"/>
          </w:tcPr>
          <w:p>
            <w:pPr>
              <w:spacing w:after="0"/>
              <w:rPr>
                <w:sz w:val="16"/>
                <w:szCs w:val="16"/>
                <w:color w:val="auto"/>
              </w:rPr>
            </w:pPr>
          </w:p>
        </w:tc>
        <w:tc>
          <w:tcPr>
            <w:tcW w:w="240" w:type="dxa"/>
            <w:vAlign w:val="bottom"/>
            <w:tcBorders>
              <w:bottom w:val="single" w:sz="8" w:color="F0FFFF"/>
            </w:tcBorders>
            <w:shd w:val="clear" w:color="auto" w:fill="F0FFFF"/>
          </w:tcPr>
          <w:p>
            <w:pPr>
              <w:spacing w:after="0"/>
              <w:rPr>
                <w:sz w:val="16"/>
                <w:szCs w:val="16"/>
                <w:color w:val="auto"/>
              </w:rPr>
            </w:pPr>
          </w:p>
        </w:tc>
        <w:tc>
          <w:tcPr>
            <w:tcW w:w="200" w:type="dxa"/>
            <w:vAlign w:val="bottom"/>
            <w:tcBorders>
              <w:bottom w:val="single" w:sz="8" w:color="F0FFFF"/>
            </w:tcBorders>
            <w:shd w:val="clear" w:color="auto" w:fill="F0FFFF"/>
          </w:tcPr>
          <w:p>
            <w:pPr>
              <w:spacing w:after="0"/>
              <w:rPr>
                <w:sz w:val="16"/>
                <w:szCs w:val="16"/>
                <w:color w:val="auto"/>
              </w:rPr>
            </w:pPr>
          </w:p>
        </w:tc>
        <w:tc>
          <w:tcPr>
            <w:tcW w:w="96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200" w:type="dxa"/>
            <w:vAlign w:val="bottom"/>
            <w:tcBorders>
              <w:bottom w:val="single" w:sz="8" w:color="F0FFFF"/>
            </w:tcBorders>
            <w:shd w:val="clear" w:color="auto" w:fill="F0FFFF"/>
          </w:tcPr>
          <w:p>
            <w:pPr>
              <w:spacing w:after="0"/>
              <w:rPr>
                <w:sz w:val="16"/>
                <w:szCs w:val="16"/>
                <w:color w:val="auto"/>
              </w:rPr>
            </w:pPr>
          </w:p>
        </w:tc>
        <w:tc>
          <w:tcPr>
            <w:tcW w:w="940" w:type="dxa"/>
            <w:vAlign w:val="bottom"/>
            <w:tcBorders>
              <w:bottom w:val="single" w:sz="8" w:color="F0FFFF"/>
            </w:tcBorders>
            <w:shd w:val="clear" w:color="auto" w:fill="F0FFFF"/>
          </w:tcPr>
          <w:p>
            <w:pPr>
              <w:spacing w:after="0"/>
              <w:rPr>
                <w:sz w:val="16"/>
                <w:szCs w:val="16"/>
                <w:color w:val="auto"/>
              </w:rPr>
            </w:pPr>
          </w:p>
        </w:tc>
        <w:tc>
          <w:tcPr>
            <w:tcW w:w="10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220" w:type="dxa"/>
            <w:vAlign w:val="bottom"/>
            <w:tcBorders>
              <w:bottom w:val="single" w:sz="8" w:color="F0FFFF"/>
            </w:tcBorders>
            <w:shd w:val="clear" w:color="auto" w:fill="F0FFFF"/>
          </w:tcPr>
          <w:p>
            <w:pPr>
              <w:spacing w:after="0"/>
              <w:rPr>
                <w:sz w:val="16"/>
                <w:szCs w:val="16"/>
                <w:color w:val="auto"/>
              </w:rPr>
            </w:pPr>
          </w:p>
        </w:tc>
        <w:tc>
          <w:tcPr>
            <w:tcW w:w="900" w:type="dxa"/>
            <w:vAlign w:val="bottom"/>
            <w:tcBorders>
              <w:bottom w:val="single" w:sz="8" w:color="F0FFFF"/>
            </w:tcBorders>
            <w:shd w:val="clear" w:color="auto" w:fill="F0FFFF"/>
          </w:tcPr>
          <w:p>
            <w:pPr>
              <w:spacing w:after="0"/>
              <w:rPr>
                <w:sz w:val="16"/>
                <w:szCs w:val="16"/>
                <w:color w:val="auto"/>
              </w:rPr>
            </w:pPr>
          </w:p>
        </w:tc>
        <w:tc>
          <w:tcPr>
            <w:tcW w:w="120" w:type="dxa"/>
            <w:vAlign w:val="bottom"/>
            <w:tcBorders>
              <w:bottom w:val="single" w:sz="8" w:color="F0FFFF"/>
            </w:tcBorders>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Loans</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ind w:left="780"/>
              <w:spacing w:after="0"/>
              <w:rPr>
                <w:sz w:val="20"/>
                <w:szCs w:val="20"/>
                <w:color w:val="auto"/>
              </w:rPr>
            </w:pPr>
            <w:r>
              <w:rPr>
                <w:rFonts w:ascii="Arial" w:cs="Arial" w:eastAsia="Arial" w:hAnsi="Arial"/>
                <w:sz w:val="16"/>
                <w:szCs w:val="16"/>
                <w:color w:val="auto"/>
                <w:w w:val="87"/>
              </w:rPr>
              <w:t>—</w:t>
            </w:r>
          </w:p>
        </w:tc>
        <w:tc>
          <w:tcPr>
            <w:tcW w:w="4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ind w:left="80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82,798</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82,798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Foreclosed properties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3,747</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vMerge w:val="continue"/>
          </w:tcPr>
          <w:p>
            <w:pPr>
              <w:spacing w:after="0"/>
              <w:rPr>
                <w:sz w:val="20"/>
                <w:szCs w:val="20"/>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6"/>
                <w:szCs w:val="16"/>
                <w:color w:val="auto"/>
              </w:rPr>
              <w:t>Total</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ind w:left="780"/>
              <w:spacing w:after="0"/>
              <w:rPr>
                <w:sz w:val="20"/>
                <w:szCs w:val="20"/>
                <w:color w:val="auto"/>
              </w:rPr>
            </w:pPr>
            <w:r>
              <w:rPr>
                <w:rFonts w:ascii="Arial" w:cs="Arial" w:eastAsia="Arial" w:hAnsi="Arial"/>
                <w:sz w:val="16"/>
                <w:szCs w:val="16"/>
                <w:color w:val="auto"/>
                <w:w w:val="87"/>
              </w:rPr>
              <w:t>—</w:t>
            </w:r>
          </w:p>
        </w:tc>
        <w:tc>
          <w:tcPr>
            <w:tcW w:w="4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F0FFFF"/>
          </w:tcPr>
          <w:p>
            <w:pPr>
              <w:ind w:left="80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86,545</w:t>
            </w:r>
          </w:p>
        </w:tc>
        <w:tc>
          <w:tcPr>
            <w:tcW w:w="3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86,545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940" w:type="dxa"/>
            <w:vAlign w:val="bottom"/>
            <w:tcBorders>
              <w:top w:val="single" w:sz="8" w:color="F0FFFF"/>
              <w:bottom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September 30, 2013</w:t>
            </w:r>
          </w:p>
        </w:tc>
        <w:tc>
          <w:tcPr>
            <w:tcW w:w="120" w:type="dxa"/>
            <w:vAlign w:val="bottom"/>
            <w:tcBorders>
              <w:top w:val="single" w:sz="8" w:color="F0FF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40" w:type="dxa"/>
            <w:vAlign w:val="bottom"/>
            <w:tcBorders>
              <w:top w:val="single" w:sz="8" w:color="F0FF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tcPr>
          <w:p>
            <w:pPr>
              <w:ind w:left="120"/>
              <w:spacing w:after="0"/>
              <w:rPr>
                <w:sz w:val="20"/>
                <w:szCs w:val="20"/>
                <w:color w:val="auto"/>
              </w:rPr>
            </w:pPr>
            <w:r>
              <w:rPr>
                <w:rFonts w:ascii="Arial" w:cs="Arial" w:eastAsia="Arial" w:hAnsi="Arial"/>
                <w:sz w:val="16"/>
                <w:szCs w:val="16"/>
                <w:color w:val="auto"/>
              </w:rPr>
              <w:t>Loans</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76,393</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76,393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940" w:type="dxa"/>
            <w:vAlign w:val="bottom"/>
            <w:shd w:val="clear" w:color="auto" w:fill="F0FFFF"/>
          </w:tcPr>
          <w:p>
            <w:pPr>
              <w:ind w:left="120"/>
              <w:spacing w:after="0"/>
              <w:rPr>
                <w:sz w:val="20"/>
                <w:szCs w:val="20"/>
                <w:color w:val="auto"/>
              </w:rPr>
            </w:pPr>
            <w:r>
              <w:rPr>
                <w:rFonts w:ascii="Arial" w:cs="Arial" w:eastAsia="Arial" w:hAnsi="Arial"/>
                <w:sz w:val="16"/>
                <w:szCs w:val="16"/>
                <w:color w:val="auto"/>
              </w:rPr>
              <w:t>Foreclosed properties</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ind w:left="780"/>
              <w:spacing w:after="0"/>
              <w:rPr>
                <w:sz w:val="20"/>
                <w:szCs w:val="20"/>
                <w:color w:val="auto"/>
              </w:rPr>
            </w:pPr>
            <w:r>
              <w:rPr>
                <w:rFonts w:ascii="Arial" w:cs="Arial" w:eastAsia="Arial" w:hAnsi="Arial"/>
                <w:sz w:val="16"/>
                <w:szCs w:val="16"/>
                <w:color w:val="auto"/>
                <w:w w:val="87"/>
              </w:rPr>
              <w:t>—</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60" w:type="dxa"/>
            <w:vAlign w:val="bottom"/>
            <w:shd w:val="clear" w:color="auto" w:fill="F0FFFF"/>
          </w:tcPr>
          <w:p>
            <w:pPr>
              <w:ind w:left="800"/>
              <w:spacing w:after="0"/>
              <w:rPr>
                <w:sz w:val="20"/>
                <w:szCs w:val="20"/>
                <w:color w:val="auto"/>
              </w:rPr>
            </w:pPr>
            <w:r>
              <w:rPr>
                <w:rFonts w:ascii="Arial" w:cs="Arial" w:eastAsia="Arial" w:hAnsi="Arial"/>
                <w:sz w:val="16"/>
                <w:szCs w:val="16"/>
                <w:color w:val="auto"/>
                <w:w w:val="87"/>
              </w:rPr>
              <w:t>—</w:t>
            </w:r>
          </w:p>
        </w:tc>
        <w:tc>
          <w:tcPr>
            <w:tcW w:w="2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3,898</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3,898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9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940" w:type="dxa"/>
            <w:vAlign w:val="bottom"/>
          </w:tcPr>
          <w:p>
            <w:pPr>
              <w:spacing w:after="0"/>
              <w:rPr>
                <w:sz w:val="20"/>
                <w:szCs w:val="20"/>
                <w:color w:val="auto"/>
              </w:rPr>
            </w:pPr>
            <w:r>
              <w:rPr>
                <w:rFonts w:ascii="Arial" w:cs="Arial" w:eastAsia="Arial" w:hAnsi="Arial"/>
                <w:sz w:val="16"/>
                <w:szCs w:val="16"/>
                <w:color w:val="auto"/>
              </w:rPr>
              <w:t>Total</w:t>
            </w:r>
          </w:p>
        </w:tc>
        <w:tc>
          <w:tcPr>
            <w:tcW w:w="3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ind w:left="80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80,291</w:t>
            </w: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80,291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Not Measured at Fair Value</w:t>
      </w:r>
    </w:p>
    <w:p>
      <w:pPr>
        <w:spacing w:after="0" w:line="232"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the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17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and short-term borrowings. The fair value of securities available-for-sale equals the balance sheet value. Due to the short-term settlement of accrued interest receivable and payable, the carrying amount closely approximates fair value.</w:t>
      </w:r>
    </w:p>
    <w:p>
      <w:pPr>
        <w:spacing w:after="0" w:line="191"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39" w:name="page40"/>
    <w:bookmarkEnd w:id="39"/>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19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Off-balance sheet financial instruments (commitments to extend credit and standby letters of credit) are generally short-term and at variable rates. Therefore, both the carrying amount and the estimated fair value associated with these instruments are immaterial.</w:t>
      </w:r>
    </w:p>
    <w:p>
      <w:pPr>
        <w:spacing w:after="0" w:line="175"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carrying amount and fair values for other financial instruments that are not measured at fair value on a recurring basis in United’s balance sheet at September 30, 2014, December 31, 2013, and September 30, 2013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7"/>
              </w:rPr>
              <w:t>Carrying</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720" w:type="dxa"/>
            <w:vAlign w:val="bottom"/>
            <w:tcBorders>
              <w:top w:val="single" w:sz="8" w:color="auto"/>
              <w:bottom w:val="single" w:sz="8" w:color="auto"/>
            </w:tcBorders>
            <w:gridSpan w:val="6"/>
          </w:tcPr>
          <w:p>
            <w:pPr>
              <w:ind w:left="440"/>
              <w:spacing w:after="0"/>
              <w:rPr>
                <w:sz w:val="20"/>
                <w:szCs w:val="20"/>
                <w:color w:val="auto"/>
              </w:rPr>
            </w:pPr>
            <w:r>
              <w:rPr>
                <w:rFonts w:ascii="Arial" w:cs="Arial" w:eastAsia="Arial" w:hAnsi="Arial"/>
                <w:sz w:val="16"/>
                <w:szCs w:val="16"/>
                <w:b w:val="1"/>
                <w:bCs w:val="1"/>
                <w:color w:val="auto"/>
              </w:rPr>
              <w:t>Fair Value Level</w:t>
            </w:r>
          </w:p>
        </w:tc>
        <w:tc>
          <w:tcPr>
            <w:tcW w:w="90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Amount</w:t>
            </w:r>
          </w:p>
        </w:tc>
        <w:tc>
          <w:tcPr>
            <w:tcW w:w="200" w:type="dxa"/>
            <w:vAlign w:val="bottom"/>
          </w:tcPr>
          <w:p>
            <w:pPr>
              <w:spacing w:after="0"/>
              <w:rPr>
                <w:sz w:val="17"/>
                <w:szCs w:val="17"/>
                <w:color w:val="auto"/>
              </w:rPr>
            </w:pPr>
          </w:p>
        </w:tc>
        <w:tc>
          <w:tcPr>
            <w:tcW w:w="140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1</w:t>
            </w:r>
          </w:p>
        </w:tc>
        <w:tc>
          <w:tcPr>
            <w:tcW w:w="1140" w:type="dxa"/>
            <w:vAlign w:val="bottom"/>
            <w:gridSpan w:val="2"/>
          </w:tcPr>
          <w:p>
            <w:pPr>
              <w:ind w:left="120"/>
              <w:spacing w:after="0"/>
              <w:rPr>
                <w:sz w:val="20"/>
                <w:szCs w:val="20"/>
                <w:color w:val="auto"/>
              </w:rPr>
            </w:pPr>
            <w:r>
              <w:rPr>
                <w:rFonts w:ascii="Arial" w:cs="Arial" w:eastAsia="Arial" w:hAnsi="Arial"/>
                <w:sz w:val="16"/>
                <w:szCs w:val="16"/>
                <w:b w:val="1"/>
                <w:bCs w:val="1"/>
                <w:color w:val="auto"/>
              </w:rPr>
              <w:t>Level 2</w:t>
            </w:r>
          </w:p>
        </w:tc>
        <w:tc>
          <w:tcPr>
            <w:tcW w:w="200" w:type="dxa"/>
            <w:vAlign w:val="bottom"/>
          </w:tcPr>
          <w:p>
            <w:pPr>
              <w:spacing w:after="0"/>
              <w:rPr>
                <w:sz w:val="17"/>
                <w:szCs w:val="17"/>
                <w:color w:val="auto"/>
              </w:rPr>
            </w:pPr>
          </w:p>
        </w:tc>
        <w:tc>
          <w:tcPr>
            <w:tcW w:w="1380" w:type="dxa"/>
            <w:vAlign w:val="bottom"/>
            <w:gridSpan w:val="3"/>
          </w:tcPr>
          <w:p>
            <w:pPr>
              <w:ind w:left="120"/>
              <w:spacing w:after="0"/>
              <w:rPr>
                <w:sz w:val="20"/>
                <w:szCs w:val="20"/>
                <w:color w:val="auto"/>
              </w:rPr>
            </w:pPr>
            <w:r>
              <w:rPr>
                <w:rFonts w:ascii="Arial" w:cs="Arial" w:eastAsia="Arial" w:hAnsi="Arial"/>
                <w:sz w:val="16"/>
                <w:szCs w:val="16"/>
                <w:b w:val="1"/>
                <w:bCs w:val="1"/>
                <w:color w:val="auto"/>
              </w:rPr>
              <w:t>Level 3</w:t>
            </w:r>
          </w:p>
        </w:tc>
        <w:tc>
          <w:tcPr>
            <w:tcW w:w="90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80" w:type="dxa"/>
            <w:vAlign w:val="bottom"/>
            <w:tcBorders>
              <w:top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Securities held to maturity</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432,418</w:t>
            </w:r>
          </w:p>
        </w:tc>
        <w:tc>
          <w:tcPr>
            <w:tcW w:w="24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   $</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440,311</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ind w:left="780"/>
              <w:spacing w:after="0"/>
              <w:rPr>
                <w:sz w:val="20"/>
                <w:szCs w:val="20"/>
                <w:color w:val="auto"/>
              </w:rPr>
            </w:pPr>
            <w:r>
              <w:rPr>
                <w:rFonts w:ascii="Arial" w:cs="Arial" w:eastAsia="Arial" w:hAnsi="Arial"/>
                <w:sz w:val="16"/>
                <w:szCs w:val="16"/>
                <w:color w:val="auto"/>
              </w:rPr>
              <w:t>—   $</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440,311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Loans, net</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4,496,958</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0" w:type="dxa"/>
            <w:vAlign w:val="bottom"/>
            <w:gridSpan w:val="3"/>
            <w:shd w:val="clear" w:color="auto" w:fill="F0FF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4,437,039</w:t>
            </w: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4,437,039</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Mortgage loans held for sale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20,004</w:t>
            </w:r>
          </w:p>
        </w:tc>
        <w:tc>
          <w:tcPr>
            <w:tcW w:w="200" w:type="dxa"/>
            <w:vAlign w:val="bottom"/>
          </w:tcPr>
          <w:p>
            <w:pPr>
              <w:spacing w:after="0"/>
              <w:rPr>
                <w:sz w:val="16"/>
                <w:szCs w:val="16"/>
                <w:color w:val="auto"/>
              </w:rPr>
            </w:pP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20,253</w:t>
            </w:r>
          </w:p>
        </w:tc>
        <w:tc>
          <w:tcPr>
            <w:tcW w:w="200" w:type="dxa"/>
            <w:vAlign w:val="bottom"/>
          </w:tcPr>
          <w:p>
            <w:pPr>
              <w:spacing w:after="0"/>
              <w:rPr>
                <w:sz w:val="16"/>
                <w:szCs w:val="16"/>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20,253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6,240,729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6,228,804</w:t>
            </w:r>
          </w:p>
        </w:tc>
        <w:tc>
          <w:tcPr>
            <w:tcW w:w="200" w:type="dxa"/>
            <w:vAlign w:val="bottom"/>
          </w:tcPr>
          <w:p>
            <w:pPr>
              <w:spacing w:after="0"/>
              <w:rPr>
                <w:sz w:val="16"/>
                <w:szCs w:val="16"/>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6,228,804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Federal Home Loan Bank advances</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330,125</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0" w:type="dxa"/>
            <w:vAlign w:val="bottom"/>
            <w:gridSpan w:val="3"/>
            <w:shd w:val="clear" w:color="auto" w:fill="F0FF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330,134</w:t>
            </w:r>
          </w:p>
        </w:tc>
        <w:tc>
          <w:tcPr>
            <w:tcW w:w="200" w:type="dxa"/>
            <w:vAlign w:val="bottom"/>
            <w:shd w:val="clear" w:color="auto" w:fill="F0FFFF"/>
          </w:tcPr>
          <w:p>
            <w:pPr>
              <w:spacing w:after="0"/>
              <w:rPr>
                <w:sz w:val="16"/>
                <w:szCs w:val="16"/>
                <w:color w:val="auto"/>
              </w:rPr>
            </w:pPr>
          </w:p>
        </w:tc>
        <w:tc>
          <w:tcPr>
            <w:tcW w:w="1380" w:type="dxa"/>
            <w:vAlign w:val="bottom"/>
            <w:gridSpan w:val="3"/>
            <w:shd w:val="clear" w:color="auto" w:fill="F0FFFF"/>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330,134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129,865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132,636</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132,636</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4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560" w:type="dxa"/>
            <w:vAlign w:val="bottom"/>
            <w:tcBorders>
              <w:bottom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December 31, 2013</w:t>
            </w:r>
          </w:p>
        </w:tc>
        <w:tc>
          <w:tcPr>
            <w:tcW w:w="1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8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6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20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900" w:type="dxa"/>
            <w:vAlign w:val="bottom"/>
            <w:tcBorders>
              <w:bottom w:val="single" w:sz="8" w:color="F0FFFF"/>
            </w:tcBorders>
            <w:shd w:val="clear" w:color="auto" w:fill="F0FFFF"/>
          </w:tcPr>
          <w:p>
            <w:pPr>
              <w:spacing w:after="0"/>
              <w:rPr>
                <w:sz w:val="17"/>
                <w:szCs w:val="17"/>
                <w:color w:val="auto"/>
              </w:rPr>
            </w:pPr>
          </w:p>
        </w:tc>
        <w:tc>
          <w:tcPr>
            <w:tcW w:w="12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Securities held to maturity</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479,742</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0" w:type="dxa"/>
            <w:vAlign w:val="bottom"/>
            <w:gridSpan w:val="3"/>
            <w:shd w:val="clear" w:color="auto" w:fill="F0FF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485,585</w:t>
            </w:r>
          </w:p>
        </w:tc>
        <w:tc>
          <w:tcPr>
            <w:tcW w:w="200" w:type="dxa"/>
            <w:vAlign w:val="bottom"/>
            <w:shd w:val="clear" w:color="auto" w:fill="F0FFFF"/>
          </w:tcPr>
          <w:p>
            <w:pPr>
              <w:spacing w:after="0"/>
              <w:rPr>
                <w:sz w:val="16"/>
                <w:szCs w:val="16"/>
                <w:color w:val="auto"/>
              </w:rPr>
            </w:pPr>
          </w:p>
        </w:tc>
        <w:tc>
          <w:tcPr>
            <w:tcW w:w="1380" w:type="dxa"/>
            <w:vAlign w:val="bottom"/>
            <w:gridSpan w:val="3"/>
            <w:shd w:val="clear" w:color="auto" w:fill="F0FFFF"/>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485,585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Loans, net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4,252,504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4,165,591</w:t>
            </w: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4,165,591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Mortgage loans held for sale</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10,319</w:t>
            </w:r>
          </w:p>
        </w:tc>
        <w:tc>
          <w:tcPr>
            <w:tcW w:w="200" w:type="dxa"/>
            <w:vAlign w:val="bottom"/>
            <w:shd w:val="clear" w:color="auto" w:fill="F0FFFF"/>
          </w:tcPr>
          <w:p>
            <w:pPr>
              <w:spacing w:after="0"/>
              <w:rPr>
                <w:sz w:val="16"/>
                <w:szCs w:val="16"/>
                <w:color w:val="auto"/>
              </w:rPr>
            </w:pPr>
          </w:p>
        </w:tc>
        <w:tc>
          <w:tcPr>
            <w:tcW w:w="1400" w:type="dxa"/>
            <w:vAlign w:val="bottom"/>
            <w:gridSpan w:val="3"/>
            <w:shd w:val="clear" w:color="auto" w:fill="F0FF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10,529</w:t>
            </w:r>
          </w:p>
        </w:tc>
        <w:tc>
          <w:tcPr>
            <w:tcW w:w="200" w:type="dxa"/>
            <w:vAlign w:val="bottom"/>
            <w:shd w:val="clear" w:color="auto" w:fill="F0FFFF"/>
          </w:tcPr>
          <w:p>
            <w:pPr>
              <w:spacing w:after="0"/>
              <w:rPr>
                <w:sz w:val="16"/>
                <w:szCs w:val="16"/>
                <w:color w:val="auto"/>
              </w:rPr>
            </w:pPr>
          </w:p>
        </w:tc>
        <w:tc>
          <w:tcPr>
            <w:tcW w:w="1380" w:type="dxa"/>
            <w:vAlign w:val="bottom"/>
            <w:gridSpan w:val="3"/>
            <w:shd w:val="clear" w:color="auto" w:fill="F0FFFF"/>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10,529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Deposits</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6,201,505</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0" w:type="dxa"/>
            <w:vAlign w:val="bottom"/>
            <w:gridSpan w:val="3"/>
            <w:shd w:val="clear" w:color="auto" w:fill="F0FF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6,204,815</w:t>
            </w:r>
          </w:p>
        </w:tc>
        <w:tc>
          <w:tcPr>
            <w:tcW w:w="200" w:type="dxa"/>
            <w:vAlign w:val="bottom"/>
            <w:shd w:val="clear" w:color="auto" w:fill="F0FFFF"/>
          </w:tcPr>
          <w:p>
            <w:pPr>
              <w:spacing w:after="0"/>
              <w:rPr>
                <w:sz w:val="16"/>
                <w:szCs w:val="16"/>
                <w:color w:val="auto"/>
              </w:rPr>
            </w:pPr>
          </w:p>
        </w:tc>
        <w:tc>
          <w:tcPr>
            <w:tcW w:w="1380" w:type="dxa"/>
            <w:vAlign w:val="bottom"/>
            <w:gridSpan w:val="3"/>
            <w:shd w:val="clear" w:color="auto" w:fill="F0FFFF"/>
          </w:tcPr>
          <w:p>
            <w:pPr>
              <w:jc w:val="right"/>
              <w:ind w:right="440"/>
              <w:spacing w:after="0"/>
              <w:rPr>
                <w:sz w:val="20"/>
                <w:szCs w:val="20"/>
                <w:color w:val="auto"/>
              </w:rPr>
            </w:pPr>
            <w:r>
              <w:rPr>
                <w:rFonts w:ascii="Arial" w:cs="Arial" w:eastAsia="Arial" w:hAnsi="Arial"/>
                <w:sz w:val="16"/>
                <w:szCs w:val="16"/>
                <w:color w:val="auto"/>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6,204,815</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Federal Home Loan Bank advances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120,125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120,125</w:t>
            </w:r>
          </w:p>
        </w:tc>
        <w:tc>
          <w:tcPr>
            <w:tcW w:w="200" w:type="dxa"/>
            <w:vAlign w:val="bottom"/>
          </w:tcPr>
          <w:p>
            <w:pPr>
              <w:spacing w:after="0"/>
              <w:rPr>
                <w:sz w:val="16"/>
                <w:szCs w:val="16"/>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120,125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129,865</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0" w:type="dxa"/>
            <w:vAlign w:val="bottom"/>
            <w:gridSpan w:val="3"/>
            <w:shd w:val="clear" w:color="auto" w:fill="F0FF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130,262</w:t>
            </w: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130,262</w:t>
            </w:r>
          </w:p>
        </w:tc>
        <w:tc>
          <w:tcPr>
            <w:tcW w:w="0" w:type="dxa"/>
            <w:vAlign w:val="bottom"/>
          </w:tcPr>
          <w:p>
            <w:pPr>
              <w:spacing w:after="0"/>
              <w:rPr>
                <w:sz w:val="1"/>
                <w:szCs w:val="1"/>
                <w:color w:val="auto"/>
              </w:rPr>
            </w:pPr>
          </w:p>
        </w:tc>
      </w:tr>
      <w:tr>
        <w:trPr>
          <w:trHeight w:val="417"/>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September 30, 2013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Securities held to maturity</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205,613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214,651</w:t>
            </w:r>
          </w:p>
        </w:tc>
        <w:tc>
          <w:tcPr>
            <w:tcW w:w="200" w:type="dxa"/>
            <w:vAlign w:val="bottom"/>
          </w:tcPr>
          <w:p>
            <w:pPr>
              <w:spacing w:after="0"/>
              <w:rPr>
                <w:sz w:val="16"/>
                <w:szCs w:val="16"/>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214,651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Loans, net</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4,186,695</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400" w:type="dxa"/>
            <w:vAlign w:val="bottom"/>
            <w:gridSpan w:val="3"/>
            <w:shd w:val="clear" w:color="auto" w:fill="F0FF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4,095,666</w:t>
            </w: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4,095,666</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Mortgage loans held for sale</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11,987</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11,979</w:t>
            </w:r>
          </w:p>
        </w:tc>
        <w:tc>
          <w:tcPr>
            <w:tcW w:w="200" w:type="dxa"/>
            <w:vAlign w:val="bottom"/>
          </w:tcPr>
          <w:p>
            <w:pPr>
              <w:spacing w:after="0"/>
              <w:rPr>
                <w:sz w:val="16"/>
                <w:szCs w:val="16"/>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11,979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spacing w:after="0"/>
              <w:rPr>
                <w:sz w:val="20"/>
                <w:szCs w:val="20"/>
                <w:color w:val="auto"/>
              </w:rPr>
            </w:pPr>
            <w:r>
              <w:rPr>
                <w:rFonts w:ascii="Arial" w:cs="Arial" w:eastAsia="Arial" w:hAnsi="Arial"/>
                <w:sz w:val="16"/>
                <w:szCs w:val="16"/>
                <w:color w:val="auto"/>
              </w:rPr>
              <w:t>Liabilities:</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Deposits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6,112,907</w:t>
            </w:r>
          </w:p>
        </w:tc>
        <w:tc>
          <w:tcPr>
            <w:tcW w:w="200" w:type="dxa"/>
            <w:vAlign w:val="bottom"/>
          </w:tcPr>
          <w:p>
            <w:pPr>
              <w:spacing w:after="0"/>
              <w:rPr>
                <w:sz w:val="16"/>
                <w:szCs w:val="16"/>
                <w:color w:val="auto"/>
              </w:rPr>
            </w:pP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6,117,769</w:t>
            </w:r>
          </w:p>
        </w:tc>
        <w:tc>
          <w:tcPr>
            <w:tcW w:w="200" w:type="dxa"/>
            <w:vAlign w:val="bottom"/>
          </w:tcPr>
          <w:p>
            <w:pPr>
              <w:spacing w:after="0"/>
              <w:rPr>
                <w:sz w:val="16"/>
                <w:szCs w:val="16"/>
                <w:color w:val="auto"/>
              </w:rPr>
            </w:pPr>
          </w:p>
        </w:tc>
        <w:tc>
          <w:tcPr>
            <w:tcW w:w="138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6,117,769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560" w:type="dxa"/>
            <w:vAlign w:val="bottom"/>
            <w:shd w:val="clear" w:color="auto" w:fill="F0FFFF"/>
          </w:tcPr>
          <w:p>
            <w:pPr>
              <w:ind w:left="120"/>
              <w:spacing w:after="0"/>
              <w:rPr>
                <w:sz w:val="20"/>
                <w:szCs w:val="20"/>
                <w:color w:val="auto"/>
              </w:rPr>
            </w:pPr>
            <w:r>
              <w:rPr>
                <w:rFonts w:ascii="Arial" w:cs="Arial" w:eastAsia="Arial" w:hAnsi="Arial"/>
                <w:sz w:val="16"/>
                <w:szCs w:val="16"/>
                <w:color w:val="auto"/>
              </w:rPr>
              <w:t>Federal Home Loan Bank advances</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F0FFFF"/>
          </w:tcPr>
          <w:p>
            <w:pPr>
              <w:spacing w:after="0"/>
              <w:rPr>
                <w:sz w:val="16"/>
                <w:szCs w:val="16"/>
                <w:color w:val="auto"/>
              </w:rPr>
            </w:pPr>
          </w:p>
        </w:tc>
        <w:tc>
          <w:tcPr>
            <w:tcW w:w="1400" w:type="dxa"/>
            <w:vAlign w:val="bottom"/>
            <w:gridSpan w:val="3"/>
            <w:shd w:val="clear" w:color="auto" w:fill="F0FFFF"/>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125</w:t>
            </w:r>
          </w:p>
        </w:tc>
        <w:tc>
          <w:tcPr>
            <w:tcW w:w="200" w:type="dxa"/>
            <w:vAlign w:val="bottom"/>
            <w:shd w:val="clear" w:color="auto" w:fill="F0FFFF"/>
          </w:tcPr>
          <w:p>
            <w:pPr>
              <w:spacing w:after="0"/>
              <w:rPr>
                <w:sz w:val="16"/>
                <w:szCs w:val="16"/>
                <w:color w:val="auto"/>
              </w:rPr>
            </w:pPr>
          </w:p>
        </w:tc>
        <w:tc>
          <w:tcPr>
            <w:tcW w:w="1380" w:type="dxa"/>
            <w:vAlign w:val="bottom"/>
            <w:gridSpan w:val="3"/>
            <w:shd w:val="clear" w:color="auto" w:fill="F0FFFF"/>
          </w:tcPr>
          <w:p>
            <w:pPr>
              <w:jc w:val="right"/>
              <w:ind w:right="44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129,865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129,197</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129,197</w:t>
            </w: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45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8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jc w:val="right"/>
              <w:spacing w:after="0"/>
              <w:rPr>
                <w:sz w:val="20"/>
                <w:szCs w:val="20"/>
                <w:color w:val="auto"/>
              </w:rPr>
            </w:pPr>
            <w:r>
              <w:rPr>
                <w:rFonts w:ascii="Arial" w:cs="Arial" w:eastAsia="Arial" w:hAnsi="Arial"/>
                <w:sz w:val="16"/>
                <w:szCs w:val="16"/>
                <w:color w:val="auto"/>
              </w:rPr>
              <w:t>40</w:t>
            </w:r>
          </w:p>
        </w:tc>
        <w:tc>
          <w:tcPr>
            <w:tcW w:w="2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9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38" w:right="21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UNITED COMMUNITY BANKS,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 Commitments and Contingencies</w:t>
      </w:r>
    </w:p>
    <w:p>
      <w:pPr>
        <w:spacing w:after="0" w:line="232" w:lineRule="exact"/>
        <w:rPr>
          <w:sz w:val="20"/>
          <w:szCs w:val="20"/>
          <w:color w:val="auto"/>
        </w:rPr>
      </w:pPr>
    </w:p>
    <w:p>
      <w:pPr>
        <w:jc w:val="both"/>
        <w:ind w:right="20"/>
        <w:spacing w:after="0" w:line="279" w:lineRule="auto"/>
        <w:rPr>
          <w:sz w:val="20"/>
          <w:szCs w:val="20"/>
          <w:color w:val="auto"/>
        </w:rPr>
      </w:pPr>
      <w:r>
        <w:rPr>
          <w:rFonts w:ascii="Arial" w:cs="Arial" w:eastAsia="Arial" w:hAnsi="Arial"/>
          <w:sz w:val="15"/>
          <w:szCs w:val="15"/>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179"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 xml:space="preserve">The following table summarizes, as of September 30, 2014, December 31, 2013 and September 30, 2013, the contractual amount of off-balance sheet instruments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thousands)</w:t>
      </w:r>
      <w:r>
        <w:rPr>
          <w:rFonts w:ascii="Arial" w:cs="Arial" w:eastAsia="Arial" w:hAnsi="Arial"/>
          <w:sz w:val="16"/>
          <w:szCs w:val="16"/>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2014</w:t>
            </w:r>
          </w:p>
        </w:tc>
        <w:tc>
          <w:tcPr>
            <w:tcW w:w="120" w:type="dxa"/>
            <w:vAlign w:val="bottom"/>
          </w:tcPr>
          <w:p>
            <w:pPr>
              <w:spacing w:after="0"/>
              <w:rPr>
                <w:sz w:val="18"/>
                <w:szCs w:val="18"/>
                <w:color w:val="auto"/>
              </w:rPr>
            </w:pPr>
          </w:p>
        </w:tc>
        <w:tc>
          <w:tcPr>
            <w:tcW w:w="1660" w:type="dxa"/>
            <w:vAlign w:val="bottom"/>
            <w:gridSpan w:val="3"/>
          </w:tcPr>
          <w:p>
            <w:pPr>
              <w:ind w:left="60"/>
              <w:spacing w:after="0"/>
              <w:rPr>
                <w:sz w:val="20"/>
                <w:szCs w:val="20"/>
                <w:color w:val="auto"/>
              </w:rPr>
            </w:pPr>
            <w:r>
              <w:rPr>
                <w:rFonts w:ascii="Arial" w:cs="Arial" w:eastAsia="Arial" w:hAnsi="Arial"/>
                <w:sz w:val="16"/>
                <w:szCs w:val="16"/>
                <w:b w:val="1"/>
                <w:bCs w:val="1"/>
                <w:color w:val="auto"/>
              </w:rPr>
              <w:t>December 31, 2013</w:t>
            </w: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2013</w:t>
            </w:r>
          </w:p>
        </w:tc>
      </w:tr>
      <w:tr>
        <w:trPr>
          <w:trHeight w:val="194"/>
        </w:trPr>
        <w:tc>
          <w:tcPr>
            <w:tcW w:w="20" w:type="dxa"/>
            <w:vAlign w:val="bottom"/>
          </w:tcPr>
          <w:p>
            <w:pPr>
              <w:spacing w:after="0"/>
              <w:rPr>
                <w:sz w:val="16"/>
                <w:szCs w:val="16"/>
                <w:color w:val="auto"/>
              </w:rPr>
            </w:pPr>
          </w:p>
        </w:tc>
        <w:tc>
          <w:tcPr>
            <w:tcW w:w="6420" w:type="dxa"/>
            <w:vAlign w:val="bottom"/>
            <w:shd w:val="clear" w:color="auto" w:fill="F0FFFF"/>
          </w:tcPr>
          <w:p>
            <w:pPr>
              <w:spacing w:after="0"/>
              <w:rPr>
                <w:sz w:val="20"/>
                <w:szCs w:val="20"/>
                <w:color w:val="auto"/>
              </w:rPr>
            </w:pPr>
            <w:r>
              <w:rPr>
                <w:rFonts w:ascii="Arial" w:cs="Arial" w:eastAsia="Arial" w:hAnsi="Arial"/>
                <w:sz w:val="16"/>
                <w:szCs w:val="16"/>
                <w:color w:val="auto"/>
              </w:rPr>
              <w:t>Financial instruments whose contract amounts represent credit risk:</w:t>
            </w:r>
          </w:p>
        </w:tc>
        <w:tc>
          <w:tcPr>
            <w:tcW w:w="52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4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52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420" w:type="dxa"/>
            <w:vAlign w:val="bottom"/>
          </w:tcPr>
          <w:p>
            <w:pPr>
              <w:ind w:left="120"/>
              <w:spacing w:after="0"/>
              <w:rPr>
                <w:sz w:val="20"/>
                <w:szCs w:val="20"/>
                <w:color w:val="auto"/>
              </w:rPr>
            </w:pPr>
            <w:r>
              <w:rPr>
                <w:rFonts w:ascii="Arial" w:cs="Arial" w:eastAsia="Arial" w:hAnsi="Arial"/>
                <w:sz w:val="16"/>
                <w:szCs w:val="16"/>
                <w:color w:val="auto"/>
              </w:rPr>
              <w:t>Commitments to extend credit</w:t>
            </w:r>
          </w:p>
        </w:tc>
        <w:tc>
          <w:tcPr>
            <w:tcW w:w="520" w:type="dxa"/>
            <w:vAlign w:val="bottom"/>
          </w:tcPr>
          <w:p>
            <w:pPr>
              <w:jc w:val="right"/>
              <w:ind w:right="362"/>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852,635</w:t>
            </w:r>
          </w:p>
        </w:tc>
        <w:tc>
          <w:tcPr>
            <w:tcW w:w="600" w:type="dxa"/>
            <w:vAlign w:val="bottom"/>
            <w:gridSpan w:val="2"/>
          </w:tcPr>
          <w:p>
            <w:pPr>
              <w:jc w:val="right"/>
              <w:ind w:right="319"/>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747,170</w:t>
            </w:r>
          </w:p>
        </w:tc>
        <w:tc>
          <w:tcPr>
            <w:tcW w:w="520" w:type="dxa"/>
            <w:vAlign w:val="bottom"/>
          </w:tcPr>
          <w:p>
            <w:pPr>
              <w:jc w:val="right"/>
              <w:ind w:right="36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677,891</w:t>
            </w:r>
          </w:p>
        </w:tc>
        <w:tc>
          <w:tcPr>
            <w:tcW w:w="140" w:type="dxa"/>
            <w:vAlign w:val="bottom"/>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6420" w:type="dxa"/>
            <w:vAlign w:val="bottom"/>
            <w:shd w:val="clear" w:color="auto" w:fill="F0FFFF"/>
          </w:tcPr>
          <w:p>
            <w:pPr>
              <w:ind w:left="120"/>
              <w:spacing w:after="0"/>
              <w:rPr>
                <w:sz w:val="20"/>
                <w:szCs w:val="20"/>
                <w:color w:val="auto"/>
              </w:rPr>
            </w:pPr>
            <w:r>
              <w:rPr>
                <w:rFonts w:ascii="Arial" w:cs="Arial" w:eastAsia="Arial" w:hAnsi="Arial"/>
                <w:sz w:val="16"/>
                <w:szCs w:val="16"/>
                <w:color w:val="auto"/>
              </w:rPr>
              <w:t>Letters of credit</w:t>
            </w:r>
          </w:p>
        </w:tc>
        <w:tc>
          <w:tcPr>
            <w:tcW w:w="52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20,534</w:t>
            </w:r>
          </w:p>
        </w:tc>
        <w:tc>
          <w:tcPr>
            <w:tcW w:w="120" w:type="dxa"/>
            <w:vAlign w:val="bottom"/>
            <w:shd w:val="clear" w:color="auto" w:fill="F0FFFF"/>
          </w:tcPr>
          <w:p>
            <w:pPr>
              <w:spacing w:after="0"/>
              <w:rPr>
                <w:sz w:val="16"/>
                <w:szCs w:val="16"/>
                <w:color w:val="auto"/>
              </w:rPr>
            </w:pPr>
          </w:p>
        </w:tc>
        <w:tc>
          <w:tcPr>
            <w:tcW w:w="4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19,846</w:t>
            </w:r>
          </w:p>
        </w:tc>
        <w:tc>
          <w:tcPr>
            <w:tcW w:w="520" w:type="dxa"/>
            <w:vAlign w:val="bottom"/>
            <w:shd w:val="clear" w:color="auto" w:fill="F0FFFF"/>
          </w:tcPr>
          <w:p>
            <w:pPr>
              <w:spacing w:after="0"/>
              <w:rPr>
                <w:sz w:val="16"/>
                <w:szCs w:val="16"/>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9,818</w:t>
            </w:r>
          </w:p>
        </w:tc>
        <w:tc>
          <w:tcPr>
            <w:tcW w:w="140" w:type="dxa"/>
            <w:vAlign w:val="bottom"/>
            <w:shd w:val="clear" w:color="auto" w:fill="F0FFFF"/>
          </w:tcPr>
          <w:p>
            <w:pPr>
              <w:spacing w:after="0"/>
              <w:rPr>
                <w:sz w:val="16"/>
                <w:szCs w:val="16"/>
                <w:color w:val="auto"/>
              </w:rPr>
            </w:pPr>
          </w:p>
        </w:tc>
      </w:tr>
    </w:tbl>
    <w:p>
      <w:pPr>
        <w:spacing w:after="0" w:line="206"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41" w:name="page42"/>
    <w:bookmarkEnd w:id="41"/>
    <w:p>
      <w:pPr>
        <w:ind w:left="3"/>
        <w:spacing w:after="0"/>
        <w:tabs>
          <w:tab w:leader="none" w:pos="863"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228"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Forward-looking Statements</w:t>
      </w:r>
    </w:p>
    <w:p>
      <w:pPr>
        <w:spacing w:after="0" w:line="232" w:lineRule="exact"/>
        <w:rPr>
          <w:sz w:val="20"/>
          <w:szCs w:val="20"/>
          <w:color w:val="auto"/>
        </w:rPr>
      </w:pPr>
    </w:p>
    <w:p>
      <w:pPr>
        <w:jc w:val="both"/>
        <w:ind w:left="3"/>
        <w:spacing w:after="0" w:line="257" w:lineRule="auto"/>
        <w:rPr>
          <w:sz w:val="20"/>
          <w:szCs w:val="20"/>
          <w:color w:val="auto"/>
        </w:rPr>
      </w:pPr>
      <w:r>
        <w:rPr>
          <w:rFonts w:ascii="Arial" w:cs="Arial" w:eastAsia="Arial" w:hAnsi="Arial"/>
          <w:sz w:val="16"/>
          <w:szCs w:val="16"/>
          <w:color w:val="auto"/>
        </w:rPr>
        <w:t>This Form 10-Q contains forward-looking statements within the meaning of Section 27A of the Securities Act of 1933, as amended,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194" w:lineRule="exact"/>
        <w:rPr>
          <w:sz w:val="20"/>
          <w:szCs w:val="20"/>
          <w:color w:val="auto"/>
        </w:rPr>
      </w:pPr>
    </w:p>
    <w:p>
      <w:pPr>
        <w:jc w:val="both"/>
        <w:ind w:left="3" w:right="20"/>
        <w:spacing w:after="0" w:line="322" w:lineRule="auto"/>
        <w:rPr>
          <w:sz w:val="20"/>
          <w:szCs w:val="20"/>
          <w:color w:val="auto"/>
        </w:rPr>
      </w:pPr>
      <w:r>
        <w:rPr>
          <w:rFonts w:ascii="Arial" w:cs="Arial" w:eastAsia="Arial" w:hAnsi="Arial"/>
          <w:sz w:val="14"/>
          <w:szCs w:val="14"/>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2013 as well as the following factors:</w:t>
      </w:r>
    </w:p>
    <w:p>
      <w:pPr>
        <w:spacing w:after="0" w:line="152" w:lineRule="exact"/>
        <w:rPr>
          <w:sz w:val="20"/>
          <w:szCs w:val="20"/>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condition of the general business and economic environment;</w:t>
      </w:r>
    </w:p>
    <w:p>
      <w:pPr>
        <w:spacing w:after="0" w:line="22"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results of our internal credit stress tests may not accurately predict the impact on our financial condition if the economy were to deteriorate;</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profitability;</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fully realize the balance of our net deferred tax asset, including net operating loss carryforwards;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risk that we may be required to increase the valuation allowance on our net deferred tax asset in future periods;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condition of the banking system and financial markets;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raise capital as may be necessary;</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liquidity or access other sources of funding;</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cost and availability of funding;</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success of the local economies in which we operate;</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lack of geographic diversification;</w:t>
      </w:r>
    </w:p>
    <w:p>
      <w:pPr>
        <w:spacing w:after="0" w:line="10" w:lineRule="exact"/>
        <w:rPr>
          <w:rFonts w:ascii="Arial" w:cs="Arial" w:eastAsia="Arial" w:hAnsi="Arial"/>
          <w:sz w:val="16"/>
          <w:szCs w:val="16"/>
          <w:color w:val="auto"/>
        </w:rPr>
      </w:pPr>
    </w:p>
    <w:p>
      <w:pPr>
        <w:ind w:left="283" w:right="20" w:hanging="283"/>
        <w:spacing w:after="0" w:line="253" w:lineRule="auto"/>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concentrations of residential and commercial construction and development loans and commercial real estate loans are subject to unique risks that could adversely affect our earnings;</w:t>
      </w: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prevailing interest rates may negatively affect our net income and the value of our assets and other interest rate risks;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accounting and reporting policies;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our allowance for loan losses is not sufficient to cover actual loan losses;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losses due to fraudulent and negligent conduct of our loan customers, third party service providers or employees;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related to our communications and information systems, including risks with respect to cybersecurity breaches;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reliance on third parties to provide key components of our business infrastructure and services required to operate our business;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competition from financial institutions and other financial service providers;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risks with respect to our ability to successfully expand and complete acquisitions and integrate businesses and operations that are acquired;</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the conditions in the stock market, the public debt market and other capital markets deteriorate;</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impact of the Dodd-Frank Wall Street Reform and Consumer Protection Act of 2010 and related regulations;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laws and regulations or failures to comply with such laws and regulations;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regulatory capital and other requirements;</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costs and effects of litigation, examinations, investigations, or similar matters, or adverse facts and developments related thereto, including possible dilution;</w:t>
      </w:r>
    </w:p>
    <w:p>
      <w:pPr>
        <w:spacing w:after="0" w:line="21" w:lineRule="exact"/>
        <w:rPr>
          <w:rFonts w:ascii="Arial" w:cs="Arial" w:eastAsia="Arial" w:hAnsi="Arial"/>
          <w:sz w:val="15"/>
          <w:szCs w:val="15"/>
          <w:color w:val="auto"/>
        </w:rPr>
      </w:pPr>
    </w:p>
    <w:p>
      <w:pPr>
        <w:ind w:left="283" w:hanging="283"/>
        <w:spacing w:after="0"/>
        <w:tabs>
          <w:tab w:leader="none" w:pos="283" w:val="left"/>
        </w:tabs>
        <w:numPr>
          <w:ilvl w:val="0"/>
          <w:numId w:val="4"/>
        </w:numPr>
        <w:rPr>
          <w:rFonts w:ascii="Arial" w:cs="Arial" w:eastAsia="Arial" w:hAnsi="Arial"/>
          <w:sz w:val="15"/>
          <w:szCs w:val="15"/>
          <w:color w:val="auto"/>
        </w:rPr>
      </w:pPr>
      <w:r>
        <w:rPr>
          <w:rFonts w:ascii="Arial" w:cs="Arial" w:eastAsia="Arial" w:hAnsi="Arial"/>
          <w:sz w:val="15"/>
          <w:szCs w:val="15"/>
          <w:color w:val="auto"/>
        </w:rPr>
        <w:t>regulatory or judicial proceedings, board resolutions, informal memorandums of understanding or formal enforcement actions imposed by regulators that may occur;</w:t>
      </w:r>
    </w:p>
    <w:p>
      <w:pPr>
        <w:spacing w:after="0" w:line="21" w:lineRule="exact"/>
        <w:rPr>
          <w:rFonts w:ascii="Arial" w:cs="Arial" w:eastAsia="Arial" w:hAnsi="Arial"/>
          <w:sz w:val="15"/>
          <w:szCs w:val="15"/>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tax laws, regulations and interpretations or challenges to our income tax provision; and</w:t>
      </w:r>
    </w:p>
    <w:p>
      <w:pPr>
        <w:spacing w:after="0" w:line="10" w:lineRule="exact"/>
        <w:rPr>
          <w:rFonts w:ascii="Arial" w:cs="Arial" w:eastAsia="Arial" w:hAnsi="Arial"/>
          <w:sz w:val="16"/>
          <w:szCs w:val="16"/>
          <w:color w:val="auto"/>
        </w:rPr>
      </w:pPr>
    </w:p>
    <w:p>
      <w:pPr>
        <w:ind w:left="283" w:hanging="283"/>
        <w:spacing w:after="0"/>
        <w:tabs>
          <w:tab w:leader="none" w:pos="283"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effective internal controls over financial reporting and disclosure controls and procedures.</w:t>
      </w:r>
    </w:p>
    <w:p>
      <w:pPr>
        <w:spacing w:after="0" w:line="216" w:lineRule="exact"/>
        <w:rPr>
          <w:sz w:val="20"/>
          <w:szCs w:val="20"/>
          <w:color w:val="auto"/>
        </w:rPr>
      </w:pPr>
    </w:p>
    <w:p>
      <w:pPr>
        <w:jc w:val="both"/>
        <w:ind w:left="3" w:right="20"/>
        <w:spacing w:after="0" w:line="262" w:lineRule="auto"/>
        <w:rPr>
          <w:sz w:val="20"/>
          <w:szCs w:val="20"/>
          <w:color w:val="auto"/>
        </w:rPr>
      </w:pPr>
      <w:r>
        <w:rPr>
          <w:rFonts w:ascii="Arial" w:cs="Arial" w:eastAsia="Arial" w:hAnsi="Arial"/>
          <w:sz w:val="16"/>
          <w:szCs w:val="16"/>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385"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059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3"/>
          </w:cols>
          <w:pgMar w:left="237" w:top="838" w:right="21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Overview</w:t>
      </w:r>
    </w:p>
    <w:p>
      <w:pPr>
        <w:spacing w:after="0" w:line="2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The following discussion is intended to provide insight into the results of operations and financial condition of United Community Banks, Inc. (“United”) and its subsidiaries and should be read in conjunction with United’s consolidated financial statements and accompanying notes.</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United is a bank holding company registered with the Board of Governors of the Federal Reserve under the Bank Holding Company Act of 1956 that was incorporated under the laws of the state of Georgia in 1987 and commenced operations in 1988. At September 30, 2014, United had total consolidated assets of $7.53 billion, total loans of $4.57 billion, total deposits of $6.24 billion, and shareholders’ equity of $736 million.</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United’s activities are primarily conducted by its wholly-owned Georgia banking subsidiary, United Community Bank (the “Bank”). The Bank’s operations are conducted under a community bank model that operates 28 “community banks” with local bank presidents and boards in north Georgia, the Atlanta-Sandy Springs-Roswell, Georgia metropolitan statistical area, the Gainesville, Georgia metropolitan statistical area, coastal Georgia, western North Carolina, east Tennessee and the Greenville-Anderson-Mauldin, South Carolina metropolitan statistical area.</w:t>
      </w:r>
    </w:p>
    <w:p>
      <w:pPr>
        <w:spacing w:after="0" w:line="191" w:lineRule="exact"/>
        <w:rPr>
          <w:sz w:val="20"/>
          <w:szCs w:val="20"/>
          <w:color w:val="auto"/>
        </w:rPr>
      </w:pPr>
    </w:p>
    <w:p>
      <w:pPr>
        <w:jc w:val="both"/>
        <w:ind w:right="20"/>
        <w:spacing w:after="0" w:line="322" w:lineRule="auto"/>
        <w:rPr>
          <w:sz w:val="20"/>
          <w:szCs w:val="20"/>
          <w:color w:val="auto"/>
        </w:rPr>
      </w:pPr>
      <w:r>
        <w:rPr>
          <w:rFonts w:ascii="Arial" w:cs="Arial" w:eastAsia="Arial" w:hAnsi="Arial"/>
          <w:sz w:val="14"/>
          <w:szCs w:val="14"/>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46.</w:t>
      </w:r>
    </w:p>
    <w:p>
      <w:pPr>
        <w:spacing w:after="0" w:line="15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United reported net income of $17.6 million for the third quarter of 2014. This compared to net income of $15.5 million for the third quarter of 2013. Diluted earnings per common share were $.29 for the third quarter of 2014, compared to diluted earnings per common share of $.21 for the third quarter of 2013.</w:t>
      </w:r>
    </w:p>
    <w:p>
      <w:pPr>
        <w:spacing w:after="0" w:line="175"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For the nine months ended September 30, 2014, United reported net income of $49.4 million. This compared to net income of $257 million for the first nine months of 2013. Diluted earnings per common share were $.81 for the nine months ended September 30, 2014, compared to diluted earnings per common share of $4.24 for the nine months ended September 30, 2013.</w:t>
      </w:r>
    </w:p>
    <w:p>
      <w:pPr>
        <w:spacing w:after="0" w:line="186" w:lineRule="exact"/>
        <w:rPr>
          <w:sz w:val="20"/>
          <w:szCs w:val="20"/>
          <w:color w:val="auto"/>
        </w:rPr>
      </w:pPr>
    </w:p>
    <w:p>
      <w:pPr>
        <w:jc w:val="both"/>
        <w:ind w:right="20"/>
        <w:spacing w:after="0" w:line="322" w:lineRule="auto"/>
        <w:rPr>
          <w:sz w:val="20"/>
          <w:szCs w:val="20"/>
          <w:color w:val="auto"/>
        </w:rPr>
      </w:pPr>
      <w:r>
        <w:rPr>
          <w:rFonts w:ascii="Arial" w:cs="Arial" w:eastAsia="Arial" w:hAnsi="Arial"/>
          <w:sz w:val="14"/>
          <w:szCs w:val="14"/>
          <w:color w:val="auto"/>
        </w:rPr>
        <w:t>Year-to-date 2013 earnings were significantly impacted by the reversal of a $272 million valuation allowance on United’s net deferred tax asset and a large bulk sale of classified assets, both of which took place in the second quarter of 2013. The effects of these two events on the income statement were significant increases in the provision for loan losses and foreclosed property expense from the classified asset sales and the recognition of a tax benefit in the income tax line from the valuation allowance reversal.</w:t>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14"/>
          <w:szCs w:val="14"/>
          <w:color w:val="auto"/>
        </w:rPr>
        <w:t>Taxable equivalent net interest revenue was $57.0 million for the third quarter of 2014, compared to $54.3 million for the same period of 2013. Net interest margin increased from 3.26% for the three months ended September 30, 2013 to 3.32% for the same period in 2014. For the nine months ended September 30, 2014, taxable equivalent net interest revenue was $166 million compared to $164 million for the same period of 2013. Net interest margin decreased from 3.32% for the nine months ended September 30, 2013 to 3.25% for the same period in 2014. The margin decrease for the year-to-date comparison was driven by pricing pressures on new and renewed loans and resulting lower yields on loans. In the second quarter of 2014, United executed a number of balance sheet management activities, including restructuring interest rate swaps, selling investment securities and repaying high cost wholesale borrowings with the intent of improving the net interest margin and increasing net interest revenue. These balance sheet management activities, along with strong third quarter loan growth, had the desired effect of increasing the third quarter 2014 net interest revenue and net interest margin.</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United’s provision for loan losses was $2.00 million for the three months ended September 30, 2014, compared to $3.00 million for the same period in 2013. Net charge-offs for the third quarter of 2014 were $3.16 million, compared to $4.47 million for the third quarter of 2013. For the nine months ended September 30, 2014, United’s provision for loan losses was $6.70 million, compared to $62.5 million for the same period of 2013. The sales of approximately $151 million in classified loans in the second quarter of 2013 resulted in a high level of charge-offs and provision for loan losses in 2013. Following this accelerated disposition of classified assets in the second quarter of 2013, as well as generally improving credit conditions, United has experienced a lower level of net charge-offs and provision for loan losses beginning with the third quarter of 2013 through the third quarter of 2014.</w:t>
      </w:r>
    </w:p>
    <w:p>
      <w:pPr>
        <w:spacing w:after="0" w:line="196"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As of September 30, 2014, United’s allowance for loan losses was $71.9 million, or 1.57% of loans, compared to $80.4 million, or 1.88% of loans, at September 30, 2013. Nonperforming assets of $21.9 million decreased to .29% of total assets at September 30, 2014 from .42% as of September 30, 2013, due to ongoing improving credit conditions. During the third quarter of 2014, $7.67 million in loans were placed on nonaccrual compared with $9.96 million in the third quarter of 2013.</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Fee revenue of $14.4 million increased $187,000, or 1%, from the third quarter of 2013. The increase was due primarily to $945,000 in gains from the sales of Small Business Administration (“SBA”) loans in the third quarter of 2014. United began selling the guaranteed portion of SBA / United States Department of Agriculture (“USDA”) loans in the second quarter of 2014 as part of its emphasis on growing the SBA lending business. The gains from the sales of SBA loans were partially offset by decreases in overdraft charges and interchange fees and lower mortgage revenue, brokerage and customer derivatives fees. The decrease in mortgage fees is due to a lower level of refinancing activity compared with a year ago due to rising long-term interest rates. Despite the lower mortgage fees compared with last year, new purchase mortgage activity has been increasing in recent quarters. Fee revenue for the nine months ended September 30, 2014 was $40.7 million, down $2.35 million from the same period of 2013 due primarily to a $2.80 million decrease in mortgage fees. Mortgage refinancing activity has declined as long-term interest rates started to rise. Other fee revenue for the nine months was down $2.13 million from the same period in 2013 mostly due to a $1.43 million gain from bank owned life insurance and a $468,000 gain from the sale of low income housing tax credits both received in the second quarter of 2013.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38" w:right="219" w:bottom="1440" w:gutter="0" w:footer="0" w:header="0"/>
        </w:sectPr>
      </w:pPr>
    </w:p>
    <w:bookmarkStart w:id="43" w:name="page44"/>
    <w:bookmarkEnd w:id="43"/>
    <w:p>
      <w:pPr>
        <w:jc w:val="both"/>
        <w:spacing w:after="0" w:line="275" w:lineRule="auto"/>
        <w:rPr>
          <w:sz w:val="20"/>
          <w:szCs w:val="20"/>
          <w:color w:val="auto"/>
        </w:rPr>
      </w:pPr>
      <w:r>
        <w:rPr>
          <w:rFonts w:ascii="Arial" w:cs="Arial" w:eastAsia="Arial" w:hAnsi="Arial"/>
          <w:sz w:val="15"/>
          <w:szCs w:val="15"/>
          <w:color w:val="auto"/>
        </w:rPr>
        <w:t>For the third quarter of 2014, operating expenses of $41.4 million were up $1.27 million from the third quarter of 2013. The increase was due primarily to higher salaries and benefits expense which were up $2.58 million from a year ago mostly due to the investment in additional staff and new teams to expand the specialized lending area as well as higher incentive compensation in connection with increased lending activities and improvement in earnings performance. Partially offsetting the increase in salaries and benefits was a $1.27 million decrease in the Federal Deposit Insurance Corporation (“FDIC”) insurance assessment. United’s FDIC assessment rate was reduced following the termination of the Bank’s informal memorandum of understanding with the FDIC late in the fourth quarter of 2013. Improvements in credit measures have further lowered United’s assessment rate since that time. For the nine months ended September 30, 2014, operating expenses totaled $121 million, an $11.7 million decrease from the same period of 2013. With the exception of salaries and employee benefits and postage, printing and supplies, expenses are down in every category. Foreclosed property costs, which were elevated from the accelerated disposition of classified assets in the second quarter of 2013, were down $7.18 million from the first nine months of 2013. Professional fees and the FDIC insurance assessment were also down significantly from a year ago as a result of improving credit conditions and the termination of United’s and the Bank’s informal memorandums of understanding with the bank regulatory agencies.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3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On June 26, 2014, United completed the purchase of Business Carolina, Inc., an SBA/USDA lending operation in Columbia, South Carolina. The purchase resulted in the addition of approximately $25 million in SBA/USDA loans to United’s portfolio.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GAAP Reconciliation and Explanation</w:t>
      </w:r>
    </w:p>
    <w:p>
      <w:pPr>
        <w:spacing w:after="0" w:line="23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46.</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2"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United reported net income of $17.6 million for the third quarter of 2014. This compared to net income of $15.5 million for the same period in 2013. For the third quarter of 2014, diluted earnings per common share were $.29 compared to $.21 for the third quarter of 2013. For the nine months ended September 30, 2014, United reported net income of $49.4 million compared to net income of $257 million for the same period in 2013. Diluted earnings per common share were $.81 for the nine months ended September 30, 2014, compared with diluted earnings per share of $4.24 for the nine months ended September 30, 2013. Net income and earnings per share for the nine months ended September 30, 2013 were elevated by the recognition of United’s substantial tax benefits with the reversal of the deferred tax asset valuation allowance. The effect of the tax benefit on net income was partially offset by higher net charge-offs and a pre-tax loss resulting from the accelerated disposition of classified assets in the second quarter of 2013.</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44" w:name="page45"/>
    <w:bookmarkEnd w:id="44"/>
    <w:p>
      <w:pPr>
        <w:ind w:left="3"/>
        <w:spacing w:after="0"/>
        <w:rPr>
          <w:sz w:val="20"/>
          <w:szCs w:val="20"/>
          <w:color w:val="auto"/>
        </w:rPr>
      </w:pPr>
      <w:r>
        <w:rPr>
          <w:rFonts w:ascii="Arial" w:cs="Arial" w:eastAsia="Arial" w:hAnsi="Arial"/>
          <w:sz w:val="16"/>
          <w:szCs w:val="16"/>
          <w:b w:val="1"/>
          <w:bCs w:val="1"/>
          <w:color w:val="auto"/>
        </w:rPr>
        <w:t>Table 1 - Financial Highlights</w:t>
      </w:r>
    </w:p>
    <w:p>
      <w:pPr>
        <w:spacing w:after="0" w:line="2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Selected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726059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15240"/>
                    </a:xfrm>
                    <a:prstGeom prst="rect">
                      <a:avLst/>
                    </a:prstGeom>
                    <a:noFill/>
                  </pic:spPr>
                </pic:pic>
              </a:graphicData>
            </a:graphic>
          </wp:anchor>
        </w:drawing>
      </w:r>
    </w:p>
    <w:p>
      <w:pPr>
        <w:spacing w:after="0" w:line="39"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vMerge w:val="restart"/>
          </w:tcPr>
          <w:p>
            <w:pPr>
              <w:jc w:val="right"/>
              <w:ind w:right="195"/>
              <w:spacing w:after="0"/>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gridSpan w:val="3"/>
            <w:vMerge w:val="restart"/>
          </w:tcPr>
          <w:p>
            <w:pPr>
              <w:jc w:val="right"/>
              <w:ind w:right="35"/>
              <w:spacing w:after="0"/>
              <w:rPr>
                <w:sz w:val="20"/>
                <w:szCs w:val="20"/>
                <w:color w:val="auto"/>
              </w:rPr>
            </w:pPr>
            <w:r>
              <w:rPr>
                <w:rFonts w:ascii="Arial" w:cs="Arial" w:eastAsia="Arial" w:hAnsi="Arial"/>
                <w:sz w:val="13"/>
                <w:szCs w:val="13"/>
                <w:b w:val="1"/>
                <w:bCs w:val="1"/>
                <w:color w:val="auto"/>
              </w:rPr>
              <w:t>2013</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Third</w:t>
            </w:r>
          </w:p>
        </w:tc>
        <w:tc>
          <w:tcPr>
            <w:tcW w:w="180" w:type="dxa"/>
            <w:vAlign w:val="bottom"/>
          </w:tcPr>
          <w:p>
            <w:pPr>
              <w:spacing w:after="0"/>
              <w:rPr>
                <w:sz w:val="13"/>
                <w:szCs w:val="13"/>
                <w:color w:val="auto"/>
              </w:rPr>
            </w:pPr>
          </w:p>
        </w:tc>
        <w:tc>
          <w:tcPr>
            <w:tcW w:w="1180" w:type="dxa"/>
            <w:vAlign w:val="bottom"/>
            <w:gridSpan w:val="3"/>
          </w:tcPr>
          <w:p>
            <w:pPr>
              <w:jc w:val="center"/>
              <w:ind w:left="255"/>
              <w:spacing w:after="0"/>
              <w:rPr>
                <w:sz w:val="20"/>
                <w:szCs w:val="20"/>
                <w:color w:val="auto"/>
              </w:rPr>
            </w:pPr>
            <w:r>
              <w:rPr>
                <w:rFonts w:ascii="Arial" w:cs="Arial" w:eastAsia="Arial" w:hAnsi="Arial"/>
                <w:sz w:val="13"/>
                <w:szCs w:val="13"/>
                <w:b w:val="1"/>
                <w:bCs w:val="1"/>
                <w:color w:val="auto"/>
                <w:w w:val="92"/>
              </w:rPr>
              <w:t>For the Nine</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rPr>
              <w:t>YTD</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vMerge w:val="continue"/>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Quarter</w:t>
            </w:r>
          </w:p>
        </w:tc>
        <w:tc>
          <w:tcPr>
            <w:tcW w:w="180" w:type="dxa"/>
            <w:vAlign w:val="bottom"/>
          </w:tcPr>
          <w:p>
            <w:pPr>
              <w:spacing w:after="0"/>
              <w:rPr>
                <w:sz w:val="13"/>
                <w:szCs w:val="13"/>
                <w:color w:val="auto"/>
              </w:rPr>
            </w:pPr>
          </w:p>
        </w:tc>
        <w:tc>
          <w:tcPr>
            <w:tcW w:w="1180" w:type="dxa"/>
            <w:vAlign w:val="bottom"/>
            <w:gridSpan w:val="3"/>
          </w:tcPr>
          <w:p>
            <w:pPr>
              <w:jc w:val="center"/>
              <w:ind w:left="255"/>
              <w:spacing w:after="0"/>
              <w:rPr>
                <w:sz w:val="20"/>
                <w:szCs w:val="20"/>
                <w:color w:val="auto"/>
              </w:rPr>
            </w:pPr>
            <w:r>
              <w:rPr>
                <w:rFonts w:ascii="Arial" w:cs="Arial" w:eastAsia="Arial" w:hAnsi="Arial"/>
                <w:sz w:val="13"/>
                <w:szCs w:val="13"/>
                <w:b w:val="1"/>
                <w:bCs w:val="1"/>
                <w:color w:val="auto"/>
                <w:w w:val="91"/>
              </w:rPr>
              <w:t>Months Ended</w:t>
            </w: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60" w:type="dxa"/>
            <w:vAlign w:val="bottom"/>
            <w:gridSpan w:val="2"/>
          </w:tcPr>
          <w:p>
            <w:pPr>
              <w:spacing w:after="0" w:line="134" w:lineRule="exact"/>
              <w:rPr>
                <w:sz w:val="20"/>
                <w:szCs w:val="20"/>
                <w:color w:val="auto"/>
              </w:rPr>
            </w:pPr>
            <w:r>
              <w:rPr>
                <w:rFonts w:ascii="Arial" w:cs="Arial" w:eastAsia="Arial" w:hAnsi="Arial"/>
                <w:sz w:val="13"/>
                <w:szCs w:val="13"/>
                <w:i w:val="1"/>
                <w:iCs w:val="1"/>
                <w:color w:val="auto"/>
              </w:rPr>
              <w:t>(in thousands, except per share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440"/>
              <w:spacing w:after="0" w:line="134" w:lineRule="exact"/>
              <w:rPr>
                <w:sz w:val="20"/>
                <w:szCs w:val="20"/>
                <w:color w:val="auto"/>
              </w:rPr>
            </w:pPr>
            <w:r>
              <w:rPr>
                <w:rFonts w:ascii="Arial" w:cs="Arial" w:eastAsia="Arial" w:hAnsi="Arial"/>
                <w:sz w:val="13"/>
                <w:szCs w:val="13"/>
                <w:b w:val="1"/>
                <w:bCs w:val="1"/>
                <w:color w:val="auto"/>
              </w:rPr>
              <w:t>Third</w:t>
            </w:r>
          </w:p>
        </w:tc>
        <w:tc>
          <w:tcPr>
            <w:tcW w:w="120" w:type="dxa"/>
            <w:vAlign w:val="bottom"/>
          </w:tcPr>
          <w:p>
            <w:pPr>
              <w:spacing w:after="0"/>
              <w:rPr>
                <w:sz w:val="11"/>
                <w:szCs w:val="11"/>
                <w:color w:val="auto"/>
              </w:rPr>
            </w:pPr>
          </w:p>
        </w:tc>
        <w:tc>
          <w:tcPr>
            <w:tcW w:w="880" w:type="dxa"/>
            <w:vAlign w:val="bottom"/>
            <w:gridSpan w:val="2"/>
          </w:tcPr>
          <w:p>
            <w:pPr>
              <w:jc w:val="right"/>
              <w:ind w:right="400"/>
              <w:spacing w:after="0" w:line="134" w:lineRule="exact"/>
              <w:rPr>
                <w:sz w:val="20"/>
                <w:szCs w:val="20"/>
                <w:color w:val="auto"/>
              </w:rPr>
            </w:pPr>
            <w:r>
              <w:rPr>
                <w:rFonts w:ascii="Arial" w:cs="Arial" w:eastAsia="Arial" w:hAnsi="Arial"/>
                <w:sz w:val="13"/>
                <w:szCs w:val="13"/>
                <w:b w:val="1"/>
                <w:bCs w:val="1"/>
                <w:color w:val="auto"/>
                <w:w w:val="97"/>
              </w:rPr>
              <w:t>Second</w:t>
            </w:r>
          </w:p>
        </w:tc>
        <w:tc>
          <w:tcPr>
            <w:tcW w:w="140" w:type="dxa"/>
            <w:vAlign w:val="bottom"/>
          </w:tcPr>
          <w:p>
            <w:pPr>
              <w:spacing w:after="0"/>
              <w:rPr>
                <w:sz w:val="11"/>
                <w:szCs w:val="11"/>
                <w:color w:val="auto"/>
              </w:rPr>
            </w:pPr>
          </w:p>
        </w:tc>
        <w:tc>
          <w:tcPr>
            <w:tcW w:w="680" w:type="dxa"/>
            <w:vAlign w:val="bottom"/>
          </w:tcPr>
          <w:p>
            <w:pPr>
              <w:jc w:val="right"/>
              <w:ind w:right="215"/>
              <w:spacing w:after="0" w:line="134" w:lineRule="exact"/>
              <w:rPr>
                <w:sz w:val="20"/>
                <w:szCs w:val="20"/>
                <w:color w:val="auto"/>
              </w:rPr>
            </w:pPr>
            <w:r>
              <w:rPr>
                <w:rFonts w:ascii="Arial" w:cs="Arial" w:eastAsia="Arial" w:hAnsi="Arial"/>
                <w:sz w:val="13"/>
                <w:szCs w:val="13"/>
                <w:b w:val="1"/>
                <w:bCs w:val="1"/>
                <w:color w:val="auto"/>
              </w:rPr>
              <w:t>First</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jc w:val="right"/>
              <w:ind w:right="420"/>
              <w:spacing w:after="0" w:line="134" w:lineRule="exact"/>
              <w:rPr>
                <w:sz w:val="20"/>
                <w:szCs w:val="20"/>
                <w:color w:val="auto"/>
              </w:rPr>
            </w:pPr>
            <w:r>
              <w:rPr>
                <w:rFonts w:ascii="Arial" w:cs="Arial" w:eastAsia="Arial" w:hAnsi="Arial"/>
                <w:sz w:val="13"/>
                <w:szCs w:val="13"/>
                <w:b w:val="1"/>
                <w:bCs w:val="1"/>
                <w:color w:val="auto"/>
              </w:rPr>
              <w:t>Fourth</w:t>
            </w:r>
          </w:p>
        </w:tc>
        <w:tc>
          <w:tcPr>
            <w:tcW w:w="140" w:type="dxa"/>
            <w:vAlign w:val="bottom"/>
          </w:tcPr>
          <w:p>
            <w:pPr>
              <w:spacing w:after="0"/>
              <w:rPr>
                <w:sz w:val="11"/>
                <w:szCs w:val="11"/>
                <w:color w:val="auto"/>
              </w:rPr>
            </w:pPr>
          </w:p>
        </w:tc>
        <w:tc>
          <w:tcPr>
            <w:tcW w:w="700" w:type="dxa"/>
            <w:vAlign w:val="bottom"/>
          </w:tcPr>
          <w:p>
            <w:pPr>
              <w:jc w:val="right"/>
              <w:ind w:right="195"/>
              <w:spacing w:after="0" w:line="134" w:lineRule="exact"/>
              <w:rPr>
                <w:sz w:val="20"/>
                <w:szCs w:val="20"/>
                <w:color w:val="auto"/>
              </w:rPr>
            </w:pPr>
            <w:r>
              <w:rPr>
                <w:rFonts w:ascii="Arial" w:cs="Arial" w:eastAsia="Arial" w:hAnsi="Arial"/>
                <w:sz w:val="13"/>
                <w:szCs w:val="13"/>
                <w:b w:val="1"/>
                <w:bCs w:val="1"/>
                <w:color w:val="auto"/>
              </w:rPr>
              <w:t>Third</w:t>
            </w:r>
          </w:p>
        </w:tc>
        <w:tc>
          <w:tcPr>
            <w:tcW w:w="200" w:type="dxa"/>
            <w:vAlign w:val="bottom"/>
          </w:tcPr>
          <w:p>
            <w:pPr>
              <w:spacing w:after="0"/>
              <w:rPr>
                <w:sz w:val="11"/>
                <w:szCs w:val="11"/>
                <w:color w:val="auto"/>
              </w:rPr>
            </w:pPr>
          </w:p>
        </w:tc>
        <w:tc>
          <w:tcPr>
            <w:tcW w:w="8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2014-2013</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center"/>
              <w:ind w:left="255"/>
              <w:spacing w:after="0" w:line="134" w:lineRule="exact"/>
              <w:rPr>
                <w:sz w:val="20"/>
                <w:szCs w:val="20"/>
                <w:color w:val="auto"/>
              </w:rPr>
            </w:pPr>
            <w:r>
              <w:rPr>
                <w:rFonts w:ascii="Arial" w:cs="Arial" w:eastAsia="Arial" w:hAnsi="Arial"/>
                <w:sz w:val="13"/>
                <w:szCs w:val="13"/>
                <w:b w:val="1"/>
                <w:bCs w:val="1"/>
                <w:color w:val="auto"/>
                <w:w w:val="87"/>
              </w:rPr>
              <w:t>September 30,</w:t>
            </w:r>
          </w:p>
        </w:tc>
        <w:tc>
          <w:tcPr>
            <w:tcW w:w="5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0"/>
              </w:rPr>
              <w:t>2014-2013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260" w:type="dxa"/>
            <w:vAlign w:val="bottom"/>
            <w:gridSpan w:val="2"/>
          </w:tcPr>
          <w:p>
            <w:pPr>
              <w:spacing w:after="0" w:line="134" w:lineRule="exact"/>
              <w:rPr>
                <w:sz w:val="20"/>
                <w:szCs w:val="20"/>
                <w:color w:val="auto"/>
              </w:rPr>
            </w:pPr>
            <w:r>
              <w:rPr>
                <w:rFonts w:ascii="Arial" w:cs="Arial" w:eastAsia="Arial" w:hAnsi="Arial"/>
                <w:sz w:val="13"/>
                <w:szCs w:val="13"/>
                <w:i w:val="1"/>
                <w:iCs w:val="1"/>
                <w:color w:val="auto"/>
              </w:rPr>
              <w:t>data; taxable equivalent)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380"/>
              <w:spacing w:after="0" w:line="134" w:lineRule="exact"/>
              <w:rPr>
                <w:sz w:val="20"/>
                <w:szCs w:val="20"/>
                <w:color w:val="auto"/>
              </w:rPr>
            </w:pPr>
            <w:r>
              <w:rPr>
                <w:rFonts w:ascii="Arial" w:cs="Arial" w:eastAsia="Arial" w:hAnsi="Arial"/>
                <w:sz w:val="13"/>
                <w:szCs w:val="13"/>
                <w:b w:val="1"/>
                <w:bCs w:val="1"/>
                <w:color w:val="auto"/>
              </w:rPr>
              <w:t>Quarter</w:t>
            </w:r>
          </w:p>
        </w:tc>
        <w:tc>
          <w:tcPr>
            <w:tcW w:w="120" w:type="dxa"/>
            <w:vAlign w:val="bottom"/>
          </w:tcPr>
          <w:p>
            <w:pPr>
              <w:spacing w:after="0"/>
              <w:rPr>
                <w:sz w:val="11"/>
                <w:szCs w:val="11"/>
                <w:color w:val="auto"/>
              </w:rPr>
            </w:pPr>
          </w:p>
        </w:tc>
        <w:tc>
          <w:tcPr>
            <w:tcW w:w="880" w:type="dxa"/>
            <w:vAlign w:val="bottom"/>
            <w:gridSpan w:val="2"/>
          </w:tcPr>
          <w:p>
            <w:pPr>
              <w:jc w:val="right"/>
              <w:ind w:right="380"/>
              <w:spacing w:after="0" w:line="134" w:lineRule="exact"/>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4" w:lineRule="exact"/>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1"/>
                <w:szCs w:val="11"/>
                <w:color w:val="auto"/>
              </w:rPr>
            </w:pPr>
          </w:p>
        </w:tc>
        <w:tc>
          <w:tcPr>
            <w:tcW w:w="880" w:type="dxa"/>
            <w:vAlign w:val="bottom"/>
            <w:gridSpan w:val="2"/>
          </w:tcPr>
          <w:p>
            <w:pPr>
              <w:jc w:val="right"/>
              <w:ind w:right="380"/>
              <w:spacing w:after="0" w:line="134" w:lineRule="exact"/>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1"/>
                <w:szCs w:val="11"/>
                <w:color w:val="auto"/>
              </w:rPr>
            </w:pPr>
          </w:p>
        </w:tc>
        <w:tc>
          <w:tcPr>
            <w:tcW w:w="900" w:type="dxa"/>
            <w:vAlign w:val="bottom"/>
            <w:gridSpan w:val="2"/>
          </w:tcPr>
          <w:p>
            <w:pPr>
              <w:jc w:val="right"/>
              <w:ind w:right="400"/>
              <w:spacing w:after="0" w:line="134" w:lineRule="exact"/>
              <w:rPr>
                <w:sz w:val="20"/>
                <w:szCs w:val="20"/>
                <w:color w:val="auto"/>
              </w:rPr>
            </w:pPr>
            <w:r>
              <w:rPr>
                <w:rFonts w:ascii="Arial" w:cs="Arial" w:eastAsia="Arial" w:hAnsi="Arial"/>
                <w:sz w:val="13"/>
                <w:szCs w:val="13"/>
                <w:b w:val="1"/>
                <w:bCs w:val="1"/>
                <w:color w:val="auto"/>
              </w:rPr>
              <w:t>Quarter</w:t>
            </w:r>
          </w:p>
        </w:tc>
        <w:tc>
          <w:tcPr>
            <w:tcW w:w="1020" w:type="dxa"/>
            <w:vAlign w:val="bottom"/>
            <w:gridSpan w:val="2"/>
          </w:tcPr>
          <w:p>
            <w:pPr>
              <w:jc w:val="center"/>
              <w:ind w:right="200"/>
              <w:spacing w:after="0" w:line="134" w:lineRule="exact"/>
              <w:rPr>
                <w:sz w:val="20"/>
                <w:szCs w:val="20"/>
                <w:color w:val="auto"/>
              </w:rPr>
            </w:pPr>
            <w:r>
              <w:rPr>
                <w:rFonts w:ascii="Arial" w:cs="Arial" w:eastAsia="Arial" w:hAnsi="Arial"/>
                <w:sz w:val="13"/>
                <w:szCs w:val="13"/>
                <w:b w:val="1"/>
                <w:bCs w:val="1"/>
                <w:color w:val="auto"/>
                <w:w w:val="88"/>
              </w:rPr>
              <w:t>Change</w:t>
            </w:r>
          </w:p>
        </w:tc>
        <w:tc>
          <w:tcPr>
            <w:tcW w:w="180" w:type="dxa"/>
            <w:vAlign w:val="bottom"/>
          </w:tcPr>
          <w:p>
            <w:pPr>
              <w:spacing w:after="0"/>
              <w:rPr>
                <w:sz w:val="11"/>
                <w:szCs w:val="11"/>
                <w:color w:val="auto"/>
              </w:rPr>
            </w:pPr>
          </w:p>
        </w:tc>
        <w:tc>
          <w:tcPr>
            <w:tcW w:w="640" w:type="dxa"/>
            <w:vAlign w:val="bottom"/>
          </w:tcPr>
          <w:p>
            <w:pPr>
              <w:jc w:val="right"/>
              <w:ind w:right="215"/>
              <w:spacing w:after="0" w:line="134" w:lineRule="exact"/>
              <w:rPr>
                <w:sz w:val="20"/>
                <w:szCs w:val="20"/>
                <w:color w:val="auto"/>
              </w:rPr>
            </w:pPr>
            <w:r>
              <w:rPr>
                <w:rFonts w:ascii="Arial" w:cs="Arial" w:eastAsia="Arial" w:hAnsi="Arial"/>
                <w:sz w:val="13"/>
                <w:szCs w:val="13"/>
                <w:b w:val="1"/>
                <w:bCs w:val="1"/>
                <w:color w:val="auto"/>
              </w:rPr>
              <w:t>2014</w:t>
            </w:r>
          </w:p>
        </w:tc>
        <w:tc>
          <w:tcPr>
            <w:tcW w:w="200" w:type="dxa"/>
            <w:vAlign w:val="bottom"/>
          </w:tcPr>
          <w:p>
            <w:pPr>
              <w:spacing w:after="0"/>
              <w:rPr>
                <w:sz w:val="11"/>
                <w:szCs w:val="11"/>
                <w:color w:val="auto"/>
              </w:rPr>
            </w:pPr>
          </w:p>
        </w:tc>
        <w:tc>
          <w:tcPr>
            <w:tcW w:w="840" w:type="dxa"/>
            <w:vAlign w:val="bottom"/>
            <w:gridSpan w:val="2"/>
          </w:tcPr>
          <w:p>
            <w:pPr>
              <w:jc w:val="right"/>
              <w:ind w:right="215"/>
              <w:spacing w:after="0" w:line="134" w:lineRule="exact"/>
              <w:rPr>
                <w:sz w:val="20"/>
                <w:szCs w:val="20"/>
                <w:color w:val="auto"/>
              </w:rPr>
            </w:pPr>
            <w:r>
              <w:rPr>
                <w:rFonts w:ascii="Arial" w:cs="Arial" w:eastAsia="Arial" w:hAnsi="Arial"/>
                <w:sz w:val="13"/>
                <w:szCs w:val="13"/>
                <w:b w:val="1"/>
                <w:bCs w:val="1"/>
                <w:color w:val="auto"/>
              </w:rPr>
              <w:t>2013</w:t>
            </w:r>
          </w:p>
        </w:tc>
        <w:tc>
          <w:tcPr>
            <w:tcW w:w="200" w:type="dxa"/>
            <w:vAlign w:val="bottom"/>
          </w:tcPr>
          <w:p>
            <w:pPr>
              <w:spacing w:after="0"/>
              <w:rPr>
                <w:sz w:val="11"/>
                <w:szCs w:val="11"/>
                <w:color w:val="auto"/>
              </w:rPr>
            </w:pPr>
          </w:p>
        </w:tc>
        <w:tc>
          <w:tcPr>
            <w:tcW w:w="940" w:type="dxa"/>
            <w:vAlign w:val="bottom"/>
            <w:gridSpan w:val="2"/>
          </w:tcPr>
          <w:p>
            <w:pPr>
              <w:jc w:val="center"/>
              <w:ind w:right="120"/>
              <w:spacing w:after="0" w:line="134" w:lineRule="exact"/>
              <w:rPr>
                <w:sz w:val="20"/>
                <w:szCs w:val="20"/>
                <w:color w:val="auto"/>
              </w:rPr>
            </w:pPr>
            <w:r>
              <w:rPr>
                <w:rFonts w:ascii="Arial" w:cs="Arial" w:eastAsia="Arial" w:hAnsi="Arial"/>
                <w:sz w:val="13"/>
                <w:szCs w:val="13"/>
                <w:b w:val="1"/>
                <w:bCs w:val="1"/>
                <w:color w:val="auto"/>
                <w:w w:val="88"/>
              </w:rPr>
              <w:t>Change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Borders>
              <w:top w:val="single" w:sz="8" w:color="auto"/>
            </w:tcBorders>
            <w:shd w:val="clear" w:color="auto" w:fill="F0FFFF"/>
          </w:tcPr>
          <w:p>
            <w:pPr>
              <w:spacing w:after="0" w:line="134" w:lineRule="exact"/>
              <w:rPr>
                <w:sz w:val="20"/>
                <w:szCs w:val="20"/>
                <w:color w:val="auto"/>
              </w:rPr>
            </w:pPr>
            <w:r>
              <w:rPr>
                <w:rFonts w:ascii="Arial" w:cs="Arial" w:eastAsia="Arial" w:hAnsi="Arial"/>
                <w:sz w:val="13"/>
                <w:szCs w:val="13"/>
                <w:b w:val="1"/>
                <w:bCs w:val="1"/>
                <w:color w:val="auto"/>
              </w:rPr>
              <w:t>INCOME SUMMARY</w:t>
            </w:r>
          </w:p>
        </w:tc>
        <w:tc>
          <w:tcPr>
            <w:tcW w:w="80" w:type="dxa"/>
            <w:vAlign w:val="bottom"/>
            <w:shd w:val="clear" w:color="auto" w:fill="F0FFFF"/>
          </w:tcPr>
          <w:p>
            <w:pPr>
              <w:spacing w:after="0"/>
              <w:rPr>
                <w:sz w:val="11"/>
                <w:szCs w:val="11"/>
                <w:color w:val="auto"/>
              </w:rPr>
            </w:pPr>
          </w:p>
        </w:tc>
        <w:tc>
          <w:tcPr>
            <w:tcW w:w="120" w:type="dxa"/>
            <w:vAlign w:val="bottom"/>
            <w:tcBorders>
              <w:top w:val="single" w:sz="8" w:color="auto"/>
            </w:tcBorders>
            <w:shd w:val="clear" w:color="auto" w:fill="F0FFFF"/>
          </w:tcPr>
          <w:p>
            <w:pPr>
              <w:spacing w:after="0"/>
              <w:rPr>
                <w:sz w:val="11"/>
                <w:szCs w:val="11"/>
                <w:color w:val="auto"/>
              </w:rPr>
            </w:pPr>
          </w:p>
        </w:tc>
        <w:tc>
          <w:tcPr>
            <w:tcW w:w="660" w:type="dxa"/>
            <w:vAlign w:val="bottom"/>
            <w:tcBorders>
              <w:top w:val="single" w:sz="8" w:color="auto"/>
            </w:tcBorders>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tcBorders>
              <w:top w:val="single" w:sz="8" w:color="auto"/>
            </w:tcBorders>
            <w:shd w:val="clear" w:color="auto" w:fill="F0FFFF"/>
          </w:tcPr>
          <w:p>
            <w:pPr>
              <w:spacing w:after="0"/>
              <w:rPr>
                <w:sz w:val="11"/>
                <w:szCs w:val="11"/>
                <w:color w:val="auto"/>
              </w:rPr>
            </w:pPr>
          </w:p>
        </w:tc>
        <w:tc>
          <w:tcPr>
            <w:tcW w:w="680" w:type="dxa"/>
            <w:vAlign w:val="bottom"/>
            <w:tcBorders>
              <w:top w:val="single" w:sz="8" w:color="auto"/>
            </w:tcBorders>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tcBorders>
              <w:top w:val="single" w:sz="8" w:color="auto"/>
            </w:tcBorders>
            <w:shd w:val="clear" w:color="auto" w:fill="F0FFFF"/>
          </w:tcPr>
          <w:p>
            <w:pPr>
              <w:spacing w:after="0"/>
              <w:rPr>
                <w:sz w:val="11"/>
                <w:szCs w:val="11"/>
                <w:color w:val="auto"/>
              </w:rPr>
            </w:pPr>
          </w:p>
        </w:tc>
        <w:tc>
          <w:tcPr>
            <w:tcW w:w="680" w:type="dxa"/>
            <w:vAlign w:val="bottom"/>
            <w:tcBorders>
              <w:top w:val="single" w:sz="8" w:color="auto"/>
            </w:tcBorders>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40" w:type="dxa"/>
            <w:vAlign w:val="bottom"/>
            <w:tcBorders>
              <w:top w:val="single" w:sz="8" w:color="auto"/>
            </w:tcBorders>
            <w:shd w:val="clear" w:color="auto" w:fill="F0FFFF"/>
          </w:tcPr>
          <w:p>
            <w:pPr>
              <w:spacing w:after="0"/>
              <w:rPr>
                <w:sz w:val="11"/>
                <w:szCs w:val="11"/>
                <w:color w:val="auto"/>
              </w:rPr>
            </w:pPr>
          </w:p>
        </w:tc>
        <w:tc>
          <w:tcPr>
            <w:tcW w:w="680" w:type="dxa"/>
            <w:vAlign w:val="bottom"/>
            <w:tcBorders>
              <w:top w:val="single" w:sz="8" w:color="auto"/>
            </w:tcBorders>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tcBorders>
              <w:top w:val="single" w:sz="8" w:color="auto"/>
            </w:tcBorders>
            <w:shd w:val="clear" w:color="auto" w:fill="F0FFFF"/>
          </w:tcPr>
          <w:p>
            <w:pPr>
              <w:spacing w:after="0"/>
              <w:rPr>
                <w:sz w:val="11"/>
                <w:szCs w:val="11"/>
                <w:color w:val="auto"/>
              </w:rPr>
            </w:pPr>
          </w:p>
        </w:tc>
        <w:tc>
          <w:tcPr>
            <w:tcW w:w="700" w:type="dxa"/>
            <w:vAlign w:val="bottom"/>
            <w:tcBorders>
              <w:top w:val="single" w:sz="8" w:color="auto"/>
            </w:tcBorders>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00" w:type="dxa"/>
            <w:vAlign w:val="bottom"/>
            <w:tcBorders>
              <w:top w:val="single" w:sz="8" w:color="auto"/>
            </w:tcBorders>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tcBorders>
              <w:top w:val="single" w:sz="8" w:color="auto"/>
            </w:tcBorders>
            <w:shd w:val="clear" w:color="auto" w:fill="F0FFFF"/>
          </w:tcPr>
          <w:p>
            <w:pPr>
              <w:spacing w:after="0"/>
              <w:rPr>
                <w:sz w:val="11"/>
                <w:szCs w:val="11"/>
                <w:color w:val="auto"/>
              </w:rPr>
            </w:pPr>
          </w:p>
        </w:tc>
        <w:tc>
          <w:tcPr>
            <w:tcW w:w="640" w:type="dxa"/>
            <w:vAlign w:val="bottom"/>
            <w:tcBorders>
              <w:top w:val="single" w:sz="8" w:color="auto"/>
            </w:tcBorders>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340" w:type="dxa"/>
            <w:vAlign w:val="bottom"/>
            <w:tcBorders>
              <w:top w:val="single" w:sz="8" w:color="auto"/>
            </w:tcBorders>
            <w:shd w:val="clear" w:color="auto" w:fill="F0FFFF"/>
          </w:tcPr>
          <w:p>
            <w:pPr>
              <w:spacing w:after="0"/>
              <w:rPr>
                <w:sz w:val="11"/>
                <w:szCs w:val="11"/>
                <w:color w:val="auto"/>
              </w:rPr>
            </w:pPr>
          </w:p>
        </w:tc>
        <w:tc>
          <w:tcPr>
            <w:tcW w:w="500" w:type="dxa"/>
            <w:vAlign w:val="bottom"/>
            <w:tcBorders>
              <w:top w:val="single" w:sz="8" w:color="auto"/>
            </w:tcBorders>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20" w:type="dxa"/>
            <w:vAlign w:val="bottom"/>
            <w:tcBorders>
              <w:top w:val="single" w:sz="8" w:color="auto"/>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line="134" w:lineRule="exact"/>
              <w:rPr>
                <w:sz w:val="20"/>
                <w:szCs w:val="20"/>
                <w:color w:val="auto"/>
              </w:rPr>
            </w:pPr>
            <w:r>
              <w:rPr>
                <w:rFonts w:ascii="Arial" w:cs="Arial" w:eastAsia="Arial" w:hAnsi="Arial"/>
                <w:sz w:val="13"/>
                <w:szCs w:val="13"/>
                <w:color w:val="auto"/>
              </w:rPr>
              <w:t>Interest revenue</w:t>
            </w:r>
          </w:p>
        </w:tc>
        <w:tc>
          <w:tcPr>
            <w:tcW w:w="20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63,338</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61,783</w:t>
            </w: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60,495</w:t>
            </w: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61,695</w:t>
            </w: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61,426</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185,616</w:t>
            </w:r>
          </w:p>
        </w:tc>
        <w:tc>
          <w:tcPr>
            <w:tcW w:w="340" w:type="dxa"/>
            <w:vAlign w:val="bottom"/>
          </w:tcPr>
          <w:p>
            <w:pPr>
              <w:jc w:val="right"/>
              <w:ind w:right="195"/>
              <w:spacing w:after="0" w:line="134"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185,628</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spacing w:after="0" w:line="134" w:lineRule="exact"/>
              <w:rPr>
                <w:sz w:val="20"/>
                <w:szCs w:val="20"/>
                <w:color w:val="auto"/>
              </w:rPr>
            </w:pPr>
            <w:r>
              <w:rPr>
                <w:rFonts w:ascii="Arial" w:cs="Arial" w:eastAsia="Arial" w:hAnsi="Arial"/>
                <w:sz w:val="13"/>
                <w:szCs w:val="13"/>
                <w:color w:val="auto"/>
              </w:rPr>
              <w:t>Interest expense</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6,371</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6,833</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6,326</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5,816</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7,169</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19,530</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21,866</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00" w:type="dxa"/>
            <w:vAlign w:val="bottom"/>
            <w:shd w:val="clear" w:color="auto" w:fill="F0FFFF"/>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260"/>
              <w:spacing w:after="0" w:line="134" w:lineRule="exact"/>
              <w:rPr>
                <w:sz w:val="20"/>
                <w:szCs w:val="20"/>
                <w:color w:val="auto"/>
              </w:rPr>
            </w:pPr>
            <w:r>
              <w:rPr>
                <w:rFonts w:ascii="Arial" w:cs="Arial" w:eastAsia="Arial" w:hAnsi="Arial"/>
                <w:sz w:val="13"/>
                <w:szCs w:val="13"/>
                <w:color w:val="auto"/>
              </w:rPr>
              <w:t>Net interest revenue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56,967</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54,950</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54,169</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55,879</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54,257</w:t>
            </w:r>
          </w:p>
        </w:tc>
        <w:tc>
          <w:tcPr>
            <w:tcW w:w="102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5%</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166,086</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163,762</w:t>
            </w:r>
          </w:p>
        </w:tc>
        <w:tc>
          <w:tcPr>
            <w:tcW w:w="940" w:type="dxa"/>
            <w:vAlign w:val="bottom"/>
            <w:gridSpan w:val="2"/>
          </w:tcPr>
          <w:p>
            <w:pPr>
              <w:jc w:val="right"/>
              <w:ind w:right="20"/>
              <w:spacing w:after="0" w:line="13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spacing w:after="0" w:line="134" w:lineRule="exact"/>
              <w:rPr>
                <w:sz w:val="20"/>
                <w:szCs w:val="20"/>
                <w:color w:val="auto"/>
              </w:rPr>
            </w:pPr>
            <w:r>
              <w:rPr>
                <w:rFonts w:ascii="Arial" w:cs="Arial" w:eastAsia="Arial" w:hAnsi="Arial"/>
                <w:sz w:val="13"/>
                <w:szCs w:val="13"/>
                <w:color w:val="auto"/>
              </w:rPr>
              <w:t>Provision for credit losses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2,000</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2,200</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2,500</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3,000</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3,000</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6,700</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62,500</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line="134" w:lineRule="exact"/>
              <w:rPr>
                <w:sz w:val="20"/>
                <w:szCs w:val="20"/>
                <w:color w:val="auto"/>
              </w:rPr>
            </w:pPr>
            <w:r>
              <w:rPr>
                <w:rFonts w:ascii="Arial" w:cs="Arial" w:eastAsia="Arial" w:hAnsi="Arial"/>
                <w:sz w:val="13"/>
                <w:szCs w:val="13"/>
                <w:color w:val="auto"/>
              </w:rPr>
              <w:t>Fee revenue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14,412</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14,143</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12,176</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13,519</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14,225</w:t>
            </w:r>
          </w:p>
        </w:tc>
        <w:tc>
          <w:tcPr>
            <w:tcW w:w="10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40,731</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43,079</w:t>
            </w:r>
          </w:p>
        </w:tc>
        <w:tc>
          <w:tcPr>
            <w:tcW w:w="94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b w:val="1"/>
                <w:bCs w:val="1"/>
                <w:color w:val="auto"/>
              </w:rPr>
              <w:t>Total revenue</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69,379</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66,893</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63,845</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66,398</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65,482</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200,117</w:t>
            </w:r>
          </w:p>
        </w:tc>
        <w:tc>
          <w:tcPr>
            <w:tcW w:w="20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144,341</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line="134" w:lineRule="exact"/>
              <w:rPr>
                <w:sz w:val="20"/>
                <w:szCs w:val="20"/>
                <w:color w:val="auto"/>
              </w:rPr>
            </w:pPr>
            <w:r>
              <w:rPr>
                <w:rFonts w:ascii="Arial" w:cs="Arial" w:eastAsia="Arial" w:hAnsi="Arial"/>
                <w:sz w:val="13"/>
                <w:szCs w:val="13"/>
                <w:color w:val="auto"/>
              </w:rPr>
              <w:t>Operating expenses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41,364</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40,532</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39,050</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41,614</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40,097</w:t>
            </w:r>
          </w:p>
        </w:tc>
        <w:tc>
          <w:tcPr>
            <w:tcW w:w="10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120,946</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132,690</w:t>
            </w:r>
          </w:p>
        </w:tc>
        <w:tc>
          <w:tcPr>
            <w:tcW w:w="94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color w:val="auto"/>
              </w:rPr>
              <w:t>Income before income taxes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28,015</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26,361</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24,795</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24,784</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25,385</w:t>
            </w:r>
          </w:p>
        </w:tc>
        <w:tc>
          <w:tcPr>
            <w:tcW w:w="102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10</w:t>
            </w: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79,171</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11,651</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line="134" w:lineRule="exact"/>
              <w:rPr>
                <w:sz w:val="20"/>
                <w:szCs w:val="20"/>
                <w:color w:val="auto"/>
              </w:rPr>
            </w:pPr>
            <w:r>
              <w:rPr>
                <w:rFonts w:ascii="Arial" w:cs="Arial" w:eastAsia="Arial" w:hAnsi="Arial"/>
                <w:sz w:val="13"/>
                <w:szCs w:val="13"/>
                <w:color w:val="auto"/>
              </w:rPr>
              <w:t>Income tax expense (benefit)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10,399</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10,004</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9,395</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8,873</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9,885</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29,798</w:t>
            </w:r>
          </w:p>
        </w:tc>
        <w:tc>
          <w:tcPr>
            <w:tcW w:w="340" w:type="dxa"/>
            <w:vAlign w:val="bottom"/>
          </w:tcPr>
          <w:p>
            <w:pPr>
              <w:spacing w:after="0"/>
              <w:rPr>
                <w:sz w:val="11"/>
                <w:szCs w:val="11"/>
                <w:color w:val="auto"/>
              </w:rPr>
            </w:pPr>
          </w:p>
        </w:tc>
        <w:tc>
          <w:tcPr>
            <w:tcW w:w="70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w w:val="93"/>
              </w:rPr>
              <w:t>(245,578)</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b w:val="1"/>
                <w:bCs w:val="1"/>
                <w:color w:val="auto"/>
              </w:rPr>
              <w:t>Net income</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17,616</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16,357</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15,400</w:t>
            </w: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15,911</w:t>
            </w: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15,500</w:t>
            </w:r>
          </w:p>
        </w:tc>
        <w:tc>
          <w:tcPr>
            <w:tcW w:w="102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14</w:t>
            </w: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49,373</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257,229</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tcPr>
          <w:p>
            <w:pPr>
              <w:spacing w:after="0" w:line="134" w:lineRule="exact"/>
              <w:rPr>
                <w:sz w:val="20"/>
                <w:szCs w:val="20"/>
                <w:color w:val="auto"/>
              </w:rPr>
            </w:pPr>
            <w:r>
              <w:rPr>
                <w:rFonts w:ascii="Arial" w:cs="Arial" w:eastAsia="Arial" w:hAnsi="Arial"/>
                <w:sz w:val="13"/>
                <w:szCs w:val="13"/>
                <w:color w:val="auto"/>
                <w:w w:val="90"/>
              </w:rPr>
              <w:t>Preferred dividends and discount accretion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439</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2,912</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3,059</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439</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9,166</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2240" w:type="dxa"/>
            <w:vAlign w:val="bottom"/>
            <w:shd w:val="clear" w:color="auto" w:fill="F0FFFF"/>
          </w:tcPr>
          <w:p>
            <w:pPr>
              <w:spacing w:after="0" w:line="113" w:lineRule="exact"/>
              <w:rPr>
                <w:sz w:val="20"/>
                <w:szCs w:val="20"/>
                <w:color w:val="auto"/>
              </w:rPr>
            </w:pPr>
            <w:r>
              <w:rPr>
                <w:rFonts w:ascii="Arial" w:cs="Arial" w:eastAsia="Arial" w:hAnsi="Arial"/>
                <w:sz w:val="13"/>
                <w:szCs w:val="13"/>
                <w:b w:val="1"/>
                <w:bCs w:val="1"/>
                <w:color w:val="auto"/>
              </w:rPr>
              <w:t>Net income available to common</w:t>
            </w:r>
          </w:p>
        </w:tc>
        <w:tc>
          <w:tcPr>
            <w:tcW w:w="80" w:type="dxa"/>
            <w:vAlign w:val="bottom"/>
            <w:shd w:val="clear" w:color="auto" w:fill="F0FFFF"/>
          </w:tcPr>
          <w:p>
            <w:pPr>
              <w:spacing w:after="0"/>
              <w:rPr>
                <w:sz w:val="9"/>
                <w:szCs w:val="9"/>
                <w:color w:val="auto"/>
              </w:rPr>
            </w:pPr>
          </w:p>
        </w:tc>
        <w:tc>
          <w:tcPr>
            <w:tcW w:w="120" w:type="dxa"/>
            <w:vAlign w:val="bottom"/>
            <w:tcBorders>
              <w:top w:val="single" w:sz="8" w:color="auto"/>
            </w:tcBorders>
            <w:shd w:val="clear" w:color="auto" w:fill="F0FFFF"/>
          </w:tcPr>
          <w:p>
            <w:pPr>
              <w:spacing w:after="0"/>
              <w:rPr>
                <w:sz w:val="9"/>
                <w:szCs w:val="9"/>
                <w:color w:val="auto"/>
              </w:rPr>
            </w:pPr>
          </w:p>
        </w:tc>
        <w:tc>
          <w:tcPr>
            <w:tcW w:w="660" w:type="dxa"/>
            <w:vAlign w:val="bottom"/>
            <w:tcBorders>
              <w:top w:val="single" w:sz="8" w:color="auto"/>
            </w:tcBorders>
            <w:shd w:val="clear" w:color="auto" w:fill="F0FFFF"/>
          </w:tcPr>
          <w:p>
            <w:pPr>
              <w:spacing w:after="0"/>
              <w:rPr>
                <w:sz w:val="9"/>
                <w:szCs w:val="9"/>
                <w:color w:val="auto"/>
              </w:rPr>
            </w:pPr>
          </w:p>
        </w:tc>
        <w:tc>
          <w:tcPr>
            <w:tcW w:w="220" w:type="dxa"/>
            <w:vAlign w:val="bottom"/>
            <w:tcBorders>
              <w:right w:val="single" w:sz="8" w:color="F0FFFF"/>
            </w:tcBorders>
            <w:shd w:val="clear" w:color="auto" w:fill="F0FFFF"/>
          </w:tcPr>
          <w:p>
            <w:pPr>
              <w:spacing w:after="0"/>
              <w:rPr>
                <w:sz w:val="9"/>
                <w:szCs w:val="9"/>
                <w:color w:val="auto"/>
              </w:rPr>
            </w:pPr>
          </w:p>
        </w:tc>
        <w:tc>
          <w:tcPr>
            <w:tcW w:w="12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200" w:type="dxa"/>
            <w:vAlign w:val="bottom"/>
            <w:shd w:val="clear" w:color="auto" w:fill="F0FFFF"/>
          </w:tcPr>
          <w:p>
            <w:pPr>
              <w:spacing w:after="0"/>
              <w:rPr>
                <w:sz w:val="9"/>
                <w:szCs w:val="9"/>
                <w:color w:val="auto"/>
              </w:rPr>
            </w:pPr>
          </w:p>
        </w:tc>
        <w:tc>
          <w:tcPr>
            <w:tcW w:w="14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200" w:type="dxa"/>
            <w:vAlign w:val="bottom"/>
            <w:tcBorders>
              <w:right w:val="single" w:sz="8" w:color="F0FFFF"/>
            </w:tcBorders>
            <w:shd w:val="clear" w:color="auto" w:fill="F0FFFF"/>
          </w:tcPr>
          <w:p>
            <w:pPr>
              <w:spacing w:after="0"/>
              <w:rPr>
                <w:sz w:val="9"/>
                <w:szCs w:val="9"/>
                <w:color w:val="auto"/>
              </w:rPr>
            </w:pPr>
          </w:p>
        </w:tc>
        <w:tc>
          <w:tcPr>
            <w:tcW w:w="140" w:type="dxa"/>
            <w:vAlign w:val="bottom"/>
            <w:tcBorders>
              <w:top w:val="single" w:sz="8" w:color="auto"/>
            </w:tcBorders>
            <w:shd w:val="clear" w:color="auto" w:fill="F0FFFF"/>
          </w:tcPr>
          <w:p>
            <w:pPr>
              <w:spacing w:after="0"/>
              <w:rPr>
                <w:sz w:val="9"/>
                <w:szCs w:val="9"/>
                <w:color w:val="auto"/>
              </w:rPr>
            </w:pPr>
          </w:p>
        </w:tc>
        <w:tc>
          <w:tcPr>
            <w:tcW w:w="680" w:type="dxa"/>
            <w:vAlign w:val="bottom"/>
            <w:tcBorders>
              <w:top w:val="single" w:sz="8" w:color="auto"/>
            </w:tcBorders>
            <w:shd w:val="clear" w:color="auto" w:fill="F0FFFF"/>
          </w:tcPr>
          <w:p>
            <w:pPr>
              <w:spacing w:after="0"/>
              <w:rPr>
                <w:sz w:val="9"/>
                <w:szCs w:val="9"/>
                <w:color w:val="auto"/>
              </w:rPr>
            </w:pPr>
          </w:p>
        </w:tc>
        <w:tc>
          <w:tcPr>
            <w:tcW w:w="200" w:type="dxa"/>
            <w:vAlign w:val="bottom"/>
            <w:shd w:val="clear" w:color="auto" w:fill="F0FFFF"/>
          </w:tcPr>
          <w:p>
            <w:pPr>
              <w:spacing w:after="0"/>
              <w:rPr>
                <w:sz w:val="9"/>
                <w:szCs w:val="9"/>
                <w:color w:val="auto"/>
              </w:rPr>
            </w:pPr>
          </w:p>
        </w:tc>
        <w:tc>
          <w:tcPr>
            <w:tcW w:w="140" w:type="dxa"/>
            <w:vAlign w:val="bottom"/>
            <w:tcBorders>
              <w:top w:val="single" w:sz="8" w:color="auto"/>
            </w:tcBorders>
            <w:shd w:val="clear" w:color="auto" w:fill="F0FFFF"/>
          </w:tcPr>
          <w:p>
            <w:pPr>
              <w:spacing w:after="0"/>
              <w:rPr>
                <w:sz w:val="9"/>
                <w:szCs w:val="9"/>
                <w:color w:val="auto"/>
              </w:rPr>
            </w:pPr>
          </w:p>
        </w:tc>
        <w:tc>
          <w:tcPr>
            <w:tcW w:w="700" w:type="dxa"/>
            <w:vAlign w:val="bottom"/>
            <w:tcBorders>
              <w:top w:val="single" w:sz="8" w:color="auto"/>
            </w:tcBorders>
            <w:shd w:val="clear" w:color="auto" w:fill="F0FFFF"/>
          </w:tcPr>
          <w:p>
            <w:pPr>
              <w:spacing w:after="0"/>
              <w:rPr>
                <w:sz w:val="9"/>
                <w:szCs w:val="9"/>
                <w:color w:val="auto"/>
              </w:rPr>
            </w:pPr>
          </w:p>
        </w:tc>
        <w:tc>
          <w:tcPr>
            <w:tcW w:w="200" w:type="dxa"/>
            <w:vAlign w:val="bottom"/>
            <w:shd w:val="clear" w:color="auto" w:fill="F0FFFF"/>
          </w:tcPr>
          <w:p>
            <w:pPr>
              <w:spacing w:after="0"/>
              <w:rPr>
                <w:sz w:val="9"/>
                <w:szCs w:val="9"/>
                <w:color w:val="auto"/>
              </w:rPr>
            </w:pPr>
          </w:p>
        </w:tc>
        <w:tc>
          <w:tcPr>
            <w:tcW w:w="800" w:type="dxa"/>
            <w:vAlign w:val="bottom"/>
            <w:shd w:val="clear" w:color="auto" w:fill="F0FFFF"/>
          </w:tcPr>
          <w:p>
            <w:pPr>
              <w:spacing w:after="0"/>
              <w:rPr>
                <w:sz w:val="9"/>
                <w:szCs w:val="9"/>
                <w:color w:val="auto"/>
              </w:rPr>
            </w:pPr>
          </w:p>
        </w:tc>
        <w:tc>
          <w:tcPr>
            <w:tcW w:w="220" w:type="dxa"/>
            <w:vAlign w:val="bottom"/>
            <w:tcBorders>
              <w:right w:val="single" w:sz="8" w:color="F0FFFF"/>
            </w:tcBorders>
            <w:shd w:val="clear" w:color="auto" w:fill="F0FFFF"/>
          </w:tcPr>
          <w:p>
            <w:pPr>
              <w:spacing w:after="0"/>
              <w:rPr>
                <w:sz w:val="9"/>
                <w:szCs w:val="9"/>
                <w:color w:val="auto"/>
              </w:rPr>
            </w:pPr>
          </w:p>
        </w:tc>
        <w:tc>
          <w:tcPr>
            <w:tcW w:w="180" w:type="dxa"/>
            <w:vAlign w:val="bottom"/>
            <w:tcBorders>
              <w:top w:val="single" w:sz="8" w:color="auto"/>
            </w:tcBorders>
            <w:shd w:val="clear" w:color="auto" w:fill="F0FFFF"/>
          </w:tcPr>
          <w:p>
            <w:pPr>
              <w:spacing w:after="0"/>
              <w:rPr>
                <w:sz w:val="9"/>
                <w:szCs w:val="9"/>
                <w:color w:val="auto"/>
              </w:rPr>
            </w:pPr>
          </w:p>
        </w:tc>
        <w:tc>
          <w:tcPr>
            <w:tcW w:w="640" w:type="dxa"/>
            <w:vAlign w:val="bottom"/>
            <w:tcBorders>
              <w:top w:val="single" w:sz="8" w:color="auto"/>
            </w:tcBorders>
            <w:shd w:val="clear" w:color="auto" w:fill="F0FFFF"/>
          </w:tcPr>
          <w:p>
            <w:pPr>
              <w:spacing w:after="0"/>
              <w:rPr>
                <w:sz w:val="9"/>
                <w:szCs w:val="9"/>
                <w:color w:val="auto"/>
              </w:rPr>
            </w:pPr>
          </w:p>
        </w:tc>
        <w:tc>
          <w:tcPr>
            <w:tcW w:w="200" w:type="dxa"/>
            <w:vAlign w:val="bottom"/>
            <w:shd w:val="clear" w:color="auto" w:fill="F0FFFF"/>
          </w:tcPr>
          <w:p>
            <w:pPr>
              <w:spacing w:after="0"/>
              <w:rPr>
                <w:sz w:val="9"/>
                <w:szCs w:val="9"/>
                <w:color w:val="auto"/>
              </w:rPr>
            </w:pPr>
          </w:p>
        </w:tc>
        <w:tc>
          <w:tcPr>
            <w:tcW w:w="340" w:type="dxa"/>
            <w:vAlign w:val="bottom"/>
            <w:tcBorders>
              <w:top w:val="single" w:sz="8" w:color="auto"/>
            </w:tcBorders>
            <w:shd w:val="clear" w:color="auto" w:fill="F0FFFF"/>
          </w:tcPr>
          <w:p>
            <w:pPr>
              <w:spacing w:after="0"/>
              <w:rPr>
                <w:sz w:val="9"/>
                <w:szCs w:val="9"/>
                <w:color w:val="auto"/>
              </w:rPr>
            </w:pPr>
          </w:p>
        </w:tc>
        <w:tc>
          <w:tcPr>
            <w:tcW w:w="500" w:type="dxa"/>
            <w:vAlign w:val="bottom"/>
            <w:tcBorders>
              <w:top w:val="single" w:sz="8" w:color="auto"/>
            </w:tcBorders>
            <w:shd w:val="clear" w:color="auto" w:fill="F0FFFF"/>
          </w:tcPr>
          <w:p>
            <w:pPr>
              <w:spacing w:after="0"/>
              <w:rPr>
                <w:sz w:val="9"/>
                <w:szCs w:val="9"/>
                <w:color w:val="auto"/>
              </w:rPr>
            </w:pPr>
          </w:p>
        </w:tc>
        <w:tc>
          <w:tcPr>
            <w:tcW w:w="200" w:type="dxa"/>
            <w:vAlign w:val="bottom"/>
            <w:shd w:val="clear" w:color="auto" w:fill="F0FFFF"/>
          </w:tcPr>
          <w:p>
            <w:pPr>
              <w:spacing w:after="0"/>
              <w:rPr>
                <w:sz w:val="9"/>
                <w:szCs w:val="9"/>
                <w:color w:val="auto"/>
              </w:rPr>
            </w:pPr>
          </w:p>
        </w:tc>
        <w:tc>
          <w:tcPr>
            <w:tcW w:w="820" w:type="dxa"/>
            <w:vAlign w:val="bottom"/>
            <w:shd w:val="clear" w:color="auto" w:fill="F0FFFF"/>
          </w:tcPr>
          <w:p>
            <w:pPr>
              <w:spacing w:after="0"/>
              <w:rPr>
                <w:sz w:val="9"/>
                <w:szCs w:val="9"/>
                <w:color w:val="auto"/>
              </w:rPr>
            </w:pPr>
          </w:p>
        </w:tc>
        <w:tc>
          <w:tcPr>
            <w:tcW w:w="120" w:type="dxa"/>
            <w:vAlign w:val="bottom"/>
            <w:shd w:val="clear" w:color="auto" w:fill="F0FF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240" w:type="dxa"/>
            <w:vAlign w:val="bottom"/>
            <w:shd w:val="clear" w:color="auto" w:fill="F0FFFF"/>
          </w:tcPr>
          <w:p>
            <w:pPr>
              <w:ind w:left="260"/>
              <w:spacing w:after="0"/>
              <w:rPr>
                <w:sz w:val="20"/>
                <w:szCs w:val="20"/>
                <w:color w:val="auto"/>
              </w:rPr>
            </w:pPr>
            <w:r>
              <w:rPr>
                <w:rFonts w:ascii="Arial" w:cs="Arial" w:eastAsia="Arial" w:hAnsi="Arial"/>
                <w:sz w:val="13"/>
                <w:szCs w:val="13"/>
                <w:b w:val="1"/>
                <w:bCs w:val="1"/>
                <w:color w:val="auto"/>
              </w:rPr>
              <w:t>shareholders</w:t>
            </w:r>
          </w:p>
        </w:tc>
        <w:tc>
          <w:tcPr>
            <w:tcW w:w="200" w:type="dxa"/>
            <w:vAlign w:val="bottom"/>
            <w:gridSpan w:val="2"/>
            <w:shd w:val="clear" w:color="auto" w:fill="F0FFFF"/>
          </w:tcPr>
          <w:p>
            <w:pPr>
              <w:jc w:val="right"/>
              <w:ind w:right="40"/>
              <w:spacing w:after="0"/>
              <w:rPr>
                <w:sz w:val="20"/>
                <w:szCs w:val="20"/>
                <w:color w:val="auto"/>
              </w:rPr>
            </w:pPr>
            <w:r>
              <w:rPr>
                <w:rFonts w:ascii="Arial" w:cs="Arial" w:eastAsia="Arial" w:hAnsi="Arial"/>
                <w:sz w:val="13"/>
                <w:szCs w:val="13"/>
                <w:color w:val="auto"/>
              </w:rPr>
              <w:t>$</w:t>
            </w:r>
          </w:p>
        </w:tc>
        <w:tc>
          <w:tcPr>
            <w:tcW w:w="8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3"/>
                <w:szCs w:val="13"/>
                <w:color w:val="auto"/>
              </w:rPr>
              <w:t>17,616</w:t>
            </w:r>
          </w:p>
        </w:tc>
        <w:tc>
          <w:tcPr>
            <w:tcW w:w="120" w:type="dxa"/>
            <w:vAlign w:val="bottom"/>
            <w:shd w:val="clear" w:color="auto" w:fill="F0FF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16,357</w:t>
            </w:r>
          </w:p>
        </w:tc>
        <w:tc>
          <w:tcPr>
            <w:tcW w:w="140" w:type="dxa"/>
            <w:vAlign w:val="bottom"/>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14,961</w:t>
            </w:r>
          </w:p>
        </w:tc>
        <w:tc>
          <w:tcPr>
            <w:tcW w:w="140" w:type="dxa"/>
            <w:vAlign w:val="bottom"/>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12,999</w:t>
            </w:r>
          </w:p>
        </w:tc>
        <w:tc>
          <w:tcPr>
            <w:tcW w:w="140" w:type="dxa"/>
            <w:vAlign w:val="bottom"/>
            <w:shd w:val="clear" w:color="auto" w:fill="F0FF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12,441</w:t>
            </w:r>
          </w:p>
        </w:tc>
        <w:tc>
          <w:tcPr>
            <w:tcW w:w="102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42</w:t>
            </w:r>
          </w:p>
        </w:tc>
        <w:tc>
          <w:tcPr>
            <w:tcW w:w="180" w:type="dxa"/>
            <w:vAlign w:val="bottom"/>
            <w:shd w:val="clear" w:color="auto" w:fill="F0FF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48,934</w:t>
            </w:r>
          </w:p>
        </w:tc>
        <w:tc>
          <w:tcPr>
            <w:tcW w:w="340" w:type="dxa"/>
            <w:vAlign w:val="bottom"/>
            <w:shd w:val="clear" w:color="auto" w:fill="F0FFFF"/>
          </w:tcPr>
          <w:p>
            <w:pPr>
              <w:jc w:val="right"/>
              <w:ind w:right="195"/>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248,063</w:t>
            </w:r>
          </w:p>
        </w:tc>
        <w:tc>
          <w:tcPr>
            <w:tcW w:w="8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240" w:type="dxa"/>
            <w:vAlign w:val="bottom"/>
            <w:tcBorders>
              <w:top w:val="single" w:sz="8" w:color="F0FFFF"/>
            </w:tcBorders>
          </w:tcPr>
          <w:p>
            <w:pPr>
              <w:spacing w:after="0"/>
              <w:rPr>
                <w:sz w:val="10"/>
                <w:szCs w:val="10"/>
                <w:color w:val="auto"/>
              </w:rPr>
            </w:pPr>
          </w:p>
        </w:tc>
        <w:tc>
          <w:tcPr>
            <w:tcW w:w="80" w:type="dxa"/>
            <w:vAlign w:val="bottom"/>
            <w:tcBorders>
              <w:top w:val="single" w:sz="8" w:color="F0FF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F0FFFF"/>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800" w:type="dxa"/>
            <w:vAlign w:val="bottom"/>
            <w:tcBorders>
              <w:top w:val="single" w:sz="8" w:color="F0FFFF"/>
            </w:tcBorders>
          </w:tcPr>
          <w:p>
            <w:pPr>
              <w:spacing w:after="0"/>
              <w:rPr>
                <w:sz w:val="10"/>
                <w:szCs w:val="10"/>
                <w:color w:val="auto"/>
              </w:rPr>
            </w:pPr>
          </w:p>
        </w:tc>
        <w:tc>
          <w:tcPr>
            <w:tcW w:w="220" w:type="dxa"/>
            <w:vAlign w:val="bottom"/>
            <w:tcBorders>
              <w:top w:val="single" w:sz="8" w:color="F0FFFF"/>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00" w:type="dxa"/>
            <w:vAlign w:val="bottom"/>
            <w:tcBorders>
              <w:top w:val="single" w:sz="8" w:color="F0FFFF"/>
            </w:tcBorders>
          </w:tcPr>
          <w:p>
            <w:pPr>
              <w:spacing w:after="0"/>
              <w:rPr>
                <w:sz w:val="10"/>
                <w:szCs w:val="10"/>
                <w:color w:val="auto"/>
              </w:rPr>
            </w:pPr>
          </w:p>
        </w:tc>
        <w:tc>
          <w:tcPr>
            <w:tcW w:w="820" w:type="dxa"/>
            <w:vAlign w:val="bottom"/>
            <w:tcBorders>
              <w:top w:val="single" w:sz="8" w:color="F0FFFF"/>
            </w:tcBorders>
          </w:tcPr>
          <w:p>
            <w:pPr>
              <w:spacing w:after="0"/>
              <w:rPr>
                <w:sz w:val="10"/>
                <w:szCs w:val="10"/>
                <w:color w:val="auto"/>
              </w:rPr>
            </w:pPr>
          </w:p>
        </w:tc>
        <w:tc>
          <w:tcPr>
            <w:tcW w:w="120" w:type="dxa"/>
            <w:vAlign w:val="bottom"/>
            <w:tcBorders>
              <w:top w:val="single" w:sz="8" w:color="F0FFFF"/>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240" w:type="dxa"/>
            <w:vAlign w:val="bottom"/>
            <w:shd w:val="clear" w:color="auto" w:fill="F0FFFF"/>
          </w:tcPr>
          <w:p>
            <w:pPr>
              <w:spacing w:after="0" w:line="134" w:lineRule="exact"/>
              <w:rPr>
                <w:sz w:val="20"/>
                <w:szCs w:val="20"/>
                <w:color w:val="auto"/>
              </w:rPr>
            </w:pPr>
            <w:r>
              <w:rPr>
                <w:rFonts w:ascii="Arial" w:cs="Arial" w:eastAsia="Arial" w:hAnsi="Arial"/>
                <w:sz w:val="13"/>
                <w:szCs w:val="13"/>
                <w:b w:val="1"/>
                <w:bCs w:val="1"/>
                <w:color w:val="auto"/>
              </w:rPr>
              <w:t>PERFORMANCE MEASURES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Per common share: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color w:val="auto"/>
              </w:rPr>
              <w:t>Diluted income</w:t>
            </w:r>
          </w:p>
        </w:tc>
        <w:tc>
          <w:tcPr>
            <w:tcW w:w="200" w:type="dxa"/>
            <w:vAlign w:val="bottom"/>
            <w:gridSpan w:val="2"/>
            <w:shd w:val="clear" w:color="auto" w:fill="F0FF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.29</w:t>
            </w:r>
          </w:p>
        </w:tc>
        <w:tc>
          <w:tcPr>
            <w:tcW w:w="120" w:type="dxa"/>
            <w:vAlign w:val="bottom"/>
            <w:shd w:val="clear" w:color="auto" w:fill="F0FF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.27</w:t>
            </w:r>
          </w:p>
        </w:tc>
        <w:tc>
          <w:tcPr>
            <w:tcW w:w="1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.25</w:t>
            </w:r>
          </w:p>
        </w:tc>
        <w:tc>
          <w:tcPr>
            <w:tcW w:w="1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.22</w:t>
            </w:r>
          </w:p>
        </w:tc>
        <w:tc>
          <w:tcPr>
            <w:tcW w:w="1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.21</w:t>
            </w:r>
          </w:p>
        </w:tc>
        <w:tc>
          <w:tcPr>
            <w:tcW w:w="102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38</w:t>
            </w:r>
          </w:p>
        </w:tc>
        <w:tc>
          <w:tcPr>
            <w:tcW w:w="180" w:type="dxa"/>
            <w:vAlign w:val="bottom"/>
            <w:shd w:val="clear" w:color="auto" w:fill="F0FF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.81</w:t>
            </w:r>
          </w:p>
        </w:tc>
        <w:tc>
          <w:tcPr>
            <w:tcW w:w="340" w:type="dxa"/>
            <w:vAlign w:val="bottom"/>
            <w:shd w:val="clear" w:color="auto" w:fill="F0FFFF"/>
          </w:tcPr>
          <w:p>
            <w:pPr>
              <w:jc w:val="right"/>
              <w:ind w:right="195"/>
              <w:spacing w:after="0" w:line="134"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4.24</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260"/>
              <w:spacing w:after="0" w:line="134" w:lineRule="exact"/>
              <w:rPr>
                <w:sz w:val="20"/>
                <w:szCs w:val="20"/>
                <w:color w:val="auto"/>
              </w:rPr>
            </w:pPr>
            <w:r>
              <w:rPr>
                <w:rFonts w:ascii="Arial" w:cs="Arial" w:eastAsia="Arial" w:hAnsi="Arial"/>
                <w:sz w:val="13"/>
                <w:szCs w:val="13"/>
                <w:color w:val="auto"/>
              </w:rPr>
              <w:t>Book value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12.15</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11.94</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11.66</w:t>
            </w:r>
          </w:p>
        </w:tc>
        <w:tc>
          <w:tcPr>
            <w:tcW w:w="1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11.30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10.99</w:t>
            </w:r>
          </w:p>
        </w:tc>
        <w:tc>
          <w:tcPr>
            <w:tcW w:w="10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11</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12.15</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10.99</w:t>
            </w:r>
          </w:p>
        </w:tc>
        <w:tc>
          <w:tcPr>
            <w:tcW w:w="940" w:type="dxa"/>
            <w:vAlign w:val="bottom"/>
            <w:gridSpan w:val="2"/>
          </w:tcPr>
          <w:p>
            <w:pPr>
              <w:jc w:val="right"/>
              <w:ind w:right="120"/>
              <w:spacing w:after="0" w:line="134"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color w:val="auto"/>
              </w:rPr>
              <w:t xml:space="preserve">Tangible book value </w:t>
            </w:r>
            <w:r>
              <w:rPr>
                <w:rFonts w:ascii="Arial" w:cs="Arial" w:eastAsia="Arial" w:hAnsi="Arial"/>
                <w:sz w:val="9"/>
                <w:szCs w:val="9"/>
                <w:color w:val="auto"/>
              </w:rPr>
              <w:t>(2)</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12.10</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11.91</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11.63</w:t>
            </w: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11.26</w:t>
            </w: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10.95</w:t>
            </w:r>
          </w:p>
        </w:tc>
        <w:tc>
          <w:tcPr>
            <w:tcW w:w="102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11</w:t>
            </w: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12.10</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10.95</w:t>
            </w:r>
          </w:p>
        </w:tc>
        <w:tc>
          <w:tcPr>
            <w:tcW w:w="940" w:type="dxa"/>
            <w:vAlign w:val="bottom"/>
            <w:gridSpan w:val="2"/>
            <w:shd w:val="clear" w:color="auto" w:fill="F0FFFF"/>
          </w:tcPr>
          <w:p>
            <w:pPr>
              <w:jc w:val="right"/>
              <w:ind w:right="120"/>
              <w:spacing w:after="0" w:line="134"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Key performance ratios: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260"/>
              <w:spacing w:after="0" w:line="134" w:lineRule="exact"/>
              <w:rPr>
                <w:sz w:val="20"/>
                <w:szCs w:val="20"/>
                <w:color w:val="auto"/>
              </w:rPr>
            </w:pPr>
            <w:r>
              <w:rPr>
                <w:rFonts w:ascii="Arial" w:cs="Arial" w:eastAsia="Arial" w:hAnsi="Arial"/>
                <w:sz w:val="13"/>
                <w:szCs w:val="13"/>
                <w:color w:val="auto"/>
              </w:rPr>
              <w:t xml:space="preserve">Return on common equity </w:t>
            </w:r>
            <w:r>
              <w:rPr>
                <w:rFonts w:ascii="Arial" w:cs="Arial" w:eastAsia="Arial" w:hAnsi="Arial"/>
                <w:sz w:val="9"/>
                <w:szCs w:val="9"/>
                <w:color w:val="auto"/>
              </w:rPr>
              <w:t>(1)(3)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9.41%</w:t>
            </w:r>
          </w:p>
        </w:tc>
        <w:tc>
          <w:tcPr>
            <w:tcW w:w="120" w:type="dxa"/>
            <w:vAlign w:val="bottom"/>
          </w:tcPr>
          <w:p>
            <w:pPr>
              <w:spacing w:after="0"/>
              <w:rPr>
                <w:sz w:val="11"/>
                <w:szCs w:val="11"/>
                <w:color w:val="auto"/>
              </w:rPr>
            </w:pPr>
          </w:p>
        </w:tc>
        <w:tc>
          <w:tcPr>
            <w:tcW w:w="8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8.99%</w:t>
            </w:r>
          </w:p>
        </w:tc>
        <w:tc>
          <w:tcPr>
            <w:tcW w:w="140" w:type="dxa"/>
            <w:vAlign w:val="bottom"/>
          </w:tcPr>
          <w:p>
            <w:pPr>
              <w:spacing w:after="0"/>
              <w:rPr>
                <w:sz w:val="11"/>
                <w:szCs w:val="11"/>
                <w:color w:val="auto"/>
              </w:rPr>
            </w:pPr>
          </w:p>
        </w:tc>
        <w:tc>
          <w:tcPr>
            <w:tcW w:w="88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8.64%</w:t>
            </w:r>
          </w:p>
        </w:tc>
        <w:tc>
          <w:tcPr>
            <w:tcW w:w="140" w:type="dxa"/>
            <w:vAlign w:val="bottom"/>
          </w:tcPr>
          <w:p>
            <w:pPr>
              <w:spacing w:after="0"/>
              <w:rPr>
                <w:sz w:val="11"/>
                <w:szCs w:val="11"/>
                <w:color w:val="auto"/>
              </w:rPr>
            </w:pPr>
          </w:p>
        </w:tc>
        <w:tc>
          <w:tcPr>
            <w:tcW w:w="88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7.52%</w:t>
            </w:r>
          </w:p>
        </w:tc>
        <w:tc>
          <w:tcPr>
            <w:tcW w:w="140" w:type="dxa"/>
            <w:vAlign w:val="bottom"/>
          </w:tcPr>
          <w:p>
            <w:pPr>
              <w:spacing w:after="0"/>
              <w:rPr>
                <w:sz w:val="11"/>
                <w:szCs w:val="11"/>
                <w:color w:val="auto"/>
              </w:rPr>
            </w:pPr>
          </w:p>
        </w:tc>
        <w:tc>
          <w:tcPr>
            <w:tcW w:w="90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7.38%</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100"/>
              <w:spacing w:after="0" w:line="134" w:lineRule="exact"/>
              <w:rPr>
                <w:sz w:val="20"/>
                <w:szCs w:val="20"/>
                <w:color w:val="auto"/>
              </w:rPr>
            </w:pPr>
            <w:r>
              <w:rPr>
                <w:rFonts w:ascii="Arial" w:cs="Arial" w:eastAsia="Arial" w:hAnsi="Arial"/>
                <w:sz w:val="13"/>
                <w:szCs w:val="13"/>
                <w:color w:val="auto"/>
              </w:rPr>
              <w:t>9.02%</w:t>
            </w:r>
          </w:p>
        </w:tc>
        <w:tc>
          <w:tcPr>
            <w:tcW w:w="340" w:type="dxa"/>
            <w:vAlign w:val="bottom"/>
          </w:tcPr>
          <w:p>
            <w:pPr>
              <w:spacing w:after="0"/>
              <w:rPr>
                <w:sz w:val="11"/>
                <w:szCs w:val="11"/>
                <w:color w:val="auto"/>
              </w:rPr>
            </w:pPr>
          </w:p>
        </w:tc>
        <w:tc>
          <w:tcPr>
            <w:tcW w:w="700" w:type="dxa"/>
            <w:vAlign w:val="bottom"/>
            <w:gridSpan w:val="2"/>
          </w:tcPr>
          <w:p>
            <w:pPr>
              <w:jc w:val="right"/>
              <w:ind w:right="80"/>
              <w:spacing w:after="0" w:line="134" w:lineRule="exact"/>
              <w:rPr>
                <w:sz w:val="20"/>
                <w:szCs w:val="20"/>
                <w:color w:val="auto"/>
              </w:rPr>
            </w:pPr>
            <w:r>
              <w:rPr>
                <w:rFonts w:ascii="Arial" w:cs="Arial" w:eastAsia="Arial" w:hAnsi="Arial"/>
                <w:sz w:val="13"/>
                <w:szCs w:val="13"/>
                <w:color w:val="auto"/>
              </w:rPr>
              <w:t>64.29%</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color w:val="auto"/>
              </w:rPr>
              <w:t xml:space="preserve">Return on assets </w:t>
            </w:r>
            <w:r>
              <w:rPr>
                <w:rFonts w:ascii="Arial" w:cs="Arial" w:eastAsia="Arial" w:hAnsi="Arial"/>
                <w:sz w:val="9"/>
                <w:szCs w:val="9"/>
                <w:color w:val="auto"/>
              </w:rPr>
              <w:t>(3)</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.95</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.88</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.85</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.86</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.86</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.89</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4.93</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260"/>
              <w:spacing w:after="0" w:line="134" w:lineRule="exact"/>
              <w:rPr>
                <w:sz w:val="20"/>
                <w:szCs w:val="20"/>
                <w:color w:val="auto"/>
              </w:rPr>
            </w:pPr>
            <w:r>
              <w:rPr>
                <w:rFonts w:ascii="Arial" w:cs="Arial" w:eastAsia="Arial" w:hAnsi="Arial"/>
                <w:sz w:val="13"/>
                <w:szCs w:val="13"/>
                <w:color w:val="auto"/>
              </w:rPr>
              <w:t xml:space="preserve">Net interest margin </w:t>
            </w:r>
            <w:r>
              <w:rPr>
                <w:rFonts w:ascii="Arial" w:cs="Arial" w:eastAsia="Arial" w:hAnsi="Arial"/>
                <w:sz w:val="9"/>
                <w:szCs w:val="9"/>
                <w:color w:val="auto"/>
              </w:rPr>
              <w:t>(3)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3.32</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3.21</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3.21</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3.26</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3.26</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3.25</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3.32</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color w:val="auto"/>
              </w:rPr>
              <w:t>Efficiency ratio</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57.96</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58.65</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59.05</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60.02</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58.55</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58.54</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64.19</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260"/>
              <w:spacing w:after="0" w:line="134" w:lineRule="exact"/>
              <w:rPr>
                <w:sz w:val="20"/>
                <w:szCs w:val="20"/>
                <w:color w:val="auto"/>
              </w:rPr>
            </w:pPr>
            <w:r>
              <w:rPr>
                <w:rFonts w:ascii="Arial" w:cs="Arial" w:eastAsia="Arial" w:hAnsi="Arial"/>
                <w:sz w:val="13"/>
                <w:szCs w:val="13"/>
                <w:color w:val="auto"/>
              </w:rPr>
              <w:t>Equity to assets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9.85</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9.61</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9.52</w:t>
            </w:r>
          </w:p>
        </w:tc>
        <w:tc>
          <w:tcPr>
            <w:tcW w:w="1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11.62</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11.80</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9.66</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9.91</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260"/>
              <w:spacing w:after="0" w:line="134" w:lineRule="exact"/>
              <w:rPr>
                <w:sz w:val="20"/>
                <w:szCs w:val="20"/>
                <w:color w:val="auto"/>
              </w:rPr>
            </w:pPr>
            <w:r>
              <w:rPr>
                <w:rFonts w:ascii="Arial" w:cs="Arial" w:eastAsia="Arial" w:hAnsi="Arial"/>
                <w:sz w:val="13"/>
                <w:szCs w:val="13"/>
                <w:color w:val="auto"/>
              </w:rPr>
              <w:t xml:space="preserve">Tangible equity to assets </w:t>
            </w:r>
            <w:r>
              <w:rPr>
                <w:rFonts w:ascii="Arial" w:cs="Arial" w:eastAsia="Arial" w:hAnsi="Arial"/>
                <w:sz w:val="9"/>
                <w:szCs w:val="9"/>
                <w:color w:val="auto"/>
              </w:rPr>
              <w:t>(2)</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9.83</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9.58</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9.50</w:t>
            </w: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11.59</w:t>
            </w: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11.76</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9.64</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9.85</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260"/>
              <w:spacing w:after="0" w:line="134" w:lineRule="exact"/>
              <w:rPr>
                <w:sz w:val="20"/>
                <w:szCs w:val="20"/>
                <w:color w:val="auto"/>
              </w:rPr>
            </w:pPr>
            <w:r>
              <w:rPr>
                <w:rFonts w:ascii="Arial" w:cs="Arial" w:eastAsia="Arial" w:hAnsi="Arial"/>
                <w:sz w:val="13"/>
                <w:szCs w:val="13"/>
                <w:color w:val="auto"/>
                <w:w w:val="92"/>
              </w:rPr>
              <w:t xml:space="preserve">Tangible common equity to assets </w:t>
            </w:r>
            <w:r>
              <w:rPr>
                <w:rFonts w:ascii="Arial" w:cs="Arial" w:eastAsia="Arial" w:hAnsi="Arial"/>
                <w:sz w:val="9"/>
                <w:szCs w:val="9"/>
                <w:color w:val="auto"/>
                <w:w w:val="92"/>
              </w:rPr>
              <w:t>(2)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9.83</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9.58</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9.22</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8.99</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9.02</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9.55</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7.04</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240" w:type="dxa"/>
            <w:vAlign w:val="bottom"/>
            <w:shd w:val="clear" w:color="auto" w:fill="F0FFFF"/>
          </w:tcPr>
          <w:p>
            <w:pPr>
              <w:ind w:left="260"/>
              <w:spacing w:after="0" w:line="118" w:lineRule="exact"/>
              <w:rPr>
                <w:sz w:val="20"/>
                <w:szCs w:val="20"/>
                <w:color w:val="auto"/>
              </w:rPr>
            </w:pPr>
            <w:r>
              <w:rPr>
                <w:rFonts w:ascii="Arial" w:cs="Arial" w:eastAsia="Arial" w:hAnsi="Arial"/>
                <w:sz w:val="13"/>
                <w:szCs w:val="13"/>
                <w:color w:val="auto"/>
              </w:rPr>
              <w:t>Tangible common equity to risk-</w:t>
            </w:r>
          </w:p>
        </w:tc>
        <w:tc>
          <w:tcPr>
            <w:tcW w:w="8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60" w:type="dxa"/>
            <w:vAlign w:val="bottom"/>
            <w:shd w:val="clear" w:color="auto" w:fill="F0FFFF"/>
          </w:tcPr>
          <w:p>
            <w:pPr>
              <w:spacing w:after="0"/>
              <w:rPr>
                <w:sz w:val="10"/>
                <w:szCs w:val="10"/>
                <w:color w:val="auto"/>
              </w:rPr>
            </w:pPr>
          </w:p>
        </w:tc>
        <w:tc>
          <w:tcPr>
            <w:tcW w:w="220" w:type="dxa"/>
            <w:vAlign w:val="bottom"/>
            <w:tcBorders>
              <w:right w:val="single" w:sz="8" w:color="F0FFFF"/>
            </w:tcBorders>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00" w:type="dxa"/>
            <w:vAlign w:val="bottom"/>
            <w:tcBorders>
              <w:right w:val="single" w:sz="8" w:color="F0FFFF"/>
            </w:tcBorders>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68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140" w:type="dxa"/>
            <w:vAlign w:val="bottom"/>
            <w:shd w:val="clear" w:color="auto" w:fill="F0FFFF"/>
          </w:tcPr>
          <w:p>
            <w:pPr>
              <w:spacing w:after="0"/>
              <w:rPr>
                <w:sz w:val="10"/>
                <w:szCs w:val="10"/>
                <w:color w:val="auto"/>
              </w:rPr>
            </w:pPr>
          </w:p>
        </w:tc>
        <w:tc>
          <w:tcPr>
            <w:tcW w:w="7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800" w:type="dxa"/>
            <w:vAlign w:val="bottom"/>
            <w:shd w:val="clear" w:color="auto" w:fill="F0FFFF"/>
          </w:tcPr>
          <w:p>
            <w:pPr>
              <w:spacing w:after="0"/>
              <w:rPr>
                <w:sz w:val="10"/>
                <w:szCs w:val="10"/>
                <w:color w:val="auto"/>
              </w:rPr>
            </w:pPr>
          </w:p>
        </w:tc>
        <w:tc>
          <w:tcPr>
            <w:tcW w:w="220" w:type="dxa"/>
            <w:vAlign w:val="bottom"/>
            <w:tcBorders>
              <w:right w:val="single" w:sz="8" w:color="F0FFFF"/>
            </w:tcBorders>
            <w:shd w:val="clear" w:color="auto" w:fill="F0FFFF"/>
          </w:tcPr>
          <w:p>
            <w:pPr>
              <w:spacing w:after="0"/>
              <w:rPr>
                <w:sz w:val="10"/>
                <w:szCs w:val="10"/>
                <w:color w:val="auto"/>
              </w:rPr>
            </w:pPr>
          </w:p>
        </w:tc>
        <w:tc>
          <w:tcPr>
            <w:tcW w:w="180" w:type="dxa"/>
            <w:vAlign w:val="bottom"/>
            <w:shd w:val="clear" w:color="auto" w:fill="F0FFFF"/>
          </w:tcPr>
          <w:p>
            <w:pPr>
              <w:spacing w:after="0"/>
              <w:rPr>
                <w:sz w:val="10"/>
                <w:szCs w:val="10"/>
                <w:color w:val="auto"/>
              </w:rPr>
            </w:pPr>
          </w:p>
        </w:tc>
        <w:tc>
          <w:tcPr>
            <w:tcW w:w="64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340" w:type="dxa"/>
            <w:vAlign w:val="bottom"/>
            <w:shd w:val="clear" w:color="auto" w:fill="F0FFFF"/>
          </w:tcPr>
          <w:p>
            <w:pPr>
              <w:spacing w:after="0"/>
              <w:rPr>
                <w:sz w:val="10"/>
                <w:szCs w:val="10"/>
                <w:color w:val="auto"/>
              </w:rPr>
            </w:pPr>
          </w:p>
        </w:tc>
        <w:tc>
          <w:tcPr>
            <w:tcW w:w="500" w:type="dxa"/>
            <w:vAlign w:val="bottom"/>
            <w:shd w:val="clear" w:color="auto" w:fill="F0FFFF"/>
          </w:tcPr>
          <w:p>
            <w:pPr>
              <w:spacing w:after="0"/>
              <w:rPr>
                <w:sz w:val="10"/>
                <w:szCs w:val="10"/>
                <w:color w:val="auto"/>
              </w:rPr>
            </w:pPr>
          </w:p>
        </w:tc>
        <w:tc>
          <w:tcPr>
            <w:tcW w:w="200" w:type="dxa"/>
            <w:vAlign w:val="bottom"/>
            <w:shd w:val="clear" w:color="auto" w:fill="F0FFFF"/>
          </w:tcPr>
          <w:p>
            <w:pPr>
              <w:spacing w:after="0"/>
              <w:rPr>
                <w:sz w:val="10"/>
                <w:szCs w:val="10"/>
                <w:color w:val="auto"/>
              </w:rPr>
            </w:pPr>
          </w:p>
        </w:tc>
        <w:tc>
          <w:tcPr>
            <w:tcW w:w="820" w:type="dxa"/>
            <w:vAlign w:val="bottom"/>
            <w:shd w:val="clear" w:color="auto" w:fill="F0FFFF"/>
          </w:tcPr>
          <w:p>
            <w:pPr>
              <w:spacing w:after="0"/>
              <w:rPr>
                <w:sz w:val="10"/>
                <w:szCs w:val="10"/>
                <w:color w:val="auto"/>
              </w:rPr>
            </w:pPr>
          </w:p>
        </w:tc>
        <w:tc>
          <w:tcPr>
            <w:tcW w:w="120" w:type="dxa"/>
            <w:vAlign w:val="bottom"/>
            <w:shd w:val="clear" w:color="auto" w:fill="F0FF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shd w:val="clear" w:color="auto" w:fill="F0FFFF"/>
          </w:tcPr>
          <w:p>
            <w:pPr>
              <w:ind w:left="420"/>
              <w:spacing w:after="0"/>
              <w:rPr>
                <w:sz w:val="20"/>
                <w:szCs w:val="20"/>
                <w:color w:val="auto"/>
              </w:rPr>
            </w:pPr>
            <w:r>
              <w:rPr>
                <w:rFonts w:ascii="Arial" w:cs="Arial" w:eastAsia="Arial" w:hAnsi="Arial"/>
                <w:sz w:val="13"/>
                <w:szCs w:val="13"/>
                <w:color w:val="auto"/>
              </w:rPr>
              <w:t xml:space="preserve">weighted assets </w:t>
            </w:r>
            <w:r>
              <w:rPr>
                <w:rFonts w:ascii="Arial" w:cs="Arial" w:eastAsia="Arial" w:hAnsi="Arial"/>
                <w:sz w:val="9"/>
                <w:szCs w:val="9"/>
                <w:color w:val="auto"/>
              </w:rPr>
              <w:t>(2)</w:t>
            </w:r>
          </w:p>
        </w:tc>
        <w:tc>
          <w:tcPr>
            <w:tcW w:w="8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3"/>
                <w:szCs w:val="13"/>
                <w:color w:val="auto"/>
              </w:rPr>
              <w:t>14.10</w:t>
            </w:r>
          </w:p>
        </w:tc>
        <w:tc>
          <w:tcPr>
            <w:tcW w:w="12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13.92</w:t>
            </w:r>
          </w:p>
        </w:tc>
        <w:tc>
          <w:tcPr>
            <w:tcW w:w="140" w:type="dxa"/>
            <w:vAlign w:val="bottom"/>
            <w:shd w:val="clear" w:color="auto" w:fill="F0FFFF"/>
          </w:tcPr>
          <w:p>
            <w:pPr>
              <w:spacing w:after="0"/>
              <w:rPr>
                <w:sz w:val="12"/>
                <w:szCs w:val="12"/>
                <w:color w:val="auto"/>
              </w:rPr>
            </w:pPr>
          </w:p>
        </w:tc>
        <w:tc>
          <w:tcPr>
            <w:tcW w:w="880" w:type="dxa"/>
            <w:vAlign w:val="bottom"/>
            <w:tcBorders>
              <w:right w:val="single" w:sz="8" w:color="F0FFFF"/>
            </w:tcBorders>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13.63</w:t>
            </w:r>
          </w:p>
        </w:tc>
        <w:tc>
          <w:tcPr>
            <w:tcW w:w="140" w:type="dxa"/>
            <w:vAlign w:val="bottom"/>
            <w:shd w:val="clear" w:color="auto" w:fill="F0FFFF"/>
          </w:tcPr>
          <w:p>
            <w:pPr>
              <w:spacing w:after="0"/>
              <w:rPr>
                <w:sz w:val="12"/>
                <w:szCs w:val="12"/>
                <w:color w:val="auto"/>
              </w:rPr>
            </w:pPr>
          </w:p>
        </w:tc>
        <w:tc>
          <w:tcPr>
            <w:tcW w:w="88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13.18</w:t>
            </w:r>
          </w:p>
        </w:tc>
        <w:tc>
          <w:tcPr>
            <w:tcW w:w="140" w:type="dxa"/>
            <w:vAlign w:val="bottom"/>
            <w:shd w:val="clear" w:color="auto" w:fill="F0FFFF"/>
          </w:tcPr>
          <w:p>
            <w:pPr>
              <w:spacing w:after="0"/>
              <w:rPr>
                <w:sz w:val="12"/>
                <w:szCs w:val="12"/>
                <w:color w:val="auto"/>
              </w:rPr>
            </w:pPr>
          </w:p>
        </w:tc>
        <w:tc>
          <w:tcPr>
            <w:tcW w:w="90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13.34</w:t>
            </w:r>
          </w:p>
        </w:tc>
        <w:tc>
          <w:tcPr>
            <w:tcW w:w="800" w:type="dxa"/>
            <w:vAlign w:val="bottom"/>
            <w:shd w:val="clear" w:color="auto" w:fill="F0FFFF"/>
          </w:tcPr>
          <w:p>
            <w:pPr>
              <w:spacing w:after="0"/>
              <w:rPr>
                <w:sz w:val="12"/>
                <w:szCs w:val="12"/>
                <w:color w:val="auto"/>
              </w:rPr>
            </w:pPr>
          </w:p>
        </w:tc>
        <w:tc>
          <w:tcPr>
            <w:tcW w:w="220" w:type="dxa"/>
            <w:vAlign w:val="bottom"/>
            <w:tcBorders>
              <w:right w:val="single" w:sz="8" w:color="F0FFFF"/>
            </w:tcBorders>
            <w:shd w:val="clear" w:color="auto" w:fill="F0FFFF"/>
          </w:tcPr>
          <w:p>
            <w:pPr>
              <w:spacing w:after="0"/>
              <w:rPr>
                <w:sz w:val="12"/>
                <w:szCs w:val="12"/>
                <w:color w:val="auto"/>
              </w:rPr>
            </w:pPr>
          </w:p>
        </w:tc>
        <w:tc>
          <w:tcPr>
            <w:tcW w:w="180" w:type="dxa"/>
            <w:vAlign w:val="bottom"/>
            <w:shd w:val="clear" w:color="auto" w:fill="F0FFFF"/>
          </w:tcPr>
          <w:p>
            <w:pPr>
              <w:spacing w:after="0"/>
              <w:rPr>
                <w:sz w:val="12"/>
                <w:szCs w:val="12"/>
                <w:color w:val="auto"/>
              </w:rPr>
            </w:pPr>
          </w:p>
        </w:tc>
        <w:tc>
          <w:tcPr>
            <w:tcW w:w="84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14.10</w:t>
            </w:r>
          </w:p>
        </w:tc>
        <w:tc>
          <w:tcPr>
            <w:tcW w:w="340" w:type="dxa"/>
            <w:vAlign w:val="bottom"/>
            <w:shd w:val="clear" w:color="auto" w:fill="F0FFFF"/>
          </w:tcPr>
          <w:p>
            <w:pPr>
              <w:spacing w:after="0"/>
              <w:rPr>
                <w:sz w:val="12"/>
                <w:szCs w:val="12"/>
                <w:color w:val="auto"/>
              </w:rPr>
            </w:pPr>
          </w:p>
        </w:tc>
        <w:tc>
          <w:tcPr>
            <w:tcW w:w="700" w:type="dxa"/>
            <w:vAlign w:val="bottom"/>
            <w:gridSpan w:val="2"/>
            <w:shd w:val="clear" w:color="auto" w:fill="F0FFFF"/>
          </w:tcPr>
          <w:p>
            <w:pPr>
              <w:jc w:val="right"/>
              <w:ind w:right="200"/>
              <w:spacing w:after="0"/>
              <w:rPr>
                <w:sz w:val="20"/>
                <w:szCs w:val="20"/>
                <w:color w:val="auto"/>
              </w:rPr>
            </w:pPr>
            <w:r>
              <w:rPr>
                <w:rFonts w:ascii="Arial" w:cs="Arial" w:eastAsia="Arial" w:hAnsi="Arial"/>
                <w:sz w:val="13"/>
                <w:szCs w:val="13"/>
                <w:color w:val="auto"/>
              </w:rPr>
              <w:t>13.34</w:t>
            </w:r>
          </w:p>
        </w:tc>
        <w:tc>
          <w:tcPr>
            <w:tcW w:w="820" w:type="dxa"/>
            <w:vAlign w:val="bottom"/>
            <w:shd w:val="clear" w:color="auto" w:fill="F0FFFF"/>
          </w:tcPr>
          <w:p>
            <w:pPr>
              <w:spacing w:after="0"/>
              <w:rPr>
                <w:sz w:val="12"/>
                <w:szCs w:val="12"/>
                <w:color w:val="auto"/>
              </w:rPr>
            </w:pPr>
          </w:p>
        </w:tc>
        <w:tc>
          <w:tcPr>
            <w:tcW w:w="120" w:type="dxa"/>
            <w:vAlign w:val="bottom"/>
            <w:shd w:val="clear" w:color="auto" w:fill="F0FF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240" w:type="dxa"/>
            <w:vAlign w:val="bottom"/>
            <w:shd w:val="clear" w:color="auto" w:fill="F0FFFF"/>
          </w:tcPr>
          <w:p>
            <w:pPr>
              <w:spacing w:after="0" w:line="134" w:lineRule="exact"/>
              <w:rPr>
                <w:sz w:val="20"/>
                <w:szCs w:val="20"/>
                <w:color w:val="auto"/>
              </w:rPr>
            </w:pPr>
            <w:r>
              <w:rPr>
                <w:rFonts w:ascii="Arial" w:cs="Arial" w:eastAsia="Arial" w:hAnsi="Arial"/>
                <w:sz w:val="13"/>
                <w:szCs w:val="13"/>
                <w:b w:val="1"/>
                <w:bCs w:val="1"/>
                <w:color w:val="auto"/>
              </w:rPr>
              <w:t>ASSET QUALITY *</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Non-performing loans</w:t>
            </w:r>
          </w:p>
        </w:tc>
        <w:tc>
          <w:tcPr>
            <w:tcW w:w="200" w:type="dxa"/>
            <w:vAlign w:val="bottom"/>
            <w:gridSpan w:val="2"/>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18,745</w:t>
            </w:r>
          </w:p>
        </w:tc>
        <w:tc>
          <w:tcPr>
            <w:tcW w:w="120" w:type="dxa"/>
            <w:vAlign w:val="bottom"/>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20,724</w:t>
            </w: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25,250</w:t>
            </w: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26,819</w:t>
            </w:r>
          </w:p>
        </w:tc>
        <w:tc>
          <w:tcPr>
            <w:tcW w:w="140" w:type="dxa"/>
            <w:vAlign w:val="bottom"/>
          </w:tcPr>
          <w:p>
            <w:pPr>
              <w:jc w:val="right"/>
              <w:spacing w:after="0" w:line="134"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26,088</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18,745</w:t>
            </w:r>
          </w:p>
        </w:tc>
        <w:tc>
          <w:tcPr>
            <w:tcW w:w="340" w:type="dxa"/>
            <w:vAlign w:val="bottom"/>
          </w:tcPr>
          <w:p>
            <w:pPr>
              <w:jc w:val="right"/>
              <w:ind w:right="195"/>
              <w:spacing w:after="0" w:line="134"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26,088</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Foreclosed properties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3,146</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2,969</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5,594</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4,221</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4,467</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3,146</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4,467</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2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00" w:type="dxa"/>
            <w:vAlign w:val="bottom"/>
            <w:shd w:val="clear" w:color="auto" w:fill="F0FFFF"/>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260"/>
              <w:spacing w:after="0" w:line="134" w:lineRule="exact"/>
              <w:rPr>
                <w:sz w:val="20"/>
                <w:szCs w:val="20"/>
                <w:color w:val="auto"/>
              </w:rPr>
            </w:pPr>
            <w:r>
              <w:rPr>
                <w:rFonts w:ascii="Arial" w:cs="Arial" w:eastAsia="Arial" w:hAnsi="Arial"/>
                <w:sz w:val="13"/>
                <w:szCs w:val="13"/>
                <w:color w:val="auto"/>
                <w:w w:val="94"/>
              </w:rPr>
              <w:t>Total non-performing assets (NPAs)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21,891</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23,693</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30,844</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31,040</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30,555</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21,891</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30,555</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Allowance for loan losses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71,928</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73,248</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75,223</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76,762</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80,372</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71,928</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80,372</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Net charge-offs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3,155</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4,175</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4,039</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4,445</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4,473</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11,369</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89,265</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240" w:type="dxa"/>
            <w:vAlign w:val="bottom"/>
            <w:shd w:val="clear" w:color="auto" w:fill="F0FFFF"/>
          </w:tcPr>
          <w:p>
            <w:pPr>
              <w:ind w:left="120"/>
              <w:spacing w:after="0"/>
              <w:rPr>
                <w:sz w:val="20"/>
                <w:szCs w:val="20"/>
                <w:color w:val="auto"/>
              </w:rPr>
            </w:pPr>
            <w:r>
              <w:rPr>
                <w:rFonts w:ascii="Arial" w:cs="Arial" w:eastAsia="Arial" w:hAnsi="Arial"/>
                <w:sz w:val="13"/>
                <w:szCs w:val="13"/>
                <w:color w:val="auto"/>
              </w:rPr>
              <w:t>Allowance for loan losses to loans</w:t>
            </w:r>
          </w:p>
        </w:tc>
        <w:tc>
          <w:tcPr>
            <w:tcW w:w="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88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1.57%</w:t>
            </w:r>
          </w:p>
        </w:tc>
        <w:tc>
          <w:tcPr>
            <w:tcW w:w="12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80"/>
              <w:spacing w:after="0"/>
              <w:rPr>
                <w:sz w:val="20"/>
                <w:szCs w:val="20"/>
                <w:color w:val="auto"/>
              </w:rPr>
            </w:pPr>
            <w:r>
              <w:rPr>
                <w:rFonts w:ascii="Arial" w:cs="Arial" w:eastAsia="Arial" w:hAnsi="Arial"/>
                <w:sz w:val="13"/>
                <w:szCs w:val="13"/>
                <w:color w:val="auto"/>
              </w:rPr>
              <w:t>1.66%</w:t>
            </w:r>
          </w:p>
        </w:tc>
        <w:tc>
          <w:tcPr>
            <w:tcW w:w="140" w:type="dxa"/>
            <w:vAlign w:val="bottom"/>
            <w:shd w:val="clear" w:color="auto" w:fill="F0FFFF"/>
          </w:tcPr>
          <w:p>
            <w:pPr>
              <w:spacing w:after="0"/>
              <w:rPr>
                <w:sz w:val="16"/>
                <w:szCs w:val="16"/>
                <w:color w:val="auto"/>
              </w:rPr>
            </w:pPr>
          </w:p>
        </w:tc>
        <w:tc>
          <w:tcPr>
            <w:tcW w:w="880" w:type="dxa"/>
            <w:vAlign w:val="bottom"/>
            <w:tcBorders>
              <w:right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3"/>
                <w:szCs w:val="13"/>
                <w:color w:val="auto"/>
              </w:rPr>
              <w:t>1.73%</w:t>
            </w:r>
          </w:p>
        </w:tc>
        <w:tc>
          <w:tcPr>
            <w:tcW w:w="14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1.77%</w:t>
            </w:r>
          </w:p>
        </w:tc>
        <w:tc>
          <w:tcPr>
            <w:tcW w:w="14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1.88%</w:t>
            </w:r>
          </w:p>
        </w:tc>
        <w:tc>
          <w:tcPr>
            <w:tcW w:w="800" w:type="dxa"/>
            <w:vAlign w:val="bottom"/>
            <w:shd w:val="clear" w:color="auto" w:fill="F0FFFF"/>
          </w:tcPr>
          <w:p>
            <w:pPr>
              <w:spacing w:after="0"/>
              <w:rPr>
                <w:sz w:val="16"/>
                <w:szCs w:val="16"/>
                <w:color w:val="auto"/>
              </w:rPr>
            </w:pPr>
          </w:p>
        </w:tc>
        <w:tc>
          <w:tcPr>
            <w:tcW w:w="22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3"/>
                <w:szCs w:val="13"/>
                <w:color w:val="auto"/>
              </w:rPr>
              <w:t>1.57%</w:t>
            </w:r>
          </w:p>
        </w:tc>
        <w:tc>
          <w:tcPr>
            <w:tcW w:w="340" w:type="dxa"/>
            <w:vAlign w:val="bottom"/>
            <w:shd w:val="clear" w:color="auto" w:fill="F0FFFF"/>
          </w:tcPr>
          <w:p>
            <w:pPr>
              <w:spacing w:after="0"/>
              <w:rPr>
                <w:sz w:val="16"/>
                <w:szCs w:val="16"/>
                <w:color w:val="auto"/>
              </w:rPr>
            </w:pPr>
          </w:p>
        </w:tc>
        <w:tc>
          <w:tcPr>
            <w:tcW w:w="700" w:type="dxa"/>
            <w:vAlign w:val="bottom"/>
            <w:gridSpan w:val="2"/>
            <w:shd w:val="clear" w:color="auto" w:fill="F0FFFF"/>
          </w:tcPr>
          <w:p>
            <w:pPr>
              <w:jc w:val="right"/>
              <w:ind w:right="80"/>
              <w:spacing w:after="0"/>
              <w:rPr>
                <w:sz w:val="20"/>
                <w:szCs w:val="20"/>
                <w:color w:val="auto"/>
              </w:rPr>
            </w:pPr>
            <w:r>
              <w:rPr>
                <w:rFonts w:ascii="Arial" w:cs="Arial" w:eastAsia="Arial" w:hAnsi="Arial"/>
                <w:sz w:val="13"/>
                <w:szCs w:val="13"/>
                <w:color w:val="auto"/>
              </w:rPr>
              <w:t>1.88%</w:t>
            </w:r>
          </w:p>
        </w:tc>
        <w:tc>
          <w:tcPr>
            <w:tcW w:w="8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 xml:space="preserve">Net charge-offs to average loans </w:t>
            </w:r>
            <w:r>
              <w:rPr>
                <w:rFonts w:ascii="Arial" w:cs="Arial" w:eastAsia="Arial" w:hAnsi="Arial"/>
                <w:sz w:val="9"/>
                <w:szCs w:val="9"/>
                <w:color w:val="auto"/>
              </w:rPr>
              <w:t>(3)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.28</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.41</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.42</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.35</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2.84</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w w:val="90"/>
              </w:rPr>
              <w:t>NPAs to loans and foreclosed properties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.48</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.54</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.71</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.72</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.72</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.48</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.72</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NPAs to total assets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.29</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.32</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.42</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.42</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.29</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.42</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240" w:type="dxa"/>
            <w:vAlign w:val="bottom"/>
          </w:tcPr>
          <w:p>
            <w:pPr>
              <w:spacing w:after="0" w:line="134" w:lineRule="exact"/>
              <w:rPr>
                <w:sz w:val="20"/>
                <w:szCs w:val="20"/>
                <w:color w:val="auto"/>
              </w:rPr>
            </w:pPr>
            <w:r>
              <w:rPr>
                <w:rFonts w:ascii="Arial" w:cs="Arial" w:eastAsia="Arial" w:hAnsi="Arial"/>
                <w:sz w:val="13"/>
                <w:szCs w:val="13"/>
                <w:b w:val="1"/>
                <w:bCs w:val="1"/>
                <w:color w:val="auto"/>
              </w:rPr>
              <w:t xml:space="preserve">AVERAGE BALANCES </w:t>
            </w:r>
            <w:r>
              <w:rPr>
                <w:rFonts w:ascii="Arial" w:cs="Arial" w:eastAsia="Arial" w:hAnsi="Arial"/>
                <w:sz w:val="13"/>
                <w:szCs w:val="13"/>
                <w:i w:val="1"/>
                <w:iCs w:val="1"/>
                <w:color w:val="auto"/>
              </w:rPr>
              <w:t>($ in millions)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Loans</w:t>
            </w:r>
          </w:p>
        </w:tc>
        <w:tc>
          <w:tcPr>
            <w:tcW w:w="200" w:type="dxa"/>
            <w:vAlign w:val="bottom"/>
            <w:gridSpan w:val="2"/>
            <w:shd w:val="clear" w:color="auto" w:fill="F0FF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4,446</w:t>
            </w:r>
          </w:p>
        </w:tc>
        <w:tc>
          <w:tcPr>
            <w:tcW w:w="120" w:type="dxa"/>
            <w:vAlign w:val="bottom"/>
            <w:shd w:val="clear" w:color="auto" w:fill="F0FF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4,376</w:t>
            </w:r>
          </w:p>
        </w:tc>
        <w:tc>
          <w:tcPr>
            <w:tcW w:w="1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4,356</w:t>
            </w:r>
          </w:p>
        </w:tc>
        <w:tc>
          <w:tcPr>
            <w:tcW w:w="1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4,315</w:t>
            </w:r>
          </w:p>
        </w:tc>
        <w:tc>
          <w:tcPr>
            <w:tcW w:w="1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4,250</w:t>
            </w:r>
          </w:p>
        </w:tc>
        <w:tc>
          <w:tcPr>
            <w:tcW w:w="102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w:t>
            </w:r>
          </w:p>
        </w:tc>
        <w:tc>
          <w:tcPr>
            <w:tcW w:w="180" w:type="dxa"/>
            <w:vAlign w:val="bottom"/>
            <w:shd w:val="clear" w:color="auto" w:fill="F0FF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4,393</w:t>
            </w:r>
          </w:p>
        </w:tc>
        <w:tc>
          <w:tcPr>
            <w:tcW w:w="340" w:type="dxa"/>
            <w:vAlign w:val="bottom"/>
            <w:shd w:val="clear" w:color="auto" w:fill="F0FFFF"/>
          </w:tcPr>
          <w:p>
            <w:pPr>
              <w:jc w:val="right"/>
              <w:ind w:right="195"/>
              <w:spacing w:after="0" w:line="134"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4,234</w:t>
            </w:r>
          </w:p>
        </w:tc>
        <w:tc>
          <w:tcPr>
            <w:tcW w:w="82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4</w:t>
            </w: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Investment 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2,231</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2,326</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2,320</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2,280</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2,178</w:t>
            </w:r>
          </w:p>
        </w:tc>
        <w:tc>
          <w:tcPr>
            <w:tcW w:w="10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2,292</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2,160</w:t>
            </w: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Earning assets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6,820</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6,861</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6,827</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6,823</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6,615</w:t>
            </w:r>
          </w:p>
        </w:tc>
        <w:tc>
          <w:tcPr>
            <w:tcW w:w="102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w:t>
            </w: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6,836</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6,590</w:t>
            </w:r>
          </w:p>
        </w:tc>
        <w:tc>
          <w:tcPr>
            <w:tcW w:w="82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4</w:t>
            </w: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Total assets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7,374</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7,418</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7,384</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7,370</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7,170</w:t>
            </w:r>
          </w:p>
        </w:tc>
        <w:tc>
          <w:tcPr>
            <w:tcW w:w="10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3</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7,392</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6,974</w:t>
            </w: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Deposits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6,143</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6,187</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6,197</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6,190</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5,987</w:t>
            </w:r>
          </w:p>
        </w:tc>
        <w:tc>
          <w:tcPr>
            <w:tcW w:w="102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3</w:t>
            </w: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6,176</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5,972</w:t>
            </w:r>
          </w:p>
        </w:tc>
        <w:tc>
          <w:tcPr>
            <w:tcW w:w="82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3</w:t>
            </w: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Shareholders’ equity</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726</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713</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703</w:t>
            </w:r>
          </w:p>
        </w:tc>
        <w:tc>
          <w:tcPr>
            <w:tcW w:w="140" w:type="dxa"/>
            <w:vAlign w:val="bottom"/>
          </w:tcPr>
          <w:p>
            <w:pPr>
              <w:spacing w:after="0"/>
              <w:rPr>
                <w:sz w:val="11"/>
                <w:szCs w:val="11"/>
                <w:color w:val="auto"/>
              </w:rPr>
            </w:pPr>
          </w:p>
        </w:tc>
        <w:tc>
          <w:tcPr>
            <w:tcW w:w="680" w:type="dxa"/>
            <w:vAlign w:val="bottom"/>
          </w:tcPr>
          <w:p>
            <w:pPr>
              <w:jc w:val="right"/>
              <w:spacing w:after="0" w:line="134" w:lineRule="exact"/>
              <w:rPr>
                <w:sz w:val="20"/>
                <w:szCs w:val="20"/>
                <w:color w:val="auto"/>
              </w:rPr>
            </w:pPr>
            <w:r>
              <w:rPr>
                <w:rFonts w:ascii="Arial" w:cs="Arial" w:eastAsia="Arial" w:hAnsi="Arial"/>
                <w:sz w:val="13"/>
                <w:szCs w:val="13"/>
                <w:color w:val="auto"/>
              </w:rPr>
              <w:t>856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spacing w:after="0" w:line="134" w:lineRule="exact"/>
              <w:rPr>
                <w:sz w:val="20"/>
                <w:szCs w:val="20"/>
                <w:color w:val="auto"/>
              </w:rPr>
            </w:pPr>
            <w:r>
              <w:rPr>
                <w:rFonts w:ascii="Arial" w:cs="Arial" w:eastAsia="Arial" w:hAnsi="Arial"/>
                <w:sz w:val="13"/>
                <w:szCs w:val="13"/>
                <w:color w:val="auto"/>
              </w:rPr>
              <w:t>846</w:t>
            </w:r>
          </w:p>
        </w:tc>
        <w:tc>
          <w:tcPr>
            <w:tcW w:w="200" w:type="dxa"/>
            <w:vAlign w:val="bottom"/>
          </w:tcPr>
          <w:p>
            <w:pPr>
              <w:spacing w:after="0"/>
              <w:rPr>
                <w:sz w:val="11"/>
                <w:szCs w:val="11"/>
                <w:color w:val="auto"/>
              </w:rPr>
            </w:pPr>
          </w:p>
        </w:tc>
        <w:tc>
          <w:tcPr>
            <w:tcW w:w="102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(14)</w:t>
            </w:r>
          </w:p>
        </w:tc>
        <w:tc>
          <w:tcPr>
            <w:tcW w:w="18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3"/>
                <w:szCs w:val="13"/>
                <w:color w:val="auto"/>
              </w:rPr>
              <w:t>714</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691</w:t>
            </w: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 xml:space="preserve">Common shares - basic </w:t>
            </w:r>
            <w:r>
              <w:rPr>
                <w:rFonts w:ascii="Arial" w:cs="Arial" w:eastAsia="Arial" w:hAnsi="Arial"/>
                <w:sz w:val="13"/>
                <w:szCs w:val="13"/>
                <w:i w:val="1"/>
                <w:iCs w:val="1"/>
                <w:color w:val="auto"/>
              </w:rPr>
              <w:t>(thousands)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60,776</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60,712</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60,059</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59,923</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59,100</w:t>
            </w: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60,511</w:t>
            </w:r>
          </w:p>
        </w:tc>
        <w:tc>
          <w:tcPr>
            <w:tcW w:w="20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58,443</w:t>
            </w: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w w:val="96"/>
              </w:rPr>
              <w:t xml:space="preserve">Common shares - diluted </w:t>
            </w:r>
            <w:r>
              <w:rPr>
                <w:rFonts w:ascii="Arial" w:cs="Arial" w:eastAsia="Arial" w:hAnsi="Arial"/>
                <w:sz w:val="13"/>
                <w:szCs w:val="13"/>
                <w:i w:val="1"/>
                <w:iCs w:val="1"/>
                <w:color w:val="auto"/>
                <w:w w:val="96"/>
              </w:rPr>
              <w:t>(thousands)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60,779</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60,714</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60,061</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59,925</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59,202</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60,513</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58,444</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restart"/>
          </w:tcPr>
          <w:p>
            <w:pPr>
              <w:spacing w:after="0"/>
              <w:rPr>
                <w:sz w:val="11"/>
                <w:szCs w:val="11"/>
                <w:color w:val="auto"/>
              </w:rPr>
            </w:pPr>
          </w:p>
        </w:tc>
        <w:tc>
          <w:tcPr>
            <w:tcW w:w="2240" w:type="dxa"/>
            <w:vAlign w:val="bottom"/>
            <w:shd w:val="clear" w:color="auto" w:fill="F0FFFF"/>
          </w:tcPr>
          <w:p>
            <w:pPr>
              <w:spacing w:after="0"/>
              <w:rPr>
                <w:sz w:val="11"/>
                <w:szCs w:val="11"/>
                <w:color w:val="auto"/>
              </w:rPr>
            </w:pP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6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tcBorders>
              <w:right w:val="single" w:sz="8" w:color="F0FFFF"/>
            </w:tcBorders>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00" w:type="dxa"/>
            <w:vAlign w:val="bottom"/>
            <w:shd w:val="clear" w:color="auto" w:fill="F0FFFF"/>
          </w:tcPr>
          <w:p>
            <w:pPr>
              <w:spacing w:after="0"/>
              <w:rPr>
                <w:sz w:val="11"/>
                <w:szCs w:val="11"/>
                <w:color w:val="auto"/>
              </w:rPr>
            </w:pPr>
          </w:p>
        </w:tc>
        <w:tc>
          <w:tcPr>
            <w:tcW w:w="220" w:type="dxa"/>
            <w:vAlign w:val="bottom"/>
            <w:tcBorders>
              <w:right w:val="single" w:sz="8" w:color="F0FFFF"/>
            </w:tcBorders>
            <w:shd w:val="clear" w:color="auto" w:fill="F0FFFF"/>
          </w:tcPr>
          <w:p>
            <w:pPr>
              <w:spacing w:after="0"/>
              <w:rPr>
                <w:sz w:val="11"/>
                <w:szCs w:val="11"/>
                <w:color w:val="auto"/>
              </w:rPr>
            </w:pPr>
          </w:p>
        </w:tc>
        <w:tc>
          <w:tcPr>
            <w:tcW w:w="180" w:type="dxa"/>
            <w:vAlign w:val="bottom"/>
            <w:shd w:val="clear" w:color="auto" w:fill="F0FFFF"/>
          </w:tcPr>
          <w:p>
            <w:pPr>
              <w:spacing w:after="0"/>
              <w:rPr>
                <w:sz w:val="11"/>
                <w:szCs w:val="11"/>
                <w:color w:val="auto"/>
              </w:rPr>
            </w:pPr>
          </w:p>
        </w:tc>
        <w:tc>
          <w:tcPr>
            <w:tcW w:w="64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500" w:type="dxa"/>
            <w:vAlign w:val="bottom"/>
            <w:shd w:val="clear" w:color="auto" w:fill="F0FFFF"/>
          </w:tcPr>
          <w:p>
            <w:pPr>
              <w:spacing w:after="0"/>
              <w:rPr>
                <w:sz w:val="11"/>
                <w:szCs w:val="11"/>
                <w:color w:val="auto"/>
              </w:rPr>
            </w:pPr>
          </w:p>
        </w:tc>
        <w:tc>
          <w:tcPr>
            <w:tcW w:w="200" w:type="dxa"/>
            <w:vAlign w:val="bottom"/>
            <w:shd w:val="clear" w:color="auto" w:fill="F0FFFF"/>
          </w:tcPr>
          <w:p>
            <w:pPr>
              <w:spacing w:after="0"/>
              <w:rPr>
                <w:sz w:val="11"/>
                <w:szCs w:val="11"/>
                <w:color w:val="auto"/>
              </w:rPr>
            </w:pPr>
          </w:p>
        </w:tc>
        <w:tc>
          <w:tcPr>
            <w:tcW w:w="82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2240" w:type="dxa"/>
            <w:vAlign w:val="bottom"/>
          </w:tcPr>
          <w:p>
            <w:pPr>
              <w:spacing w:after="0" w:line="134" w:lineRule="exact"/>
              <w:rPr>
                <w:sz w:val="20"/>
                <w:szCs w:val="20"/>
                <w:color w:val="auto"/>
              </w:rPr>
            </w:pPr>
            <w:r>
              <w:rPr>
                <w:rFonts w:ascii="Arial" w:cs="Arial" w:eastAsia="Arial" w:hAnsi="Arial"/>
                <w:sz w:val="13"/>
                <w:szCs w:val="13"/>
                <w:b w:val="1"/>
                <w:bCs w:val="1"/>
                <w:color w:val="auto"/>
              </w:rPr>
              <w:t xml:space="preserve">AT PERIOD END </w:t>
            </w:r>
            <w:r>
              <w:rPr>
                <w:rFonts w:ascii="Arial" w:cs="Arial" w:eastAsia="Arial" w:hAnsi="Arial"/>
                <w:sz w:val="13"/>
                <w:szCs w:val="13"/>
                <w:i w:val="1"/>
                <w:iCs w:val="1"/>
                <w:color w:val="auto"/>
              </w:rPr>
              <w:t>($ in millions)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Loans *</w:t>
            </w:r>
          </w:p>
        </w:tc>
        <w:tc>
          <w:tcPr>
            <w:tcW w:w="200" w:type="dxa"/>
            <w:vAlign w:val="bottom"/>
            <w:gridSpan w:val="2"/>
            <w:shd w:val="clear" w:color="auto" w:fill="F0FFFF"/>
          </w:tcPr>
          <w:p>
            <w:pPr>
              <w:jc w:val="right"/>
              <w:ind w:right="40"/>
              <w:spacing w:after="0" w:line="134" w:lineRule="exact"/>
              <w:rPr>
                <w:sz w:val="20"/>
                <w:szCs w:val="20"/>
                <w:color w:val="auto"/>
              </w:rPr>
            </w:pPr>
            <w:r>
              <w:rPr>
                <w:rFonts w:ascii="Arial" w:cs="Arial" w:eastAsia="Arial" w:hAnsi="Arial"/>
                <w:sz w:val="13"/>
                <w:szCs w:val="13"/>
                <w:color w:val="auto"/>
              </w:rPr>
              <w:t>$</w:t>
            </w: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4,569</w:t>
            </w:r>
          </w:p>
        </w:tc>
        <w:tc>
          <w:tcPr>
            <w:tcW w:w="120" w:type="dxa"/>
            <w:vAlign w:val="bottom"/>
            <w:shd w:val="clear" w:color="auto" w:fill="F0FFFF"/>
          </w:tcPr>
          <w:p>
            <w:pPr>
              <w:jc w:val="right"/>
              <w:ind w:right="12"/>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4,410</w:t>
            </w:r>
          </w:p>
        </w:tc>
        <w:tc>
          <w:tcPr>
            <w:tcW w:w="1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4,356</w:t>
            </w:r>
          </w:p>
        </w:tc>
        <w:tc>
          <w:tcPr>
            <w:tcW w:w="1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82"/>
              </w:rPr>
              <w:t>$</w:t>
            </w: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4,329</w:t>
            </w:r>
          </w:p>
        </w:tc>
        <w:tc>
          <w:tcPr>
            <w:tcW w:w="1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4,267</w:t>
            </w:r>
          </w:p>
        </w:tc>
        <w:tc>
          <w:tcPr>
            <w:tcW w:w="102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w:t>
            </w:r>
          </w:p>
        </w:tc>
        <w:tc>
          <w:tcPr>
            <w:tcW w:w="180" w:type="dxa"/>
            <w:vAlign w:val="bottom"/>
            <w:shd w:val="clear" w:color="auto" w:fill="F0FFFF"/>
          </w:tcPr>
          <w:p>
            <w:pPr>
              <w:jc w:val="right"/>
              <w:ind w:right="7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4,569</w:t>
            </w:r>
          </w:p>
        </w:tc>
        <w:tc>
          <w:tcPr>
            <w:tcW w:w="340" w:type="dxa"/>
            <w:vAlign w:val="bottom"/>
            <w:shd w:val="clear" w:color="auto" w:fill="F0FFFF"/>
          </w:tcPr>
          <w:p>
            <w:pPr>
              <w:jc w:val="right"/>
              <w:ind w:right="195"/>
              <w:spacing w:after="0" w:line="134"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4,267</w:t>
            </w:r>
          </w:p>
        </w:tc>
        <w:tc>
          <w:tcPr>
            <w:tcW w:w="82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7</w:t>
            </w: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Investment securities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2,222</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2,190</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2,302</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2,312</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2,169</w:t>
            </w:r>
          </w:p>
        </w:tc>
        <w:tc>
          <w:tcPr>
            <w:tcW w:w="10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2,222</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2,169</w:t>
            </w: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Total assets</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7,526</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7,352</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7,398</w:t>
            </w:r>
          </w:p>
        </w:tc>
        <w:tc>
          <w:tcPr>
            <w:tcW w:w="14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7,425</w:t>
            </w:r>
          </w:p>
        </w:tc>
        <w:tc>
          <w:tcPr>
            <w:tcW w:w="140" w:type="dxa"/>
            <w:vAlign w:val="bottom"/>
            <w:shd w:val="clear" w:color="auto" w:fill="F0FFFF"/>
          </w:tcPr>
          <w:p>
            <w:pPr>
              <w:spacing w:after="0"/>
              <w:rPr>
                <w:sz w:val="11"/>
                <w:szCs w:val="11"/>
                <w:color w:val="auto"/>
              </w:rPr>
            </w:pPr>
          </w:p>
        </w:tc>
        <w:tc>
          <w:tcPr>
            <w:tcW w:w="9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7,243</w:t>
            </w:r>
          </w:p>
        </w:tc>
        <w:tc>
          <w:tcPr>
            <w:tcW w:w="102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4</w:t>
            </w:r>
          </w:p>
        </w:tc>
        <w:tc>
          <w:tcPr>
            <w:tcW w:w="180" w:type="dxa"/>
            <w:vAlign w:val="bottom"/>
            <w:shd w:val="clear" w:color="auto" w:fill="F0FFFF"/>
          </w:tcPr>
          <w:p>
            <w:pPr>
              <w:spacing w:after="0"/>
              <w:rPr>
                <w:sz w:val="11"/>
                <w:szCs w:val="11"/>
                <w:color w:val="auto"/>
              </w:rPr>
            </w:pPr>
          </w:p>
        </w:tc>
        <w:tc>
          <w:tcPr>
            <w:tcW w:w="84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7,526</w:t>
            </w: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7,243</w:t>
            </w:r>
          </w:p>
        </w:tc>
        <w:tc>
          <w:tcPr>
            <w:tcW w:w="82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4</w:t>
            </w:r>
          </w:p>
        </w:tc>
        <w:tc>
          <w:tcPr>
            <w:tcW w:w="120" w:type="dxa"/>
            <w:vAlign w:val="bottom"/>
            <w:shd w:val="clear" w:color="auto" w:fill="F0FF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tcPr>
          <w:p>
            <w:pPr>
              <w:ind w:left="120"/>
              <w:spacing w:after="0" w:line="134" w:lineRule="exact"/>
              <w:rPr>
                <w:sz w:val="20"/>
                <w:szCs w:val="20"/>
                <w:color w:val="auto"/>
              </w:rPr>
            </w:pPr>
            <w:r>
              <w:rPr>
                <w:rFonts w:ascii="Arial" w:cs="Arial" w:eastAsia="Arial" w:hAnsi="Arial"/>
                <w:sz w:val="13"/>
                <w:szCs w:val="13"/>
                <w:color w:val="auto"/>
              </w:rPr>
              <w:t>Deposits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right"/>
              <w:ind w:right="220"/>
              <w:spacing w:after="0" w:line="134" w:lineRule="exact"/>
              <w:rPr>
                <w:sz w:val="20"/>
                <w:szCs w:val="20"/>
                <w:color w:val="auto"/>
              </w:rPr>
            </w:pPr>
            <w:r>
              <w:rPr>
                <w:rFonts w:ascii="Arial" w:cs="Arial" w:eastAsia="Arial" w:hAnsi="Arial"/>
                <w:sz w:val="13"/>
                <w:szCs w:val="13"/>
                <w:color w:val="auto"/>
              </w:rPr>
              <w:t>6,241</w:t>
            </w:r>
          </w:p>
        </w:tc>
        <w:tc>
          <w:tcPr>
            <w:tcW w:w="12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6,164</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6,248</w:t>
            </w:r>
          </w:p>
        </w:tc>
        <w:tc>
          <w:tcPr>
            <w:tcW w:w="140" w:type="dxa"/>
            <w:vAlign w:val="bottom"/>
          </w:tcPr>
          <w:p>
            <w:pPr>
              <w:spacing w:after="0"/>
              <w:rPr>
                <w:sz w:val="11"/>
                <w:szCs w:val="11"/>
                <w:color w:val="auto"/>
              </w:rPr>
            </w:pPr>
          </w:p>
        </w:tc>
        <w:tc>
          <w:tcPr>
            <w:tcW w:w="88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6,202</w:t>
            </w:r>
          </w:p>
        </w:tc>
        <w:tc>
          <w:tcPr>
            <w:tcW w:w="140" w:type="dxa"/>
            <w:vAlign w:val="bottom"/>
          </w:tcPr>
          <w:p>
            <w:pPr>
              <w:spacing w:after="0"/>
              <w:rPr>
                <w:sz w:val="11"/>
                <w:szCs w:val="11"/>
                <w:color w:val="auto"/>
              </w:rPr>
            </w:pPr>
          </w:p>
        </w:tc>
        <w:tc>
          <w:tcPr>
            <w:tcW w:w="9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6,113</w:t>
            </w:r>
          </w:p>
        </w:tc>
        <w:tc>
          <w:tcPr>
            <w:tcW w:w="102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2</w:t>
            </w:r>
          </w:p>
        </w:tc>
        <w:tc>
          <w:tcPr>
            <w:tcW w:w="180" w:type="dxa"/>
            <w:vAlign w:val="bottom"/>
          </w:tcPr>
          <w:p>
            <w:pPr>
              <w:spacing w:after="0"/>
              <w:rPr>
                <w:sz w:val="11"/>
                <w:szCs w:val="11"/>
                <w:color w:val="auto"/>
              </w:rPr>
            </w:pP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6,241</w:t>
            </w:r>
          </w:p>
        </w:tc>
        <w:tc>
          <w:tcPr>
            <w:tcW w:w="340" w:type="dxa"/>
            <w:vAlign w:val="bottom"/>
          </w:tcPr>
          <w:p>
            <w:pPr>
              <w:spacing w:after="0"/>
              <w:rPr>
                <w:sz w:val="11"/>
                <w:szCs w:val="11"/>
                <w:color w:val="auto"/>
              </w:rPr>
            </w:pPr>
          </w:p>
        </w:tc>
        <w:tc>
          <w:tcPr>
            <w:tcW w:w="700" w:type="dxa"/>
            <w:vAlign w:val="bottom"/>
            <w:gridSpan w:val="2"/>
          </w:tcPr>
          <w:p>
            <w:pPr>
              <w:jc w:val="right"/>
              <w:ind w:right="200"/>
              <w:spacing w:after="0" w:line="134" w:lineRule="exact"/>
              <w:rPr>
                <w:sz w:val="20"/>
                <w:szCs w:val="20"/>
                <w:color w:val="auto"/>
              </w:rPr>
            </w:pPr>
            <w:r>
              <w:rPr>
                <w:rFonts w:ascii="Arial" w:cs="Arial" w:eastAsia="Arial" w:hAnsi="Arial"/>
                <w:sz w:val="13"/>
                <w:szCs w:val="13"/>
                <w:color w:val="auto"/>
              </w:rPr>
              <w:t>6,113</w:t>
            </w: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shd w:val="clear" w:color="auto" w:fill="F0FFFF"/>
          </w:tcPr>
          <w:p>
            <w:pPr>
              <w:ind w:left="120"/>
              <w:spacing w:after="0" w:line="134" w:lineRule="exact"/>
              <w:rPr>
                <w:sz w:val="20"/>
                <w:szCs w:val="20"/>
                <w:color w:val="auto"/>
              </w:rPr>
            </w:pPr>
            <w:r>
              <w:rPr>
                <w:rFonts w:ascii="Arial" w:cs="Arial" w:eastAsia="Arial" w:hAnsi="Arial"/>
                <w:sz w:val="13"/>
                <w:szCs w:val="13"/>
                <w:color w:val="auto"/>
              </w:rPr>
              <w:t>Shareholders’ equity</w:t>
            </w:r>
          </w:p>
        </w:tc>
        <w:tc>
          <w:tcPr>
            <w:tcW w:w="80" w:type="dxa"/>
            <w:vAlign w:val="bottom"/>
            <w:shd w:val="clear" w:color="auto" w:fill="F0FFFF"/>
          </w:tcPr>
          <w:p>
            <w:pPr>
              <w:spacing w:after="0"/>
              <w:rPr>
                <w:sz w:val="11"/>
                <w:szCs w:val="11"/>
                <w:color w:val="auto"/>
              </w:rPr>
            </w:pPr>
          </w:p>
        </w:tc>
        <w:tc>
          <w:tcPr>
            <w:tcW w:w="12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20"/>
              <w:spacing w:after="0" w:line="134" w:lineRule="exact"/>
              <w:rPr>
                <w:sz w:val="20"/>
                <w:szCs w:val="20"/>
                <w:color w:val="auto"/>
              </w:rPr>
            </w:pPr>
            <w:r>
              <w:rPr>
                <w:rFonts w:ascii="Arial" w:cs="Arial" w:eastAsia="Arial" w:hAnsi="Arial"/>
                <w:sz w:val="13"/>
                <w:szCs w:val="13"/>
                <w:color w:val="auto"/>
              </w:rPr>
              <w:t>736</w:t>
            </w:r>
          </w:p>
        </w:tc>
        <w:tc>
          <w:tcPr>
            <w:tcW w:w="120" w:type="dxa"/>
            <w:vAlign w:val="bottom"/>
            <w:shd w:val="clear" w:color="auto" w:fill="F0FFFF"/>
          </w:tcPr>
          <w:p>
            <w:pPr>
              <w:spacing w:after="0"/>
              <w:rPr>
                <w:sz w:val="11"/>
                <w:szCs w:val="11"/>
                <w:color w:val="auto"/>
              </w:rPr>
            </w:pPr>
          </w:p>
        </w:tc>
        <w:tc>
          <w:tcPr>
            <w:tcW w:w="88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722</w:t>
            </w:r>
          </w:p>
        </w:tc>
        <w:tc>
          <w:tcPr>
            <w:tcW w:w="140" w:type="dxa"/>
            <w:vAlign w:val="bottom"/>
            <w:shd w:val="clear" w:color="auto" w:fill="F0FFFF"/>
          </w:tcPr>
          <w:p>
            <w:pPr>
              <w:spacing w:after="0"/>
              <w:rPr>
                <w:sz w:val="11"/>
                <w:szCs w:val="11"/>
                <w:color w:val="auto"/>
              </w:rPr>
            </w:pPr>
          </w:p>
        </w:tc>
        <w:tc>
          <w:tcPr>
            <w:tcW w:w="880" w:type="dxa"/>
            <w:vAlign w:val="bottom"/>
            <w:tcBorders>
              <w:right w:val="single" w:sz="8" w:color="F0FFFF"/>
            </w:tcBorders>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704</w:t>
            </w:r>
          </w:p>
        </w:tc>
        <w:tc>
          <w:tcPr>
            <w:tcW w:w="140" w:type="dxa"/>
            <w:vAlign w:val="bottom"/>
            <w:shd w:val="clear" w:color="auto" w:fill="F0FFFF"/>
          </w:tcPr>
          <w:p>
            <w:pPr>
              <w:spacing w:after="0"/>
              <w:rPr>
                <w:sz w:val="11"/>
                <w:szCs w:val="11"/>
                <w:color w:val="auto"/>
              </w:rPr>
            </w:pPr>
          </w:p>
        </w:tc>
        <w:tc>
          <w:tcPr>
            <w:tcW w:w="68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796</w:t>
            </w:r>
          </w:p>
        </w:tc>
        <w:tc>
          <w:tcPr>
            <w:tcW w:w="200" w:type="dxa"/>
            <w:vAlign w:val="bottom"/>
            <w:shd w:val="clear" w:color="auto" w:fill="F0FFFF"/>
          </w:tcPr>
          <w:p>
            <w:pPr>
              <w:spacing w:after="0"/>
              <w:rPr>
                <w:sz w:val="11"/>
                <w:szCs w:val="11"/>
                <w:color w:val="auto"/>
              </w:rPr>
            </w:pPr>
          </w:p>
        </w:tc>
        <w:tc>
          <w:tcPr>
            <w:tcW w:w="140" w:type="dxa"/>
            <w:vAlign w:val="bottom"/>
            <w:shd w:val="clear" w:color="auto" w:fill="F0FFFF"/>
          </w:tcPr>
          <w:p>
            <w:pPr>
              <w:spacing w:after="0"/>
              <w:rPr>
                <w:sz w:val="11"/>
                <w:szCs w:val="11"/>
                <w:color w:val="auto"/>
              </w:rPr>
            </w:pPr>
          </w:p>
        </w:tc>
        <w:tc>
          <w:tcPr>
            <w:tcW w:w="70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852</w:t>
            </w:r>
          </w:p>
        </w:tc>
        <w:tc>
          <w:tcPr>
            <w:tcW w:w="200" w:type="dxa"/>
            <w:vAlign w:val="bottom"/>
            <w:shd w:val="clear" w:color="auto" w:fill="F0FFFF"/>
          </w:tcPr>
          <w:p>
            <w:pPr>
              <w:spacing w:after="0"/>
              <w:rPr>
                <w:sz w:val="11"/>
                <w:szCs w:val="11"/>
                <w:color w:val="auto"/>
              </w:rPr>
            </w:pPr>
          </w:p>
        </w:tc>
        <w:tc>
          <w:tcPr>
            <w:tcW w:w="1020" w:type="dxa"/>
            <w:vAlign w:val="bottom"/>
            <w:tcBorders>
              <w:right w:val="single" w:sz="8" w:color="F0FFFF"/>
            </w:tcBorders>
            <w:gridSpan w:val="2"/>
            <w:shd w:val="clear" w:color="auto" w:fill="F0FFFF"/>
          </w:tcPr>
          <w:p>
            <w:pPr>
              <w:jc w:val="right"/>
              <w:ind w:right="160"/>
              <w:spacing w:after="0" w:line="134" w:lineRule="exact"/>
              <w:rPr>
                <w:sz w:val="20"/>
                <w:szCs w:val="20"/>
                <w:color w:val="auto"/>
              </w:rPr>
            </w:pPr>
            <w:r>
              <w:rPr>
                <w:rFonts w:ascii="Arial" w:cs="Arial" w:eastAsia="Arial" w:hAnsi="Arial"/>
                <w:sz w:val="13"/>
                <w:szCs w:val="13"/>
                <w:color w:val="auto"/>
              </w:rPr>
              <w:t>(14)</w:t>
            </w:r>
          </w:p>
        </w:tc>
        <w:tc>
          <w:tcPr>
            <w:tcW w:w="180" w:type="dxa"/>
            <w:vAlign w:val="bottom"/>
            <w:shd w:val="clear" w:color="auto" w:fill="F0FFFF"/>
          </w:tcPr>
          <w:p>
            <w:pPr>
              <w:spacing w:after="0"/>
              <w:rPr>
                <w:sz w:val="11"/>
                <w:szCs w:val="11"/>
                <w:color w:val="auto"/>
              </w:rPr>
            </w:pPr>
          </w:p>
        </w:tc>
        <w:tc>
          <w:tcPr>
            <w:tcW w:w="640" w:type="dxa"/>
            <w:vAlign w:val="bottom"/>
            <w:shd w:val="clear" w:color="auto" w:fill="F0FFFF"/>
          </w:tcPr>
          <w:p>
            <w:pPr>
              <w:jc w:val="right"/>
              <w:spacing w:after="0" w:line="134" w:lineRule="exact"/>
              <w:rPr>
                <w:sz w:val="20"/>
                <w:szCs w:val="20"/>
                <w:color w:val="auto"/>
              </w:rPr>
            </w:pPr>
            <w:r>
              <w:rPr>
                <w:rFonts w:ascii="Arial" w:cs="Arial" w:eastAsia="Arial" w:hAnsi="Arial"/>
                <w:sz w:val="13"/>
                <w:szCs w:val="13"/>
                <w:color w:val="auto"/>
              </w:rPr>
              <w:t>736</w:t>
            </w:r>
          </w:p>
        </w:tc>
        <w:tc>
          <w:tcPr>
            <w:tcW w:w="200" w:type="dxa"/>
            <w:vAlign w:val="bottom"/>
            <w:shd w:val="clear" w:color="auto" w:fill="F0FFFF"/>
          </w:tcPr>
          <w:p>
            <w:pPr>
              <w:spacing w:after="0"/>
              <w:rPr>
                <w:sz w:val="11"/>
                <w:szCs w:val="11"/>
                <w:color w:val="auto"/>
              </w:rPr>
            </w:pPr>
          </w:p>
        </w:tc>
        <w:tc>
          <w:tcPr>
            <w:tcW w:w="340" w:type="dxa"/>
            <w:vAlign w:val="bottom"/>
            <w:shd w:val="clear" w:color="auto" w:fill="F0FFFF"/>
          </w:tcPr>
          <w:p>
            <w:pPr>
              <w:spacing w:after="0"/>
              <w:rPr>
                <w:sz w:val="11"/>
                <w:szCs w:val="11"/>
                <w:color w:val="auto"/>
              </w:rPr>
            </w:pPr>
          </w:p>
        </w:tc>
        <w:tc>
          <w:tcPr>
            <w:tcW w:w="700" w:type="dxa"/>
            <w:vAlign w:val="bottom"/>
            <w:gridSpan w:val="2"/>
            <w:shd w:val="clear" w:color="auto" w:fill="F0FFFF"/>
          </w:tcPr>
          <w:p>
            <w:pPr>
              <w:jc w:val="right"/>
              <w:ind w:right="200"/>
              <w:spacing w:after="0" w:line="134" w:lineRule="exact"/>
              <w:rPr>
                <w:sz w:val="20"/>
                <w:szCs w:val="20"/>
                <w:color w:val="auto"/>
              </w:rPr>
            </w:pPr>
            <w:r>
              <w:rPr>
                <w:rFonts w:ascii="Arial" w:cs="Arial" w:eastAsia="Arial" w:hAnsi="Arial"/>
                <w:sz w:val="13"/>
                <w:szCs w:val="13"/>
                <w:color w:val="auto"/>
              </w:rPr>
              <w:t>852</w:t>
            </w:r>
          </w:p>
        </w:tc>
        <w:tc>
          <w:tcPr>
            <w:tcW w:w="940" w:type="dxa"/>
            <w:vAlign w:val="bottom"/>
            <w:gridSpan w:val="2"/>
            <w:shd w:val="clear" w:color="auto" w:fill="F0FFFF"/>
          </w:tcPr>
          <w:p>
            <w:pPr>
              <w:jc w:val="right"/>
              <w:ind w:right="80"/>
              <w:spacing w:after="0" w:line="134"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40" w:type="dxa"/>
            <w:vAlign w:val="bottom"/>
          </w:tcPr>
          <w:p>
            <w:pPr>
              <w:ind w:left="120"/>
              <w:spacing w:after="0"/>
              <w:rPr>
                <w:sz w:val="20"/>
                <w:szCs w:val="20"/>
                <w:color w:val="auto"/>
              </w:rPr>
            </w:pPr>
            <w:r>
              <w:rPr>
                <w:rFonts w:ascii="Arial" w:cs="Arial" w:eastAsia="Arial" w:hAnsi="Arial"/>
                <w:sz w:val="13"/>
                <w:szCs w:val="13"/>
                <w:color w:val="auto"/>
                <w:w w:val="88"/>
              </w:rPr>
              <w:t xml:space="preserve">Common shares outstanding </w:t>
            </w:r>
            <w:r>
              <w:rPr>
                <w:rFonts w:ascii="Arial" w:cs="Arial" w:eastAsia="Arial" w:hAnsi="Arial"/>
                <w:sz w:val="13"/>
                <w:szCs w:val="13"/>
                <w:i w:val="1"/>
                <w:iCs w:val="1"/>
                <w:color w:val="auto"/>
                <w:w w:val="88"/>
              </w:rPr>
              <w:t>(thousands)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3"/>
                <w:szCs w:val="13"/>
                <w:color w:val="auto"/>
              </w:rPr>
              <w:t>60,248</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60,139</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60,092</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59,432</w:t>
            </w:r>
          </w:p>
        </w:tc>
        <w:tc>
          <w:tcPr>
            <w:tcW w:w="14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59,412</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3"/>
                <w:szCs w:val="13"/>
                <w:color w:val="auto"/>
              </w:rPr>
              <w:t>60,248</w:t>
            </w:r>
          </w:p>
        </w:tc>
        <w:tc>
          <w:tcPr>
            <w:tcW w:w="3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59,412</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283" w:right="220" w:hanging="283"/>
        <w:spacing w:after="0" w:line="369" w:lineRule="auto"/>
        <w:tabs>
          <w:tab w:leader="none" w:pos="288" w:val="left"/>
        </w:tabs>
        <w:numPr>
          <w:ilvl w:val="0"/>
          <w:numId w:val="5"/>
        </w:numPr>
        <w:rPr>
          <w:rFonts w:ascii="Arial" w:cs="Arial" w:eastAsia="Arial" w:hAnsi="Arial"/>
          <w:sz w:val="8"/>
          <w:szCs w:val="8"/>
          <w:color w:val="auto"/>
        </w:rPr>
      </w:pPr>
      <w:r>
        <w:rPr>
          <w:rFonts w:ascii="Arial" w:cs="Arial" w:eastAsia="Arial" w:hAnsi="Arial"/>
          <w:sz w:val="17"/>
          <w:szCs w:val="17"/>
          <w:color w:val="auto"/>
        </w:rPr>
        <w:t xml:space="preserve">Net income available to common shareholders, which is net of preferred stock dividends, divided by average realized common equity, which excludes accumulated other comprehensive income (loss). </w:t>
      </w:r>
      <w:r>
        <w:rPr>
          <w:rFonts w:ascii="Arial" w:cs="Arial" w:eastAsia="Arial" w:hAnsi="Arial"/>
          <w:sz w:val="19"/>
          <w:szCs w:val="19"/>
          <w:color w:val="auto"/>
          <w:vertAlign w:val="superscript"/>
        </w:rPr>
        <w:t>(2)</w:t>
      </w:r>
      <w:r>
        <w:rPr>
          <w:rFonts w:ascii="Arial" w:cs="Arial" w:eastAsia="Arial" w:hAnsi="Arial"/>
          <w:sz w:val="17"/>
          <w:szCs w:val="17"/>
          <w:color w:val="auto"/>
        </w:rPr>
        <w:t xml:space="preserve"> </w:t>
      </w:r>
      <w:r>
        <w:rPr>
          <w:rFonts w:ascii="Arial" w:cs="Arial" w:eastAsia="Arial" w:hAnsi="Arial"/>
          <w:sz w:val="14"/>
          <w:szCs w:val="14"/>
          <w:color w:val="auto"/>
        </w:rPr>
        <w:t>Excludes effect of acquisition related intangibles and associated amortization.</w:t>
      </w:r>
      <w:r>
        <w:rPr>
          <w:rFonts w:ascii="Arial" w:cs="Arial" w:eastAsia="Arial" w:hAnsi="Arial"/>
          <w:sz w:val="17"/>
          <w:szCs w:val="17"/>
          <w:color w:val="auto"/>
        </w:rPr>
        <w:t xml:space="preserve"> </w:t>
      </w:r>
      <w:r>
        <w:rPr>
          <w:rFonts w:ascii="Arial" w:cs="Arial" w:eastAsia="Arial" w:hAnsi="Arial"/>
          <w:sz w:val="19"/>
          <w:szCs w:val="19"/>
          <w:color w:val="auto"/>
          <w:vertAlign w:val="superscript"/>
        </w:rPr>
        <w:t>(3)</w:t>
      </w:r>
      <w:r>
        <w:rPr>
          <w:rFonts w:ascii="Arial" w:cs="Arial" w:eastAsia="Arial" w:hAnsi="Arial"/>
          <w:sz w:val="17"/>
          <w:szCs w:val="17"/>
          <w:color w:val="auto"/>
        </w:rPr>
        <w:t xml:space="preserve"> </w:t>
      </w:r>
      <w:r>
        <w:rPr>
          <w:rFonts w:ascii="Arial" w:cs="Arial" w:eastAsia="Arial" w:hAnsi="Arial"/>
          <w:sz w:val="14"/>
          <w:szCs w:val="14"/>
          <w:color w:val="auto"/>
        </w:rPr>
        <w:t>Annualized.</w:t>
      </w:r>
    </w:p>
    <w:p>
      <w:pPr>
        <w:spacing w:after="0" w:line="1" w:lineRule="exact"/>
        <w:rPr>
          <w:sz w:val="20"/>
          <w:szCs w:val="20"/>
          <w:color w:val="auto"/>
        </w:rPr>
      </w:pPr>
    </w:p>
    <w:p>
      <w:pPr>
        <w:ind w:left="5643" w:right="5160" w:hanging="5643"/>
        <w:spacing w:after="0" w:line="856" w:lineRule="auto"/>
        <w:tabs>
          <w:tab w:leader="none" w:pos="290" w:val="left"/>
        </w:tabs>
        <w:numPr>
          <w:ilvl w:val="0"/>
          <w:numId w:val="6"/>
        </w:numPr>
        <w:rPr>
          <w:rFonts w:ascii="Arial" w:cs="Arial" w:eastAsia="Arial" w:hAnsi="Arial"/>
          <w:sz w:val="15"/>
          <w:szCs w:val="15"/>
          <w:color w:val="auto"/>
        </w:rPr>
      </w:pPr>
      <w:r>
        <w:rPr>
          <w:rFonts w:ascii="Arial" w:cs="Arial" w:eastAsia="Arial" w:hAnsi="Arial"/>
          <w:sz w:val="15"/>
          <w:szCs w:val="15"/>
          <w:color w:val="auto"/>
        </w:rPr>
        <w:t>Excludes loans and foreclosed properties covered by loss sharing agreements with the FDIC.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-280035</wp:posOffset>
            </wp:positionV>
            <wp:extent cx="726059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3"/>
          </w:cols>
          <w:pgMar w:left="237" w:top="1032" w:right="21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Table 1 Continued - Non-GAAP Performance Measures Reconciliation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Selected Financial Information</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2014</w:t>
            </w:r>
          </w:p>
        </w:tc>
        <w:tc>
          <w:tcPr>
            <w:tcW w:w="2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3"/>
          </w:tcPr>
          <w:p>
            <w:pPr>
              <w:jc w:val="right"/>
              <w:ind w:right="47"/>
              <w:spacing w:after="0"/>
              <w:rPr>
                <w:sz w:val="20"/>
                <w:szCs w:val="20"/>
                <w:color w:val="auto"/>
              </w:rPr>
            </w:pPr>
            <w:r>
              <w:rPr>
                <w:rFonts w:ascii="Arial" w:cs="Arial" w:eastAsia="Arial" w:hAnsi="Arial"/>
                <w:sz w:val="15"/>
                <w:szCs w:val="15"/>
                <w:b w:val="1"/>
                <w:bCs w:val="1"/>
                <w:color w:val="auto"/>
              </w:rPr>
              <w:t>2013</w:t>
            </w:r>
          </w:p>
        </w:tc>
        <w:tc>
          <w:tcPr>
            <w:tcW w:w="8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120" w:type="dxa"/>
            <w:vAlign w:val="bottom"/>
            <w:tcBorders>
              <w:top w:val="single" w:sz="8" w:color="auto"/>
            </w:tcBorders>
            <w:gridSpan w:val="5"/>
          </w:tcPr>
          <w:p>
            <w:pPr>
              <w:ind w:left="240"/>
              <w:spacing w:after="0"/>
              <w:rPr>
                <w:sz w:val="20"/>
                <w:szCs w:val="20"/>
                <w:color w:val="auto"/>
              </w:rPr>
            </w:pPr>
            <w:r>
              <w:rPr>
                <w:rFonts w:ascii="Arial" w:cs="Arial" w:eastAsia="Arial" w:hAnsi="Arial"/>
                <w:sz w:val="15"/>
                <w:szCs w:val="15"/>
                <w:b w:val="1"/>
                <w:bCs w:val="1"/>
                <w:color w:val="auto"/>
              </w:rPr>
              <w:t>For the Nine Months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920" w:type="dxa"/>
            <w:vAlign w:val="bottom"/>
            <w:gridSpan w:val="3"/>
          </w:tcPr>
          <w:p>
            <w:pPr>
              <w:spacing w:after="0"/>
              <w:rPr>
                <w:sz w:val="20"/>
                <w:szCs w:val="20"/>
                <w:color w:val="auto"/>
              </w:rPr>
            </w:pPr>
            <w:r>
              <w:rPr>
                <w:rFonts w:ascii="Arial" w:cs="Arial" w:eastAsia="Arial" w:hAnsi="Arial"/>
                <w:sz w:val="15"/>
                <w:szCs w:val="15"/>
                <w:i w:val="1"/>
                <w:iCs w:val="1"/>
                <w:color w:val="auto"/>
              </w:rPr>
              <w:t>(in thousands, except per share</w:t>
            </w:r>
          </w:p>
        </w:tc>
        <w:tc>
          <w:tcPr>
            <w:tcW w:w="160" w:type="dxa"/>
            <w:vAlign w:val="bottom"/>
          </w:tcPr>
          <w:p>
            <w:pPr>
              <w:spacing w:after="0"/>
              <w:rPr>
                <w:sz w:val="16"/>
                <w:szCs w:val="16"/>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Third</w:t>
            </w:r>
          </w:p>
        </w:tc>
        <w:tc>
          <w:tcPr>
            <w:tcW w:w="180" w:type="dxa"/>
            <w:vAlign w:val="bottom"/>
          </w:tcPr>
          <w:p>
            <w:pPr>
              <w:spacing w:after="0"/>
              <w:rPr>
                <w:sz w:val="16"/>
                <w:szCs w:val="16"/>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5"/>
                <w:szCs w:val="15"/>
                <w:b w:val="1"/>
                <w:bCs w:val="1"/>
                <w:color w:val="auto"/>
              </w:rPr>
              <w:t>Second</w:t>
            </w:r>
          </w:p>
        </w:tc>
        <w:tc>
          <w:tcPr>
            <w:tcW w:w="180" w:type="dxa"/>
            <w:vAlign w:val="bottom"/>
          </w:tcPr>
          <w:p>
            <w:pPr>
              <w:spacing w:after="0"/>
              <w:rPr>
                <w:sz w:val="16"/>
                <w:szCs w:val="16"/>
                <w:color w:val="auto"/>
              </w:rPr>
            </w:pPr>
          </w:p>
        </w:tc>
        <w:tc>
          <w:tcPr>
            <w:tcW w:w="900" w:type="dxa"/>
            <w:vAlign w:val="bottom"/>
          </w:tcPr>
          <w:p>
            <w:pPr>
              <w:jc w:val="right"/>
              <w:ind w:right="307"/>
              <w:spacing w:after="0"/>
              <w:rPr>
                <w:sz w:val="20"/>
                <w:szCs w:val="20"/>
                <w:color w:val="auto"/>
              </w:rPr>
            </w:pPr>
            <w:r>
              <w:rPr>
                <w:rFonts w:ascii="Arial" w:cs="Arial" w:eastAsia="Arial" w:hAnsi="Arial"/>
                <w:sz w:val="15"/>
                <w:szCs w:val="15"/>
                <w:b w:val="1"/>
                <w:bCs w:val="1"/>
                <w:color w:val="auto"/>
              </w:rPr>
              <w:t>First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Fourth</w:t>
            </w:r>
          </w:p>
        </w:tc>
        <w:tc>
          <w:tcPr>
            <w:tcW w:w="160" w:type="dxa"/>
            <w:vAlign w:val="bottom"/>
          </w:tcPr>
          <w:p>
            <w:pPr>
              <w:spacing w:after="0"/>
              <w:rPr>
                <w:sz w:val="16"/>
                <w:szCs w:val="16"/>
                <w:color w:val="auto"/>
              </w:rPr>
            </w:pPr>
          </w:p>
        </w:tc>
        <w:tc>
          <w:tcPr>
            <w:tcW w:w="800" w:type="dxa"/>
            <w:vAlign w:val="bottom"/>
          </w:tcPr>
          <w:p>
            <w:pPr>
              <w:jc w:val="right"/>
              <w:ind w:right="227"/>
              <w:spacing w:after="0"/>
              <w:rPr>
                <w:sz w:val="20"/>
                <w:szCs w:val="20"/>
                <w:color w:val="auto"/>
              </w:rPr>
            </w:pPr>
            <w:r>
              <w:rPr>
                <w:rFonts w:ascii="Arial" w:cs="Arial" w:eastAsia="Arial" w:hAnsi="Arial"/>
                <w:sz w:val="15"/>
                <w:szCs w:val="15"/>
                <w:b w:val="1"/>
                <w:bCs w:val="1"/>
                <w:color w:val="auto"/>
              </w:rPr>
              <w:t>Third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gridSpan w:val="6"/>
          </w:tcPr>
          <w:p>
            <w:pPr>
              <w:ind w:left="220"/>
              <w:spacing w:after="0"/>
              <w:rPr>
                <w:sz w:val="20"/>
                <w:szCs w:val="20"/>
                <w:color w:val="auto"/>
              </w:rPr>
            </w:pPr>
            <w:r>
              <w:rPr>
                <w:rFonts w:ascii="Arial" w:cs="Arial" w:eastAsia="Arial" w:hAnsi="Arial"/>
                <w:sz w:val="15"/>
                <w:szCs w:val="15"/>
                <w:b w:val="1"/>
                <w:bCs w:val="1"/>
                <w:color w:val="auto"/>
              </w:rPr>
              <w:t>Ended September 30,</w:t>
            </w:r>
          </w:p>
        </w:tc>
        <w:tc>
          <w:tcPr>
            <w:tcW w:w="0" w:type="dxa"/>
            <w:vAlign w:val="bottom"/>
          </w:tcPr>
          <w:p>
            <w:pPr>
              <w:spacing w:after="0"/>
              <w:rPr>
                <w:sz w:val="1"/>
                <w:szCs w:val="1"/>
                <w:color w:val="auto"/>
              </w:rPr>
            </w:pPr>
          </w:p>
        </w:tc>
      </w:tr>
      <w:tr>
        <w:trPr>
          <w:trHeight w:val="186"/>
        </w:trPr>
        <w:tc>
          <w:tcPr>
            <w:tcW w:w="2920" w:type="dxa"/>
            <w:vAlign w:val="bottom"/>
            <w:gridSpan w:val="3"/>
          </w:tcPr>
          <w:p>
            <w:pPr>
              <w:spacing w:after="0"/>
              <w:rPr>
                <w:sz w:val="20"/>
                <w:szCs w:val="20"/>
                <w:color w:val="auto"/>
              </w:rPr>
            </w:pPr>
            <w:r>
              <w:rPr>
                <w:rFonts w:ascii="Arial" w:cs="Arial" w:eastAsia="Arial" w:hAnsi="Arial"/>
                <w:sz w:val="15"/>
                <w:szCs w:val="15"/>
                <w:i w:val="1"/>
                <w:iCs w:val="1"/>
                <w:color w:val="auto"/>
              </w:rPr>
              <w:t>data; taxable equivalent)</w:t>
            </w:r>
          </w:p>
        </w:tc>
        <w:tc>
          <w:tcPr>
            <w:tcW w:w="160" w:type="dxa"/>
            <w:vAlign w:val="bottom"/>
          </w:tcPr>
          <w:p>
            <w:pPr>
              <w:spacing w:after="0"/>
              <w:rPr>
                <w:sz w:val="16"/>
                <w:szCs w:val="16"/>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Quarter</w:t>
            </w:r>
          </w:p>
        </w:tc>
        <w:tc>
          <w:tcPr>
            <w:tcW w:w="18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Quarter</w:t>
            </w:r>
          </w:p>
        </w:tc>
        <w:tc>
          <w:tcPr>
            <w:tcW w:w="180" w:type="dxa"/>
            <w:vAlign w:val="bottom"/>
          </w:tcPr>
          <w:p>
            <w:pPr>
              <w:spacing w:after="0"/>
              <w:rPr>
                <w:sz w:val="16"/>
                <w:szCs w:val="16"/>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5"/>
                <w:szCs w:val="15"/>
                <w:b w:val="1"/>
                <w:bCs w:val="1"/>
                <w:color w:val="auto"/>
              </w:rPr>
              <w:t>Quarter</w:t>
            </w:r>
          </w:p>
        </w:tc>
        <w:tc>
          <w:tcPr>
            <w:tcW w:w="140" w:type="dxa"/>
            <w:vAlign w:val="bottom"/>
          </w:tcPr>
          <w:p>
            <w:pPr>
              <w:spacing w:after="0"/>
              <w:rPr>
                <w:sz w:val="16"/>
                <w:szCs w:val="16"/>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5"/>
                <w:szCs w:val="15"/>
                <w:b w:val="1"/>
                <w:bCs w:val="1"/>
                <w:color w:val="auto"/>
              </w:rPr>
              <w:t>Quarter</w:t>
            </w:r>
          </w:p>
        </w:tc>
        <w:tc>
          <w:tcPr>
            <w:tcW w:w="160" w:type="dxa"/>
            <w:vAlign w:val="bottom"/>
          </w:tcPr>
          <w:p>
            <w:pPr>
              <w:spacing w:after="0"/>
              <w:rPr>
                <w:sz w:val="16"/>
                <w:szCs w:val="16"/>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Quarter</w:t>
            </w: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87"/>
              <w:spacing w:after="0"/>
              <w:rPr>
                <w:sz w:val="20"/>
                <w:szCs w:val="20"/>
                <w:color w:val="auto"/>
              </w:rPr>
            </w:pPr>
            <w:r>
              <w:rPr>
                <w:rFonts w:ascii="Arial" w:cs="Arial" w:eastAsia="Arial" w:hAnsi="Arial"/>
                <w:sz w:val="15"/>
                <w:szCs w:val="15"/>
                <w:b w:val="1"/>
                <w:bCs w:val="1"/>
                <w:color w:val="auto"/>
              </w:rPr>
              <w:t>2014</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267"/>
              <w:spacing w:after="0"/>
              <w:rPr>
                <w:sz w:val="20"/>
                <w:szCs w:val="20"/>
                <w:color w:val="auto"/>
              </w:rPr>
            </w:pPr>
            <w:r>
              <w:rPr>
                <w:rFonts w:ascii="Arial" w:cs="Arial" w:eastAsia="Arial" w:hAnsi="Arial"/>
                <w:sz w:val="15"/>
                <w:szCs w:val="15"/>
                <w:b w:val="1"/>
                <w:bCs w:val="1"/>
                <w:color w:val="auto"/>
              </w:rPr>
              <w:t>2013</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80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5"/>
                <w:szCs w:val="15"/>
                <w:b w:val="1"/>
                <w:bCs w:val="1"/>
                <w:color w:val="auto"/>
              </w:rPr>
              <w:t>Interest revenue reconciliation</w:t>
            </w:r>
          </w:p>
        </w:tc>
        <w:tc>
          <w:tcPr>
            <w:tcW w:w="100" w:type="dxa"/>
            <w:vAlign w:val="bottom"/>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spacing w:after="0"/>
              <w:rPr>
                <w:sz w:val="15"/>
                <w:szCs w:val="15"/>
                <w:color w:val="auto"/>
              </w:rPr>
            </w:pPr>
          </w:p>
        </w:tc>
        <w:tc>
          <w:tcPr>
            <w:tcW w:w="860" w:type="dxa"/>
            <w:vAlign w:val="bottom"/>
            <w:tcBorders>
              <w:top w:val="single" w:sz="8" w:color="auto"/>
            </w:tcBorders>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900" w:type="dxa"/>
            <w:vAlign w:val="bottom"/>
            <w:tcBorders>
              <w:top w:val="single" w:sz="8" w:color="auto"/>
            </w:tcBorders>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tcBorders>
              <w:top w:val="single" w:sz="8" w:color="auto"/>
            </w:tcBorders>
            <w:shd w:val="clear" w:color="auto" w:fill="F0FFFF"/>
          </w:tcPr>
          <w:p>
            <w:pPr>
              <w:spacing w:after="0"/>
              <w:rPr>
                <w:sz w:val="15"/>
                <w:szCs w:val="15"/>
                <w:color w:val="auto"/>
              </w:rPr>
            </w:pPr>
          </w:p>
        </w:tc>
        <w:tc>
          <w:tcPr>
            <w:tcW w:w="900" w:type="dxa"/>
            <w:vAlign w:val="bottom"/>
            <w:tcBorders>
              <w:top w:val="single" w:sz="8" w:color="auto"/>
            </w:tcBorders>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40" w:type="dxa"/>
            <w:vAlign w:val="bottom"/>
            <w:tcBorders>
              <w:top w:val="single" w:sz="8" w:color="auto"/>
            </w:tcBorders>
            <w:shd w:val="clear" w:color="auto" w:fill="F0FFFF"/>
          </w:tcPr>
          <w:p>
            <w:pPr>
              <w:spacing w:after="0"/>
              <w:rPr>
                <w:sz w:val="15"/>
                <w:szCs w:val="15"/>
                <w:color w:val="auto"/>
              </w:rPr>
            </w:pPr>
          </w:p>
        </w:tc>
        <w:tc>
          <w:tcPr>
            <w:tcW w:w="800" w:type="dxa"/>
            <w:vAlign w:val="bottom"/>
            <w:tcBorders>
              <w:top w:val="single" w:sz="8" w:color="auto"/>
            </w:tcBorders>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60" w:type="dxa"/>
            <w:vAlign w:val="bottom"/>
            <w:tcBorders>
              <w:top w:val="single" w:sz="8" w:color="auto"/>
            </w:tcBorders>
            <w:shd w:val="clear" w:color="auto" w:fill="F0FFFF"/>
          </w:tcPr>
          <w:p>
            <w:pPr>
              <w:spacing w:after="0"/>
              <w:rPr>
                <w:sz w:val="15"/>
                <w:szCs w:val="15"/>
                <w:color w:val="auto"/>
              </w:rPr>
            </w:pPr>
          </w:p>
        </w:tc>
        <w:tc>
          <w:tcPr>
            <w:tcW w:w="800" w:type="dxa"/>
            <w:vAlign w:val="bottom"/>
            <w:tcBorders>
              <w:top w:val="single" w:sz="8" w:color="auto"/>
            </w:tcBorders>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20" w:type="dxa"/>
            <w:vAlign w:val="bottom"/>
            <w:tcBorders>
              <w:top w:val="single" w:sz="8" w:color="auto"/>
            </w:tcBorders>
            <w:shd w:val="clear" w:color="auto" w:fill="F0FFFF"/>
          </w:tcPr>
          <w:p>
            <w:pPr>
              <w:spacing w:after="0"/>
              <w:rPr>
                <w:sz w:val="15"/>
                <w:szCs w:val="15"/>
                <w:color w:val="auto"/>
              </w:rPr>
            </w:pPr>
          </w:p>
        </w:tc>
        <w:tc>
          <w:tcPr>
            <w:tcW w:w="780" w:type="dxa"/>
            <w:vAlign w:val="bottom"/>
            <w:tcBorders>
              <w:top w:val="single" w:sz="8" w:color="auto"/>
            </w:tcBorders>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200" w:type="dxa"/>
            <w:vAlign w:val="bottom"/>
            <w:tcBorders>
              <w:top w:val="single" w:sz="8" w:color="auto"/>
            </w:tcBorders>
            <w:shd w:val="clear" w:color="auto" w:fill="F0FFFF"/>
          </w:tcPr>
          <w:p>
            <w:pPr>
              <w:spacing w:after="0"/>
              <w:rPr>
                <w:sz w:val="15"/>
                <w:szCs w:val="15"/>
                <w:color w:val="auto"/>
              </w:rPr>
            </w:pPr>
          </w:p>
        </w:tc>
        <w:tc>
          <w:tcPr>
            <w:tcW w:w="780" w:type="dxa"/>
            <w:vAlign w:val="bottom"/>
            <w:tcBorders>
              <w:top w:val="single" w:sz="8" w:color="auto"/>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Interest revenue - taxable equivalent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63,338</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61,783</w:t>
            </w:r>
          </w:p>
        </w:tc>
        <w:tc>
          <w:tcPr>
            <w:tcW w:w="22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60,495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61,695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61,426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185,616</w:t>
            </w:r>
          </w:p>
        </w:tc>
        <w:tc>
          <w:tcPr>
            <w:tcW w:w="22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185,628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Taxable equivalent adjustment</w:t>
            </w:r>
          </w:p>
        </w:tc>
        <w:tc>
          <w:tcPr>
            <w:tcW w:w="160" w:type="dxa"/>
            <w:vAlign w:val="bottom"/>
            <w:shd w:val="clear" w:color="auto" w:fill="F0FFFF"/>
          </w:tcPr>
          <w:p>
            <w:pPr>
              <w:spacing w:after="0"/>
              <w:rPr>
                <w:sz w:val="15"/>
                <w:szCs w:val="15"/>
                <w:color w:val="auto"/>
              </w:rPr>
            </w:pPr>
          </w:p>
        </w:tc>
        <w:tc>
          <w:tcPr>
            <w:tcW w:w="108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(405)</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5"/>
                <w:szCs w:val="15"/>
                <w:color w:val="auto"/>
              </w:rPr>
              <w:t>(377)</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(357)</w:t>
            </w:r>
          </w:p>
        </w:tc>
        <w:tc>
          <w:tcPr>
            <w:tcW w:w="140" w:type="dxa"/>
            <w:vAlign w:val="bottom"/>
            <w:shd w:val="clear" w:color="auto" w:fill="F0FFFF"/>
          </w:tcPr>
          <w:p>
            <w:pPr>
              <w:spacing w:after="0"/>
              <w:rPr>
                <w:sz w:val="15"/>
                <w:szCs w:val="15"/>
                <w:color w:val="auto"/>
              </w:rPr>
            </w:pPr>
          </w:p>
        </w:tc>
        <w:tc>
          <w:tcPr>
            <w:tcW w:w="10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(380)</w:t>
            </w: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(370)</w:t>
            </w:r>
          </w:p>
        </w:tc>
        <w:tc>
          <w:tcPr>
            <w:tcW w:w="220" w:type="dxa"/>
            <w:vAlign w:val="bottom"/>
            <w:shd w:val="clear" w:color="auto" w:fill="F0FFFF"/>
          </w:tcPr>
          <w:p>
            <w:pPr>
              <w:spacing w:after="0"/>
              <w:rPr>
                <w:sz w:val="15"/>
                <w:szCs w:val="15"/>
                <w:color w:val="auto"/>
              </w:rPr>
            </w:pPr>
          </w:p>
        </w:tc>
        <w:tc>
          <w:tcPr>
            <w:tcW w:w="100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5"/>
                <w:szCs w:val="15"/>
                <w:color w:val="auto"/>
              </w:rPr>
              <w:t>(1,139)</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(1,103)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ind w:left="120"/>
              <w:spacing w:after="0"/>
              <w:rPr>
                <w:sz w:val="20"/>
                <w:szCs w:val="20"/>
                <w:color w:val="auto"/>
              </w:rPr>
            </w:pPr>
            <w:r>
              <w:rPr>
                <w:rFonts w:ascii="Arial" w:cs="Arial" w:eastAsia="Arial" w:hAnsi="Arial"/>
                <w:sz w:val="15"/>
                <w:szCs w:val="15"/>
                <w:color w:val="auto"/>
              </w:rPr>
              <w:t>Interest revenue (GAAP)</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62,933</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61,406</w:t>
            </w:r>
          </w:p>
        </w:tc>
        <w:tc>
          <w:tcPr>
            <w:tcW w:w="22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60,138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61,315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61,056</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184,477</w:t>
            </w:r>
          </w:p>
        </w:tc>
        <w:tc>
          <w:tcPr>
            <w:tcW w:w="22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184,525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8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b w:val="1"/>
                <w:bCs w:val="1"/>
                <w:color w:val="auto"/>
              </w:rPr>
              <w:t>Net interest revenue reconciliation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Net interest revenue - taxable equivalent</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56,967</w:t>
            </w: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54,950</w:t>
            </w: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54,169</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55,879</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54,257</w:t>
            </w:r>
          </w:p>
        </w:tc>
        <w:tc>
          <w:tcPr>
            <w:tcW w:w="220" w:type="dxa"/>
            <w:vAlign w:val="bottom"/>
            <w:shd w:val="clear" w:color="auto" w:fill="F0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166,086</w:t>
            </w:r>
          </w:p>
        </w:tc>
        <w:tc>
          <w:tcPr>
            <w:tcW w:w="220" w:type="dxa"/>
            <w:vAlign w:val="bottom"/>
            <w:tcBorders>
              <w:right w:val="single" w:sz="8" w:color="F0FFFF"/>
            </w:tcBorders>
            <w:shd w:val="clear" w:color="auto" w:fill="F0FFFF"/>
          </w:tcPr>
          <w:p>
            <w:pPr>
              <w:spacing w:after="0"/>
              <w:rPr>
                <w:sz w:val="15"/>
                <w:szCs w:val="15"/>
                <w:color w:val="auto"/>
              </w:rPr>
            </w:pPr>
          </w:p>
        </w:tc>
        <w:tc>
          <w:tcPr>
            <w:tcW w:w="200" w:type="dxa"/>
            <w:vAlign w:val="bottom"/>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5"/>
                <w:szCs w:val="15"/>
                <w:color w:val="auto"/>
              </w:rPr>
              <w:t>163,762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Taxable equivalent adjustment</w:t>
            </w:r>
          </w:p>
        </w:tc>
        <w:tc>
          <w:tcPr>
            <w:tcW w:w="1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(405)</w:t>
            </w: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(377)</w:t>
            </w: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(357)</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(380)</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(370)</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(1,139)</w:t>
            </w:r>
          </w:p>
        </w:tc>
        <w:tc>
          <w:tcPr>
            <w:tcW w:w="20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2"/>
            <w:shd w:val="clear" w:color="auto" w:fill="F0FFFF"/>
          </w:tcPr>
          <w:p>
            <w:pPr>
              <w:ind w:left="120"/>
              <w:spacing w:after="0"/>
              <w:rPr>
                <w:sz w:val="20"/>
                <w:szCs w:val="20"/>
                <w:color w:val="auto"/>
              </w:rPr>
            </w:pPr>
            <w:r>
              <w:rPr>
                <w:rFonts w:ascii="Arial" w:cs="Arial" w:eastAsia="Arial" w:hAnsi="Arial"/>
                <w:sz w:val="15"/>
                <w:szCs w:val="15"/>
                <w:color w:val="auto"/>
              </w:rPr>
              <w:t>Net interest revenue (GAAP)</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56,562</w:t>
            </w: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54,573</w:t>
            </w:r>
          </w:p>
        </w:tc>
        <w:tc>
          <w:tcPr>
            <w:tcW w:w="22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53,812</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55,499</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53,887</w:t>
            </w:r>
          </w:p>
        </w:tc>
        <w:tc>
          <w:tcPr>
            <w:tcW w:w="220" w:type="dxa"/>
            <w:vAlign w:val="bottom"/>
            <w:shd w:val="clear" w:color="auto" w:fill="F0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164,947</w:t>
            </w:r>
          </w:p>
        </w:tc>
        <w:tc>
          <w:tcPr>
            <w:tcW w:w="220" w:type="dxa"/>
            <w:vAlign w:val="bottom"/>
            <w:tcBorders>
              <w:right w:val="single" w:sz="8" w:color="F0FFFF"/>
            </w:tcBorders>
            <w:shd w:val="clear" w:color="auto" w:fill="F0FFFF"/>
          </w:tcPr>
          <w:p>
            <w:pPr>
              <w:spacing w:after="0"/>
              <w:rPr>
                <w:sz w:val="19"/>
                <w:szCs w:val="19"/>
                <w:color w:val="auto"/>
              </w:rPr>
            </w:pPr>
          </w:p>
        </w:tc>
        <w:tc>
          <w:tcPr>
            <w:tcW w:w="200" w:type="dxa"/>
            <w:vAlign w:val="bottom"/>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5"/>
                <w:szCs w:val="15"/>
                <w:color w:val="auto"/>
              </w:rPr>
              <w:t>162,659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280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b w:val="1"/>
                <w:bCs w:val="1"/>
                <w:color w:val="auto"/>
              </w:rPr>
              <w:t>Total revenue reconciliation</w:t>
            </w:r>
          </w:p>
        </w:tc>
        <w:tc>
          <w:tcPr>
            <w:tcW w:w="16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Total operating revenue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69,379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66,893</w:t>
            </w:r>
          </w:p>
        </w:tc>
        <w:tc>
          <w:tcPr>
            <w:tcW w:w="22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63,845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66,398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65,482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200,117</w:t>
            </w: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144,341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Taxable equivalent adjustment</w:t>
            </w:r>
          </w:p>
        </w:tc>
        <w:tc>
          <w:tcPr>
            <w:tcW w:w="160" w:type="dxa"/>
            <w:vAlign w:val="bottom"/>
            <w:shd w:val="clear" w:color="auto" w:fill="F0FFFF"/>
          </w:tcPr>
          <w:p>
            <w:pPr>
              <w:spacing w:after="0"/>
              <w:rPr>
                <w:sz w:val="15"/>
                <w:szCs w:val="15"/>
                <w:color w:val="auto"/>
              </w:rPr>
            </w:pPr>
          </w:p>
        </w:tc>
        <w:tc>
          <w:tcPr>
            <w:tcW w:w="108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(405)</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5"/>
                <w:szCs w:val="15"/>
                <w:color w:val="auto"/>
              </w:rPr>
              <w:t>(377)</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(357)</w:t>
            </w:r>
          </w:p>
        </w:tc>
        <w:tc>
          <w:tcPr>
            <w:tcW w:w="140" w:type="dxa"/>
            <w:vAlign w:val="bottom"/>
            <w:shd w:val="clear" w:color="auto" w:fill="F0FFFF"/>
          </w:tcPr>
          <w:p>
            <w:pPr>
              <w:spacing w:after="0"/>
              <w:rPr>
                <w:sz w:val="15"/>
                <w:szCs w:val="15"/>
                <w:color w:val="auto"/>
              </w:rPr>
            </w:pPr>
          </w:p>
        </w:tc>
        <w:tc>
          <w:tcPr>
            <w:tcW w:w="10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(380)</w:t>
            </w: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(370)</w:t>
            </w:r>
          </w:p>
        </w:tc>
        <w:tc>
          <w:tcPr>
            <w:tcW w:w="220" w:type="dxa"/>
            <w:vAlign w:val="bottom"/>
            <w:shd w:val="clear" w:color="auto" w:fill="F0FFFF"/>
          </w:tcPr>
          <w:p>
            <w:pPr>
              <w:spacing w:after="0"/>
              <w:rPr>
                <w:sz w:val="15"/>
                <w:szCs w:val="15"/>
                <w:color w:val="auto"/>
              </w:rPr>
            </w:pPr>
          </w:p>
        </w:tc>
        <w:tc>
          <w:tcPr>
            <w:tcW w:w="100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5"/>
                <w:szCs w:val="15"/>
                <w:color w:val="auto"/>
              </w:rPr>
              <w:t>(1,139)</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(1,103)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ind w:left="120"/>
              <w:spacing w:after="0"/>
              <w:rPr>
                <w:sz w:val="20"/>
                <w:szCs w:val="20"/>
                <w:color w:val="auto"/>
              </w:rPr>
            </w:pPr>
            <w:r>
              <w:rPr>
                <w:rFonts w:ascii="Arial" w:cs="Arial" w:eastAsia="Arial" w:hAnsi="Arial"/>
                <w:sz w:val="15"/>
                <w:szCs w:val="15"/>
                <w:color w:val="auto"/>
              </w:rPr>
              <w:t>Total revenue (GAAP)</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68,974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66,516</w:t>
            </w:r>
          </w:p>
        </w:tc>
        <w:tc>
          <w:tcPr>
            <w:tcW w:w="22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63,488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66,018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65,112</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198,978</w:t>
            </w:r>
          </w:p>
        </w:tc>
        <w:tc>
          <w:tcPr>
            <w:tcW w:w="22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143,238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8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b w:val="1"/>
                <w:bCs w:val="1"/>
                <w:color w:val="auto"/>
              </w:rPr>
              <w:t>Income before taxes reconciliation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Income before taxes</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28,015</w:t>
            </w: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26,361</w:t>
            </w: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24,795</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24,784</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25,385</w:t>
            </w:r>
          </w:p>
        </w:tc>
        <w:tc>
          <w:tcPr>
            <w:tcW w:w="220" w:type="dxa"/>
            <w:vAlign w:val="bottom"/>
            <w:shd w:val="clear" w:color="auto" w:fill="F0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5"/>
                <w:szCs w:val="15"/>
                <w:color w:val="auto"/>
              </w:rPr>
              <w:t>79,171</w:t>
            </w:r>
          </w:p>
        </w:tc>
        <w:tc>
          <w:tcPr>
            <w:tcW w:w="220" w:type="dxa"/>
            <w:vAlign w:val="bottom"/>
            <w:tcBorders>
              <w:right w:val="single" w:sz="8" w:color="F0FFFF"/>
            </w:tcBorders>
            <w:shd w:val="clear" w:color="auto" w:fill="F0FFFF"/>
          </w:tcPr>
          <w:p>
            <w:pPr>
              <w:spacing w:after="0"/>
              <w:rPr>
                <w:sz w:val="15"/>
                <w:szCs w:val="15"/>
                <w:color w:val="auto"/>
              </w:rPr>
            </w:pPr>
          </w:p>
        </w:tc>
        <w:tc>
          <w:tcPr>
            <w:tcW w:w="200" w:type="dxa"/>
            <w:vAlign w:val="bottom"/>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5"/>
                <w:szCs w:val="15"/>
                <w:color w:val="auto"/>
              </w:rPr>
              <w:t>11,651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Taxable equivalent adjustment</w:t>
            </w:r>
          </w:p>
        </w:tc>
        <w:tc>
          <w:tcPr>
            <w:tcW w:w="16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5"/>
                <w:szCs w:val="15"/>
                <w:color w:val="auto"/>
              </w:rPr>
              <w:t>(405)</w:t>
            </w:r>
          </w:p>
        </w:tc>
        <w:tc>
          <w:tcPr>
            <w:tcW w:w="180" w:type="dxa"/>
            <w:vAlign w:val="bottom"/>
          </w:tcPr>
          <w:p>
            <w:pPr>
              <w:spacing w:after="0"/>
              <w:rPr>
                <w:sz w:val="15"/>
                <w:szCs w:val="15"/>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5"/>
                <w:szCs w:val="15"/>
                <w:color w:val="auto"/>
              </w:rPr>
              <w:t>(377)</w:t>
            </w:r>
          </w:p>
        </w:tc>
        <w:tc>
          <w:tcPr>
            <w:tcW w:w="180" w:type="dxa"/>
            <w:vAlign w:val="bottom"/>
          </w:tcPr>
          <w:p>
            <w:pPr>
              <w:spacing w:after="0"/>
              <w:rPr>
                <w:sz w:val="15"/>
                <w:szCs w:val="15"/>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5"/>
                <w:szCs w:val="15"/>
                <w:color w:val="auto"/>
              </w:rPr>
              <w:t>(357)</w:t>
            </w: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(380)</w:t>
            </w:r>
          </w:p>
        </w:tc>
        <w:tc>
          <w:tcPr>
            <w:tcW w:w="16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5"/>
                <w:szCs w:val="15"/>
                <w:color w:val="auto"/>
              </w:rPr>
              <w:t>(370)</w:t>
            </w:r>
          </w:p>
        </w:tc>
        <w:tc>
          <w:tcPr>
            <w:tcW w:w="22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5"/>
                <w:szCs w:val="15"/>
                <w:color w:val="auto"/>
              </w:rPr>
              <w:t>(1,139)</w:t>
            </w:r>
          </w:p>
        </w:tc>
        <w:tc>
          <w:tcPr>
            <w:tcW w:w="20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(1,103)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2"/>
            <w:shd w:val="clear" w:color="auto" w:fill="F0FFFF"/>
          </w:tcPr>
          <w:p>
            <w:pPr>
              <w:ind w:left="120"/>
              <w:spacing w:after="0"/>
              <w:rPr>
                <w:sz w:val="20"/>
                <w:szCs w:val="20"/>
                <w:color w:val="auto"/>
              </w:rPr>
            </w:pPr>
            <w:r>
              <w:rPr>
                <w:rFonts w:ascii="Arial" w:cs="Arial" w:eastAsia="Arial" w:hAnsi="Arial"/>
                <w:sz w:val="15"/>
                <w:szCs w:val="15"/>
                <w:color w:val="auto"/>
              </w:rPr>
              <w:t>Income before taxes (GAAP)</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27,610</w:t>
            </w: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25,984</w:t>
            </w:r>
          </w:p>
        </w:tc>
        <w:tc>
          <w:tcPr>
            <w:tcW w:w="220" w:type="dxa"/>
            <w:vAlign w:val="bottom"/>
            <w:tcBorders>
              <w:right w:val="single" w:sz="8" w:color="F0FFFF"/>
            </w:tcBorders>
            <w:shd w:val="clear" w:color="auto" w:fill="F0FFFF"/>
          </w:tcPr>
          <w:p>
            <w:pPr>
              <w:spacing w:after="0"/>
              <w:rPr>
                <w:sz w:val="19"/>
                <w:szCs w:val="19"/>
                <w:color w:val="auto"/>
              </w:rPr>
            </w:pP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24,438</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24,404</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25,015</w:t>
            </w:r>
          </w:p>
        </w:tc>
        <w:tc>
          <w:tcPr>
            <w:tcW w:w="220" w:type="dxa"/>
            <w:vAlign w:val="bottom"/>
            <w:shd w:val="clear" w:color="auto" w:fill="F0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5"/>
                <w:szCs w:val="15"/>
                <w:color w:val="auto"/>
              </w:rPr>
              <w:t>78,032</w:t>
            </w:r>
          </w:p>
        </w:tc>
        <w:tc>
          <w:tcPr>
            <w:tcW w:w="220" w:type="dxa"/>
            <w:vAlign w:val="bottom"/>
            <w:tcBorders>
              <w:right w:val="single" w:sz="8" w:color="F0FFFF"/>
            </w:tcBorders>
            <w:shd w:val="clear" w:color="auto" w:fill="F0FFFF"/>
          </w:tcPr>
          <w:p>
            <w:pPr>
              <w:spacing w:after="0"/>
              <w:rPr>
                <w:sz w:val="19"/>
                <w:szCs w:val="19"/>
                <w:color w:val="auto"/>
              </w:rPr>
            </w:pPr>
          </w:p>
        </w:tc>
        <w:tc>
          <w:tcPr>
            <w:tcW w:w="200" w:type="dxa"/>
            <w:vAlign w:val="bottom"/>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5"/>
                <w:szCs w:val="15"/>
                <w:color w:val="auto"/>
              </w:rPr>
              <w:t>10,548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280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b w:val="1"/>
                <w:bCs w:val="1"/>
                <w:color w:val="auto"/>
                <w:w w:val="93"/>
              </w:rPr>
              <w:t>Income tax expense (benefit) reconciliation</w:t>
            </w:r>
          </w:p>
        </w:tc>
        <w:tc>
          <w:tcPr>
            <w:tcW w:w="16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Income tax expense (benefit)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10,399</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10,004</w:t>
            </w:r>
          </w:p>
        </w:tc>
        <w:tc>
          <w:tcPr>
            <w:tcW w:w="22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9,395</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8,873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9,885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29,798</w:t>
            </w:r>
          </w:p>
        </w:tc>
        <w:tc>
          <w:tcPr>
            <w:tcW w:w="22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(245,578)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Taxable equivalent adjustment</w:t>
            </w:r>
          </w:p>
        </w:tc>
        <w:tc>
          <w:tcPr>
            <w:tcW w:w="160" w:type="dxa"/>
            <w:vAlign w:val="bottom"/>
            <w:shd w:val="clear" w:color="auto" w:fill="F0FFFF"/>
          </w:tcPr>
          <w:p>
            <w:pPr>
              <w:spacing w:after="0"/>
              <w:rPr>
                <w:sz w:val="15"/>
                <w:szCs w:val="15"/>
                <w:color w:val="auto"/>
              </w:rPr>
            </w:pPr>
          </w:p>
        </w:tc>
        <w:tc>
          <w:tcPr>
            <w:tcW w:w="108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(405)</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5"/>
                <w:szCs w:val="15"/>
                <w:color w:val="auto"/>
              </w:rPr>
              <w:t>(377)</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(357)</w:t>
            </w:r>
          </w:p>
        </w:tc>
        <w:tc>
          <w:tcPr>
            <w:tcW w:w="140" w:type="dxa"/>
            <w:vAlign w:val="bottom"/>
            <w:shd w:val="clear" w:color="auto" w:fill="F0FFFF"/>
          </w:tcPr>
          <w:p>
            <w:pPr>
              <w:spacing w:after="0"/>
              <w:rPr>
                <w:sz w:val="15"/>
                <w:szCs w:val="15"/>
                <w:color w:val="auto"/>
              </w:rPr>
            </w:pPr>
          </w:p>
        </w:tc>
        <w:tc>
          <w:tcPr>
            <w:tcW w:w="10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(380)</w:t>
            </w: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(370)</w:t>
            </w:r>
          </w:p>
        </w:tc>
        <w:tc>
          <w:tcPr>
            <w:tcW w:w="220" w:type="dxa"/>
            <w:vAlign w:val="bottom"/>
            <w:shd w:val="clear" w:color="auto" w:fill="F0FFFF"/>
          </w:tcPr>
          <w:p>
            <w:pPr>
              <w:spacing w:after="0"/>
              <w:rPr>
                <w:sz w:val="15"/>
                <w:szCs w:val="15"/>
                <w:color w:val="auto"/>
              </w:rPr>
            </w:pPr>
          </w:p>
        </w:tc>
        <w:tc>
          <w:tcPr>
            <w:tcW w:w="100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5"/>
                <w:szCs w:val="15"/>
                <w:color w:val="auto"/>
              </w:rPr>
              <w:t>(1,139)</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(1,103)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ind w:left="120"/>
              <w:spacing w:after="0"/>
              <w:rPr>
                <w:sz w:val="20"/>
                <w:szCs w:val="20"/>
                <w:color w:val="auto"/>
              </w:rPr>
            </w:pPr>
            <w:r>
              <w:rPr>
                <w:rFonts w:ascii="Arial" w:cs="Arial" w:eastAsia="Arial" w:hAnsi="Arial"/>
                <w:sz w:val="15"/>
                <w:szCs w:val="15"/>
                <w:color w:val="auto"/>
              </w:rPr>
              <w:t>Income tax expense (benefit) (GAAP)</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9,994</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9,627</w:t>
            </w:r>
          </w:p>
        </w:tc>
        <w:tc>
          <w:tcPr>
            <w:tcW w:w="22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9,038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8,493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9,515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5"/>
                <w:szCs w:val="15"/>
                <w:color w:val="auto"/>
              </w:rPr>
              <w:t>28,659</w:t>
            </w:r>
          </w:p>
        </w:tc>
        <w:tc>
          <w:tcPr>
            <w:tcW w:w="220" w:type="dxa"/>
            <w:vAlign w:val="bottom"/>
          </w:tcPr>
          <w:p>
            <w:pPr>
              <w:spacing w:after="0"/>
              <w:rPr>
                <w:sz w:val="15"/>
                <w:szCs w:val="15"/>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80"/>
              <w:spacing w:after="0"/>
              <w:rPr>
                <w:sz w:val="20"/>
                <w:szCs w:val="20"/>
                <w:color w:val="auto"/>
              </w:rPr>
            </w:pPr>
            <w:r>
              <w:rPr>
                <w:rFonts w:ascii="Arial" w:cs="Arial" w:eastAsia="Arial" w:hAnsi="Arial"/>
                <w:sz w:val="15"/>
                <w:szCs w:val="15"/>
                <w:color w:val="auto"/>
              </w:rPr>
              <w:t>(246,681)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800" w:type="dxa"/>
            <w:vAlign w:val="bottom"/>
            <w:shd w:val="clear" w:color="auto" w:fill="F0FFFF"/>
          </w:tcPr>
          <w:p>
            <w:pPr>
              <w:spacing w:after="0"/>
              <w:rPr>
                <w:sz w:val="14"/>
                <w:szCs w:val="14"/>
                <w:color w:val="auto"/>
              </w:rPr>
            </w:pPr>
          </w:p>
        </w:tc>
        <w:tc>
          <w:tcPr>
            <w:tcW w:w="100" w:type="dxa"/>
            <w:vAlign w:val="bottom"/>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6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b w:val="1"/>
                <w:bCs w:val="1"/>
                <w:color w:val="auto"/>
                <w:w w:val="89"/>
              </w:rPr>
              <w:t>Book value per common share reconciliation</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Tangible book value per common share</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12.10</w:t>
            </w: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11.91</w:t>
            </w: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11.63</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11.26</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10.95</w:t>
            </w:r>
          </w:p>
        </w:tc>
        <w:tc>
          <w:tcPr>
            <w:tcW w:w="220" w:type="dxa"/>
            <w:vAlign w:val="bottom"/>
            <w:shd w:val="clear" w:color="auto" w:fill="F0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12.10</w:t>
            </w:r>
          </w:p>
        </w:tc>
        <w:tc>
          <w:tcPr>
            <w:tcW w:w="220" w:type="dxa"/>
            <w:vAlign w:val="bottom"/>
            <w:tcBorders>
              <w:right w:val="single" w:sz="8" w:color="F0FFFF"/>
            </w:tcBorders>
            <w:shd w:val="clear" w:color="auto" w:fill="F0FFFF"/>
          </w:tcPr>
          <w:p>
            <w:pPr>
              <w:spacing w:after="0"/>
              <w:rPr>
                <w:sz w:val="15"/>
                <w:szCs w:val="15"/>
                <w:color w:val="auto"/>
              </w:rPr>
            </w:pPr>
          </w:p>
        </w:tc>
        <w:tc>
          <w:tcPr>
            <w:tcW w:w="200" w:type="dxa"/>
            <w:vAlign w:val="bottom"/>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5"/>
                <w:szCs w:val="15"/>
                <w:color w:val="auto"/>
              </w:rPr>
              <w:t>10.95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Effect of goodwill and other intangibles</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.05</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.03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.03</w:t>
            </w:r>
          </w:p>
        </w:tc>
        <w:tc>
          <w:tcPr>
            <w:tcW w:w="1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.04</w:t>
            </w: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.04</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.05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2900" w:type="dxa"/>
            <w:vAlign w:val="bottom"/>
            <w:gridSpan w:val="2"/>
            <w:shd w:val="clear" w:color="auto" w:fill="F0FFFF"/>
          </w:tcPr>
          <w:p>
            <w:pPr>
              <w:ind w:left="120"/>
              <w:spacing w:after="0"/>
              <w:rPr>
                <w:sz w:val="20"/>
                <w:szCs w:val="20"/>
                <w:color w:val="auto"/>
              </w:rPr>
            </w:pPr>
            <w:r>
              <w:rPr>
                <w:rFonts w:ascii="Arial" w:cs="Arial" w:eastAsia="Arial" w:hAnsi="Arial"/>
                <w:sz w:val="15"/>
                <w:szCs w:val="15"/>
                <w:color w:val="auto"/>
              </w:rPr>
              <w:t>Book value per common share (GAAP)</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12.15</w:t>
            </w: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11.94</w:t>
            </w:r>
          </w:p>
        </w:tc>
        <w:tc>
          <w:tcPr>
            <w:tcW w:w="180" w:type="dxa"/>
            <w:vAlign w:val="bottom"/>
            <w:shd w:val="clear" w:color="auto" w:fill="F0FFFF"/>
          </w:tcPr>
          <w:p>
            <w:pPr>
              <w:jc w:val="right"/>
              <w:ind w:right="27"/>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11.66</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11.30</w:t>
            </w:r>
          </w:p>
        </w:tc>
        <w:tc>
          <w:tcPr>
            <w:tcW w:w="160" w:type="dxa"/>
            <w:vAlign w:val="bottom"/>
            <w:shd w:val="clear" w:color="auto" w:fill="F0FF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10.99</w:t>
            </w:r>
          </w:p>
        </w:tc>
        <w:tc>
          <w:tcPr>
            <w:tcW w:w="220" w:type="dxa"/>
            <w:vAlign w:val="bottom"/>
            <w:shd w:val="clear" w:color="auto" w:fill="F0FFFF"/>
          </w:tcPr>
          <w:p>
            <w:pPr>
              <w:jc w:val="right"/>
              <w:ind w:right="67"/>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F0FFFF"/>
          </w:tcPr>
          <w:p>
            <w:pPr>
              <w:jc w:val="right"/>
              <w:spacing w:after="0"/>
              <w:rPr>
                <w:sz w:val="20"/>
                <w:szCs w:val="20"/>
                <w:color w:val="auto"/>
              </w:rPr>
            </w:pPr>
            <w:r>
              <w:rPr>
                <w:rFonts w:ascii="Arial" w:cs="Arial" w:eastAsia="Arial" w:hAnsi="Arial"/>
                <w:sz w:val="15"/>
                <w:szCs w:val="15"/>
                <w:color w:val="auto"/>
              </w:rPr>
              <w:t>12.15</w:t>
            </w:r>
          </w:p>
        </w:tc>
        <w:tc>
          <w:tcPr>
            <w:tcW w:w="220" w:type="dxa"/>
            <w:vAlign w:val="bottom"/>
            <w:tcBorders>
              <w:right w:val="single" w:sz="8" w:color="F0FFFF"/>
            </w:tcBorders>
            <w:shd w:val="clear" w:color="auto" w:fill="F0FFFF"/>
          </w:tcPr>
          <w:p>
            <w:pPr>
              <w:spacing w:after="0"/>
              <w:rPr>
                <w:sz w:val="19"/>
                <w:szCs w:val="19"/>
                <w:color w:val="auto"/>
              </w:rPr>
            </w:pPr>
          </w:p>
        </w:tc>
        <w:tc>
          <w:tcPr>
            <w:tcW w:w="200" w:type="dxa"/>
            <w:vAlign w:val="bottom"/>
            <w:shd w:val="clear" w:color="auto" w:fill="F0FFFF"/>
          </w:tcPr>
          <w:p>
            <w:pPr>
              <w:jc w:val="right"/>
              <w:ind w:right="88"/>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5"/>
                <w:szCs w:val="15"/>
                <w:color w:val="auto"/>
              </w:rPr>
              <w:t>10.99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2800" w:type="dxa"/>
            <w:vAlign w:val="bottom"/>
            <w:tcBorders>
              <w:top w:val="single" w:sz="8" w:color="F0FFFF"/>
            </w:tcBorders>
          </w:tcPr>
          <w:p>
            <w:pPr>
              <w:spacing w:after="0"/>
              <w:rPr>
                <w:sz w:val="14"/>
                <w:szCs w:val="14"/>
                <w:color w:val="auto"/>
              </w:rPr>
            </w:pPr>
          </w:p>
        </w:tc>
        <w:tc>
          <w:tcPr>
            <w:tcW w:w="10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20" w:type="dxa"/>
            <w:vAlign w:val="bottom"/>
            <w:tcBorders>
              <w:top w:val="single" w:sz="8" w:color="F0FFFF"/>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40" w:type="dxa"/>
            <w:vAlign w:val="bottom"/>
            <w:tcBorders>
              <w:top w:val="single" w:sz="8" w:color="F0FF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b w:val="1"/>
                <w:bCs w:val="1"/>
                <w:color w:val="auto"/>
              </w:rPr>
              <w:t>Average equity to assets reconciliation</w:t>
            </w:r>
          </w:p>
        </w:tc>
        <w:tc>
          <w:tcPr>
            <w:tcW w:w="16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0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220" w:type="dxa"/>
            <w:vAlign w:val="bottom"/>
            <w:tcBorders>
              <w:right w:val="single" w:sz="8" w:color="F0FFFF"/>
            </w:tcBorders>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78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Tangible common equity to assets</w:t>
            </w:r>
          </w:p>
        </w:tc>
        <w:tc>
          <w:tcPr>
            <w:tcW w:w="1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9.83%</w:t>
            </w: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9.58%</w:t>
            </w: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9.22%</w:t>
            </w:r>
          </w:p>
        </w:tc>
        <w:tc>
          <w:tcPr>
            <w:tcW w:w="1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8.99%</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9.02%</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9.55%</w:t>
            </w: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7.04%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Effect of preferred equity</w:t>
            </w:r>
          </w:p>
        </w:tc>
        <w:tc>
          <w:tcPr>
            <w:tcW w:w="160" w:type="dxa"/>
            <w:vAlign w:val="bottom"/>
            <w:shd w:val="clear" w:color="auto" w:fill="F0FFFF"/>
          </w:tcPr>
          <w:p>
            <w:pPr>
              <w:spacing w:after="0"/>
              <w:rPr>
                <w:sz w:val="15"/>
                <w:szCs w:val="15"/>
                <w:color w:val="auto"/>
              </w:rPr>
            </w:pPr>
          </w:p>
        </w:tc>
        <w:tc>
          <w:tcPr>
            <w:tcW w:w="10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.28</w:t>
            </w:r>
          </w:p>
        </w:tc>
        <w:tc>
          <w:tcPr>
            <w:tcW w:w="140" w:type="dxa"/>
            <w:vAlign w:val="bottom"/>
            <w:shd w:val="clear" w:color="auto" w:fill="F0FFFF"/>
          </w:tcPr>
          <w:p>
            <w:pPr>
              <w:spacing w:after="0"/>
              <w:rPr>
                <w:sz w:val="15"/>
                <w:szCs w:val="15"/>
                <w:color w:val="auto"/>
              </w:rPr>
            </w:pPr>
          </w:p>
        </w:tc>
        <w:tc>
          <w:tcPr>
            <w:tcW w:w="10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2.60</w:t>
            </w: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2.74</w:t>
            </w:r>
          </w:p>
        </w:tc>
        <w:tc>
          <w:tcPr>
            <w:tcW w:w="220" w:type="dxa"/>
            <w:vAlign w:val="bottom"/>
            <w:shd w:val="clear" w:color="auto" w:fill="F0FFFF"/>
          </w:tcPr>
          <w:p>
            <w:pPr>
              <w:spacing w:after="0"/>
              <w:rPr>
                <w:sz w:val="15"/>
                <w:szCs w:val="15"/>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5"/>
                <w:szCs w:val="15"/>
                <w:color w:val="auto"/>
              </w:rPr>
              <w:t>.09</w:t>
            </w:r>
          </w:p>
        </w:tc>
        <w:tc>
          <w:tcPr>
            <w:tcW w:w="220" w:type="dxa"/>
            <w:vAlign w:val="bottom"/>
            <w:tcBorders>
              <w:right w:val="single" w:sz="8" w:color="F0FFFF"/>
            </w:tcBorders>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5"/>
                <w:szCs w:val="15"/>
                <w:color w:val="auto"/>
              </w:rPr>
              <w:t>2.81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ind w:left="120"/>
              <w:spacing w:after="0"/>
              <w:rPr>
                <w:sz w:val="20"/>
                <w:szCs w:val="20"/>
                <w:color w:val="auto"/>
              </w:rPr>
            </w:pPr>
            <w:r>
              <w:rPr>
                <w:rFonts w:ascii="Arial" w:cs="Arial" w:eastAsia="Arial" w:hAnsi="Arial"/>
                <w:sz w:val="15"/>
                <w:szCs w:val="15"/>
                <w:color w:val="auto"/>
              </w:rPr>
              <w:t>Tangible equity to assets</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9.83</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9.58</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9.50</w:t>
            </w:r>
          </w:p>
        </w:tc>
        <w:tc>
          <w:tcPr>
            <w:tcW w:w="1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11.59</w:t>
            </w: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11.76</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9.64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9.85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Effect of goodwill and other intangibles</w:t>
            </w:r>
          </w:p>
        </w:tc>
        <w:tc>
          <w:tcPr>
            <w:tcW w:w="160" w:type="dxa"/>
            <w:vAlign w:val="bottom"/>
            <w:shd w:val="clear" w:color="auto" w:fill="F0FFFF"/>
          </w:tcPr>
          <w:p>
            <w:pPr>
              <w:spacing w:after="0"/>
              <w:rPr>
                <w:sz w:val="15"/>
                <w:szCs w:val="15"/>
                <w:color w:val="auto"/>
              </w:rPr>
            </w:pPr>
          </w:p>
        </w:tc>
        <w:tc>
          <w:tcPr>
            <w:tcW w:w="10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.02</w:t>
            </w:r>
          </w:p>
        </w:tc>
        <w:tc>
          <w:tcPr>
            <w:tcW w:w="180" w:type="dxa"/>
            <w:vAlign w:val="bottom"/>
            <w:shd w:val="clear" w:color="auto" w:fill="F0FFFF"/>
          </w:tcPr>
          <w:p>
            <w:pPr>
              <w:spacing w:after="0"/>
              <w:rPr>
                <w:sz w:val="15"/>
                <w:szCs w:val="15"/>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5"/>
                <w:szCs w:val="15"/>
                <w:color w:val="auto"/>
              </w:rPr>
              <w:t>.03</w:t>
            </w:r>
          </w:p>
        </w:tc>
        <w:tc>
          <w:tcPr>
            <w:tcW w:w="22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.02</w:t>
            </w:r>
          </w:p>
        </w:tc>
        <w:tc>
          <w:tcPr>
            <w:tcW w:w="140" w:type="dxa"/>
            <w:vAlign w:val="bottom"/>
            <w:shd w:val="clear" w:color="auto" w:fill="F0FFFF"/>
          </w:tcPr>
          <w:p>
            <w:pPr>
              <w:spacing w:after="0"/>
              <w:rPr>
                <w:sz w:val="15"/>
                <w:szCs w:val="15"/>
                <w:color w:val="auto"/>
              </w:rPr>
            </w:pPr>
          </w:p>
        </w:tc>
        <w:tc>
          <w:tcPr>
            <w:tcW w:w="10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.03</w:t>
            </w: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.04</w:t>
            </w:r>
          </w:p>
        </w:tc>
        <w:tc>
          <w:tcPr>
            <w:tcW w:w="220" w:type="dxa"/>
            <w:vAlign w:val="bottom"/>
            <w:shd w:val="clear" w:color="auto" w:fill="F0FFFF"/>
          </w:tcPr>
          <w:p>
            <w:pPr>
              <w:spacing w:after="0"/>
              <w:rPr>
                <w:sz w:val="15"/>
                <w:szCs w:val="15"/>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5"/>
                <w:szCs w:val="15"/>
                <w:color w:val="auto"/>
              </w:rPr>
              <w:t>.02</w:t>
            </w:r>
          </w:p>
        </w:tc>
        <w:tc>
          <w:tcPr>
            <w:tcW w:w="220" w:type="dxa"/>
            <w:vAlign w:val="bottom"/>
            <w:tcBorders>
              <w:right w:val="single" w:sz="8" w:color="F0FFFF"/>
            </w:tcBorders>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5"/>
                <w:szCs w:val="15"/>
                <w:color w:val="auto"/>
              </w:rPr>
              <w:t>.06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ind w:left="120"/>
              <w:spacing w:after="0"/>
              <w:rPr>
                <w:sz w:val="20"/>
                <w:szCs w:val="20"/>
                <w:color w:val="auto"/>
              </w:rPr>
            </w:pPr>
            <w:r>
              <w:rPr>
                <w:rFonts w:ascii="Arial" w:cs="Arial" w:eastAsia="Arial" w:hAnsi="Arial"/>
                <w:sz w:val="15"/>
                <w:szCs w:val="15"/>
                <w:color w:val="auto"/>
              </w:rPr>
              <w:t>Equity to assets (GAAP)</w:t>
            </w:r>
          </w:p>
        </w:tc>
        <w:tc>
          <w:tcPr>
            <w:tcW w:w="1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9.85%</w:t>
            </w: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9.61%</w:t>
            </w: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9.52%</w:t>
            </w:r>
          </w:p>
        </w:tc>
        <w:tc>
          <w:tcPr>
            <w:tcW w:w="1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11.62%</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11.80%</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9.66%</w:t>
            </w: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9.91%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800" w:type="dxa"/>
            <w:vAlign w:val="bottom"/>
            <w:shd w:val="clear" w:color="auto" w:fill="F0FFFF"/>
          </w:tcPr>
          <w:p>
            <w:pPr>
              <w:spacing w:after="0"/>
              <w:rPr>
                <w:sz w:val="14"/>
                <w:szCs w:val="14"/>
                <w:color w:val="auto"/>
              </w:rPr>
            </w:pPr>
          </w:p>
        </w:tc>
        <w:tc>
          <w:tcPr>
            <w:tcW w:w="1120" w:type="dxa"/>
            <w:vAlign w:val="bottom"/>
            <w:gridSpan w:val="3"/>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80" w:type="dxa"/>
            <w:vAlign w:val="bottom"/>
            <w:shd w:val="clear" w:color="auto" w:fill="F0FFFF"/>
          </w:tcPr>
          <w:p>
            <w:pPr>
              <w:spacing w:after="0"/>
              <w:rPr>
                <w:sz w:val="14"/>
                <w:szCs w:val="14"/>
                <w:color w:val="auto"/>
              </w:rPr>
            </w:pPr>
          </w:p>
        </w:tc>
        <w:tc>
          <w:tcPr>
            <w:tcW w:w="9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160" w:type="dxa"/>
            <w:vAlign w:val="bottom"/>
            <w:shd w:val="clear" w:color="auto" w:fill="F0FFFF"/>
          </w:tcPr>
          <w:p>
            <w:pPr>
              <w:spacing w:after="0"/>
              <w:rPr>
                <w:sz w:val="14"/>
                <w:szCs w:val="14"/>
                <w:color w:val="auto"/>
              </w:rPr>
            </w:pPr>
          </w:p>
        </w:tc>
        <w:tc>
          <w:tcPr>
            <w:tcW w:w="80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22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220" w:type="dxa"/>
            <w:vAlign w:val="bottom"/>
            <w:tcBorders>
              <w:right w:val="single" w:sz="8" w:color="F0FFFF"/>
            </w:tcBorders>
            <w:shd w:val="clear" w:color="auto" w:fill="F0FFFF"/>
          </w:tcPr>
          <w:p>
            <w:pPr>
              <w:spacing w:after="0"/>
              <w:rPr>
                <w:sz w:val="14"/>
                <w:szCs w:val="14"/>
                <w:color w:val="auto"/>
              </w:rPr>
            </w:pPr>
          </w:p>
        </w:tc>
        <w:tc>
          <w:tcPr>
            <w:tcW w:w="200" w:type="dxa"/>
            <w:vAlign w:val="bottom"/>
            <w:shd w:val="clear" w:color="auto" w:fill="F0FFFF"/>
          </w:tcPr>
          <w:p>
            <w:pPr>
              <w:spacing w:after="0"/>
              <w:rPr>
                <w:sz w:val="14"/>
                <w:szCs w:val="14"/>
                <w:color w:val="auto"/>
              </w:rPr>
            </w:pPr>
          </w:p>
        </w:tc>
        <w:tc>
          <w:tcPr>
            <w:tcW w:w="780" w:type="dxa"/>
            <w:vAlign w:val="bottom"/>
            <w:shd w:val="clear" w:color="auto" w:fill="F0FFFF"/>
          </w:tcPr>
          <w:p>
            <w:pPr>
              <w:spacing w:after="0"/>
              <w:rPr>
                <w:sz w:val="14"/>
                <w:szCs w:val="14"/>
                <w:color w:val="auto"/>
              </w:rPr>
            </w:pPr>
          </w:p>
        </w:tc>
        <w:tc>
          <w:tcPr>
            <w:tcW w:w="140" w:type="dxa"/>
            <w:vAlign w:val="bottom"/>
            <w:shd w:val="clear" w:color="auto" w:fill="F0FF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4140" w:type="dxa"/>
            <w:vAlign w:val="bottom"/>
            <w:gridSpan w:val="5"/>
          </w:tcPr>
          <w:p>
            <w:pPr>
              <w:spacing w:after="0"/>
              <w:rPr>
                <w:sz w:val="20"/>
                <w:szCs w:val="20"/>
                <w:color w:val="auto"/>
              </w:rPr>
            </w:pPr>
            <w:r>
              <w:rPr>
                <w:rFonts w:ascii="Arial" w:cs="Arial" w:eastAsia="Arial" w:hAnsi="Arial"/>
                <w:sz w:val="15"/>
                <w:szCs w:val="15"/>
                <w:b w:val="1"/>
                <w:bCs w:val="1"/>
                <w:color w:val="auto"/>
                <w:w w:val="91"/>
              </w:rPr>
              <w:t>Tangible common equity to risk-weighted assets reconciliation</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w w:val="89"/>
              </w:rPr>
              <w:t>Tangible common equity to risk-weighted assets</w:t>
            </w:r>
          </w:p>
        </w:tc>
        <w:tc>
          <w:tcPr>
            <w:tcW w:w="160" w:type="dxa"/>
            <w:vAlign w:val="bottom"/>
            <w:shd w:val="clear" w:color="auto" w:fill="F0FFFF"/>
          </w:tcPr>
          <w:p>
            <w:pPr>
              <w:spacing w:after="0"/>
              <w:rPr>
                <w:sz w:val="15"/>
                <w:szCs w:val="15"/>
                <w:color w:val="auto"/>
              </w:rPr>
            </w:pPr>
          </w:p>
        </w:tc>
        <w:tc>
          <w:tcPr>
            <w:tcW w:w="1080" w:type="dxa"/>
            <w:vAlign w:val="bottom"/>
            <w:tcBorders>
              <w:right w:val="single" w:sz="8" w:color="F0FFFF"/>
            </w:tcBorders>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14.10%</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5"/>
                <w:szCs w:val="15"/>
                <w:color w:val="auto"/>
              </w:rPr>
              <w:t>13.92%</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5"/>
                <w:szCs w:val="15"/>
                <w:color w:val="auto"/>
              </w:rPr>
              <w:t>13.63%</w:t>
            </w:r>
          </w:p>
        </w:tc>
        <w:tc>
          <w:tcPr>
            <w:tcW w:w="140" w:type="dxa"/>
            <w:vAlign w:val="bottom"/>
            <w:shd w:val="clear" w:color="auto" w:fill="F0FFFF"/>
          </w:tcPr>
          <w:p>
            <w:pPr>
              <w:spacing w:after="0"/>
              <w:rPr>
                <w:sz w:val="15"/>
                <w:szCs w:val="15"/>
                <w:color w:val="auto"/>
              </w:rPr>
            </w:pPr>
          </w:p>
        </w:tc>
        <w:tc>
          <w:tcPr>
            <w:tcW w:w="102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5"/>
                <w:szCs w:val="15"/>
                <w:color w:val="auto"/>
              </w:rPr>
              <w:t>13.18%</w:t>
            </w: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5"/>
                <w:szCs w:val="15"/>
                <w:color w:val="auto"/>
              </w:rPr>
              <w:t>13.34%</w:t>
            </w:r>
          </w:p>
        </w:tc>
        <w:tc>
          <w:tcPr>
            <w:tcW w:w="220" w:type="dxa"/>
            <w:vAlign w:val="bottom"/>
            <w:shd w:val="clear" w:color="auto" w:fill="F0FFFF"/>
          </w:tcPr>
          <w:p>
            <w:pPr>
              <w:spacing w:after="0"/>
              <w:rPr>
                <w:sz w:val="15"/>
                <w:szCs w:val="15"/>
                <w:color w:val="auto"/>
              </w:rPr>
            </w:pPr>
          </w:p>
        </w:tc>
        <w:tc>
          <w:tcPr>
            <w:tcW w:w="1000" w:type="dxa"/>
            <w:vAlign w:val="bottom"/>
            <w:tcBorders>
              <w:right w:val="single" w:sz="8" w:color="F0FFFF"/>
            </w:tcBorders>
            <w:gridSpan w:val="2"/>
            <w:shd w:val="clear" w:color="auto" w:fill="F0FFFF"/>
          </w:tcPr>
          <w:p>
            <w:pPr>
              <w:jc w:val="right"/>
              <w:ind w:right="100"/>
              <w:spacing w:after="0"/>
              <w:rPr>
                <w:sz w:val="20"/>
                <w:szCs w:val="20"/>
                <w:color w:val="auto"/>
              </w:rPr>
            </w:pPr>
            <w:r>
              <w:rPr>
                <w:rFonts w:ascii="Arial" w:cs="Arial" w:eastAsia="Arial" w:hAnsi="Arial"/>
                <w:sz w:val="15"/>
                <w:szCs w:val="15"/>
                <w:color w:val="auto"/>
              </w:rPr>
              <w:t>14.10%</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spacing w:after="0"/>
              <w:rPr>
                <w:sz w:val="20"/>
                <w:szCs w:val="20"/>
                <w:color w:val="auto"/>
              </w:rPr>
            </w:pPr>
            <w:r>
              <w:rPr>
                <w:rFonts w:ascii="Arial" w:cs="Arial" w:eastAsia="Arial" w:hAnsi="Arial"/>
                <w:sz w:val="15"/>
                <w:szCs w:val="15"/>
                <w:color w:val="auto"/>
              </w:rPr>
              <w:t>13.34%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Effect of other comprehensive income</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.34</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.53</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.36</w:t>
            </w:r>
          </w:p>
        </w:tc>
        <w:tc>
          <w:tcPr>
            <w:tcW w:w="1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.39</w:t>
            </w: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.49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Effect of deferred tax limitation</w:t>
            </w:r>
          </w:p>
        </w:tc>
        <w:tc>
          <w:tcPr>
            <w:tcW w:w="160" w:type="dxa"/>
            <w:vAlign w:val="bottom"/>
            <w:shd w:val="clear" w:color="auto" w:fill="F0FFFF"/>
          </w:tcPr>
          <w:p>
            <w:pPr>
              <w:spacing w:after="0"/>
              <w:rPr>
                <w:sz w:val="15"/>
                <w:szCs w:val="15"/>
                <w:color w:val="auto"/>
              </w:rPr>
            </w:pPr>
          </w:p>
        </w:tc>
        <w:tc>
          <w:tcPr>
            <w:tcW w:w="108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(3.39)</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5"/>
                <w:szCs w:val="15"/>
                <w:color w:val="auto"/>
              </w:rPr>
              <w:t>(3.74)</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(3.92)</w:t>
            </w:r>
          </w:p>
        </w:tc>
        <w:tc>
          <w:tcPr>
            <w:tcW w:w="140" w:type="dxa"/>
            <w:vAlign w:val="bottom"/>
            <w:shd w:val="clear" w:color="auto" w:fill="F0FFFF"/>
          </w:tcPr>
          <w:p>
            <w:pPr>
              <w:spacing w:after="0"/>
              <w:rPr>
                <w:sz w:val="15"/>
                <w:szCs w:val="15"/>
                <w:color w:val="auto"/>
              </w:rPr>
            </w:pPr>
          </w:p>
        </w:tc>
        <w:tc>
          <w:tcPr>
            <w:tcW w:w="1020" w:type="dxa"/>
            <w:vAlign w:val="bottom"/>
            <w:tcBorders>
              <w:right w:val="single" w:sz="8" w:color="F0FFFF"/>
            </w:tcBorders>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(4.26)</w:t>
            </w: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160"/>
              <w:spacing w:after="0"/>
              <w:rPr>
                <w:sz w:val="20"/>
                <w:szCs w:val="20"/>
                <w:color w:val="auto"/>
              </w:rPr>
            </w:pPr>
            <w:r>
              <w:rPr>
                <w:rFonts w:ascii="Arial" w:cs="Arial" w:eastAsia="Arial" w:hAnsi="Arial"/>
                <w:sz w:val="15"/>
                <w:szCs w:val="15"/>
                <w:color w:val="auto"/>
              </w:rPr>
              <w:t>(4.72)</w:t>
            </w:r>
          </w:p>
        </w:tc>
        <w:tc>
          <w:tcPr>
            <w:tcW w:w="220" w:type="dxa"/>
            <w:vAlign w:val="bottom"/>
            <w:shd w:val="clear" w:color="auto" w:fill="F0FFFF"/>
          </w:tcPr>
          <w:p>
            <w:pPr>
              <w:spacing w:after="0"/>
              <w:rPr>
                <w:sz w:val="15"/>
                <w:szCs w:val="15"/>
                <w:color w:val="auto"/>
              </w:rPr>
            </w:pPr>
          </w:p>
        </w:tc>
        <w:tc>
          <w:tcPr>
            <w:tcW w:w="1000" w:type="dxa"/>
            <w:vAlign w:val="bottom"/>
            <w:tcBorders>
              <w:right w:val="single" w:sz="8" w:color="F0FFFF"/>
            </w:tcBorders>
            <w:gridSpan w:val="2"/>
            <w:shd w:val="clear" w:color="auto" w:fill="F0FFFF"/>
          </w:tcPr>
          <w:p>
            <w:pPr>
              <w:jc w:val="right"/>
              <w:ind w:right="180"/>
              <w:spacing w:after="0"/>
              <w:rPr>
                <w:sz w:val="20"/>
                <w:szCs w:val="20"/>
                <w:color w:val="auto"/>
              </w:rPr>
            </w:pPr>
            <w:r>
              <w:rPr>
                <w:rFonts w:ascii="Arial" w:cs="Arial" w:eastAsia="Arial" w:hAnsi="Arial"/>
                <w:sz w:val="15"/>
                <w:szCs w:val="15"/>
                <w:color w:val="auto"/>
              </w:rPr>
              <w:t>(3.39)</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80"/>
              <w:spacing w:after="0"/>
              <w:rPr>
                <w:sz w:val="20"/>
                <w:szCs w:val="20"/>
                <w:color w:val="auto"/>
              </w:rPr>
            </w:pPr>
            <w:r>
              <w:rPr>
                <w:rFonts w:ascii="Arial" w:cs="Arial" w:eastAsia="Arial" w:hAnsi="Arial"/>
                <w:sz w:val="15"/>
                <w:szCs w:val="15"/>
                <w:color w:val="auto"/>
              </w:rPr>
              <w:t>(4.72)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spacing w:after="0"/>
              <w:rPr>
                <w:sz w:val="20"/>
                <w:szCs w:val="20"/>
                <w:color w:val="auto"/>
              </w:rPr>
            </w:pPr>
            <w:r>
              <w:rPr>
                <w:rFonts w:ascii="Arial" w:cs="Arial" w:eastAsia="Arial" w:hAnsi="Arial"/>
                <w:sz w:val="15"/>
                <w:szCs w:val="15"/>
                <w:color w:val="auto"/>
              </w:rPr>
              <w:t>Effect of trust preferred</w:t>
            </w:r>
          </w:p>
        </w:tc>
        <w:tc>
          <w:tcPr>
            <w:tcW w:w="160" w:type="dxa"/>
            <w:vAlign w:val="bottom"/>
          </w:tcPr>
          <w:p>
            <w:pPr>
              <w:spacing w:after="0"/>
              <w:rPr>
                <w:sz w:val="15"/>
                <w:szCs w:val="15"/>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5"/>
                <w:szCs w:val="15"/>
                <w:color w:val="auto"/>
              </w:rPr>
              <w:t>1.02</w:t>
            </w: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1.04</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5"/>
                <w:szCs w:val="15"/>
                <w:color w:val="auto"/>
              </w:rPr>
              <w:t>1.03</w:t>
            </w:r>
          </w:p>
        </w:tc>
        <w:tc>
          <w:tcPr>
            <w:tcW w:w="14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1.04</w:t>
            </w:r>
          </w:p>
        </w:tc>
        <w:tc>
          <w:tcPr>
            <w:tcW w:w="16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5"/>
                <w:szCs w:val="15"/>
                <w:color w:val="auto"/>
              </w:rPr>
              <w:t>1.09</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1.02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5"/>
                <w:szCs w:val="15"/>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shd w:val="clear" w:color="auto" w:fill="F0FFFF"/>
          </w:tcPr>
          <w:p>
            <w:pPr>
              <w:spacing w:after="0"/>
              <w:rPr>
                <w:sz w:val="20"/>
                <w:szCs w:val="20"/>
                <w:color w:val="auto"/>
              </w:rPr>
            </w:pPr>
            <w:r>
              <w:rPr>
                <w:rFonts w:ascii="Arial" w:cs="Arial" w:eastAsia="Arial" w:hAnsi="Arial"/>
                <w:sz w:val="15"/>
                <w:szCs w:val="15"/>
                <w:color w:val="auto"/>
              </w:rPr>
              <w:t>Effect of preferred equity</w:t>
            </w:r>
          </w:p>
        </w:tc>
        <w:tc>
          <w:tcPr>
            <w:tcW w:w="160" w:type="dxa"/>
            <w:vAlign w:val="bottom"/>
            <w:shd w:val="clear" w:color="auto" w:fill="F0FFFF"/>
          </w:tcPr>
          <w:p>
            <w:pPr>
              <w:spacing w:after="0"/>
              <w:rPr>
                <w:sz w:val="15"/>
                <w:szCs w:val="15"/>
                <w:color w:val="auto"/>
              </w:rPr>
            </w:pPr>
          </w:p>
        </w:tc>
        <w:tc>
          <w:tcPr>
            <w:tcW w:w="108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w:t>
            </w:r>
          </w:p>
        </w:tc>
        <w:tc>
          <w:tcPr>
            <w:tcW w:w="180" w:type="dxa"/>
            <w:vAlign w:val="bottom"/>
            <w:shd w:val="clear" w:color="auto" w:fill="F0FFFF"/>
          </w:tcPr>
          <w:p>
            <w:pPr>
              <w:spacing w:after="0"/>
              <w:rPr>
                <w:sz w:val="15"/>
                <w:szCs w:val="15"/>
                <w:color w:val="auto"/>
              </w:rPr>
            </w:pPr>
          </w:p>
        </w:tc>
        <w:tc>
          <w:tcPr>
            <w:tcW w:w="11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w:t>
            </w:r>
          </w:p>
        </w:tc>
        <w:tc>
          <w:tcPr>
            <w:tcW w:w="140" w:type="dxa"/>
            <w:vAlign w:val="bottom"/>
            <w:shd w:val="clear" w:color="auto" w:fill="F0FFFF"/>
          </w:tcPr>
          <w:p>
            <w:pPr>
              <w:spacing w:after="0"/>
              <w:rPr>
                <w:sz w:val="15"/>
                <w:szCs w:val="15"/>
                <w:color w:val="auto"/>
              </w:rPr>
            </w:pPr>
          </w:p>
        </w:tc>
        <w:tc>
          <w:tcPr>
            <w:tcW w:w="102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2.39</w:t>
            </w:r>
          </w:p>
        </w:tc>
        <w:tc>
          <w:tcPr>
            <w:tcW w:w="160" w:type="dxa"/>
            <w:vAlign w:val="bottom"/>
            <w:shd w:val="clear" w:color="auto" w:fill="F0FFFF"/>
          </w:tcPr>
          <w:p>
            <w:pPr>
              <w:spacing w:after="0"/>
              <w:rPr>
                <w:sz w:val="15"/>
                <w:szCs w:val="15"/>
                <w:color w:val="auto"/>
              </w:rPr>
            </w:pPr>
          </w:p>
        </w:tc>
        <w:tc>
          <w:tcPr>
            <w:tcW w:w="1020" w:type="dxa"/>
            <w:vAlign w:val="bottom"/>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4.01</w:t>
            </w:r>
          </w:p>
        </w:tc>
        <w:tc>
          <w:tcPr>
            <w:tcW w:w="220" w:type="dxa"/>
            <w:vAlign w:val="bottom"/>
            <w:shd w:val="clear" w:color="auto" w:fill="F0FFFF"/>
          </w:tcPr>
          <w:p>
            <w:pPr>
              <w:spacing w:after="0"/>
              <w:rPr>
                <w:sz w:val="15"/>
                <w:szCs w:val="15"/>
                <w:color w:val="auto"/>
              </w:rPr>
            </w:pPr>
          </w:p>
        </w:tc>
        <w:tc>
          <w:tcPr>
            <w:tcW w:w="1000" w:type="dxa"/>
            <w:vAlign w:val="bottom"/>
            <w:tcBorders>
              <w:right w:val="single" w:sz="8" w:color="F0FFFF"/>
            </w:tcBorders>
            <w:gridSpan w:val="2"/>
            <w:shd w:val="clear" w:color="auto" w:fill="F0FFFF"/>
          </w:tcPr>
          <w:p>
            <w:pPr>
              <w:jc w:val="right"/>
              <w:ind w:right="220"/>
              <w:spacing w:after="0"/>
              <w:rPr>
                <w:sz w:val="20"/>
                <w:szCs w:val="20"/>
                <w:color w:val="auto"/>
              </w:rPr>
            </w:pPr>
            <w:r>
              <w:rPr>
                <w:rFonts w:ascii="Arial" w:cs="Arial" w:eastAsia="Arial" w:hAnsi="Arial"/>
                <w:sz w:val="15"/>
                <w:szCs w:val="15"/>
                <w:color w:val="auto"/>
              </w:rPr>
              <w:t>—</w:t>
            </w:r>
          </w:p>
        </w:tc>
        <w:tc>
          <w:tcPr>
            <w:tcW w:w="200" w:type="dxa"/>
            <w:vAlign w:val="bottom"/>
            <w:shd w:val="clear" w:color="auto" w:fill="F0FFFF"/>
          </w:tcPr>
          <w:p>
            <w:pPr>
              <w:spacing w:after="0"/>
              <w:rPr>
                <w:sz w:val="15"/>
                <w:szCs w:val="15"/>
                <w:color w:val="auto"/>
              </w:rPr>
            </w:pP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5"/>
                <w:szCs w:val="15"/>
                <w:color w:val="auto"/>
              </w:rPr>
              <w:t>4.01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8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Borders>
              <w:right w:val="single" w:sz="8" w:color="F0FFFF"/>
            </w:tcBorders>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2900" w:type="dxa"/>
            <w:vAlign w:val="bottom"/>
            <w:gridSpan w:val="2"/>
          </w:tcPr>
          <w:p>
            <w:pPr>
              <w:ind w:left="120"/>
              <w:spacing w:after="0"/>
              <w:rPr>
                <w:sz w:val="20"/>
                <w:szCs w:val="20"/>
                <w:color w:val="auto"/>
              </w:rPr>
            </w:pPr>
            <w:r>
              <w:rPr>
                <w:rFonts w:ascii="Arial" w:cs="Arial" w:eastAsia="Arial" w:hAnsi="Arial"/>
                <w:sz w:val="15"/>
                <w:szCs w:val="15"/>
                <w:color w:val="auto"/>
              </w:rPr>
              <w:t>Tier I capital ratio (Regulatory)</w:t>
            </w:r>
          </w:p>
        </w:tc>
        <w:tc>
          <w:tcPr>
            <w:tcW w:w="160" w:type="dxa"/>
            <w:vAlign w:val="bottom"/>
          </w:tcPr>
          <w:p>
            <w:pPr>
              <w:spacing w:after="0"/>
              <w:rPr>
                <w:sz w:val="15"/>
                <w:szCs w:val="15"/>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5"/>
                <w:szCs w:val="15"/>
                <w:color w:val="auto"/>
              </w:rPr>
              <w:t>12.07%</w:t>
            </w: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11.75%</w:t>
            </w:r>
          </w:p>
        </w:tc>
        <w:tc>
          <w:tcPr>
            <w:tcW w:w="180" w:type="dxa"/>
            <w:vAlign w:val="bottom"/>
          </w:tcPr>
          <w:p>
            <w:pPr>
              <w:spacing w:after="0"/>
              <w:rPr>
                <w:sz w:val="15"/>
                <w:szCs w:val="15"/>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5"/>
                <w:szCs w:val="15"/>
                <w:color w:val="auto"/>
              </w:rPr>
              <w:t>11.10%</w:t>
            </w:r>
          </w:p>
        </w:tc>
        <w:tc>
          <w:tcPr>
            <w:tcW w:w="14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12.74%</w:t>
            </w:r>
          </w:p>
        </w:tc>
        <w:tc>
          <w:tcPr>
            <w:tcW w:w="160" w:type="dxa"/>
            <w:vAlign w:val="bottom"/>
          </w:tcPr>
          <w:p>
            <w:pPr>
              <w:spacing w:after="0"/>
              <w:rPr>
                <w:sz w:val="15"/>
                <w:szCs w:val="15"/>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5"/>
                <w:szCs w:val="15"/>
                <w:color w:val="auto"/>
              </w:rPr>
              <w:t>14.21%</w:t>
            </w:r>
          </w:p>
        </w:tc>
        <w:tc>
          <w:tcPr>
            <w:tcW w:w="2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12.07%</w:t>
            </w:r>
          </w:p>
        </w:tc>
        <w:tc>
          <w:tcPr>
            <w:tcW w:w="20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5"/>
                <w:szCs w:val="15"/>
                <w:color w:val="auto"/>
              </w:rPr>
              <w:t>14.21%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Interest Revenue (Taxable Equivalent)</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September 30, 2014 was $57.0 million, up $2.71 million from the third quarter of 2013. Higher interest revenue on the investment securities portfolio and lower interest costs on deposits and borrowed funds were responsible for the increase in net interest revenue. United continues to focus on loan and deposit pricing in an effort to maintain a steady level of net interest revenue.</w:t>
      </w:r>
    </w:p>
    <w:p>
      <w:pPr>
        <w:spacing w:after="0" w:line="192"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While average loans increased $196 million, or 5%, from the third quarter of last year, the yield on loans decreased 24 basis points, reflecting the continuing effect of the low interest rate environment and pricing competition for a limited number of quality lending opportunities.</w:t>
      </w:r>
    </w:p>
    <w:p>
      <w:pPr>
        <w:spacing w:after="0" w:line="175" w:lineRule="exact"/>
        <w:rPr>
          <w:sz w:val="20"/>
          <w:szCs w:val="20"/>
          <w:color w:val="auto"/>
        </w:rPr>
      </w:pPr>
    </w:p>
    <w:p>
      <w:pPr>
        <w:jc w:val="both"/>
        <w:ind w:right="20"/>
        <w:spacing w:after="0" w:line="302" w:lineRule="auto"/>
        <w:rPr>
          <w:sz w:val="20"/>
          <w:szCs w:val="20"/>
          <w:color w:val="auto"/>
        </w:rPr>
      </w:pPr>
      <w:r>
        <w:rPr>
          <w:rFonts w:ascii="Arial" w:cs="Arial" w:eastAsia="Arial" w:hAnsi="Arial"/>
          <w:sz w:val="14"/>
          <w:szCs w:val="14"/>
          <w:color w:val="auto"/>
        </w:rPr>
        <w:t>Average interest-earning assets for the third quarter of 2014 increased $205 million, or 3%, from the same period in 2013, which was due primarily to the increase in loans and securities. Average investment securities for the third quarter of 2014 increased $54.7 million from a year ago consistent with general growth in the balance sheet. The average yield on the investment portfolio increased 40 basis points from a year ago, mostly due to changes in the asset mix resulting from portfolio restructuring activities executed in the second quarter of 2014. Also contributing to the higher securities portfolio yield was slowing prepayment activity in the mortgage-backed securities (“MBS”) portfolio which was mostly purchased at a premium. The slowing prepayment activity resulted from rising long-term interest rates which slowed the rate of mortgage refinancing activity. Generally, increased prepayment activity resulting from low mortgage rates accelerates the amortization of premiums causing a reduction in the yield on the bonds.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1032" w:right="219" w:bottom="1440" w:gutter="0" w:footer="0" w:header="0"/>
        </w:sectPr>
      </w:pPr>
    </w:p>
    <w:bookmarkStart w:id="46" w:name="page47"/>
    <w:bookmarkEnd w:id="46"/>
    <w:p>
      <w:pPr>
        <w:jc w:val="both"/>
        <w:ind w:right="20"/>
        <w:spacing w:after="0" w:line="258" w:lineRule="auto"/>
        <w:rPr>
          <w:sz w:val="20"/>
          <w:szCs w:val="20"/>
          <w:color w:val="auto"/>
        </w:rPr>
      </w:pPr>
      <w:r>
        <w:rPr>
          <w:rFonts w:ascii="Arial" w:cs="Arial" w:eastAsia="Arial" w:hAnsi="Arial"/>
          <w:sz w:val="16"/>
          <w:szCs w:val="16"/>
          <w:color w:val="auto"/>
        </w:rPr>
        <w:t>During the second quarter of 2014, United sold approximately $237 million in securities which were mostly low-yielding variable-rate collateralized mortgage obligations (“CMOs”) and fixed rate corporate bonds that had been swapped to a floating rate. Improvement in the credit spreads on corporate bonds allowed United to sell the securities at an attractive gain that was used to repay $44 million in structured repurchase agreements that were paying a 4% interest rate. About $120 million of the proceeds from the sales of securities were reinvested in fixed rate MBS and higher yielding floating rate collateralized loan obligations to offset the impact of the decrease in interest revenue on the sold securities. These actions in the second quarter of 2014, along with strong loan growth in the third quarter, were primarily responsible for increasing net interest revenue and improving the net interest margin in the third quarter of 2014.</w:t>
      </w:r>
    </w:p>
    <w:p>
      <w:pPr>
        <w:spacing w:after="0" w:line="196"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Also in the second quarter of 2014, as a result of improvement in the interest sensitivity position, United effectively terminated $300 million notional in pay fixed forward starting swaps that were serving as cash flow hedges of LIBOR based wholesale borrowings and indexed money market deposits. The swaps were entered into in 2012 in anticipation of rising interest rates and had forward start dates that took effect in the first and second quarters of 2014. Changes in United’s balance sheet since that time made the hedges no longer necessary to achieve a neutral interest sensitivity position. The termination of the cash flow hedges in the second quarter of 2014 lowered United’s deposit and wholesale borrowings costs and also contributed to the increase in net interest revenue and improvement in the net interest margin.</w:t>
      </w:r>
    </w:p>
    <w:p>
      <w:pPr>
        <w:spacing w:after="0" w:line="179"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The above noted securities transactions, along with slowing prepayment activity in United’s mortgage backed securities, which were mostly purchased at a premium, increased the overall yield in the investment portfolio. The higher investment securities yields completely offset the decline in loan yields, which kept the average yield on interest-earning assets for the third quarter of 2014 equal to the third quarter of 2013. The yield on other interest-earning assets increased 41 basis points although the average balance declined from the third quarter of 2013. United utilizes reverse repurchase agreements, including collateral swap transactions, where the company enters into a repurchase agreement and reverse repurchase agreement simultaneously with the same counterparty subject to a master netting agreement. In these transactions, the offsetting balances are netted on the balance sheet.</w:t>
      </w:r>
    </w:p>
    <w:p>
      <w:pPr>
        <w:spacing w:after="0" w:line="19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Average interest-bearing liabilities increased $150 million, or 3%, from the third quarter of 2013. Average noninterest bearing deposits increased $173 million from the third quarter of 2013 to the third quarter of 2014. The average cost of interest-bearing liabilities for the third quarter of 2014 was .50% compared to .58 for the same period of 2013, reflecting United’s concerted efforts to reduce deposit pricing. During the second quarter of 2014, in conjunction with balance sheet restructuring activities, United prepaid approximately $44 million in other borrowings that were costing approximately 4%. Also contributing to the overall lower rate on interest-bearing liabilities was a shift in the mix of deposits away from more expensive time deposits toward lower-rate transaction deposits.</w:t>
      </w:r>
    </w:p>
    <w:p>
      <w:pPr>
        <w:spacing w:after="0" w:line="1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19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For the three months ended September 30, 2014 and 2013, the net interest spread was 3.19% and 3.11%, respectively, while the net interest margin was 3.32% and 3.26%, respectively. The increase in both ratios reflects the impact of the second quarter 2014 balance sheet management activities described above as well as growth in the loan portfolio.</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For the first nine months of 2014, net interest revenue was $166 million, a decrease of $2.32 million, or 1%, from the first nine months of 2013. Average earning assets increased $246 million, or 4%, during the first nine months of 2014, compared to the same period a year ago. The yield on earning assets decreased 13 basis points from 3.76% for the nine months ended September 30, 2013, to 3.63% for the nine months ended September 30, 2014, due to declining loan yields. The lower loan portfolio yield reflects competitive pricing pressure on new and renewed loans. Investment yields increased 26 basis points for the first nine months of 2014 compared to the first nine months of 2013, which helped offset some of the decrease on loan yields. The increase in the securities portfolio yield is due to the second quarter 2014 balance sheet restructuring activities described above and slowing prepayment activity in the mortgage backed securities portfolio. The rate on interest bearing liabilities over the same period decreased 9 basis points. The combined effect of the lower yield on interest earning assets, which was not completely offset by the increase in the investment securities yield and the reduction in rates paid on interest bearing liabilities, resulted in the net interest margin decreasing 7 basis points from the nine months ended September 30, 2013 to the nine months ended September 30, 2014.</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47" w:name="page48"/>
    <w:bookmarkEnd w:id="47"/>
    <w:p>
      <w:pPr>
        <w:ind w:left="3" w:right="80"/>
        <w:spacing w:after="0" w:line="281" w:lineRule="auto"/>
        <w:rPr>
          <w:sz w:val="20"/>
          <w:szCs w:val="20"/>
          <w:color w:val="auto"/>
        </w:rPr>
      </w:pPr>
      <w:r>
        <w:rPr>
          <w:rFonts w:ascii="Arial" w:cs="Arial" w:eastAsia="Arial" w:hAnsi="Arial"/>
          <w:sz w:val="16"/>
          <w:szCs w:val="16"/>
          <w:color w:val="auto"/>
        </w:rPr>
        <w:t>The following table shows the relationship between interest revenue and expense, and the average amounts of interest-earning assets and interest-bearing liabilities for the three months ended September 30, 2014 and 2013.</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Table 2 - Average Consolidated Balance Sheets and Net Interest Analysis</w:t>
      </w:r>
    </w:p>
    <w:p>
      <w:pPr>
        <w:spacing w:after="0" w:line="26" w:lineRule="exact"/>
        <w:rPr>
          <w:sz w:val="20"/>
          <w:szCs w:val="20"/>
          <w:color w:val="auto"/>
        </w:rPr>
      </w:pPr>
    </w:p>
    <w:p>
      <w:pPr>
        <w:ind w:left="3"/>
        <w:spacing w:after="0"/>
        <w:rPr>
          <w:sz w:val="20"/>
          <w:szCs w:val="20"/>
          <w:color w:val="auto"/>
        </w:rPr>
      </w:pPr>
      <w:r>
        <w:rPr>
          <w:rFonts w:ascii="Arial" w:cs="Arial" w:eastAsia="Arial" w:hAnsi="Arial"/>
          <w:sz w:val="16"/>
          <w:szCs w:val="16"/>
          <w:color w:val="auto"/>
        </w:rPr>
        <w:t>For the Three Months Ended September 30,</w:t>
      </w:r>
    </w:p>
    <w:p>
      <w:pPr>
        <w:spacing w:after="0" w:line="10" w:lineRule="exact"/>
        <w:rPr>
          <w:sz w:val="20"/>
          <w:szCs w:val="20"/>
          <w:color w:val="auto"/>
        </w:rPr>
      </w:pPr>
    </w:p>
    <w:tbl>
      <w:tblPr>
        <w:tblLayout w:type="fixed"/>
        <w:tblInd w:w="3"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00"/>
              <w:spacing w:after="0" w:line="17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39"/>
              <w:spacing w:after="0" w:line="178" w:lineRule="exact"/>
              <w:rPr>
                <w:sz w:val="20"/>
                <w:szCs w:val="20"/>
                <w:color w:val="auto"/>
              </w:rPr>
            </w:pPr>
            <w:r>
              <w:rPr>
                <w:rFonts w:ascii="Arial" w:cs="Arial" w:eastAsia="Arial" w:hAnsi="Arial"/>
                <w:sz w:val="16"/>
                <w:szCs w:val="16"/>
                <w:b w:val="1"/>
                <w:bCs w:val="1"/>
                <w:color w:val="auto"/>
              </w:rPr>
              <w:t>Avg.</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500"/>
              <w:spacing w:after="0" w:line="17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319"/>
              <w:spacing w:after="0" w:line="178" w:lineRule="exact"/>
              <w:rPr>
                <w:sz w:val="20"/>
                <w:szCs w:val="20"/>
                <w:color w:val="auto"/>
              </w:rPr>
            </w:pPr>
            <w:r>
              <w:rPr>
                <w:rFonts w:ascii="Arial" w:cs="Arial" w:eastAsia="Arial" w:hAnsi="Arial"/>
                <w:sz w:val="16"/>
                <w:szCs w:val="16"/>
                <w:b w:val="1"/>
                <w:bCs w:val="1"/>
                <w:color w:val="auto"/>
              </w:rPr>
              <w:t>Avg.</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0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 taxable equivalent)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Interest</w:t>
            </w:r>
          </w:p>
        </w:tc>
        <w:tc>
          <w:tcPr>
            <w:tcW w:w="138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Rate</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Interest</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tcBorders>
              <w:top w:val="single" w:sz="8" w:color="auto"/>
            </w:tcBorders>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tcBorders>
              <w:top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Interest-earning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 xml:space="preserve">Loans, net of unearned income </w:t>
            </w:r>
            <w:r>
              <w:rPr>
                <w:rFonts w:ascii="Arial" w:cs="Arial" w:eastAsia="Arial" w:hAnsi="Arial"/>
                <w:sz w:val="16"/>
                <w:szCs w:val="16"/>
                <w:color w:val="auto"/>
                <w:vertAlign w:val="superscript"/>
              </w:rPr>
              <w:t>(1)(2)</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4,445,947</w:t>
            </w: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49,853</w:t>
            </w:r>
          </w:p>
        </w:tc>
        <w:tc>
          <w:tcPr>
            <w:tcW w:w="138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4.45%</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4,249,892</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50,265</w:t>
            </w: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16"/>
                <w:szCs w:val="16"/>
                <w:color w:val="auto"/>
                <w:vertAlign w:val="superscript"/>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2,212,116</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12,169</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2.20</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2,157,448</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9,685</w:t>
            </w:r>
          </w:p>
        </w:tc>
        <w:tc>
          <w:tcPr>
            <w:tcW w:w="2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16"/>
                <w:szCs w:val="16"/>
                <w:color w:val="auto"/>
                <w:vertAlign w:val="superscript"/>
              </w:rPr>
              <w:t>(1)(3)</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18,794</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290</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6.17</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20,913</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331</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6.32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ind w:left="120"/>
              <w:spacing w:after="0" w:line="181" w:lineRule="exact"/>
              <w:rPr>
                <w:sz w:val="20"/>
                <w:szCs w:val="20"/>
                <w:color w:val="auto"/>
              </w:rPr>
            </w:pPr>
            <w:r>
              <w:rPr>
                <w:rFonts w:ascii="Arial" w:cs="Arial" w:eastAsia="Arial" w:hAnsi="Arial"/>
                <w:sz w:val="16"/>
                <w:szCs w:val="16"/>
                <w:color w:val="auto"/>
                <w:w w:val="98"/>
              </w:rPr>
              <w:t>Federal funds sold and other interest-earning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143,169</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1,026</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2.87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186,544</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1,145</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ind w:left="260"/>
              <w:spacing w:after="0"/>
              <w:rPr>
                <w:sz w:val="20"/>
                <w:szCs w:val="20"/>
                <w:color w:val="auto"/>
              </w:rPr>
            </w:pPr>
            <w:r>
              <w:rPr>
                <w:rFonts w:ascii="Arial" w:cs="Arial" w:eastAsia="Arial" w:hAnsi="Arial"/>
                <w:sz w:val="16"/>
                <w:szCs w:val="16"/>
                <w:b w:val="1"/>
                <w:bCs w:val="1"/>
                <w:color w:val="auto"/>
              </w:rPr>
              <w:t>Total interest-earning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6,820,026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63,338</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3.69</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6,614,797</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61,426</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3.69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6"/>
                <w:szCs w:val="16"/>
                <w:color w:val="auto"/>
              </w:rPr>
              <w:t>Non-interest-earning assets:</w:t>
            </w:r>
          </w:p>
        </w:tc>
        <w:tc>
          <w:tcPr>
            <w:tcW w:w="10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Allowance for loan losses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(74,146)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(83,408)</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Cash and due from banks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71,224</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63,890</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Premises and equipment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161,315</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166,906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Borders>
              <w:bottom w:val="single" w:sz="8" w:color="F0FFFF"/>
            </w:tcBorders>
            <w:shd w:val="clear" w:color="auto" w:fill="F0FFFF"/>
          </w:tcPr>
          <w:p>
            <w:pPr>
              <w:ind w:left="12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16"/>
                <w:szCs w:val="16"/>
                <w:color w:val="auto"/>
                <w:vertAlign w:val="superscript"/>
              </w:rPr>
              <w:t>(3)</w:t>
            </w:r>
          </w:p>
        </w:tc>
        <w:tc>
          <w:tcPr>
            <w:tcW w:w="10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395,184</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4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right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407,912</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2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7,373,603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7,170,097</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40" w:type="dxa"/>
            <w:vAlign w:val="bottom"/>
            <w:shd w:val="clear" w:color="auto" w:fill="F0FFFF"/>
          </w:tcPr>
          <w:p>
            <w:pPr>
              <w:spacing w:after="0"/>
              <w:rPr>
                <w:sz w:val="15"/>
                <w:szCs w:val="15"/>
                <w:color w:val="auto"/>
              </w:rPr>
            </w:pPr>
          </w:p>
        </w:tc>
        <w:tc>
          <w:tcPr>
            <w:tcW w:w="24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Interest-bearing deposits: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rPr>
              <w:t>NOW</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1,331,806</w:t>
            </w: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365</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.11</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1,222,334</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413</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Money market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1,387,042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872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.25</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1,328,661</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545</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rPr>
              <w:t>Savings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282,746</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20</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.03</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248,937</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37</w:t>
            </w:r>
          </w:p>
        </w:tc>
        <w:tc>
          <w:tcPr>
            <w:tcW w:w="2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Time less than $100,000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791,289</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876</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.44</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952,320</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1,369</w:t>
            </w:r>
          </w:p>
        </w:tc>
        <w:tc>
          <w:tcPr>
            <w:tcW w:w="2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rPr>
              <w:t>Time greater than $100,000</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542,216</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827</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.61</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644,264</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1,229</w:t>
            </w:r>
          </w:p>
        </w:tc>
        <w:tc>
          <w:tcPr>
            <w:tcW w:w="2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Brokered time deposits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278,330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18</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233,842</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shd w:val="clear" w:color="auto" w:fill="F0FFFF"/>
          </w:tcPr>
          <w:p>
            <w:pPr>
              <w:ind w:left="420"/>
              <w:spacing w:after="0"/>
              <w:rPr>
                <w:sz w:val="20"/>
                <w:szCs w:val="20"/>
                <w:color w:val="auto"/>
              </w:rPr>
            </w:pPr>
            <w:r>
              <w:rPr>
                <w:rFonts w:ascii="Arial" w:cs="Arial" w:eastAsia="Arial" w:hAnsi="Arial"/>
                <w:sz w:val="16"/>
                <w:szCs w:val="16"/>
                <w:color w:val="auto"/>
              </w:rPr>
              <w:t>Total interest-bearing deposits</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4,613,429</w:t>
            </w: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2,978</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.26</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4,630,358</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3,625</w:t>
            </w:r>
          </w:p>
        </w:tc>
        <w:tc>
          <w:tcPr>
            <w:tcW w:w="2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140" w:type="dxa"/>
            <w:vAlign w:val="bottom"/>
            <w:tcBorders>
              <w:top w:val="single" w:sz="8" w:color="F0FFFF"/>
            </w:tcBorders>
          </w:tcPr>
          <w:p>
            <w:pPr>
              <w:spacing w:after="0"/>
              <w:rPr>
                <w:sz w:val="16"/>
                <w:szCs w:val="16"/>
                <w:color w:val="auto"/>
              </w:rPr>
            </w:pPr>
          </w:p>
        </w:tc>
        <w:tc>
          <w:tcPr>
            <w:tcW w:w="24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120" w:type="dxa"/>
            <w:vAlign w:val="bottom"/>
            <w:tcBorders>
              <w:top w:val="single" w:sz="8" w:color="F0FFFF"/>
            </w:tcBorders>
          </w:tcPr>
          <w:p>
            <w:pPr>
              <w:spacing w:after="0"/>
              <w:rPr>
                <w:sz w:val="16"/>
                <w:szCs w:val="16"/>
                <w:color w:val="auto"/>
              </w:rPr>
            </w:pPr>
          </w:p>
        </w:tc>
        <w:tc>
          <w:tcPr>
            <w:tcW w:w="16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w w:val="90"/>
              </w:rPr>
              <w:t>Federal funds purchased and other borrowings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53,713</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316</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2.33</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67,292</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525</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Federal Home Loan Bank advances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227,190</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435</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32,082</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w:t>
            </w:r>
          </w:p>
        </w:tc>
        <w:tc>
          <w:tcPr>
            <w:tcW w:w="2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rPr>
              <w:t>Long-term debt</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129,865</w:t>
            </w: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2,642</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8.07</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144,601</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3,003</w:t>
            </w:r>
          </w:p>
        </w:tc>
        <w:tc>
          <w:tcPr>
            <w:tcW w:w="2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8.24</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1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ind w:left="420"/>
              <w:spacing w:after="0"/>
              <w:rPr>
                <w:sz w:val="20"/>
                <w:szCs w:val="20"/>
                <w:color w:val="auto"/>
              </w:rPr>
            </w:pPr>
            <w:r>
              <w:rPr>
                <w:rFonts w:ascii="Arial" w:cs="Arial" w:eastAsia="Arial" w:hAnsi="Arial"/>
                <w:sz w:val="16"/>
                <w:szCs w:val="16"/>
                <w:color w:val="auto"/>
              </w:rPr>
              <w:t>Total borrowed funds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410,768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3,393</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3.28</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243,975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3,544</w:t>
            </w:r>
          </w:p>
        </w:tc>
        <w:tc>
          <w:tcPr>
            <w:tcW w:w="2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ind w:left="42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5,024,197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6,371</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.50</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4,874,333</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7,169</w:t>
            </w:r>
          </w:p>
        </w:tc>
        <w:tc>
          <w:tcPr>
            <w:tcW w:w="2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6"/>
                <w:szCs w:val="16"/>
                <w:color w:val="auto"/>
              </w:rPr>
              <w:t>Non-interest-bearing liabilities: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Non-interest-bearing deposits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1,530,011</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1,356,792</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Borders>
              <w:bottom w:val="single" w:sz="8" w:color="F0FFFF"/>
            </w:tcBorders>
            <w:shd w:val="clear" w:color="auto" w:fill="F0FFFF"/>
          </w:tcPr>
          <w:p>
            <w:pPr>
              <w:ind w:left="120"/>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92,986</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4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right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93,247</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2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6,647,194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6,324,372</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726,409</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4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right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845,725</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2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b w:val="1"/>
                <w:bCs w:val="1"/>
                <w:color w:val="auto"/>
                <w:w w:val="98"/>
              </w:rPr>
              <w:t>Total liabilities and shareholders’ equity</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7,373,603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7,170,097</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40" w:type="dxa"/>
            <w:vAlign w:val="bottom"/>
            <w:shd w:val="clear" w:color="auto" w:fill="F0FFFF"/>
          </w:tcPr>
          <w:p>
            <w:pPr>
              <w:spacing w:after="0"/>
              <w:rPr>
                <w:sz w:val="15"/>
                <w:szCs w:val="15"/>
                <w:color w:val="auto"/>
              </w:rPr>
            </w:pPr>
          </w:p>
        </w:tc>
        <w:tc>
          <w:tcPr>
            <w:tcW w:w="24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b w:val="1"/>
                <w:bCs w:val="1"/>
                <w:color w:val="auto"/>
              </w:rPr>
              <w:t>Net interest revenue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56,967</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54,257</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shd w:val="clear" w:color="auto" w:fill="F0FFFF"/>
          </w:tcPr>
          <w:p>
            <w:pPr>
              <w:spacing w:after="0" w:line="183" w:lineRule="exact"/>
              <w:rPr>
                <w:sz w:val="20"/>
                <w:szCs w:val="20"/>
                <w:color w:val="auto"/>
              </w:rPr>
            </w:pPr>
            <w:r>
              <w:rPr>
                <w:rFonts w:ascii="Arial" w:cs="Arial" w:eastAsia="Arial" w:hAnsi="Arial"/>
                <w:sz w:val="16"/>
                <w:szCs w:val="16"/>
                <w:color w:val="auto"/>
              </w:rPr>
              <w:t>Net interest-rate spread</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380" w:type="dxa"/>
            <w:vAlign w:val="bottom"/>
            <w:tcBorders>
              <w:right w:val="single" w:sz="8" w:color="F0FFFF"/>
            </w:tcBorders>
            <w:gridSpan w:val="2"/>
            <w:shd w:val="clear" w:color="auto" w:fill="F0FFFF"/>
          </w:tcPr>
          <w:p>
            <w:pPr>
              <w:jc w:val="right"/>
              <w:ind w:right="120"/>
              <w:spacing w:after="0" w:line="183" w:lineRule="exact"/>
              <w:rPr>
                <w:sz w:val="20"/>
                <w:szCs w:val="20"/>
                <w:color w:val="auto"/>
              </w:rPr>
            </w:pPr>
            <w:r>
              <w:rPr>
                <w:rFonts w:ascii="Arial" w:cs="Arial" w:eastAsia="Arial" w:hAnsi="Arial"/>
                <w:sz w:val="16"/>
                <w:szCs w:val="16"/>
                <w:color w:val="auto"/>
              </w:rPr>
              <w:t>3.19%</w:t>
            </w:r>
          </w:p>
        </w:tc>
        <w:tc>
          <w:tcPr>
            <w:tcW w:w="180" w:type="dxa"/>
            <w:vAlign w:val="bottom"/>
            <w:shd w:val="clear" w:color="auto" w:fill="F0FFFF"/>
          </w:tcPr>
          <w:p>
            <w:pPr>
              <w:spacing w:after="0"/>
              <w:rPr>
                <w:sz w:val="19"/>
                <w:szCs w:val="19"/>
                <w:color w:val="auto"/>
              </w:rPr>
            </w:pPr>
          </w:p>
        </w:tc>
        <w:tc>
          <w:tcPr>
            <w:tcW w:w="96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280" w:type="dxa"/>
            <w:vAlign w:val="bottom"/>
            <w:gridSpan w:val="2"/>
            <w:shd w:val="clear" w:color="auto" w:fill="F0FFFF"/>
          </w:tcPr>
          <w:p>
            <w:pPr>
              <w:jc w:val="right"/>
              <w:ind w:right="20"/>
              <w:spacing w:after="0" w:line="183" w:lineRule="exact"/>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80" w:type="dxa"/>
            <w:vAlign w:val="bottom"/>
            <w:tcBorders>
              <w:top w:val="single" w:sz="8" w:color="F0FFFF"/>
            </w:tcBorders>
          </w:tcPr>
          <w:p>
            <w:pPr>
              <w:spacing w:after="0"/>
              <w:rPr>
                <w:sz w:val="15"/>
                <w:szCs w:val="15"/>
                <w:color w:val="auto"/>
              </w:rPr>
            </w:pPr>
          </w:p>
        </w:tc>
        <w:tc>
          <w:tcPr>
            <w:tcW w:w="940" w:type="dxa"/>
            <w:vAlign w:val="bottom"/>
            <w:tcBorders>
              <w:top w:val="single" w:sz="8" w:color="F0FFFF"/>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80" w:type="dxa"/>
            <w:vAlign w:val="bottom"/>
            <w:tcBorders>
              <w:top w:val="single" w:sz="8" w:color="F0FFFF"/>
            </w:tcBorders>
          </w:tcPr>
          <w:p>
            <w:pPr>
              <w:spacing w:after="0"/>
              <w:rPr>
                <w:sz w:val="15"/>
                <w:szCs w:val="15"/>
                <w:color w:val="auto"/>
              </w:rPr>
            </w:pPr>
          </w:p>
        </w:tc>
        <w:tc>
          <w:tcPr>
            <w:tcW w:w="940" w:type="dxa"/>
            <w:vAlign w:val="bottom"/>
            <w:tcBorders>
              <w:top w:val="single" w:sz="8" w:color="F0FFFF"/>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F0FFFF"/>
            </w:tcBorders>
          </w:tcPr>
          <w:p>
            <w:pPr>
              <w:spacing w:after="0"/>
              <w:rPr>
                <w:sz w:val="15"/>
                <w:szCs w:val="15"/>
                <w:color w:val="auto"/>
              </w:rPr>
            </w:pPr>
          </w:p>
        </w:tc>
        <w:tc>
          <w:tcPr>
            <w:tcW w:w="180" w:type="dxa"/>
            <w:vAlign w:val="bottom"/>
            <w:tcBorders>
              <w:top w:val="single" w:sz="8" w:color="F0FFFF"/>
            </w:tcBorders>
          </w:tcPr>
          <w:p>
            <w:pPr>
              <w:spacing w:after="0"/>
              <w:rPr>
                <w:sz w:val="15"/>
                <w:szCs w:val="15"/>
                <w:color w:val="auto"/>
              </w:rPr>
            </w:pPr>
          </w:p>
        </w:tc>
        <w:tc>
          <w:tcPr>
            <w:tcW w:w="960" w:type="dxa"/>
            <w:vAlign w:val="bottom"/>
            <w:tcBorders>
              <w:top w:val="single" w:sz="8" w:color="F0FFFF"/>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80" w:type="dxa"/>
            <w:vAlign w:val="bottom"/>
            <w:tcBorders>
              <w:top w:val="single" w:sz="8" w:color="F0FFFF"/>
            </w:tcBorders>
          </w:tcPr>
          <w:p>
            <w:pPr>
              <w:spacing w:after="0"/>
              <w:rPr>
                <w:sz w:val="15"/>
                <w:szCs w:val="15"/>
                <w:color w:val="auto"/>
              </w:rPr>
            </w:pPr>
          </w:p>
        </w:tc>
        <w:tc>
          <w:tcPr>
            <w:tcW w:w="940" w:type="dxa"/>
            <w:vAlign w:val="bottom"/>
            <w:tcBorders>
              <w:top w:val="single" w:sz="8" w:color="F0FFFF"/>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 xml:space="preserve">Net interest margin </w:t>
            </w:r>
            <w:r>
              <w:rPr>
                <w:rFonts w:ascii="Arial" w:cs="Arial" w:eastAsia="Arial" w:hAnsi="Arial"/>
                <w:sz w:val="16"/>
                <w:szCs w:val="16"/>
                <w:b w:val="1"/>
                <w:bCs w:val="1"/>
                <w:color w:val="auto"/>
                <w:vertAlign w:val="superscript"/>
              </w:rPr>
              <w:t>(4)</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8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3.32%</w:t>
            </w: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3.26%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83" w:right="100" w:hanging="283"/>
        <w:spacing w:after="0" w:line="214" w:lineRule="auto"/>
        <w:tabs>
          <w:tab w:leader="none" w:pos="306"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23" w:hanging="323"/>
        <w:spacing w:after="0" w:line="184" w:lineRule="auto"/>
        <w:tabs>
          <w:tab w:leader="none" w:pos="323" w:val="left"/>
        </w:tabs>
        <w:numPr>
          <w:ilvl w:val="0"/>
          <w:numId w:val="7"/>
        </w:numPr>
        <w:rPr>
          <w:rFonts w:ascii="Arial" w:cs="Arial" w:eastAsia="Arial" w:hAnsi="Arial"/>
          <w:sz w:val="22"/>
          <w:szCs w:val="22"/>
          <w:color w:val="auto"/>
          <w:vertAlign w:val="superscript"/>
        </w:rPr>
      </w:pPr>
      <w:r>
        <w:rPr>
          <w:rFonts w:ascii="Arial" w:cs="Arial" w:eastAsia="Arial" w:hAnsi="Arial"/>
          <w:sz w:val="15"/>
          <w:szCs w:val="15"/>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2"/>
          <w:szCs w:val="22"/>
          <w:color w:val="auto"/>
          <w:vertAlign w:val="superscript"/>
        </w:rPr>
      </w:pPr>
    </w:p>
    <w:p>
      <w:pPr>
        <w:ind w:left="283" w:right="580" w:hanging="283"/>
        <w:spacing w:after="0" w:line="206" w:lineRule="auto"/>
        <w:tabs>
          <w:tab w:leader="none" w:pos="306"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Securities available for sale are shown at amortized cost. Pretax unrealized gains of $7.42 million in 2014 and pretax unrealized losses of $10.6 million in 2013 are included in other assets for purposes of this presentation.</w:t>
      </w:r>
    </w:p>
    <w:p>
      <w:pPr>
        <w:spacing w:after="0" w:line="1" w:lineRule="exact"/>
        <w:rPr>
          <w:rFonts w:ascii="Arial" w:cs="Arial" w:eastAsia="Arial" w:hAnsi="Arial"/>
          <w:sz w:val="23"/>
          <w:szCs w:val="23"/>
          <w:color w:val="auto"/>
          <w:vertAlign w:val="superscript"/>
        </w:rPr>
      </w:pPr>
    </w:p>
    <w:p>
      <w:pPr>
        <w:ind w:left="323" w:hanging="323"/>
        <w:spacing w:after="0" w:line="184" w:lineRule="auto"/>
        <w:tabs>
          <w:tab w:leader="none" w:pos="323" w:val="left"/>
        </w:tabs>
        <w:numPr>
          <w:ilvl w:val="0"/>
          <w:numId w:val="7"/>
        </w:numPr>
        <w:rPr>
          <w:rFonts w:ascii="Arial" w:cs="Arial" w:eastAsia="Arial" w:hAnsi="Arial"/>
          <w:sz w:val="22"/>
          <w:szCs w:val="22"/>
          <w:color w:val="auto"/>
          <w:vertAlign w:val="superscript"/>
        </w:rPr>
      </w:pPr>
      <w:r>
        <w:rPr>
          <w:rFonts w:ascii="Arial" w:cs="Arial" w:eastAsia="Arial" w:hAnsi="Arial"/>
          <w:sz w:val="15"/>
          <w:szCs w:val="15"/>
          <w:color w:val="auto"/>
        </w:rPr>
        <w:t>Net interest margin is taxable equivalent net-interest revenue divided by average interest-earning assets.</w:t>
      </w:r>
    </w:p>
    <w:p>
      <w:pPr>
        <w:spacing w:after="0" w:line="40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059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3"/>
          </w:cols>
          <w:pgMar w:left="237" w:top="842" w:right="219" w:bottom="1440" w:gutter="0" w:footer="0" w:header="0"/>
        </w:sectPr>
      </w:pPr>
    </w:p>
    <w:bookmarkStart w:id="48" w:name="page49"/>
    <w:bookmarkEnd w:id="48"/>
    <w:p>
      <w:pPr>
        <w:ind w:left="3" w:right="120"/>
        <w:spacing w:after="0" w:line="281" w:lineRule="auto"/>
        <w:rPr>
          <w:sz w:val="20"/>
          <w:szCs w:val="20"/>
          <w:color w:val="auto"/>
        </w:rPr>
      </w:pPr>
      <w:r>
        <w:rPr>
          <w:rFonts w:ascii="Arial" w:cs="Arial" w:eastAsia="Arial" w:hAnsi="Arial"/>
          <w:sz w:val="16"/>
          <w:szCs w:val="16"/>
          <w:color w:val="auto"/>
        </w:rPr>
        <w:t>The following table shows the relationship between interest revenue and expense, and the average amounts of interest-earning assets and interest-bearing liabilities for the nine months ended September 30, 2014 and 2013.</w:t>
      </w:r>
    </w:p>
    <w:p>
      <w:pPr>
        <w:spacing w:after="0" w:line="14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Table 3 - Average Consolidated Balance Sheets and Net Interest Analysis</w:t>
      </w:r>
    </w:p>
    <w:p>
      <w:pPr>
        <w:spacing w:after="0" w:line="26" w:lineRule="exact"/>
        <w:rPr>
          <w:sz w:val="20"/>
          <w:szCs w:val="20"/>
          <w:color w:val="auto"/>
        </w:rPr>
      </w:pPr>
    </w:p>
    <w:p>
      <w:pPr>
        <w:ind w:left="3"/>
        <w:spacing w:after="0"/>
        <w:rPr>
          <w:sz w:val="20"/>
          <w:szCs w:val="20"/>
          <w:color w:val="auto"/>
        </w:rPr>
      </w:pPr>
      <w:r>
        <w:rPr>
          <w:rFonts w:ascii="Arial" w:cs="Arial" w:eastAsia="Arial" w:hAnsi="Arial"/>
          <w:sz w:val="16"/>
          <w:szCs w:val="16"/>
          <w:color w:val="auto"/>
        </w:rPr>
        <w:t>For the Nine Months Ended September 30,</w:t>
      </w:r>
    </w:p>
    <w:p>
      <w:pPr>
        <w:spacing w:after="0" w:line="10" w:lineRule="exact"/>
        <w:rPr>
          <w:sz w:val="20"/>
          <w:szCs w:val="20"/>
          <w:color w:val="auto"/>
        </w:rPr>
      </w:pPr>
    </w:p>
    <w:tbl>
      <w:tblPr>
        <w:tblLayout w:type="fixed"/>
        <w:tblInd w:w="3"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2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2"/>
          </w:tcPr>
          <w:p>
            <w:pPr>
              <w:jc w:val="right"/>
              <w:ind w:right="500"/>
              <w:spacing w:after="0" w:line="17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jc w:val="right"/>
              <w:ind w:right="339"/>
              <w:spacing w:after="0" w:line="178" w:lineRule="exact"/>
              <w:rPr>
                <w:sz w:val="20"/>
                <w:szCs w:val="20"/>
                <w:color w:val="auto"/>
              </w:rPr>
            </w:pPr>
            <w:r>
              <w:rPr>
                <w:rFonts w:ascii="Arial" w:cs="Arial" w:eastAsia="Arial" w:hAnsi="Arial"/>
                <w:sz w:val="16"/>
                <w:szCs w:val="16"/>
                <w:b w:val="1"/>
                <w:bCs w:val="1"/>
                <w:color w:val="auto"/>
              </w:rPr>
              <w:t>Avg.</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500"/>
              <w:spacing w:after="0" w:line="178" w:lineRule="exact"/>
              <w:rPr>
                <w:sz w:val="20"/>
                <w:szCs w:val="20"/>
                <w:color w:val="auto"/>
              </w:rPr>
            </w:pPr>
            <w:r>
              <w:rPr>
                <w:rFonts w:ascii="Arial" w:cs="Arial" w:eastAsia="Arial" w:hAnsi="Arial"/>
                <w:sz w:val="16"/>
                <w:szCs w:val="16"/>
                <w:b w:val="1"/>
                <w:bCs w:val="1"/>
                <w:color w:val="auto"/>
              </w:rPr>
              <w:t>Average</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jc w:val="right"/>
              <w:ind w:right="319"/>
              <w:spacing w:after="0" w:line="178" w:lineRule="exact"/>
              <w:rPr>
                <w:sz w:val="20"/>
                <w:szCs w:val="20"/>
                <w:color w:val="auto"/>
              </w:rPr>
            </w:pPr>
            <w:r>
              <w:rPr>
                <w:rFonts w:ascii="Arial" w:cs="Arial" w:eastAsia="Arial" w:hAnsi="Arial"/>
                <w:sz w:val="16"/>
                <w:szCs w:val="16"/>
                <w:b w:val="1"/>
                <w:bCs w:val="1"/>
                <w:color w:val="auto"/>
              </w:rPr>
              <w:t>Avg.</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0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 taxable equivalent)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9"/>
              </w:rPr>
              <w:t>Interest</w:t>
            </w:r>
          </w:p>
        </w:tc>
        <w:tc>
          <w:tcPr>
            <w:tcW w:w="138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Rate</w:t>
            </w: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6"/>
                <w:szCs w:val="16"/>
                <w:b w:val="1"/>
                <w:bCs w:val="1"/>
                <w:color w:val="auto"/>
              </w:rPr>
              <w:t>Balance</w:t>
            </w:r>
          </w:p>
        </w:tc>
        <w:tc>
          <w:tcPr>
            <w:tcW w:w="180" w:type="dxa"/>
            <w:vAlign w:val="bottom"/>
          </w:tcPr>
          <w:p>
            <w:pPr>
              <w:spacing w:after="0"/>
              <w:rPr>
                <w:sz w:val="18"/>
                <w:szCs w:val="18"/>
                <w:color w:val="auto"/>
              </w:rPr>
            </w:pPr>
          </w:p>
        </w:tc>
        <w:tc>
          <w:tcPr>
            <w:tcW w:w="1160" w:type="dxa"/>
            <w:vAlign w:val="bottom"/>
            <w:gridSpan w:val="2"/>
          </w:tcPr>
          <w:p>
            <w:pPr>
              <w:ind w:left="100"/>
              <w:spacing w:after="0"/>
              <w:rPr>
                <w:sz w:val="20"/>
                <w:szCs w:val="20"/>
                <w:color w:val="auto"/>
              </w:rPr>
            </w:pPr>
            <w:r>
              <w:rPr>
                <w:rFonts w:ascii="Arial" w:cs="Arial" w:eastAsia="Arial" w:hAnsi="Arial"/>
                <w:sz w:val="16"/>
                <w:szCs w:val="16"/>
                <w:b w:val="1"/>
                <w:bCs w:val="1"/>
                <w:color w:val="auto"/>
              </w:rPr>
              <w:t>Interest</w:t>
            </w:r>
          </w:p>
        </w:tc>
        <w:tc>
          <w:tcPr>
            <w:tcW w:w="128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Rate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Borders>
              <w:top w:val="single" w:sz="8" w:color="auto"/>
            </w:tcBorders>
            <w:shd w:val="clear" w:color="auto" w:fill="F0FFFF"/>
          </w:tcPr>
          <w:p>
            <w:pPr>
              <w:spacing w:after="0"/>
              <w:rPr>
                <w:sz w:val="20"/>
                <w:szCs w:val="20"/>
                <w:color w:val="auto"/>
              </w:rPr>
            </w:pPr>
            <w:r>
              <w:rPr>
                <w:rFonts w:ascii="Arial" w:cs="Arial" w:eastAsia="Arial" w:hAnsi="Arial"/>
                <w:sz w:val="16"/>
                <w:szCs w:val="16"/>
                <w:b w:val="1"/>
                <w:bCs w:val="1"/>
                <w:color w:val="auto"/>
              </w:rPr>
              <w:t>Assets:</w:t>
            </w:r>
          </w:p>
        </w:tc>
        <w:tc>
          <w:tcPr>
            <w:tcW w:w="10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tcBorders>
              <w:top w:val="single" w:sz="8" w:color="auto"/>
            </w:tcBorders>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tcBorders>
              <w:top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color w:val="auto"/>
              </w:rPr>
              <w:t>Interest-earning assets: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 xml:space="preserve">Loans, net of unearned income </w:t>
            </w:r>
            <w:r>
              <w:rPr>
                <w:rFonts w:ascii="Arial" w:cs="Arial" w:eastAsia="Arial" w:hAnsi="Arial"/>
                <w:sz w:val="16"/>
                <w:szCs w:val="16"/>
                <w:color w:val="auto"/>
                <w:vertAlign w:val="superscript"/>
              </w:rPr>
              <w:t>(1)(2)</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4,392,895</w:t>
            </w: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146,156</w:t>
            </w:r>
          </w:p>
        </w:tc>
        <w:tc>
          <w:tcPr>
            <w:tcW w:w="138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4.45%</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4,233,531</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152,073</w:t>
            </w:r>
          </w:p>
        </w:tc>
        <w:tc>
          <w:tcPr>
            <w:tcW w:w="2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4.80%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 xml:space="preserve">Taxable securities </w:t>
            </w:r>
            <w:r>
              <w:rPr>
                <w:rFonts w:ascii="Arial" w:cs="Arial" w:eastAsia="Arial" w:hAnsi="Arial"/>
                <w:sz w:val="16"/>
                <w:szCs w:val="16"/>
                <w:color w:val="auto"/>
                <w:vertAlign w:val="superscript"/>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2,272,639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35,560</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2.09</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2,138,725</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29,281</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 xml:space="preserve">Tax-exempt securities </w:t>
            </w:r>
            <w:r>
              <w:rPr>
                <w:rFonts w:ascii="Arial" w:cs="Arial" w:eastAsia="Arial" w:hAnsi="Arial"/>
                <w:sz w:val="16"/>
                <w:szCs w:val="16"/>
                <w:color w:val="auto"/>
                <w:vertAlign w:val="superscript"/>
              </w:rPr>
              <w:t>(1)(3)</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19,515</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914</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6.24</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21,411</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1,022</w:t>
            </w:r>
          </w:p>
        </w:tc>
        <w:tc>
          <w:tcPr>
            <w:tcW w:w="2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6.36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280" w:type="dxa"/>
            <w:vAlign w:val="bottom"/>
          </w:tcPr>
          <w:p>
            <w:pPr>
              <w:ind w:left="120"/>
              <w:spacing w:after="0" w:line="181" w:lineRule="exact"/>
              <w:rPr>
                <w:sz w:val="20"/>
                <w:szCs w:val="20"/>
                <w:color w:val="auto"/>
              </w:rPr>
            </w:pPr>
            <w:r>
              <w:rPr>
                <w:rFonts w:ascii="Arial" w:cs="Arial" w:eastAsia="Arial" w:hAnsi="Arial"/>
                <w:sz w:val="16"/>
                <w:szCs w:val="16"/>
                <w:color w:val="auto"/>
                <w:w w:val="98"/>
              </w:rPr>
              <w:t>Federal funds sold and other interest-earning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150,782</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2,986</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2.64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196,445</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3,252</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ind w:left="260"/>
              <w:spacing w:after="0"/>
              <w:rPr>
                <w:sz w:val="20"/>
                <w:szCs w:val="20"/>
                <w:color w:val="auto"/>
              </w:rPr>
            </w:pPr>
            <w:r>
              <w:rPr>
                <w:rFonts w:ascii="Arial" w:cs="Arial" w:eastAsia="Arial" w:hAnsi="Arial"/>
                <w:sz w:val="16"/>
                <w:szCs w:val="16"/>
                <w:b w:val="1"/>
                <w:bCs w:val="1"/>
                <w:color w:val="auto"/>
              </w:rPr>
              <w:t>Total interest-earning assets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6,835,831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185,616</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3.63</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6,590,112</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185,628</w:t>
            </w:r>
          </w:p>
        </w:tc>
        <w:tc>
          <w:tcPr>
            <w:tcW w:w="2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3.76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6"/>
                <w:szCs w:val="16"/>
                <w:color w:val="auto"/>
              </w:rPr>
              <w:t>Non-interest-earning assets:</w:t>
            </w:r>
          </w:p>
        </w:tc>
        <w:tc>
          <w:tcPr>
            <w:tcW w:w="10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Allowance for loan losses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(76,148)</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(100,154)</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Cash and due from banks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65,744</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63,879</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Premises and equipment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161,843</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168,144</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Borders>
              <w:bottom w:val="single" w:sz="8" w:color="F0FFFF"/>
            </w:tcBorders>
            <w:shd w:val="clear" w:color="auto" w:fill="F0FFFF"/>
          </w:tcPr>
          <w:p>
            <w:pPr>
              <w:ind w:left="120"/>
              <w:spacing w:after="0"/>
              <w:rPr>
                <w:sz w:val="20"/>
                <w:szCs w:val="20"/>
                <w:color w:val="auto"/>
              </w:rPr>
            </w:pPr>
            <w:r>
              <w:rPr>
                <w:rFonts w:ascii="Arial" w:cs="Arial" w:eastAsia="Arial" w:hAnsi="Arial"/>
                <w:sz w:val="16"/>
                <w:szCs w:val="16"/>
                <w:color w:val="auto"/>
              </w:rPr>
              <w:t xml:space="preserve">Other assets </w:t>
            </w:r>
            <w:r>
              <w:rPr>
                <w:rFonts w:ascii="Arial" w:cs="Arial" w:eastAsia="Arial" w:hAnsi="Arial"/>
                <w:sz w:val="16"/>
                <w:szCs w:val="16"/>
                <w:color w:val="auto"/>
                <w:vertAlign w:val="superscript"/>
              </w:rPr>
              <w:t>(3)</w:t>
            </w:r>
          </w:p>
        </w:tc>
        <w:tc>
          <w:tcPr>
            <w:tcW w:w="10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404,654</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4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right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252,275</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2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b w:val="1"/>
                <w:bCs w:val="1"/>
                <w:color w:val="auto"/>
              </w:rPr>
              <w:t>Total assets</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7,391,924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6,974,256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40" w:type="dxa"/>
            <w:vAlign w:val="bottom"/>
            <w:shd w:val="clear" w:color="auto" w:fill="F0FFFF"/>
          </w:tcPr>
          <w:p>
            <w:pPr>
              <w:spacing w:after="0"/>
              <w:rPr>
                <w:sz w:val="15"/>
                <w:szCs w:val="15"/>
                <w:color w:val="auto"/>
              </w:rPr>
            </w:pPr>
          </w:p>
        </w:tc>
        <w:tc>
          <w:tcPr>
            <w:tcW w:w="24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6"/>
                <w:szCs w:val="16"/>
                <w:color w:val="auto"/>
              </w:rPr>
              <w:t>Interest-bearing liabilities: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Interest-bearing deposits: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rPr>
              <w:t>NOW</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1,367,713</w:t>
            </w: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1,216</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.12</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1,256,684</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1,286</w:t>
            </w:r>
          </w:p>
        </w:tc>
        <w:tc>
          <w:tcPr>
            <w:tcW w:w="2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Money market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1,375,064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2,192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1,297,792</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1,641</w:t>
            </w:r>
          </w:p>
        </w:tc>
        <w:tc>
          <w:tcPr>
            <w:tcW w:w="2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rPr>
              <w:t>Savings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272,696</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61</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.03</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242,807</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109</w:t>
            </w: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Time less than $100,000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828,694</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2,822</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.46</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997,193</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4,686</w:t>
            </w:r>
          </w:p>
        </w:tc>
        <w:tc>
          <w:tcPr>
            <w:tcW w:w="2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rPr>
              <w:t>Time greater than $100,000</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561,167</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2,610</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.62</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670,821</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4,086</w:t>
            </w:r>
          </w:p>
        </w:tc>
        <w:tc>
          <w:tcPr>
            <w:tcW w:w="2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Brokered time deposits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300,374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78</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.03</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201,599</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2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shd w:val="clear" w:color="auto" w:fill="F0FFFF"/>
          </w:tcPr>
          <w:p>
            <w:pPr>
              <w:ind w:left="420"/>
              <w:spacing w:after="0"/>
              <w:rPr>
                <w:sz w:val="20"/>
                <w:szCs w:val="20"/>
                <w:color w:val="auto"/>
              </w:rPr>
            </w:pPr>
            <w:r>
              <w:rPr>
                <w:rFonts w:ascii="Arial" w:cs="Arial" w:eastAsia="Arial" w:hAnsi="Arial"/>
                <w:sz w:val="16"/>
                <w:szCs w:val="16"/>
                <w:color w:val="auto"/>
              </w:rPr>
              <w:t>Total interest-bearing deposits</w:t>
            </w:r>
          </w:p>
        </w:tc>
        <w:tc>
          <w:tcPr>
            <w:tcW w:w="10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4,705,708</w:t>
            </w:r>
          </w:p>
        </w:tc>
        <w:tc>
          <w:tcPr>
            <w:tcW w:w="220" w:type="dxa"/>
            <w:vAlign w:val="bottom"/>
            <w:shd w:val="clear" w:color="auto" w:fill="F0FFFF"/>
          </w:tcPr>
          <w:p>
            <w:pPr>
              <w:spacing w:after="0"/>
              <w:rPr>
                <w:sz w:val="17"/>
                <w:szCs w:val="17"/>
                <w:color w:val="auto"/>
              </w:rPr>
            </w:pPr>
          </w:p>
        </w:tc>
        <w:tc>
          <w:tcPr>
            <w:tcW w:w="180" w:type="dxa"/>
            <w:vAlign w:val="bottom"/>
            <w:shd w:val="clear" w:color="auto" w:fill="F0FFFF"/>
          </w:tcPr>
          <w:p>
            <w:pPr>
              <w:spacing w:after="0"/>
              <w:rPr>
                <w:sz w:val="17"/>
                <w:szCs w:val="17"/>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8,979</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.26</w:t>
            </w:r>
          </w:p>
        </w:tc>
        <w:tc>
          <w:tcPr>
            <w:tcW w:w="180" w:type="dxa"/>
            <w:vAlign w:val="bottom"/>
            <w:shd w:val="clear" w:color="auto" w:fill="F0FFFF"/>
          </w:tcPr>
          <w:p>
            <w:pPr>
              <w:spacing w:after="0"/>
              <w:rPr>
                <w:sz w:val="17"/>
                <w:szCs w:val="17"/>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4,666,896</w:t>
            </w:r>
          </w:p>
        </w:tc>
        <w:tc>
          <w:tcPr>
            <w:tcW w:w="180" w:type="dxa"/>
            <w:vAlign w:val="bottom"/>
            <w:shd w:val="clear" w:color="auto" w:fill="F0FFFF"/>
          </w:tcPr>
          <w:p>
            <w:pPr>
              <w:spacing w:after="0"/>
              <w:rPr>
                <w:sz w:val="17"/>
                <w:szCs w:val="17"/>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11,907</w:t>
            </w:r>
          </w:p>
        </w:tc>
        <w:tc>
          <w:tcPr>
            <w:tcW w:w="220" w:type="dxa"/>
            <w:vAlign w:val="bottom"/>
            <w:shd w:val="clear" w:color="auto" w:fill="F0FFFF"/>
          </w:tcPr>
          <w:p>
            <w:pPr>
              <w:spacing w:after="0"/>
              <w:rPr>
                <w:sz w:val="17"/>
                <w:szCs w:val="17"/>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140" w:type="dxa"/>
            <w:vAlign w:val="bottom"/>
            <w:tcBorders>
              <w:top w:val="single" w:sz="8" w:color="F0FFFF"/>
            </w:tcBorders>
          </w:tcPr>
          <w:p>
            <w:pPr>
              <w:spacing w:after="0"/>
              <w:rPr>
                <w:sz w:val="16"/>
                <w:szCs w:val="16"/>
                <w:color w:val="auto"/>
              </w:rPr>
            </w:pPr>
          </w:p>
        </w:tc>
        <w:tc>
          <w:tcPr>
            <w:tcW w:w="24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F0FFFF"/>
            </w:tcBorders>
          </w:tcPr>
          <w:p>
            <w:pPr>
              <w:spacing w:after="0"/>
              <w:rPr>
                <w:sz w:val="16"/>
                <w:szCs w:val="16"/>
                <w:color w:val="auto"/>
              </w:rPr>
            </w:pPr>
          </w:p>
        </w:tc>
        <w:tc>
          <w:tcPr>
            <w:tcW w:w="1120" w:type="dxa"/>
            <w:vAlign w:val="bottom"/>
            <w:tcBorders>
              <w:top w:val="single" w:sz="8" w:color="F0FFFF"/>
            </w:tcBorders>
          </w:tcPr>
          <w:p>
            <w:pPr>
              <w:spacing w:after="0"/>
              <w:rPr>
                <w:sz w:val="16"/>
                <w:szCs w:val="16"/>
                <w:color w:val="auto"/>
              </w:rPr>
            </w:pPr>
          </w:p>
        </w:tc>
        <w:tc>
          <w:tcPr>
            <w:tcW w:w="160" w:type="dxa"/>
            <w:vAlign w:val="bottom"/>
            <w:tcBorders>
              <w:top w:val="single" w:sz="8" w:color="F0FF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w w:val="90"/>
              </w:rPr>
              <w:t>Federal funds purchased and other borrowings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91,320</w:t>
            </w: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2,064</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3.02</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70,512</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1,563</w:t>
            </w:r>
          </w:p>
        </w:tc>
        <w:tc>
          <w:tcPr>
            <w:tcW w:w="2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Federal Home Loan Bank advances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169,392</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573</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.45</w:t>
            </w: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41,352</w:t>
            </w: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ind w:left="260"/>
              <w:spacing w:after="0"/>
              <w:rPr>
                <w:sz w:val="20"/>
                <w:szCs w:val="20"/>
                <w:color w:val="auto"/>
              </w:rPr>
            </w:pPr>
            <w:r>
              <w:rPr>
                <w:rFonts w:ascii="Arial" w:cs="Arial" w:eastAsia="Arial" w:hAnsi="Arial"/>
                <w:sz w:val="16"/>
                <w:szCs w:val="16"/>
                <w:color w:val="auto"/>
              </w:rPr>
              <w:t>Long-term debt</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129,865</w:t>
            </w: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1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7,914</w:t>
            </w:r>
          </w:p>
        </w:tc>
        <w:tc>
          <w:tcPr>
            <w:tcW w:w="1380" w:type="dxa"/>
            <w:vAlign w:val="bottom"/>
            <w:tcBorders>
              <w:right w:val="single" w:sz="8" w:color="F0FFFF"/>
            </w:tcBorders>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8.15</w:t>
            </w:r>
          </w:p>
        </w:tc>
        <w:tc>
          <w:tcPr>
            <w:tcW w:w="180" w:type="dxa"/>
            <w:vAlign w:val="bottom"/>
            <w:shd w:val="clear" w:color="auto" w:fill="F0FFFF"/>
          </w:tcPr>
          <w:p>
            <w:pPr>
              <w:spacing w:after="0"/>
              <w:rPr>
                <w:sz w:val="16"/>
                <w:szCs w:val="16"/>
                <w:color w:val="auto"/>
              </w:rPr>
            </w:pPr>
          </w:p>
        </w:tc>
        <w:tc>
          <w:tcPr>
            <w:tcW w:w="118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131,491</w:t>
            </w: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8,331</w:t>
            </w:r>
          </w:p>
        </w:tc>
        <w:tc>
          <w:tcPr>
            <w:tcW w:w="220" w:type="dxa"/>
            <w:vAlign w:val="bottom"/>
            <w:shd w:val="clear" w:color="auto" w:fill="F0FFFF"/>
          </w:tcPr>
          <w:p>
            <w:pPr>
              <w:spacing w:after="0"/>
              <w:rPr>
                <w:sz w:val="16"/>
                <w:szCs w:val="16"/>
                <w:color w:val="auto"/>
              </w:rPr>
            </w:pPr>
          </w:p>
        </w:tc>
        <w:tc>
          <w:tcPr>
            <w:tcW w:w="128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8.47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28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140" w:type="dxa"/>
            <w:vAlign w:val="bottom"/>
            <w:shd w:val="clear" w:color="auto" w:fill="F0FFFF"/>
          </w:tcPr>
          <w:p>
            <w:pPr>
              <w:spacing w:after="0"/>
              <w:rPr>
                <w:sz w:val="2"/>
                <w:szCs w:val="2"/>
                <w:color w:val="auto"/>
              </w:rPr>
            </w:pPr>
          </w:p>
        </w:tc>
        <w:tc>
          <w:tcPr>
            <w:tcW w:w="240" w:type="dxa"/>
            <w:vAlign w:val="bottom"/>
            <w:tcBorders>
              <w:right w:val="single" w:sz="8" w:color="F0FFFF"/>
            </w:tcBorders>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1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ind w:left="420"/>
              <w:spacing w:after="0"/>
              <w:rPr>
                <w:sz w:val="20"/>
                <w:szCs w:val="20"/>
                <w:color w:val="auto"/>
              </w:rPr>
            </w:pPr>
            <w:r>
              <w:rPr>
                <w:rFonts w:ascii="Arial" w:cs="Arial" w:eastAsia="Arial" w:hAnsi="Arial"/>
                <w:sz w:val="16"/>
                <w:szCs w:val="16"/>
                <w:color w:val="auto"/>
              </w:rPr>
              <w:t>Total borrowed funds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390,577</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10,551</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3.61</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243,355</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9,959</w:t>
            </w:r>
          </w:p>
        </w:tc>
        <w:tc>
          <w:tcPr>
            <w:tcW w:w="2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ind w:left="420"/>
              <w:spacing w:after="0"/>
              <w:rPr>
                <w:sz w:val="20"/>
                <w:szCs w:val="20"/>
                <w:color w:val="auto"/>
              </w:rPr>
            </w:pPr>
            <w:r>
              <w:rPr>
                <w:rFonts w:ascii="Arial" w:cs="Arial" w:eastAsia="Arial" w:hAnsi="Arial"/>
                <w:sz w:val="16"/>
                <w:szCs w:val="16"/>
                <w:b w:val="1"/>
                <w:bCs w:val="1"/>
                <w:color w:val="auto"/>
              </w:rPr>
              <w:t>Total interest-bearing liabilities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5,096,285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19,530</w:t>
            </w: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.51</w:t>
            </w:r>
          </w:p>
        </w:tc>
        <w:tc>
          <w:tcPr>
            <w:tcW w:w="18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4,910,251</w:t>
            </w:r>
          </w:p>
        </w:tc>
        <w:tc>
          <w:tcPr>
            <w:tcW w:w="18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21,866</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6"/>
                <w:szCs w:val="16"/>
                <w:color w:val="auto"/>
              </w:rPr>
              <w:t>Non-interest-bearing liabilities:</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40" w:type="dxa"/>
            <w:vAlign w:val="bottom"/>
            <w:shd w:val="clear" w:color="auto" w:fill="F0FFFF"/>
          </w:tcPr>
          <w:p>
            <w:pPr>
              <w:spacing w:after="0"/>
              <w:rPr>
                <w:sz w:val="16"/>
                <w:szCs w:val="16"/>
                <w:color w:val="auto"/>
              </w:rPr>
            </w:pPr>
          </w:p>
        </w:tc>
        <w:tc>
          <w:tcPr>
            <w:tcW w:w="240" w:type="dxa"/>
            <w:vAlign w:val="bottom"/>
            <w:tcBorders>
              <w:right w:val="single" w:sz="8" w:color="F0FFFF"/>
            </w:tcBorders>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1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Non-interest-bearing deposits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1,469,967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1,305,133</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Borders>
              <w:bottom w:val="single" w:sz="8" w:color="F0FFFF"/>
            </w:tcBorders>
            <w:shd w:val="clear" w:color="auto" w:fill="F0FFFF"/>
          </w:tcPr>
          <w:p>
            <w:pPr>
              <w:ind w:left="120"/>
              <w:spacing w:after="0"/>
              <w:rPr>
                <w:sz w:val="20"/>
                <w:szCs w:val="20"/>
                <w:color w:val="auto"/>
              </w:rPr>
            </w:pPr>
            <w:r>
              <w:rPr>
                <w:rFonts w:ascii="Arial" w:cs="Arial" w:eastAsia="Arial" w:hAnsi="Arial"/>
                <w:sz w:val="16"/>
                <w:szCs w:val="16"/>
                <w:color w:val="auto"/>
              </w:rPr>
              <w:t>Other liabilities</w:t>
            </w:r>
          </w:p>
        </w:tc>
        <w:tc>
          <w:tcPr>
            <w:tcW w:w="10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111,522</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4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right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68,312</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2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color w:val="auto"/>
              </w:rPr>
              <w:t>Total liabilities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6,677,774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6,283,696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Shareholders’ equity</w:t>
            </w:r>
          </w:p>
        </w:tc>
        <w:tc>
          <w:tcPr>
            <w:tcW w:w="10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4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714,150</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4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F0FFFF"/>
              <w:right w:val="single" w:sz="8" w:color="F0FFFF"/>
            </w:tcBorders>
            <w:shd w:val="clear" w:color="auto" w:fill="F0FFFF"/>
          </w:tcPr>
          <w:p>
            <w:pPr>
              <w:spacing w:after="0"/>
              <w:rPr>
                <w:sz w:val="17"/>
                <w:szCs w:val="17"/>
                <w:color w:val="auto"/>
              </w:rPr>
            </w:pPr>
          </w:p>
        </w:tc>
        <w:tc>
          <w:tcPr>
            <w:tcW w:w="180" w:type="dxa"/>
            <w:vAlign w:val="bottom"/>
            <w:tcBorders>
              <w:bottom w:val="single" w:sz="8" w:color="auto"/>
            </w:tcBorders>
            <w:shd w:val="clear" w:color="auto" w:fill="F0FFFF"/>
          </w:tcPr>
          <w:p>
            <w:pPr>
              <w:spacing w:after="0"/>
              <w:rPr>
                <w:sz w:val="17"/>
                <w:szCs w:val="17"/>
                <w:color w:val="auto"/>
              </w:rPr>
            </w:pPr>
          </w:p>
        </w:tc>
        <w:tc>
          <w:tcPr>
            <w:tcW w:w="9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690,560</w:t>
            </w:r>
          </w:p>
        </w:tc>
        <w:tc>
          <w:tcPr>
            <w:tcW w:w="220" w:type="dxa"/>
            <w:vAlign w:val="bottom"/>
            <w:tcBorders>
              <w:bottom w:val="single" w:sz="8" w:color="F0FFFF"/>
            </w:tcBorders>
            <w:shd w:val="clear" w:color="auto" w:fill="F0FFFF"/>
          </w:tcPr>
          <w:p>
            <w:pPr>
              <w:spacing w:after="0"/>
              <w:rPr>
                <w:sz w:val="17"/>
                <w:szCs w:val="17"/>
                <w:color w:val="auto"/>
              </w:rPr>
            </w:pPr>
          </w:p>
        </w:tc>
        <w:tc>
          <w:tcPr>
            <w:tcW w:w="180" w:type="dxa"/>
            <w:vAlign w:val="bottom"/>
            <w:tcBorders>
              <w:bottom w:val="single" w:sz="8" w:color="F0FFFF"/>
            </w:tcBorders>
            <w:shd w:val="clear" w:color="auto" w:fill="F0FFFF"/>
          </w:tcPr>
          <w:p>
            <w:pPr>
              <w:spacing w:after="0"/>
              <w:rPr>
                <w:sz w:val="17"/>
                <w:szCs w:val="17"/>
                <w:color w:val="auto"/>
              </w:rPr>
            </w:pPr>
          </w:p>
        </w:tc>
        <w:tc>
          <w:tcPr>
            <w:tcW w:w="940" w:type="dxa"/>
            <w:vAlign w:val="bottom"/>
            <w:tcBorders>
              <w:bottom w:val="single" w:sz="8" w:color="F0FFFF"/>
            </w:tcBorders>
            <w:shd w:val="clear" w:color="auto" w:fill="F0FFFF"/>
          </w:tcPr>
          <w:p>
            <w:pPr>
              <w:spacing w:after="0"/>
              <w:rPr>
                <w:sz w:val="17"/>
                <w:szCs w:val="17"/>
                <w:color w:val="auto"/>
              </w:rPr>
            </w:pPr>
          </w:p>
        </w:tc>
        <w:tc>
          <w:tcPr>
            <w:tcW w:w="220" w:type="dxa"/>
            <w:vAlign w:val="bottom"/>
            <w:tcBorders>
              <w:bottom w:val="single" w:sz="8" w:color="F0FFFF"/>
            </w:tcBorders>
            <w:shd w:val="clear" w:color="auto" w:fill="F0FFFF"/>
          </w:tcPr>
          <w:p>
            <w:pPr>
              <w:spacing w:after="0"/>
              <w:rPr>
                <w:sz w:val="17"/>
                <w:szCs w:val="17"/>
                <w:color w:val="auto"/>
              </w:rPr>
            </w:pPr>
          </w:p>
        </w:tc>
        <w:tc>
          <w:tcPr>
            <w:tcW w:w="1120" w:type="dxa"/>
            <w:vAlign w:val="bottom"/>
            <w:tcBorders>
              <w:bottom w:val="single" w:sz="8" w:color="F0FFFF"/>
            </w:tcBorders>
            <w:shd w:val="clear" w:color="auto" w:fill="F0FFFF"/>
          </w:tcPr>
          <w:p>
            <w:pPr>
              <w:spacing w:after="0"/>
              <w:rPr>
                <w:sz w:val="17"/>
                <w:szCs w:val="17"/>
                <w:color w:val="auto"/>
              </w:rPr>
            </w:pPr>
          </w:p>
        </w:tc>
        <w:tc>
          <w:tcPr>
            <w:tcW w:w="16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ind w:left="260"/>
              <w:spacing w:after="0"/>
              <w:rPr>
                <w:sz w:val="20"/>
                <w:szCs w:val="20"/>
                <w:color w:val="auto"/>
              </w:rPr>
            </w:pPr>
            <w:r>
              <w:rPr>
                <w:rFonts w:ascii="Arial" w:cs="Arial" w:eastAsia="Arial" w:hAnsi="Arial"/>
                <w:sz w:val="16"/>
                <w:szCs w:val="16"/>
                <w:b w:val="1"/>
                <w:bCs w:val="1"/>
                <w:color w:val="auto"/>
                <w:w w:val="98"/>
              </w:rPr>
              <w:t>Total liabilities and shareholders’ equity</w:t>
            </w:r>
          </w:p>
        </w:tc>
        <w:tc>
          <w:tcPr>
            <w:tcW w:w="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7,391,924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6"/>
                <w:szCs w:val="16"/>
                <w:color w:val="auto"/>
              </w:rPr>
              <w:t>6,974,256</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40" w:type="dxa"/>
            <w:vAlign w:val="bottom"/>
            <w:shd w:val="clear" w:color="auto" w:fill="F0FFFF"/>
          </w:tcPr>
          <w:p>
            <w:pPr>
              <w:spacing w:after="0"/>
              <w:rPr>
                <w:sz w:val="15"/>
                <w:szCs w:val="15"/>
                <w:color w:val="auto"/>
              </w:rPr>
            </w:pPr>
          </w:p>
        </w:tc>
        <w:tc>
          <w:tcPr>
            <w:tcW w:w="240" w:type="dxa"/>
            <w:vAlign w:val="bottom"/>
            <w:tcBorders>
              <w:right w:val="single" w:sz="8" w:color="F0FFFF"/>
            </w:tcBorders>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112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280" w:type="dxa"/>
            <w:vAlign w:val="bottom"/>
          </w:tcPr>
          <w:p>
            <w:pPr>
              <w:spacing w:after="0"/>
              <w:rPr>
                <w:sz w:val="20"/>
                <w:szCs w:val="20"/>
                <w:color w:val="auto"/>
              </w:rPr>
            </w:pPr>
            <w:r>
              <w:rPr>
                <w:rFonts w:ascii="Arial" w:cs="Arial" w:eastAsia="Arial" w:hAnsi="Arial"/>
                <w:sz w:val="16"/>
                <w:szCs w:val="16"/>
                <w:b w:val="1"/>
                <w:bCs w:val="1"/>
                <w:color w:val="auto"/>
              </w:rPr>
              <w:t>Net interest revenue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6"/>
                <w:szCs w:val="16"/>
                <w:color w:val="auto"/>
              </w:rPr>
              <w:t>166,086</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163,762</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shd w:val="clear" w:color="auto" w:fill="F0FFFF"/>
          </w:tcPr>
          <w:p>
            <w:pPr>
              <w:spacing w:after="0" w:line="183" w:lineRule="exact"/>
              <w:rPr>
                <w:sz w:val="20"/>
                <w:szCs w:val="20"/>
                <w:color w:val="auto"/>
              </w:rPr>
            </w:pPr>
            <w:r>
              <w:rPr>
                <w:rFonts w:ascii="Arial" w:cs="Arial" w:eastAsia="Arial" w:hAnsi="Arial"/>
                <w:sz w:val="16"/>
                <w:szCs w:val="16"/>
                <w:color w:val="auto"/>
              </w:rPr>
              <w:t>Net interest-rate spread</w:t>
            </w:r>
          </w:p>
        </w:tc>
        <w:tc>
          <w:tcPr>
            <w:tcW w:w="10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380" w:type="dxa"/>
            <w:vAlign w:val="bottom"/>
            <w:tcBorders>
              <w:right w:val="single" w:sz="8" w:color="F0FFFF"/>
            </w:tcBorders>
            <w:gridSpan w:val="2"/>
            <w:shd w:val="clear" w:color="auto" w:fill="F0FFFF"/>
          </w:tcPr>
          <w:p>
            <w:pPr>
              <w:jc w:val="right"/>
              <w:ind w:right="120"/>
              <w:spacing w:after="0" w:line="183" w:lineRule="exact"/>
              <w:rPr>
                <w:sz w:val="20"/>
                <w:szCs w:val="20"/>
                <w:color w:val="auto"/>
              </w:rPr>
            </w:pPr>
            <w:r>
              <w:rPr>
                <w:rFonts w:ascii="Arial" w:cs="Arial" w:eastAsia="Arial" w:hAnsi="Arial"/>
                <w:sz w:val="16"/>
                <w:szCs w:val="16"/>
                <w:color w:val="auto"/>
              </w:rPr>
              <w:t>3.12%</w:t>
            </w:r>
          </w:p>
        </w:tc>
        <w:tc>
          <w:tcPr>
            <w:tcW w:w="180" w:type="dxa"/>
            <w:vAlign w:val="bottom"/>
            <w:shd w:val="clear" w:color="auto" w:fill="F0FFFF"/>
          </w:tcPr>
          <w:p>
            <w:pPr>
              <w:spacing w:after="0"/>
              <w:rPr>
                <w:sz w:val="19"/>
                <w:szCs w:val="19"/>
                <w:color w:val="auto"/>
              </w:rPr>
            </w:pPr>
          </w:p>
        </w:tc>
        <w:tc>
          <w:tcPr>
            <w:tcW w:w="96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80" w:type="dxa"/>
            <w:vAlign w:val="bottom"/>
            <w:shd w:val="clear" w:color="auto" w:fill="F0FFFF"/>
          </w:tcPr>
          <w:p>
            <w:pPr>
              <w:spacing w:after="0"/>
              <w:rPr>
                <w:sz w:val="19"/>
                <w:szCs w:val="19"/>
                <w:color w:val="auto"/>
              </w:rPr>
            </w:pPr>
          </w:p>
        </w:tc>
        <w:tc>
          <w:tcPr>
            <w:tcW w:w="940" w:type="dxa"/>
            <w:vAlign w:val="bottom"/>
            <w:shd w:val="clear" w:color="auto" w:fill="F0FFFF"/>
          </w:tcPr>
          <w:p>
            <w:pPr>
              <w:spacing w:after="0"/>
              <w:rPr>
                <w:sz w:val="19"/>
                <w:szCs w:val="19"/>
                <w:color w:val="auto"/>
              </w:rPr>
            </w:pPr>
          </w:p>
        </w:tc>
        <w:tc>
          <w:tcPr>
            <w:tcW w:w="220" w:type="dxa"/>
            <w:vAlign w:val="bottom"/>
            <w:shd w:val="clear" w:color="auto" w:fill="F0FFFF"/>
          </w:tcPr>
          <w:p>
            <w:pPr>
              <w:spacing w:after="0"/>
              <w:rPr>
                <w:sz w:val="19"/>
                <w:szCs w:val="19"/>
                <w:color w:val="auto"/>
              </w:rPr>
            </w:pPr>
          </w:p>
        </w:tc>
        <w:tc>
          <w:tcPr>
            <w:tcW w:w="1280" w:type="dxa"/>
            <w:vAlign w:val="bottom"/>
            <w:gridSpan w:val="2"/>
            <w:shd w:val="clear" w:color="auto" w:fill="F0FFFF"/>
          </w:tcPr>
          <w:p>
            <w:pPr>
              <w:jc w:val="right"/>
              <w:ind w:right="20"/>
              <w:spacing w:after="0" w:line="183" w:lineRule="exact"/>
              <w:rPr>
                <w:sz w:val="20"/>
                <w:szCs w:val="20"/>
                <w:color w:val="auto"/>
              </w:rPr>
            </w:pPr>
            <w:r>
              <w:rPr>
                <w:rFonts w:ascii="Arial" w:cs="Arial" w:eastAsia="Arial" w:hAnsi="Arial"/>
                <w:sz w:val="16"/>
                <w:szCs w:val="16"/>
                <w:color w:val="auto"/>
              </w:rPr>
              <w:t>3.16%</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280" w:type="dxa"/>
            <w:vAlign w:val="bottom"/>
            <w:tcBorders>
              <w:top w:val="single" w:sz="8" w:color="F0FFFF"/>
            </w:tcBorders>
          </w:tcPr>
          <w:p>
            <w:pPr>
              <w:spacing w:after="0"/>
              <w:rPr>
                <w:sz w:val="15"/>
                <w:szCs w:val="15"/>
                <w:color w:val="auto"/>
              </w:rPr>
            </w:pPr>
          </w:p>
        </w:tc>
        <w:tc>
          <w:tcPr>
            <w:tcW w:w="100" w:type="dxa"/>
            <w:vAlign w:val="bottom"/>
            <w:tcBorders>
              <w:top w:val="single" w:sz="8" w:color="F0FFFF"/>
            </w:tcBorders>
          </w:tcPr>
          <w:p>
            <w:pPr>
              <w:spacing w:after="0"/>
              <w:rPr>
                <w:sz w:val="15"/>
                <w:szCs w:val="15"/>
                <w:color w:val="auto"/>
              </w:rPr>
            </w:pPr>
          </w:p>
        </w:tc>
        <w:tc>
          <w:tcPr>
            <w:tcW w:w="180" w:type="dxa"/>
            <w:vAlign w:val="bottom"/>
            <w:tcBorders>
              <w:top w:val="single" w:sz="8" w:color="F0FFFF"/>
            </w:tcBorders>
          </w:tcPr>
          <w:p>
            <w:pPr>
              <w:spacing w:after="0"/>
              <w:rPr>
                <w:sz w:val="15"/>
                <w:szCs w:val="15"/>
                <w:color w:val="auto"/>
              </w:rPr>
            </w:pPr>
          </w:p>
        </w:tc>
        <w:tc>
          <w:tcPr>
            <w:tcW w:w="940" w:type="dxa"/>
            <w:vAlign w:val="bottom"/>
            <w:tcBorders>
              <w:top w:val="single" w:sz="8" w:color="F0FFFF"/>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80" w:type="dxa"/>
            <w:vAlign w:val="bottom"/>
            <w:tcBorders>
              <w:top w:val="single" w:sz="8" w:color="F0FFFF"/>
            </w:tcBorders>
          </w:tcPr>
          <w:p>
            <w:pPr>
              <w:spacing w:after="0"/>
              <w:rPr>
                <w:sz w:val="15"/>
                <w:szCs w:val="15"/>
                <w:color w:val="auto"/>
              </w:rPr>
            </w:pPr>
          </w:p>
        </w:tc>
        <w:tc>
          <w:tcPr>
            <w:tcW w:w="940" w:type="dxa"/>
            <w:vAlign w:val="bottom"/>
            <w:tcBorders>
              <w:top w:val="single" w:sz="8" w:color="F0FFFF"/>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40" w:type="dxa"/>
            <w:vAlign w:val="bottom"/>
            <w:tcBorders>
              <w:top w:val="single" w:sz="8" w:color="F0FFFF"/>
            </w:tcBorders>
          </w:tcPr>
          <w:p>
            <w:pPr>
              <w:spacing w:after="0"/>
              <w:rPr>
                <w:sz w:val="15"/>
                <w:szCs w:val="15"/>
                <w:color w:val="auto"/>
              </w:rPr>
            </w:pPr>
          </w:p>
        </w:tc>
        <w:tc>
          <w:tcPr>
            <w:tcW w:w="180" w:type="dxa"/>
            <w:vAlign w:val="bottom"/>
            <w:tcBorders>
              <w:top w:val="single" w:sz="8" w:color="F0FFFF"/>
            </w:tcBorders>
          </w:tcPr>
          <w:p>
            <w:pPr>
              <w:spacing w:after="0"/>
              <w:rPr>
                <w:sz w:val="15"/>
                <w:szCs w:val="15"/>
                <w:color w:val="auto"/>
              </w:rPr>
            </w:pPr>
          </w:p>
        </w:tc>
        <w:tc>
          <w:tcPr>
            <w:tcW w:w="960" w:type="dxa"/>
            <w:vAlign w:val="bottom"/>
            <w:tcBorders>
              <w:top w:val="single" w:sz="8" w:color="F0FFFF"/>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80" w:type="dxa"/>
            <w:vAlign w:val="bottom"/>
            <w:tcBorders>
              <w:top w:val="single" w:sz="8" w:color="F0FFFF"/>
            </w:tcBorders>
          </w:tcPr>
          <w:p>
            <w:pPr>
              <w:spacing w:after="0"/>
              <w:rPr>
                <w:sz w:val="15"/>
                <w:szCs w:val="15"/>
                <w:color w:val="auto"/>
              </w:rPr>
            </w:pPr>
          </w:p>
        </w:tc>
        <w:tc>
          <w:tcPr>
            <w:tcW w:w="940" w:type="dxa"/>
            <w:vAlign w:val="bottom"/>
            <w:tcBorders>
              <w:top w:val="single" w:sz="8" w:color="F0FFFF"/>
            </w:tcBorders>
          </w:tcPr>
          <w:p>
            <w:pPr>
              <w:spacing w:after="0"/>
              <w:rPr>
                <w:sz w:val="15"/>
                <w:szCs w:val="15"/>
                <w:color w:val="auto"/>
              </w:rPr>
            </w:pPr>
          </w:p>
        </w:tc>
        <w:tc>
          <w:tcPr>
            <w:tcW w:w="220" w:type="dxa"/>
            <w:vAlign w:val="bottom"/>
            <w:tcBorders>
              <w:top w:val="single" w:sz="8" w:color="F0FFFF"/>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6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vMerge w:val="continue"/>
          </w:tcPr>
          <w:p>
            <w:pPr>
              <w:spacing w:after="0"/>
              <w:rPr>
                <w:sz w:val="18"/>
                <w:szCs w:val="18"/>
                <w:color w:val="auto"/>
              </w:rPr>
            </w:pPr>
          </w:p>
        </w:tc>
        <w:tc>
          <w:tcPr>
            <w:tcW w:w="328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 xml:space="preserve">Net interest margin </w:t>
            </w:r>
            <w:r>
              <w:rPr>
                <w:rFonts w:ascii="Arial" w:cs="Arial" w:eastAsia="Arial" w:hAnsi="Arial"/>
                <w:sz w:val="16"/>
                <w:szCs w:val="16"/>
                <w:b w:val="1"/>
                <w:bCs w:val="1"/>
                <w:color w:val="auto"/>
                <w:vertAlign w:val="superscript"/>
              </w:rPr>
              <w:t>(4)</w:t>
            </w:r>
          </w:p>
        </w:tc>
        <w:tc>
          <w:tcPr>
            <w:tcW w:w="10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380" w:type="dxa"/>
            <w:vAlign w:val="bottom"/>
            <w:tcBorders>
              <w:right w:val="single" w:sz="8" w:color="F0FFFF"/>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3.25%</w:t>
            </w:r>
          </w:p>
        </w:tc>
        <w:tc>
          <w:tcPr>
            <w:tcW w:w="180" w:type="dxa"/>
            <w:vAlign w:val="bottom"/>
            <w:shd w:val="clear" w:color="auto" w:fill="F0FFFF"/>
          </w:tcPr>
          <w:p>
            <w:pPr>
              <w:spacing w:after="0"/>
              <w:rPr>
                <w:sz w:val="18"/>
                <w:szCs w:val="18"/>
                <w:color w:val="auto"/>
              </w:rPr>
            </w:pPr>
          </w:p>
        </w:tc>
        <w:tc>
          <w:tcPr>
            <w:tcW w:w="96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80" w:type="dxa"/>
            <w:vAlign w:val="bottom"/>
            <w:shd w:val="clear" w:color="auto" w:fill="F0FFFF"/>
          </w:tcPr>
          <w:p>
            <w:pPr>
              <w:spacing w:after="0"/>
              <w:rPr>
                <w:sz w:val="18"/>
                <w:szCs w:val="18"/>
                <w:color w:val="auto"/>
              </w:rPr>
            </w:pPr>
          </w:p>
        </w:tc>
        <w:tc>
          <w:tcPr>
            <w:tcW w:w="940" w:type="dxa"/>
            <w:vAlign w:val="bottom"/>
            <w:shd w:val="clear" w:color="auto" w:fill="F0FFFF"/>
          </w:tcPr>
          <w:p>
            <w:pPr>
              <w:spacing w:after="0"/>
              <w:rPr>
                <w:sz w:val="18"/>
                <w:szCs w:val="18"/>
                <w:color w:val="auto"/>
              </w:rPr>
            </w:pPr>
          </w:p>
        </w:tc>
        <w:tc>
          <w:tcPr>
            <w:tcW w:w="220" w:type="dxa"/>
            <w:vAlign w:val="bottom"/>
            <w:shd w:val="clear" w:color="auto" w:fill="F0FFFF"/>
          </w:tcPr>
          <w:p>
            <w:pPr>
              <w:spacing w:after="0"/>
              <w:rPr>
                <w:sz w:val="18"/>
                <w:szCs w:val="18"/>
                <w:color w:val="auto"/>
              </w:rPr>
            </w:pPr>
          </w:p>
        </w:tc>
        <w:tc>
          <w:tcPr>
            <w:tcW w:w="12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3.32%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top w:val="single" w:sz="8" w:color="F0FFFF"/>
            </w:tcBorders>
            <w:shd w:val="clear" w:color="auto" w:fill="F0FFFF"/>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6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80" w:type="dxa"/>
            <w:vAlign w:val="bottom"/>
            <w:tcBorders>
              <w:top w:val="single" w:sz="8" w:color="F0FFFF"/>
            </w:tcBorders>
            <w:shd w:val="clear" w:color="auto" w:fill="F0FFFF"/>
          </w:tcPr>
          <w:p>
            <w:pPr>
              <w:spacing w:after="0" w:line="20" w:lineRule="exact"/>
              <w:rPr>
                <w:sz w:val="1"/>
                <w:szCs w:val="1"/>
                <w:color w:val="auto"/>
              </w:rPr>
            </w:pPr>
          </w:p>
        </w:tc>
        <w:tc>
          <w:tcPr>
            <w:tcW w:w="940" w:type="dxa"/>
            <w:vAlign w:val="bottom"/>
            <w:tcBorders>
              <w:top w:val="single" w:sz="8" w:color="F0FFFF"/>
            </w:tcBorders>
            <w:shd w:val="clear" w:color="auto" w:fill="F0FFFF"/>
          </w:tcPr>
          <w:p>
            <w:pPr>
              <w:spacing w:after="0" w:line="20" w:lineRule="exact"/>
              <w:rPr>
                <w:sz w:val="1"/>
                <w:szCs w:val="1"/>
                <w:color w:val="auto"/>
              </w:rPr>
            </w:pPr>
          </w:p>
        </w:tc>
        <w:tc>
          <w:tcPr>
            <w:tcW w:w="220" w:type="dxa"/>
            <w:vAlign w:val="bottom"/>
            <w:tcBorders>
              <w:top w:val="single" w:sz="8" w:color="F0FFFF"/>
            </w:tcBorders>
            <w:shd w:val="clear" w:color="auto" w:fill="F0FF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283" w:right="100" w:hanging="283"/>
        <w:spacing w:after="0" w:line="214" w:lineRule="auto"/>
        <w:tabs>
          <w:tab w:leader="none" w:pos="306"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323" w:hanging="323"/>
        <w:spacing w:after="0" w:line="184" w:lineRule="auto"/>
        <w:tabs>
          <w:tab w:leader="none" w:pos="323"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Included in the average balance of loans outstanding are loans where the accrual of interest has been discontinued and loans that are held for sale.</w:t>
      </w:r>
    </w:p>
    <w:p>
      <w:pPr>
        <w:spacing w:after="0" w:line="2" w:lineRule="exact"/>
        <w:rPr>
          <w:rFonts w:ascii="Arial" w:cs="Arial" w:eastAsia="Arial" w:hAnsi="Arial"/>
          <w:sz w:val="22"/>
          <w:szCs w:val="22"/>
          <w:color w:val="auto"/>
          <w:vertAlign w:val="superscript"/>
        </w:rPr>
      </w:pPr>
    </w:p>
    <w:p>
      <w:pPr>
        <w:ind w:left="283" w:right="40" w:hanging="283"/>
        <w:spacing w:after="0" w:line="206" w:lineRule="auto"/>
        <w:tabs>
          <w:tab w:leader="none" w:pos="306"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Securities available for sale are shown at amortized cost. Pretax unrealized gains of $1.59 million in 2014 and pretax unrealized gains of $7.96 million in 2013 are included in other assets for purposes of this presentation.</w:t>
      </w:r>
    </w:p>
    <w:p>
      <w:pPr>
        <w:spacing w:after="0" w:line="1" w:lineRule="exact"/>
        <w:rPr>
          <w:rFonts w:ascii="Arial" w:cs="Arial" w:eastAsia="Arial" w:hAnsi="Arial"/>
          <w:sz w:val="23"/>
          <w:szCs w:val="23"/>
          <w:color w:val="auto"/>
          <w:vertAlign w:val="superscript"/>
        </w:rPr>
      </w:pPr>
    </w:p>
    <w:p>
      <w:pPr>
        <w:ind w:left="303" w:hanging="303"/>
        <w:spacing w:after="0" w:line="184" w:lineRule="auto"/>
        <w:tabs>
          <w:tab w:leader="none" w:pos="303" w:val="left"/>
        </w:tabs>
        <w:numPr>
          <w:ilvl w:val="0"/>
          <w:numId w:val="8"/>
        </w:numPr>
        <w:rPr>
          <w:rFonts w:ascii="Arial" w:cs="Arial" w:eastAsia="Arial" w:hAnsi="Arial"/>
          <w:sz w:val="22"/>
          <w:szCs w:val="22"/>
          <w:color w:val="auto"/>
          <w:vertAlign w:val="superscript"/>
        </w:rPr>
      </w:pPr>
      <w:r>
        <w:rPr>
          <w:rFonts w:ascii="Arial" w:cs="Arial" w:eastAsia="Arial" w:hAnsi="Arial"/>
          <w:sz w:val="15"/>
          <w:szCs w:val="15"/>
          <w:color w:val="auto"/>
        </w:rPr>
        <w:t>Net interest margin is taxable equivalent net-interest revenue divided by average interest-earning assets.</w:t>
      </w:r>
    </w:p>
    <w:p>
      <w:pPr>
        <w:spacing w:after="0" w:line="40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059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3"/>
          </w:cols>
          <w:pgMar w:left="237" w:top="842" w:right="219" w:bottom="1440" w:gutter="0" w:footer="0" w:header="0"/>
        </w:sectPr>
      </w:pPr>
    </w:p>
    <w:bookmarkStart w:id="49" w:name="page50"/>
    <w:bookmarkEnd w:id="49"/>
    <w:p>
      <w:pPr>
        <w:ind w:right="100"/>
        <w:spacing w:after="0" w:line="267" w:lineRule="auto"/>
        <w:rPr>
          <w:sz w:val="20"/>
          <w:szCs w:val="20"/>
          <w:color w:val="auto"/>
        </w:rPr>
      </w:pPr>
      <w:r>
        <w:rPr>
          <w:rFonts w:ascii="Arial" w:cs="Arial" w:eastAsia="Arial" w:hAnsi="Arial"/>
          <w:sz w:val="16"/>
          <w:szCs w:val="16"/>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ectPr>
          <w:pgSz w:w="11900" w:h="16838" w:orient="portrait"/>
          <w:cols w:equalWidth="0" w:num="1">
            <w:col w:w="11440"/>
          </w:cols>
          <w:pgMar w:left="240" w:top="842" w:right="219" w:bottom="1440" w:gutter="0" w:footer="0" w:header="0"/>
        </w:sectPr>
      </w:pPr>
    </w:p>
    <w:p>
      <w:pPr>
        <w:spacing w:after="0" w:line="158" w:lineRule="exact"/>
        <w:rPr>
          <w:sz w:val="20"/>
          <w:szCs w:val="20"/>
          <w:color w:val="auto"/>
        </w:rPr>
      </w:pPr>
    </w:p>
    <w:p>
      <w:pPr>
        <w:ind w:right="2420"/>
        <w:spacing w:after="0" w:line="287" w:lineRule="auto"/>
        <w:rPr>
          <w:sz w:val="20"/>
          <w:szCs w:val="20"/>
          <w:color w:val="auto"/>
        </w:rPr>
      </w:pPr>
      <w:r>
        <w:rPr>
          <w:rFonts w:ascii="Arial" w:cs="Arial" w:eastAsia="Arial" w:hAnsi="Arial"/>
          <w:sz w:val="16"/>
          <w:szCs w:val="16"/>
          <w:b w:val="1"/>
          <w:bCs w:val="1"/>
          <w:color w:val="auto"/>
        </w:rPr>
        <w:t xml:space="preserve">Table 4 - Change in Interest Revenue and Expense on a Taxable Equivalent Basis </w:t>
      </w:r>
      <w:r>
        <w:rPr>
          <w:rFonts w:ascii="Arial" w:cs="Arial" w:eastAsia="Arial" w:hAnsi="Arial"/>
          <w:sz w:val="16"/>
          <w:szCs w:val="16"/>
          <w:i w:val="1"/>
          <w:iCs w:val="1"/>
          <w:color w:val="auto"/>
        </w:rPr>
        <w:t>(in thousands)</w:t>
      </w:r>
    </w:p>
    <w:p>
      <w:pPr>
        <w:spacing w:after="0" w:line="142" w:lineRule="exact"/>
        <w:rPr>
          <w:sz w:val="20"/>
          <w:szCs w:val="20"/>
          <w:color w:val="auto"/>
        </w:rPr>
      </w:pPr>
    </w:p>
    <w:p>
      <w:pPr>
        <w:jc w:val="center"/>
        <w:ind w:left="2600"/>
        <w:spacing w:after="0"/>
        <w:rPr>
          <w:sz w:val="20"/>
          <w:szCs w:val="20"/>
          <w:color w:val="auto"/>
        </w:rPr>
      </w:pPr>
      <w:r>
        <w:rPr>
          <w:rFonts w:ascii="Arial" w:cs="Arial" w:eastAsia="Arial" w:hAnsi="Arial"/>
          <w:sz w:val="14"/>
          <w:szCs w:val="14"/>
          <w:b w:val="1"/>
          <w:bCs w:val="1"/>
          <w:color w:val="auto"/>
        </w:rPr>
        <w:t>Three Months Ended</w:t>
      </w:r>
    </w:p>
    <w:p>
      <w:pPr>
        <w:spacing w:after="0" w:line="49" w:lineRule="exact"/>
        <w:rPr>
          <w:sz w:val="20"/>
          <w:szCs w:val="20"/>
          <w:color w:val="auto"/>
        </w:rPr>
      </w:pPr>
    </w:p>
    <w:p>
      <w:pPr>
        <w:jc w:val="center"/>
        <w:ind w:left="2600"/>
        <w:spacing w:after="0"/>
        <w:rPr>
          <w:sz w:val="20"/>
          <w:szCs w:val="20"/>
          <w:color w:val="auto"/>
        </w:rPr>
      </w:pPr>
      <w:r>
        <w:rPr>
          <w:rFonts w:ascii="Arial" w:cs="Arial" w:eastAsia="Arial" w:hAnsi="Arial"/>
          <w:sz w:val="15"/>
          <w:szCs w:val="15"/>
          <w:b w:val="1"/>
          <w:bCs w:val="1"/>
          <w:color w:val="auto"/>
        </w:rPr>
        <w:t>September 30, 2014</w:t>
      </w:r>
    </w:p>
    <w:p>
      <w:pPr>
        <w:spacing w:after="0" w:line="22" w:lineRule="exact"/>
        <w:rPr>
          <w:sz w:val="20"/>
          <w:szCs w:val="20"/>
          <w:color w:val="auto"/>
        </w:rPr>
      </w:pPr>
    </w:p>
    <w:p>
      <w:pPr>
        <w:jc w:val="center"/>
        <w:ind w:left="2600"/>
        <w:spacing w:after="0"/>
        <w:rPr>
          <w:sz w:val="20"/>
          <w:szCs w:val="20"/>
          <w:color w:val="auto"/>
        </w:rPr>
      </w:pPr>
      <w:r>
        <w:rPr>
          <w:rFonts w:ascii="Arial" w:cs="Arial" w:eastAsia="Arial" w:hAnsi="Arial"/>
          <w:sz w:val="16"/>
          <w:szCs w:val="16"/>
          <w:b w:val="1"/>
          <w:bCs w:val="1"/>
          <w:color w:val="auto"/>
        </w:rPr>
        <w:t>Compared to 2013</w:t>
      </w:r>
    </w:p>
    <w:p>
      <w:pPr>
        <w:spacing w:after="0" w:line="10" w:lineRule="exact"/>
        <w:rPr>
          <w:sz w:val="20"/>
          <w:szCs w:val="20"/>
          <w:color w:val="auto"/>
        </w:rPr>
      </w:pPr>
    </w:p>
    <w:p>
      <w:pPr>
        <w:jc w:val="center"/>
        <w:ind w:left="2600"/>
        <w:spacing w:after="0"/>
        <w:rPr>
          <w:sz w:val="20"/>
          <w:szCs w:val="20"/>
          <w:color w:val="auto"/>
        </w:rPr>
      </w:pPr>
      <w:r>
        <w:rPr>
          <w:rFonts w:ascii="Arial" w:cs="Arial" w:eastAsia="Arial" w:hAnsi="Arial"/>
          <w:sz w:val="15"/>
          <w:szCs w:val="15"/>
          <w:b w:val="1"/>
          <w:bCs w:val="1"/>
          <w:color w:val="auto"/>
        </w:rPr>
        <w:t>Increase (decrease)</w:t>
      </w:r>
    </w:p>
    <w:p>
      <w:pPr>
        <w:spacing w:after="0" w:line="22" w:lineRule="exact"/>
        <w:rPr>
          <w:sz w:val="20"/>
          <w:szCs w:val="20"/>
          <w:color w:val="auto"/>
        </w:rPr>
      </w:pPr>
    </w:p>
    <w:p>
      <w:pPr>
        <w:jc w:val="center"/>
        <w:ind w:left="2600"/>
        <w:spacing w:after="0"/>
        <w:rPr>
          <w:sz w:val="20"/>
          <w:szCs w:val="20"/>
          <w:color w:val="auto"/>
        </w:rPr>
      </w:pPr>
      <w:r>
        <w:rPr>
          <w:rFonts w:ascii="Arial" w:cs="Arial" w:eastAsia="Arial" w:hAnsi="Arial"/>
          <w:sz w:val="16"/>
          <w:szCs w:val="16"/>
          <w:b w:val="1"/>
          <w:bCs w:val="1"/>
          <w:color w:val="auto"/>
        </w:rPr>
        <w:t>Due to Changes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Nine Months Ended</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September 30, 2014</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Compared to 2013</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Increase (decrease)</w:t>
      </w:r>
    </w:p>
    <w:p>
      <w:pPr>
        <w:spacing w:after="0" w:line="33"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Due to Changes in</w:t>
      </w:r>
    </w:p>
    <w:p>
      <w:pPr>
        <w:spacing w:after="0" w:line="21" w:lineRule="exact"/>
        <w:rPr>
          <w:sz w:val="20"/>
          <w:szCs w:val="20"/>
          <w:color w:val="auto"/>
        </w:rPr>
      </w:pPr>
    </w:p>
    <w:p>
      <w:pPr>
        <w:sectPr>
          <w:pgSz w:w="11900" w:h="16838" w:orient="portrait"/>
          <w:cols w:equalWidth="0" w:num="2">
            <w:col w:w="8000" w:space="720"/>
            <w:col w:w="2720"/>
          </w:cols>
          <w:pgMar w:left="240" w:top="842" w:right="21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gridSpan w:val="2"/>
          </w:tcPr>
          <w:p>
            <w:pPr>
              <w:jc w:val="right"/>
              <w:ind w:right="480"/>
              <w:spacing w:after="0"/>
              <w:rPr>
                <w:sz w:val="20"/>
                <w:szCs w:val="20"/>
                <w:color w:val="auto"/>
              </w:rPr>
            </w:pPr>
            <w:r>
              <w:rPr>
                <w:rFonts w:ascii="Arial" w:cs="Arial" w:eastAsia="Arial" w:hAnsi="Arial"/>
                <w:sz w:val="16"/>
                <w:szCs w:val="16"/>
                <w:b w:val="1"/>
                <w:bCs w:val="1"/>
                <w:color w:val="auto"/>
              </w:rPr>
              <w:t>Volume</w:t>
            </w:r>
          </w:p>
        </w:tc>
        <w:tc>
          <w:tcPr>
            <w:tcW w:w="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660"/>
              <w:spacing w:after="0"/>
              <w:rPr>
                <w:sz w:val="20"/>
                <w:szCs w:val="20"/>
                <w:color w:val="auto"/>
              </w:rPr>
            </w:pPr>
            <w:r>
              <w:rPr>
                <w:rFonts w:ascii="Arial" w:cs="Arial" w:eastAsia="Arial" w:hAnsi="Arial"/>
                <w:sz w:val="16"/>
                <w:szCs w:val="16"/>
                <w:b w:val="1"/>
                <w:bCs w:val="1"/>
                <w:color w:val="auto"/>
              </w:rPr>
              <w:t>Rate</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right"/>
              <w:ind w:right="520"/>
              <w:spacing w:after="0"/>
              <w:rPr>
                <w:sz w:val="20"/>
                <w:szCs w:val="20"/>
                <w:color w:val="auto"/>
              </w:rPr>
            </w:pPr>
            <w:r>
              <w:rPr>
                <w:rFonts w:ascii="Arial" w:cs="Arial" w:eastAsia="Arial" w:hAnsi="Arial"/>
                <w:sz w:val="16"/>
                <w:szCs w:val="16"/>
                <w:b w:val="1"/>
                <w:bCs w:val="1"/>
                <w:color w:val="auto"/>
              </w:rPr>
              <w:t>Volume</w:t>
            </w: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6"/>
                <w:szCs w:val="16"/>
                <w:b w:val="1"/>
                <w:bCs w:val="1"/>
                <w:color w:val="auto"/>
              </w:rPr>
              <w:t>Rate</w:t>
            </w:r>
          </w:p>
        </w:tc>
        <w:tc>
          <w:tcPr>
            <w:tcW w:w="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ind w:left="1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Interest-earning assets:</w:t>
            </w: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6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Loans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2,262</w:t>
            </w:r>
          </w:p>
        </w:tc>
        <w:tc>
          <w:tcPr>
            <w:tcW w:w="16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(2,674)</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(412)</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5,582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(11,499)</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(5,917)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Taxable securities</w:t>
            </w: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251</w:t>
            </w:r>
          </w:p>
        </w:tc>
        <w:tc>
          <w:tcPr>
            <w:tcW w:w="1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2,233</w:t>
            </w: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2,484</w:t>
            </w: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1,913</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4,366</w:t>
            </w:r>
          </w:p>
        </w:tc>
        <w:tc>
          <w:tcPr>
            <w:tcW w:w="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6,279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Tax-exempt securities</w:t>
            </w:r>
          </w:p>
        </w:tc>
        <w:tc>
          <w:tcPr>
            <w:tcW w:w="1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(8)</w:t>
            </w: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(89)</w:t>
            </w:r>
          </w:p>
        </w:tc>
        <w:tc>
          <w:tcPr>
            <w:tcW w:w="24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320" w:type="dxa"/>
            <w:vAlign w:val="bottom"/>
            <w:shd w:val="clear" w:color="auto" w:fill="F0FFFF"/>
          </w:tcPr>
          <w:p>
            <w:pPr>
              <w:spacing w:after="0" w:line="181" w:lineRule="exact"/>
              <w:rPr>
                <w:sz w:val="20"/>
                <w:szCs w:val="20"/>
                <w:color w:val="auto"/>
              </w:rPr>
            </w:pPr>
            <w:r>
              <w:rPr>
                <w:rFonts w:ascii="Arial" w:cs="Arial" w:eastAsia="Arial" w:hAnsi="Arial"/>
                <w:sz w:val="16"/>
                <w:szCs w:val="16"/>
                <w:color w:val="auto"/>
              </w:rPr>
              <w:t>Federal funds sold and other interest-earning</w:t>
            </w:r>
          </w:p>
        </w:tc>
        <w:tc>
          <w:tcPr>
            <w:tcW w:w="18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2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94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2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assets</w:t>
            </w:r>
          </w:p>
        </w:tc>
        <w:tc>
          <w:tcPr>
            <w:tcW w:w="18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(292)</w:t>
            </w:r>
          </w:p>
        </w:tc>
        <w:tc>
          <w:tcPr>
            <w:tcW w:w="8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173</w:t>
            </w:r>
          </w:p>
        </w:tc>
        <w:tc>
          <w:tcPr>
            <w:tcW w:w="240" w:type="dxa"/>
            <w:vAlign w:val="bottom"/>
            <w:shd w:val="clear" w:color="auto" w:fill="F0FFFF"/>
          </w:tcPr>
          <w:p>
            <w:pPr>
              <w:spacing w:after="0"/>
              <w:rPr>
                <w:sz w:val="17"/>
                <w:szCs w:val="17"/>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(119)</w:t>
            </w:r>
          </w:p>
        </w:tc>
        <w:tc>
          <w:tcPr>
            <w:tcW w:w="80" w:type="dxa"/>
            <w:vAlign w:val="bottom"/>
            <w:shd w:val="clear" w:color="auto" w:fill="F0FFFF"/>
          </w:tcPr>
          <w:p>
            <w:pPr>
              <w:spacing w:after="0"/>
              <w:rPr>
                <w:sz w:val="17"/>
                <w:szCs w:val="17"/>
                <w:color w:val="auto"/>
              </w:rPr>
            </w:pPr>
          </w:p>
        </w:tc>
        <w:tc>
          <w:tcPr>
            <w:tcW w:w="20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(836)</w:t>
            </w:r>
          </w:p>
        </w:tc>
        <w:tc>
          <w:tcPr>
            <w:tcW w:w="240" w:type="dxa"/>
            <w:vAlign w:val="bottom"/>
            <w:shd w:val="clear" w:color="auto" w:fill="F0FFFF"/>
          </w:tcPr>
          <w:p>
            <w:pPr>
              <w:spacing w:after="0"/>
              <w:rPr>
                <w:sz w:val="17"/>
                <w:szCs w:val="17"/>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570</w:t>
            </w:r>
          </w:p>
        </w:tc>
        <w:tc>
          <w:tcPr>
            <w:tcW w:w="80" w:type="dxa"/>
            <w:vAlign w:val="bottom"/>
            <w:shd w:val="clear" w:color="auto" w:fill="F0FFFF"/>
          </w:tcPr>
          <w:p>
            <w:pPr>
              <w:spacing w:after="0"/>
              <w:rPr>
                <w:sz w:val="17"/>
                <w:szCs w:val="17"/>
                <w:color w:val="auto"/>
              </w:rPr>
            </w:pPr>
          </w:p>
        </w:tc>
        <w:tc>
          <w:tcPr>
            <w:tcW w:w="220" w:type="dxa"/>
            <w:vAlign w:val="bottom"/>
            <w:shd w:val="clear" w:color="auto" w:fill="F0FFFF"/>
          </w:tcPr>
          <w:p>
            <w:pPr>
              <w:spacing w:after="0"/>
              <w:rPr>
                <w:sz w:val="17"/>
                <w:szCs w:val="17"/>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20"/>
              <w:spacing w:after="0"/>
              <w:rPr>
                <w:sz w:val="20"/>
                <w:szCs w:val="20"/>
                <w:color w:val="auto"/>
              </w:rPr>
            </w:pPr>
            <w:r>
              <w:rPr>
                <w:rFonts w:ascii="Arial" w:cs="Arial" w:eastAsia="Arial" w:hAnsi="Arial"/>
                <w:sz w:val="16"/>
                <w:szCs w:val="16"/>
                <w:b w:val="1"/>
                <w:bCs w:val="1"/>
                <w:color w:val="auto"/>
              </w:rPr>
              <w:t>Total interest-earning assets</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2,188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(276)</w:t>
            </w:r>
          </w:p>
        </w:tc>
        <w:tc>
          <w:tcPr>
            <w:tcW w:w="24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1,912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6,570</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(6,582)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33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6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b w:val="1"/>
                <w:bCs w:val="1"/>
                <w:color w:val="auto"/>
              </w:rPr>
              <w:t>Interest-bearing liabilities: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NOW accounts</w:t>
            </w: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w:t>
            </w:r>
          </w:p>
        </w:tc>
        <w:tc>
          <w:tcPr>
            <w:tcW w:w="1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(83)</w:t>
            </w: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(48)</w:t>
            </w: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108</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(178)</w:t>
            </w:r>
          </w:p>
        </w:tc>
        <w:tc>
          <w:tcPr>
            <w:tcW w:w="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Money market accounts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302</w:t>
            </w:r>
          </w:p>
        </w:tc>
        <w:tc>
          <w:tcPr>
            <w:tcW w:w="24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449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551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Savings deposits</w:t>
            </w: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w:t>
            </w:r>
          </w:p>
        </w:tc>
        <w:tc>
          <w:tcPr>
            <w:tcW w:w="1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(21)</w:t>
            </w: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w:t>
            </w: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12</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(60)</w:t>
            </w:r>
          </w:p>
        </w:tc>
        <w:tc>
          <w:tcPr>
            <w:tcW w:w="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Time deposits less than $100,000</w:t>
            </w:r>
          </w:p>
        </w:tc>
        <w:tc>
          <w:tcPr>
            <w:tcW w:w="1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(284)</w:t>
            </w: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(493)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(709)</w:t>
            </w:r>
          </w:p>
        </w:tc>
        <w:tc>
          <w:tcPr>
            <w:tcW w:w="24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(1,155)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(1,864)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Time deposits greater than $100,000</w:t>
            </w: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(177)</w:t>
            </w:r>
          </w:p>
        </w:tc>
        <w:tc>
          <w:tcPr>
            <w:tcW w:w="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(225)</w:t>
            </w: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(402)</w:t>
            </w: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(603)</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(873)</w:t>
            </w:r>
          </w:p>
        </w:tc>
        <w:tc>
          <w:tcPr>
            <w:tcW w:w="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(1,476)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Brokered deposits</w:t>
            </w: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37</w:t>
            </w:r>
          </w:p>
        </w:tc>
        <w:tc>
          <w:tcPr>
            <w:tcW w:w="24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ind w:left="60"/>
              <w:spacing w:after="0"/>
              <w:rPr>
                <w:sz w:val="20"/>
                <w:szCs w:val="20"/>
                <w:color w:val="auto"/>
              </w:rPr>
            </w:pPr>
            <w:r>
              <w:rPr>
                <w:rFonts w:ascii="Arial" w:cs="Arial" w:eastAsia="Arial" w:hAnsi="Arial"/>
                <w:sz w:val="16"/>
                <w:szCs w:val="16"/>
                <w:color w:val="auto"/>
              </w:rPr>
              <w:t>Total interest-bearing deposits</w:t>
            </w: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(317)</w:t>
            </w:r>
          </w:p>
        </w:tc>
        <w:tc>
          <w:tcPr>
            <w:tcW w:w="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(330)</w:t>
            </w: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(647)</w:t>
            </w: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(1,053)</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(1,875)</w:t>
            </w:r>
          </w:p>
        </w:tc>
        <w:tc>
          <w:tcPr>
            <w:tcW w:w="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(2,928)</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Federal funds purchased &amp; other borrowings</w:t>
            </w:r>
          </w:p>
        </w:tc>
        <w:tc>
          <w:tcPr>
            <w:tcW w:w="1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(94)</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(115)</w:t>
            </w: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(209)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470</w:t>
            </w:r>
          </w:p>
        </w:tc>
        <w:tc>
          <w:tcPr>
            <w:tcW w:w="240" w:type="dxa"/>
            <w:vAlign w:val="bottom"/>
          </w:tcPr>
          <w:p>
            <w:pPr>
              <w:spacing w:after="0"/>
              <w:rPr>
                <w:sz w:val="16"/>
                <w:szCs w:val="16"/>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Federal Home Loan Bank advances</w:t>
            </w: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286</w:t>
            </w:r>
          </w:p>
        </w:tc>
        <w:tc>
          <w:tcPr>
            <w:tcW w:w="1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133</w:t>
            </w: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419</w:t>
            </w: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370</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138</w:t>
            </w:r>
          </w:p>
        </w:tc>
        <w:tc>
          <w:tcPr>
            <w:tcW w:w="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(301)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(60)</w:t>
            </w:r>
          </w:p>
        </w:tc>
        <w:tc>
          <w:tcPr>
            <w:tcW w:w="240" w:type="dxa"/>
            <w:vAlign w:val="bottom"/>
          </w:tcPr>
          <w:p>
            <w:pPr>
              <w:spacing w:after="0"/>
              <w:rPr>
                <w:sz w:val="16"/>
                <w:szCs w:val="16"/>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(102)</w:t>
            </w:r>
          </w:p>
        </w:tc>
        <w:tc>
          <w:tcPr>
            <w:tcW w:w="24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(315)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ind w:left="60"/>
              <w:spacing w:after="0"/>
              <w:rPr>
                <w:sz w:val="20"/>
                <w:szCs w:val="20"/>
                <w:color w:val="auto"/>
              </w:rPr>
            </w:pPr>
            <w:r>
              <w:rPr>
                <w:rFonts w:ascii="Arial" w:cs="Arial" w:eastAsia="Arial" w:hAnsi="Arial"/>
                <w:sz w:val="16"/>
                <w:szCs w:val="16"/>
                <w:color w:val="auto"/>
              </w:rPr>
              <w:t>Total borrowed funds</w:t>
            </w:r>
          </w:p>
        </w:tc>
        <w:tc>
          <w:tcPr>
            <w:tcW w:w="18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(109)</w:t>
            </w:r>
          </w:p>
        </w:tc>
        <w:tc>
          <w:tcPr>
            <w:tcW w:w="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(42)</w:t>
            </w: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(151)</w:t>
            </w:r>
          </w:p>
        </w:tc>
        <w:tc>
          <w:tcPr>
            <w:tcW w:w="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738</w:t>
            </w: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(146)</w:t>
            </w:r>
          </w:p>
        </w:tc>
        <w:tc>
          <w:tcPr>
            <w:tcW w:w="80" w:type="dxa"/>
            <w:vAlign w:val="bottom"/>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592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120"/>
              <w:spacing w:after="0"/>
              <w:rPr>
                <w:sz w:val="20"/>
                <w:szCs w:val="20"/>
                <w:color w:val="auto"/>
              </w:rPr>
            </w:pPr>
            <w:r>
              <w:rPr>
                <w:rFonts w:ascii="Arial" w:cs="Arial" w:eastAsia="Arial" w:hAnsi="Arial"/>
                <w:sz w:val="16"/>
                <w:szCs w:val="16"/>
                <w:b w:val="1"/>
                <w:bCs w:val="1"/>
                <w:color w:val="auto"/>
              </w:rPr>
              <w:t>Total interest-bearing liabilities</w:t>
            </w:r>
          </w:p>
        </w:tc>
        <w:tc>
          <w:tcPr>
            <w:tcW w:w="1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(426)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(372)</w:t>
            </w:r>
          </w:p>
        </w:tc>
        <w:tc>
          <w:tcPr>
            <w:tcW w:w="24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(798)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(315)</w:t>
            </w:r>
          </w:p>
        </w:tc>
        <w:tc>
          <w:tcPr>
            <w:tcW w:w="2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(2,336)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960" w:type="dxa"/>
            <w:vAlign w:val="bottom"/>
            <w:tcBorders>
              <w:top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6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00" w:type="dxa"/>
            <w:vAlign w:val="bottom"/>
            <w:tcBorders>
              <w:top w:val="single" w:sz="8" w:color="auto"/>
            </w:tcBorders>
            <w:shd w:val="clear" w:color="auto" w:fill="F0FFFF"/>
          </w:tcPr>
          <w:p>
            <w:pPr>
              <w:spacing w:after="0"/>
              <w:rPr>
                <w:sz w:val="16"/>
                <w:szCs w:val="16"/>
                <w:color w:val="auto"/>
              </w:rPr>
            </w:pPr>
          </w:p>
        </w:tc>
        <w:tc>
          <w:tcPr>
            <w:tcW w:w="940" w:type="dxa"/>
            <w:vAlign w:val="bottom"/>
            <w:tcBorders>
              <w:top w:val="single" w:sz="8" w:color="auto"/>
            </w:tcBorders>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900" w:type="dxa"/>
            <w:vAlign w:val="bottom"/>
            <w:tcBorders>
              <w:top w:val="single" w:sz="8" w:color="auto"/>
            </w:tcBorders>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320" w:type="dxa"/>
            <w:vAlign w:val="bottom"/>
          </w:tcPr>
          <w:p>
            <w:pPr>
              <w:ind w:left="260"/>
              <w:spacing w:after="0"/>
              <w:rPr>
                <w:sz w:val="20"/>
                <w:szCs w:val="20"/>
                <w:color w:val="auto"/>
              </w:rPr>
            </w:pPr>
            <w:r>
              <w:rPr>
                <w:rFonts w:ascii="Arial" w:cs="Arial" w:eastAsia="Arial" w:hAnsi="Arial"/>
                <w:sz w:val="16"/>
                <w:szCs w:val="16"/>
                <w:b w:val="1"/>
                <w:bCs w:val="1"/>
                <w:color w:val="auto"/>
              </w:rPr>
              <w:t>Increase in net interest revenue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2,614</w:t>
            </w:r>
          </w:p>
        </w:tc>
        <w:tc>
          <w:tcPr>
            <w:tcW w:w="16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96</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2,710</w:t>
            </w:r>
          </w:p>
        </w:tc>
        <w:tc>
          <w:tcPr>
            <w:tcW w:w="2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6,885</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(4,561)</w:t>
            </w:r>
          </w:p>
        </w:tc>
        <w:tc>
          <w:tcPr>
            <w:tcW w:w="3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2,324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Credit Losses</w:t>
      </w:r>
    </w:p>
    <w:p>
      <w:pPr>
        <w:spacing w:after="0" w:line="228"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The provision for credit losses is based on management’s evaluation of probable incurred losses in the loan portfolio and corresponding analysis of the allowance for credit losses at quarter-end. The provision for credit losses was $2.00 million and $6.70 million, respectively, for the third quarter and first nine months of 2014, compared to $3.00 million and $62.5 million, respectively, for the same periods in 2013. The amount of provision recorded in each period was the amount required such that the total allowance for loan losses reflected the appropriate balance, in the estimation of management, sufficient to cover incurred losses in the loan portfolio. The provision for loan losses for the first nine months of 2014 was significantly lower than the first nine months of 2013, due to the second quarter 2013 classified asset dispositions and overall improvement in the portfolio credit quality. For the three and nine months ended September 30, 2014, net loan charge-offs as an annualized percentage of average outstanding loans were .28% and .42%, respectively, compared to .42% and 2.84%, respectively, for the same periods in 2013.</w:t>
      </w:r>
    </w:p>
    <w:p>
      <w:pPr>
        <w:spacing w:after="0" w:line="183"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In the fourth quarter of 2013, United established an allowance for unfunded loan commitments which is included in other liabilities in the consolidated balance sheet. The allowance for unfunded commitments represents probable incurred losses on unfunded loan commitments that are expected to result in outstanding loan balances. The allowance for unfunded loan commitments was established through the provision for credit losses.</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Over the past two years, United has experienced significant improvement in credit quality and corresponding credit measures. During the second quarter of 2013 United sold classified assets totaling approximately $172 million, including a bulk sale of $131 million. The classified asset sales and a general improving trend reduced United’s nonperforming assets to $21.9 million as of September 30, 2014. Additional discussion on credit quality and the allowance for loan losses is included in the “Asset Quality and Risk Elements” section of this report on page 56.</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6"/>
          <w:szCs w:val="16"/>
          <w:b w:val="1"/>
          <w:bCs w:val="1"/>
          <w:i w:val="1"/>
          <w:iCs w:val="1"/>
          <w:color w:val="auto"/>
        </w:rPr>
        <w:t>Fee Revenue</w:t>
      </w:r>
    </w:p>
    <w:p>
      <w:pPr>
        <w:spacing w:after="0" w:line="228"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Fee revenue for the three and nine months ended September 30, 2014 was $14.4 million and $40.7 million, respectively, an increase of $187,000, or 1%, compared to the third quarter of 2013, and a decrease of $2.35 million, or 5%, from the year-to-date period of 2013. The following table presents the components of fee revenue for the third quarters and first nine months of 2014 and 2013.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400" w:type="dxa"/>
            <w:vAlign w:val="bottom"/>
            <w:gridSpan w:val="2"/>
          </w:tcPr>
          <w:p>
            <w:pPr>
              <w:spacing w:after="0"/>
              <w:rPr>
                <w:sz w:val="20"/>
                <w:szCs w:val="20"/>
                <w:color w:val="auto"/>
              </w:rPr>
            </w:pPr>
            <w:r>
              <w:rPr>
                <w:rFonts w:ascii="Arial" w:cs="Arial" w:eastAsia="Arial" w:hAnsi="Arial"/>
                <w:sz w:val="16"/>
                <w:szCs w:val="16"/>
                <w:b w:val="1"/>
                <w:bCs w:val="1"/>
                <w:color w:val="auto"/>
              </w:rPr>
              <w:t>Table 5 - Fee Revenue</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4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200" w:type="dxa"/>
            <w:vAlign w:val="bottom"/>
          </w:tcPr>
          <w:p>
            <w:pPr>
              <w:spacing w:after="0"/>
              <w:rPr>
                <w:sz w:val="17"/>
                <w:szCs w:val="17"/>
                <w:color w:val="auto"/>
              </w:rPr>
            </w:pPr>
          </w:p>
        </w:tc>
        <w:tc>
          <w:tcPr>
            <w:tcW w:w="2160" w:type="dxa"/>
            <w:vAlign w:val="bottom"/>
            <w:gridSpan w:val="5"/>
            <w:vMerge w:val="restart"/>
          </w:tcPr>
          <w:p>
            <w:pPr>
              <w:jc w:val="center"/>
              <w:ind w:right="440"/>
              <w:spacing w:after="0"/>
              <w:rPr>
                <w:sz w:val="20"/>
                <w:szCs w:val="20"/>
                <w:color w:val="auto"/>
              </w:rPr>
            </w:pPr>
            <w:r>
              <w:rPr>
                <w:rFonts w:ascii="Arial" w:cs="Arial" w:eastAsia="Arial" w:hAnsi="Arial"/>
                <w:sz w:val="16"/>
                <w:szCs w:val="16"/>
                <w:b w:val="1"/>
                <w:bCs w:val="1"/>
                <w:color w:val="auto"/>
                <w:w w:val="93"/>
              </w:rPr>
              <w:t>Three Months Ended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gridSpan w:val="6"/>
            <w:vMerge w:val="restart"/>
          </w:tcPr>
          <w:p>
            <w:pPr>
              <w:jc w:val="right"/>
              <w:ind w:right="440"/>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6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60" w:type="dxa"/>
            <w:vAlign w:val="bottom"/>
            <w:gridSpan w:val="6"/>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1180" w:type="dxa"/>
            <w:vAlign w:val="bottom"/>
            <w:gridSpan w:val="3"/>
          </w:tcPr>
          <w:p>
            <w:pPr>
              <w:ind w:left="620"/>
              <w:spacing w:after="0"/>
              <w:rPr>
                <w:sz w:val="20"/>
                <w:szCs w:val="20"/>
                <w:color w:val="auto"/>
              </w:rPr>
            </w:pPr>
            <w:r>
              <w:rPr>
                <w:rFonts w:ascii="Arial" w:cs="Arial" w:eastAsia="Arial" w:hAnsi="Arial"/>
                <w:sz w:val="16"/>
                <w:szCs w:val="16"/>
                <w:b w:val="1"/>
                <w:bCs w:val="1"/>
                <w:color w:val="auto"/>
                <w:w w:val="91"/>
              </w:rPr>
              <w:t>Change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gridSpan w:val="6"/>
          </w:tcPr>
          <w:p>
            <w:pPr>
              <w:jc w:val="right"/>
              <w:ind w:right="64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ind w:left="620"/>
              <w:spacing w:after="0"/>
              <w:rPr>
                <w:sz w:val="20"/>
                <w:szCs w:val="20"/>
                <w:color w:val="auto"/>
              </w:rPr>
            </w:pPr>
            <w:r>
              <w:rPr>
                <w:rFonts w:ascii="Arial" w:cs="Arial" w:eastAsia="Arial" w:hAnsi="Arial"/>
                <w:sz w:val="16"/>
                <w:szCs w:val="16"/>
                <w:b w:val="1"/>
                <w:bCs w:val="1"/>
                <w:color w:val="auto"/>
                <w:w w:val="88"/>
              </w:rPr>
              <w:t>Change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24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2013</w:t>
            </w:r>
          </w:p>
        </w:tc>
        <w:tc>
          <w:tcPr>
            <w:tcW w:w="2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88"/>
              </w:rPr>
              <w:t>Percent</w:t>
            </w:r>
          </w:p>
        </w:tc>
        <w:tc>
          <w:tcPr>
            <w:tcW w:w="2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5"/>
              </w:rPr>
              <w:t>Amount</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1"/>
              </w:rPr>
              <w:t>Percent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Overdraft fees</w:t>
            </w: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3,071</w:t>
            </w:r>
          </w:p>
        </w:tc>
        <w:tc>
          <w:tcPr>
            <w:tcW w:w="440" w:type="dxa"/>
            <w:vAlign w:val="bottom"/>
            <w:gridSpan w:val="2"/>
            <w:shd w:val="clear" w:color="auto" w:fill="F0FFFF"/>
          </w:tcPr>
          <w:p>
            <w:pPr>
              <w:jc w:val="right"/>
              <w:ind w:right="44"/>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3,203</w:t>
            </w:r>
          </w:p>
        </w:tc>
        <w:tc>
          <w:tcPr>
            <w:tcW w:w="14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(132)</w:t>
            </w:r>
          </w:p>
        </w:tc>
        <w:tc>
          <w:tcPr>
            <w:tcW w:w="18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w:t>
            </w: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8,935</w:t>
            </w:r>
          </w:p>
        </w:tc>
        <w:tc>
          <w:tcPr>
            <w:tcW w:w="26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9,226</w:t>
            </w:r>
          </w:p>
        </w:tc>
        <w:tc>
          <w:tcPr>
            <w:tcW w:w="2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(291)</w:t>
            </w:r>
          </w:p>
        </w:tc>
        <w:tc>
          <w:tcPr>
            <w:tcW w:w="16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Debit card and interchange fees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3,811</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3,952</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(141)</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11,318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10,818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500</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Other service charges and fees</w:t>
            </w:r>
          </w:p>
        </w:tc>
        <w:tc>
          <w:tcPr>
            <w:tcW w:w="2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1,320</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1,301</w:t>
            </w:r>
          </w:p>
        </w:tc>
        <w:tc>
          <w:tcPr>
            <w:tcW w:w="2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19</w:t>
            </w:r>
          </w:p>
        </w:tc>
        <w:tc>
          <w:tcPr>
            <w:tcW w:w="2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w:t>
            </w:r>
          </w:p>
        </w:tc>
        <w:tc>
          <w:tcPr>
            <w:tcW w:w="200" w:type="dxa"/>
            <w:vAlign w:val="bottom"/>
            <w:shd w:val="clear" w:color="auto" w:fill="F0FFFF"/>
          </w:tcPr>
          <w:p>
            <w:pPr>
              <w:spacing w:after="0"/>
              <w:rPr>
                <w:sz w:val="16"/>
                <w:szCs w:val="16"/>
                <w:color w:val="auto"/>
              </w:rPr>
            </w:pPr>
          </w:p>
        </w:tc>
        <w:tc>
          <w:tcPr>
            <w:tcW w:w="7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4,374</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3,787</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587</w:t>
            </w: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w:t>
            </w: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74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7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Service charges and fees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8,202</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8,456</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(254)</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24,627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23,831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796</w:t>
            </w:r>
          </w:p>
        </w:tc>
        <w:tc>
          <w:tcPr>
            <w:tcW w:w="16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Mortgage loan and related fees</w:t>
            </w:r>
          </w:p>
        </w:tc>
        <w:tc>
          <w:tcPr>
            <w:tcW w:w="2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2,178</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2,554</w:t>
            </w:r>
          </w:p>
        </w:tc>
        <w:tc>
          <w:tcPr>
            <w:tcW w:w="1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(376)</w:t>
            </w:r>
          </w:p>
        </w:tc>
        <w:tc>
          <w:tcPr>
            <w:tcW w:w="18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(15)</w:t>
            </w:r>
          </w:p>
        </w:tc>
        <w:tc>
          <w:tcPr>
            <w:tcW w:w="20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5,409</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8,212</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(2,803)</w:t>
            </w:r>
          </w:p>
        </w:tc>
        <w:tc>
          <w:tcPr>
            <w:tcW w:w="16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Brokerage fees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1,209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1,274</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(65)</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3,631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3,104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527</w:t>
            </w:r>
          </w:p>
        </w:tc>
        <w:tc>
          <w:tcPr>
            <w:tcW w:w="1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Gains on sales of SBA loans</w:t>
            </w:r>
          </w:p>
        </w:tc>
        <w:tc>
          <w:tcPr>
            <w:tcW w:w="2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945</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945</w:t>
            </w:r>
          </w:p>
        </w:tc>
        <w:tc>
          <w:tcPr>
            <w:tcW w:w="1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1,689</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1,689</w:t>
            </w:r>
          </w:p>
        </w:tc>
        <w:tc>
          <w:tcPr>
            <w:tcW w:w="2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Customer derivatives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179</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442</w:t>
            </w:r>
          </w:p>
        </w:tc>
        <w:tc>
          <w:tcPr>
            <w:tcW w:w="14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(263)</w:t>
            </w:r>
          </w:p>
        </w:tc>
        <w:tc>
          <w:tcPr>
            <w:tcW w:w="1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(60)</w:t>
            </w:r>
          </w:p>
        </w:tc>
        <w:tc>
          <w:tcPr>
            <w:tcW w:w="2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650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1,182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(532)</w:t>
            </w:r>
          </w:p>
        </w:tc>
        <w:tc>
          <w:tcPr>
            <w:tcW w:w="1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Securities gains, net</w:t>
            </w:r>
          </w:p>
        </w:tc>
        <w:tc>
          <w:tcPr>
            <w:tcW w:w="2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11</w:t>
            </w:r>
          </w:p>
        </w:tc>
        <w:tc>
          <w:tcPr>
            <w:tcW w:w="1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4,663</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7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4,547</w:t>
            </w:r>
          </w:p>
        </w:tc>
        <w:tc>
          <w:tcPr>
            <w:tcW w:w="22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w w:val="96"/>
              </w:rPr>
              <w:t>Loss on prepayment of borrowings</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180" w:type="dxa"/>
            <w:vAlign w:val="bottom"/>
            <w:gridSpan w:val="3"/>
          </w:tcPr>
          <w:p>
            <w:pPr>
              <w:jc w:val="right"/>
              <w:ind w:right="400"/>
              <w:spacing w:after="0"/>
              <w:rPr>
                <w:sz w:val="20"/>
                <w:szCs w:val="20"/>
                <w:color w:val="auto"/>
              </w:rPr>
            </w:pPr>
            <w:r>
              <w:rPr>
                <w:rFonts w:ascii="Arial" w:cs="Arial" w:eastAsia="Arial" w:hAnsi="Arial"/>
                <w:sz w:val="16"/>
                <w:szCs w:val="16"/>
                <w:color w:val="auto"/>
              </w:rPr>
              <w:t>—</w:t>
            </w: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(4,446)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(4,446)</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1,688</w:t>
            </w:r>
          </w:p>
        </w:tc>
        <w:tc>
          <w:tcPr>
            <w:tcW w:w="2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1,499</w:t>
            </w:r>
          </w:p>
        </w:tc>
        <w:tc>
          <w:tcPr>
            <w:tcW w:w="24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189</w:t>
            </w:r>
          </w:p>
        </w:tc>
        <w:tc>
          <w:tcPr>
            <w:tcW w:w="180" w:type="dxa"/>
            <w:vAlign w:val="bottom"/>
            <w:shd w:val="clear" w:color="auto" w:fill="F0FFFF"/>
          </w:tcPr>
          <w:p>
            <w:pPr>
              <w:spacing w:after="0"/>
              <w:rPr>
                <w:sz w:val="16"/>
                <w:szCs w:val="16"/>
                <w:color w:val="auto"/>
              </w:rPr>
            </w:pPr>
          </w:p>
        </w:tc>
        <w:tc>
          <w:tcPr>
            <w:tcW w:w="9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13</w:t>
            </w:r>
          </w:p>
        </w:tc>
        <w:tc>
          <w:tcPr>
            <w:tcW w:w="20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4,508</w:t>
            </w:r>
          </w:p>
        </w:tc>
        <w:tc>
          <w:tcPr>
            <w:tcW w:w="8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6,634</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(2,126)</w:t>
            </w:r>
          </w:p>
        </w:tc>
        <w:tc>
          <w:tcPr>
            <w:tcW w:w="16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38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74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74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Total fee revenue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14,412</w:t>
            </w:r>
          </w:p>
        </w:tc>
        <w:tc>
          <w:tcPr>
            <w:tcW w:w="240" w:type="dxa"/>
            <w:vAlign w:val="bottom"/>
          </w:tcPr>
          <w:p>
            <w:pPr>
              <w:spacing w:after="0"/>
              <w:rPr>
                <w:sz w:val="16"/>
                <w:szCs w:val="16"/>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14,225</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187</w:t>
            </w:r>
          </w:p>
        </w:tc>
        <w:tc>
          <w:tcPr>
            <w:tcW w:w="18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40,731</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43,079</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(2,348)</w:t>
            </w:r>
          </w:p>
        </w:tc>
        <w:tc>
          <w:tcPr>
            <w:tcW w:w="160" w:type="dxa"/>
            <w:vAlign w:val="bottom"/>
          </w:tcPr>
          <w:p>
            <w:pPr>
              <w:spacing w:after="0"/>
              <w:rPr>
                <w:sz w:val="16"/>
                <w:szCs w:val="16"/>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Service charges and fees of $8.20 million were down $254,000, or 3%, from the third quarter of 2013. For the first nine months of 2014, service charges and fees of $24.6 million were up $796,000, or 3%, from the same period in 2013. The decrease for the third quarter of 2014 is due to lower overdraft fees and debit card interchange fees which were down due to lower transaction volume. Transaction volume in debit card interchange fees has been steadily increasing but dipped slightly in the third quarter of 2014. The increasing trend in debit card interchange fees is reflected in the increase for the nine month period. The increase in other service charges and fees for the nine month period reflects new service fees that went into effect January 1, 2014. Overdraft fees continue to decline as customer utilization of our courtesy overdraft services decreases.</w:t>
      </w:r>
    </w:p>
    <w:p>
      <w:pPr>
        <w:spacing w:after="0" w:line="196"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Mortgage loans and related fees for the third quarter and first nine months of 2014 were down $376,000, or 3%, and $2.80 million, or 34%, respectively, from the same periods in 2013. In the third quarter of 2014, United closed 492 loans totaling $84.2 million compared with 487 loans totaling $76.6 million in the third quarter of 2013. Year-to-date mortgage production in 2014 amounted to 1,202 loans totaling $199 million, compared to 1,559 loans totaling $242 million for the same period in 2013. Mortgage refinancing activity has slowed due to rising long-term interest rates; however, United has continued to experience growth in new purchase mortgages. United had $53.0 million and $129 million, respectively, in new purchase mortgage originations in the third quarter and first nine months of 2014, compared with $42.3 million and $108 million, respectively, for the same periods a year ago. New purchase mortgages represented 63% of the third quarter production compared with 59% a year ago and increased as a percentage of total production due to lower refinancing activity but also due to an increase in the amount of new purchase mortgages.</w:t>
      </w:r>
    </w:p>
    <w:p>
      <w:pPr>
        <w:spacing w:after="0" w:line="183" w:lineRule="exact"/>
        <w:rPr>
          <w:sz w:val="20"/>
          <w:szCs w:val="20"/>
          <w:color w:val="auto"/>
        </w:rPr>
      </w:pPr>
    </w:p>
    <w:p>
      <w:pPr>
        <w:jc w:val="both"/>
        <w:ind w:right="20"/>
        <w:spacing w:after="0" w:line="356" w:lineRule="auto"/>
        <w:rPr>
          <w:sz w:val="20"/>
          <w:szCs w:val="20"/>
          <w:color w:val="auto"/>
        </w:rPr>
      </w:pPr>
      <w:r>
        <w:rPr>
          <w:rFonts w:ascii="Arial" w:cs="Arial" w:eastAsia="Arial" w:hAnsi="Arial"/>
          <w:sz w:val="14"/>
          <w:szCs w:val="14"/>
          <w:color w:val="auto"/>
        </w:rPr>
        <w:t>Brokerage fees decreased $65,000, or 5%, from the third quarter of 2013 but were up $527,000, or 17%, compared to the first nine months of 2013. The decrease in the third quarter of 2014 reflects market conditions in the brokerage business. The growth in brokerage fees year–to-date reflects United’s focus on growing the brokerage business.</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the third quarter of 2014, United recognized $945,000 in gains from the sales of the guaranteed portion of SBA loans. Year-to-date, United recognized gains of $1.69 million from the sales of SBA loans. United has been actively growing its SBA lending business with the hiring of new leadership and lenders who specialize in government guaranteed loan programs such as SBA and USDA loans. United’s SBA/USDA lending strategy includes selling a portion of the loan production each quarter. United began selling the guaranteed portion of loans in the second quarter of 2014. United retains the servicing rights on the sold loans and earns a fee for servicing the loans. In the third quarter, United sold loans with a principal balance of $7.39 million at prices ranging from 106.68% to 113.87% of par. Year-to-date, United sold loans with a principal balance of $12.5 million for premiums ranging from 106.68% to 115.55% of par.</w:t>
      </w:r>
    </w:p>
    <w:p>
      <w:pPr>
        <w:spacing w:after="0" w:line="19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Customer derivative fees of $179,000 were down $263,000 from the third quarter of 2013 and were down $532,000 compared to the first nine months of 2013. Management believes the decrease is a reflection of the interest rate environment resulting in a weakening of customer demand for this product.</w:t>
      </w:r>
    </w:p>
    <w:p>
      <w:pPr>
        <w:spacing w:after="0" w:line="175"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United recognized net securities gains of $11,000 in the third quarter of 2014. For the first nine months of 2014 and 2013, net securities gains totaled $4.66 million and $116,000, respectively. For the first nine months of 2014, United also recognized $4.45 million in charges from the prepayment of a structured repurchase agreement. The securities gains and structured repurchase agreement prepayment charges in 2014 were offsetting and were part of the same overall balance sheet management activities that were intended to improve the securities portfolio yield and lower the overall cost of wholesale borrowings going forward.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1" w:name="page52"/>
    <w:bookmarkEnd w:id="51"/>
    <w:p>
      <w:pPr>
        <w:jc w:val="both"/>
        <w:ind w:right="20"/>
        <w:spacing w:after="0" w:line="267" w:lineRule="auto"/>
        <w:rPr>
          <w:sz w:val="20"/>
          <w:szCs w:val="20"/>
          <w:color w:val="auto"/>
        </w:rPr>
      </w:pPr>
      <w:r>
        <w:rPr>
          <w:rFonts w:ascii="Arial" w:cs="Arial" w:eastAsia="Arial" w:hAnsi="Arial"/>
          <w:sz w:val="16"/>
          <w:szCs w:val="16"/>
          <w:color w:val="auto"/>
        </w:rPr>
        <w:t>Other fee revenue of $1.69 million for the third quarter of 2014 was down $189,000, or 13%, from the third quarter of 2013. For the first nine months of 2014, other fee revenue of $4.51 million was down $2.13 million, or 32%, from the same period in 2013. In 2013, United recorded a $1.43 million death benefit on a bank-owned life insurance policy as well as $468,000 in gains from the sale of low income housing tax credits.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components of operating expenses for the three and nine months ended September 30, 2014 and 2013.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140" w:type="dxa"/>
            <w:vAlign w:val="bottom"/>
            <w:gridSpan w:val="2"/>
          </w:tcPr>
          <w:p>
            <w:pPr>
              <w:spacing w:after="0"/>
              <w:rPr>
                <w:sz w:val="20"/>
                <w:szCs w:val="20"/>
                <w:color w:val="auto"/>
              </w:rPr>
            </w:pPr>
            <w:r>
              <w:rPr>
                <w:rFonts w:ascii="Arial" w:cs="Arial" w:eastAsia="Arial" w:hAnsi="Arial"/>
                <w:sz w:val="16"/>
                <w:szCs w:val="16"/>
                <w:b w:val="1"/>
                <w:bCs w:val="1"/>
                <w:color w:val="auto"/>
              </w:rPr>
              <w:t>Table 6 - Operating Expenses</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14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60" w:type="dxa"/>
            <w:vAlign w:val="bottom"/>
          </w:tcPr>
          <w:p>
            <w:pPr>
              <w:spacing w:after="0"/>
              <w:rPr>
                <w:sz w:val="17"/>
                <w:szCs w:val="17"/>
                <w:color w:val="auto"/>
              </w:rPr>
            </w:pPr>
          </w:p>
        </w:tc>
        <w:tc>
          <w:tcPr>
            <w:tcW w:w="1860" w:type="dxa"/>
            <w:vAlign w:val="bottom"/>
            <w:gridSpan w:val="6"/>
            <w:vMerge w:val="restart"/>
          </w:tcPr>
          <w:p>
            <w:pPr>
              <w:jc w:val="right"/>
              <w:ind w:right="320"/>
              <w:spacing w:after="0"/>
              <w:rPr>
                <w:sz w:val="20"/>
                <w:szCs w:val="20"/>
                <w:color w:val="auto"/>
              </w:rPr>
            </w:pPr>
            <w:r>
              <w:rPr>
                <w:rFonts w:ascii="Arial" w:cs="Arial" w:eastAsia="Arial" w:hAnsi="Arial"/>
                <w:sz w:val="16"/>
                <w:szCs w:val="16"/>
                <w:b w:val="1"/>
                <w:bCs w:val="1"/>
                <w:color w:val="auto"/>
                <w:w w:val="96"/>
              </w:rPr>
              <w:t>Three Months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60" w:type="dxa"/>
            <w:vAlign w:val="bottom"/>
            <w:gridSpan w:val="5"/>
            <w:vMerge w:val="restart"/>
          </w:tcPr>
          <w:p>
            <w:pPr>
              <w:jc w:val="right"/>
              <w:ind w:right="360"/>
              <w:spacing w:after="0"/>
              <w:rPr>
                <w:sz w:val="20"/>
                <w:szCs w:val="20"/>
                <w:color w:val="auto"/>
              </w:rPr>
            </w:pPr>
            <w:r>
              <w:rPr>
                <w:rFonts w:ascii="Arial" w:cs="Arial" w:eastAsia="Arial" w:hAnsi="Arial"/>
                <w:sz w:val="16"/>
                <w:szCs w:val="16"/>
                <w:b w:val="1"/>
                <w:bCs w:val="1"/>
                <w:color w:val="auto"/>
                <w:w w:val="99"/>
              </w:rPr>
              <w:t>Nine Months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6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6"/>
          </w:tcPr>
          <w:p>
            <w:pPr>
              <w:jc w:val="right"/>
              <w:ind w:right="580"/>
              <w:spacing w:after="0"/>
              <w:rPr>
                <w:sz w:val="20"/>
                <w:szCs w:val="20"/>
                <w:color w:val="auto"/>
              </w:rPr>
            </w:pPr>
            <w:r>
              <w:rPr>
                <w:rFonts w:ascii="Arial" w:cs="Arial" w:eastAsia="Arial" w:hAnsi="Arial"/>
                <w:sz w:val="16"/>
                <w:szCs w:val="16"/>
                <w:b w:val="1"/>
                <w:bCs w:val="1"/>
                <w:color w:val="auto"/>
              </w:rPr>
              <w:t>September 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auto"/>
              </w:rPr>
              <w:t>Change</w:t>
            </w:r>
          </w:p>
        </w:tc>
        <w:tc>
          <w:tcPr>
            <w:tcW w:w="160" w:type="dxa"/>
            <w:vAlign w:val="bottom"/>
          </w:tcPr>
          <w:p>
            <w:pPr>
              <w:spacing w:after="0"/>
              <w:rPr>
                <w:sz w:val="18"/>
                <w:szCs w:val="18"/>
                <w:color w:val="auto"/>
              </w:rPr>
            </w:pPr>
          </w:p>
        </w:tc>
        <w:tc>
          <w:tcPr>
            <w:tcW w:w="1860" w:type="dxa"/>
            <w:vAlign w:val="bottom"/>
            <w:gridSpan w:val="5"/>
          </w:tcPr>
          <w:p>
            <w:pPr>
              <w:jc w:val="right"/>
              <w:ind w:right="560"/>
              <w:spacing w:after="0"/>
              <w:rPr>
                <w:sz w:val="20"/>
                <w:szCs w:val="20"/>
                <w:color w:val="auto"/>
              </w:rPr>
            </w:pPr>
            <w:r>
              <w:rPr>
                <w:rFonts w:ascii="Arial" w:cs="Arial" w:eastAsia="Arial" w:hAnsi="Arial"/>
                <w:sz w:val="16"/>
                <w:szCs w:val="16"/>
                <w:b w:val="1"/>
                <w:bCs w:val="1"/>
                <w:color w:val="auto"/>
              </w:rPr>
              <w:t>September 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ind w:left="580"/>
              <w:spacing w:after="0"/>
              <w:rPr>
                <w:sz w:val="20"/>
                <w:szCs w:val="20"/>
                <w:color w:val="auto"/>
              </w:rPr>
            </w:pPr>
            <w:r>
              <w:rPr>
                <w:rFonts w:ascii="Arial" w:cs="Arial" w:eastAsia="Arial" w:hAnsi="Arial"/>
                <w:sz w:val="16"/>
                <w:szCs w:val="16"/>
                <w:b w:val="1"/>
                <w:bCs w:val="1"/>
                <w:color w:val="auto"/>
                <w:w w:val="88"/>
              </w:rPr>
              <w:t>Change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Percent</w:t>
            </w:r>
          </w:p>
        </w:tc>
        <w:tc>
          <w:tcPr>
            <w:tcW w:w="2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2014</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Amount</w:t>
            </w:r>
          </w:p>
        </w:tc>
        <w:tc>
          <w:tcPr>
            <w:tcW w:w="2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b w:val="1"/>
                <w:bCs w:val="1"/>
                <w:color w:val="auto"/>
              </w:rPr>
              <w:t>Percent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6"/>
                <w:szCs w:val="16"/>
                <w:color w:val="auto"/>
              </w:rPr>
              <w:t>Salaries and employee benefits</w:t>
            </w:r>
          </w:p>
        </w:tc>
        <w:tc>
          <w:tcPr>
            <w:tcW w:w="160" w:type="dxa"/>
            <w:vAlign w:val="bottom"/>
            <w:shd w:val="clear" w:color="auto" w:fill="F0FF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25,666</w:t>
            </w:r>
          </w:p>
        </w:tc>
        <w:tc>
          <w:tcPr>
            <w:tcW w:w="140" w:type="dxa"/>
            <w:vAlign w:val="bottom"/>
            <w:shd w:val="clear" w:color="auto" w:fill="F0FFFF"/>
          </w:tcPr>
          <w:p>
            <w:pPr>
              <w:spacing w:after="0"/>
              <w:rPr>
                <w:sz w:val="16"/>
                <w:szCs w:val="16"/>
                <w:color w:val="auto"/>
              </w:rPr>
            </w:pPr>
          </w:p>
        </w:tc>
        <w:tc>
          <w:tcPr>
            <w:tcW w:w="24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23,090</w:t>
            </w:r>
          </w:p>
        </w:tc>
        <w:tc>
          <w:tcPr>
            <w:tcW w:w="18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2,576</w:t>
            </w: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F0FFFF"/>
          </w:tcPr>
          <w:p>
            <w:pPr>
              <w:spacing w:after="0"/>
              <w:rPr>
                <w:sz w:val="16"/>
                <w:szCs w:val="16"/>
                <w:color w:val="auto"/>
              </w:rPr>
            </w:pP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74,349</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71,416</w:t>
            </w:r>
          </w:p>
        </w:tc>
        <w:tc>
          <w:tcPr>
            <w:tcW w:w="20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2,933</w:t>
            </w: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Communications and equipment</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3,305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(211)</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w:t>
            </w:r>
          </w:p>
        </w:tc>
        <w:tc>
          <w:tcPr>
            <w:tcW w:w="1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9,370</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9,819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(449)</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6"/>
                <w:szCs w:val="16"/>
                <w:color w:val="auto"/>
              </w:rPr>
              <w:t>Occupancy</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3,425</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3,379</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46</w:t>
            </w:r>
          </w:p>
        </w:tc>
        <w:tc>
          <w:tcPr>
            <w:tcW w:w="104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w:t>
            </w:r>
          </w:p>
        </w:tc>
        <w:tc>
          <w:tcPr>
            <w:tcW w:w="16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10,065</w:t>
            </w:r>
          </w:p>
        </w:tc>
        <w:tc>
          <w:tcPr>
            <w:tcW w:w="180" w:type="dxa"/>
            <w:vAlign w:val="bottom"/>
            <w:shd w:val="clear" w:color="auto" w:fill="F0FFFF"/>
          </w:tcPr>
          <w:p>
            <w:pPr>
              <w:spacing w:after="0"/>
              <w:rPr>
                <w:sz w:val="16"/>
                <w:szCs w:val="16"/>
                <w:color w:val="auto"/>
              </w:rPr>
            </w:pPr>
          </w:p>
        </w:tc>
        <w:tc>
          <w:tcPr>
            <w:tcW w:w="7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10,195</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Advertising and public relations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962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(68)</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2,659</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(278)</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6"/>
                <w:szCs w:val="16"/>
                <w:color w:val="auto"/>
              </w:rPr>
              <w:t>Postage, printing and supplies</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876</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644</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232</w:t>
            </w: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36</w:t>
            </w:r>
          </w:p>
        </w:tc>
        <w:tc>
          <w:tcPr>
            <w:tcW w:w="2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2,456</w:t>
            </w:r>
          </w:p>
        </w:tc>
        <w:tc>
          <w:tcPr>
            <w:tcW w:w="18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2,401</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55</w:t>
            </w: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Professional fees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2,274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2,650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(376)</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5,873</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7,515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(1,642)</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6"/>
                <w:szCs w:val="16"/>
                <w:color w:val="auto"/>
                <w:w w:val="90"/>
              </w:rPr>
              <w:t>FDIC assessments and other regulatory charges</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1,131</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2,405</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(1,274)</w:t>
            </w: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(53)</w:t>
            </w:r>
          </w:p>
        </w:tc>
        <w:tc>
          <w:tcPr>
            <w:tcW w:w="16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3,909</w:t>
            </w:r>
          </w:p>
        </w:tc>
        <w:tc>
          <w:tcPr>
            <w:tcW w:w="18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7,415</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(3,506)</w:t>
            </w: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Amortization of intangibles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(114)</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(27)</w:t>
            </w:r>
          </w:p>
        </w:tc>
        <w:tc>
          <w:tcPr>
            <w:tcW w:w="1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1,061</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(562)</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6"/>
                <w:szCs w:val="16"/>
                <w:color w:val="auto"/>
              </w:rPr>
              <w:t>Other</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3,406</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3,041</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365</w:t>
            </w:r>
          </w:p>
        </w:tc>
        <w:tc>
          <w:tcPr>
            <w:tcW w:w="8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w:t>
            </w:r>
          </w:p>
        </w:tc>
        <w:tc>
          <w:tcPr>
            <w:tcW w:w="2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10,701</w:t>
            </w:r>
          </w:p>
        </w:tc>
        <w:tc>
          <w:tcPr>
            <w:tcW w:w="18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11,691</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(990)</w:t>
            </w: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84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6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ind w:left="120"/>
              <w:spacing w:after="0"/>
              <w:rPr>
                <w:sz w:val="20"/>
                <w:szCs w:val="20"/>
                <w:color w:val="auto"/>
              </w:rPr>
            </w:pPr>
            <w:r>
              <w:rPr>
                <w:rFonts w:ascii="Arial" w:cs="Arial" w:eastAsia="Arial" w:hAnsi="Arial"/>
                <w:sz w:val="16"/>
                <w:szCs w:val="16"/>
                <w:color w:val="auto"/>
                <w:w w:val="92"/>
              </w:rPr>
              <w:t>Total excluding foreclosed property expenses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41,079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39,903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1,176</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120,443</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125,012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(4,569)</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6"/>
                <w:szCs w:val="16"/>
                <w:color w:val="auto"/>
                <w:w w:val="99"/>
              </w:rPr>
              <w:t>Net losses on sales of foreclosed properties</w:t>
            </w:r>
          </w:p>
        </w:tc>
        <w:tc>
          <w:tcPr>
            <w:tcW w:w="16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(264)</w:t>
            </w: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(648)</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384</w:t>
            </w:r>
          </w:p>
        </w:tc>
        <w:tc>
          <w:tcPr>
            <w:tcW w:w="84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(1,208)</w:t>
            </w:r>
          </w:p>
        </w:tc>
        <w:tc>
          <w:tcPr>
            <w:tcW w:w="18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2,402</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(3,610)</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spacing w:after="0"/>
              <w:rPr>
                <w:sz w:val="20"/>
                <w:szCs w:val="20"/>
                <w:color w:val="auto"/>
              </w:rPr>
            </w:pPr>
            <w:r>
              <w:rPr>
                <w:rFonts w:ascii="Arial" w:cs="Arial" w:eastAsia="Arial" w:hAnsi="Arial"/>
                <w:sz w:val="16"/>
                <w:szCs w:val="16"/>
                <w:color w:val="auto"/>
              </w:rPr>
              <w:t>Foreclosed property write downs</w:t>
            </w:r>
          </w:p>
        </w:tc>
        <w:tc>
          <w:tcPr>
            <w:tcW w:w="1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(221)</w:t>
            </w: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690</w:t>
            </w: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(2,049)</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shd w:val="clear" w:color="auto" w:fill="F0FFFF"/>
          </w:tcPr>
          <w:p>
            <w:pPr>
              <w:spacing w:after="0"/>
              <w:rPr>
                <w:sz w:val="20"/>
                <w:szCs w:val="20"/>
                <w:color w:val="auto"/>
              </w:rPr>
            </w:pPr>
            <w:r>
              <w:rPr>
                <w:rFonts w:ascii="Arial" w:cs="Arial" w:eastAsia="Arial" w:hAnsi="Arial"/>
                <w:sz w:val="16"/>
                <w:szCs w:val="16"/>
                <w:color w:val="auto"/>
                <w:w w:val="99"/>
              </w:rPr>
              <w:t>Foreclosed property maintenance expenses</w:t>
            </w:r>
          </w:p>
        </w:tc>
        <w:tc>
          <w:tcPr>
            <w:tcW w:w="16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441</w:t>
            </w:r>
          </w:p>
        </w:tc>
        <w:tc>
          <w:tcPr>
            <w:tcW w:w="14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513</w:t>
            </w:r>
          </w:p>
        </w:tc>
        <w:tc>
          <w:tcPr>
            <w:tcW w:w="8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2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(72)</w:t>
            </w: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(14)</w:t>
            </w:r>
          </w:p>
        </w:tc>
        <w:tc>
          <w:tcPr>
            <w:tcW w:w="16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1,021</w:t>
            </w:r>
          </w:p>
        </w:tc>
        <w:tc>
          <w:tcPr>
            <w:tcW w:w="180" w:type="dxa"/>
            <w:vAlign w:val="bottom"/>
            <w:shd w:val="clear" w:color="auto" w:fill="F0FFFF"/>
          </w:tcPr>
          <w:p>
            <w:pPr>
              <w:spacing w:after="0"/>
              <w:rPr>
                <w:sz w:val="16"/>
                <w:szCs w:val="16"/>
                <w:color w:val="auto"/>
              </w:rPr>
            </w:pPr>
          </w:p>
        </w:tc>
        <w:tc>
          <w:tcPr>
            <w:tcW w:w="6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2,537</w:t>
            </w: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(1,516)</w:t>
            </w:r>
          </w:p>
        </w:tc>
        <w:tc>
          <w:tcPr>
            <w:tcW w:w="16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12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8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F0FFFF"/>
          </w:tcPr>
          <w:p>
            <w:pPr>
              <w:spacing w:after="0"/>
              <w:rPr>
                <w:sz w:val="2"/>
                <w:szCs w:val="2"/>
                <w:color w:val="auto"/>
              </w:rPr>
            </w:pPr>
          </w:p>
        </w:tc>
        <w:tc>
          <w:tcPr>
            <w:tcW w:w="840" w:type="dxa"/>
            <w:vAlign w:val="bottom"/>
            <w:shd w:val="clear" w:color="auto" w:fill="F0FFFF"/>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F0FFFF"/>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68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120" w:type="dxa"/>
            <w:vAlign w:val="bottom"/>
          </w:tcPr>
          <w:p>
            <w:pPr>
              <w:ind w:left="120"/>
              <w:spacing w:after="0"/>
              <w:rPr>
                <w:sz w:val="20"/>
                <w:szCs w:val="20"/>
                <w:color w:val="auto"/>
              </w:rPr>
            </w:pPr>
            <w:r>
              <w:rPr>
                <w:rFonts w:ascii="Arial" w:cs="Arial" w:eastAsia="Arial" w:hAnsi="Arial"/>
                <w:sz w:val="16"/>
                <w:szCs w:val="16"/>
                <w:color w:val="auto"/>
              </w:rPr>
              <w:t>Total operating expenses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41,364</w:t>
            </w:r>
          </w:p>
        </w:tc>
        <w:tc>
          <w:tcPr>
            <w:tcW w:w="140" w:type="dxa"/>
            <w:vAlign w:val="bottom"/>
          </w:tcPr>
          <w:p>
            <w:pPr>
              <w:spacing w:after="0"/>
              <w:rPr>
                <w:sz w:val="16"/>
                <w:szCs w:val="16"/>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40,097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1,267</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3</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120,946</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132,690</w:t>
            </w:r>
          </w:p>
        </w:tc>
        <w:tc>
          <w:tcPr>
            <w:tcW w:w="10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(11,744)</w:t>
            </w:r>
          </w:p>
        </w:tc>
        <w:tc>
          <w:tcPr>
            <w:tcW w:w="1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Operating expenses for the third quarter of 2014 totaled $41.4 million, up $1.27 million, or 3%, from the third quarter of 2013. The increase mostly reflects higher salaries and employee benefits expense, partially offset by a lower FDIC insurance assessment. For the nine months ended September 30, 2014, operating expenses totaled $121 million, a decrease of $11.7 million, or 9%, from the same period in 2013. Excluding foreclosed property costs, total operating expenses were $41.1 million and $120 million, respectively, for the three and nine months ended September30, 2014, up $1.18 million, or 3%, from the third quarter of 2013, and down $4.57 million, or 4%, from the first nine months of 2013.</w:t>
      </w:r>
    </w:p>
    <w:p>
      <w:pPr>
        <w:spacing w:after="0" w:line="192"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Salaries and employee benefits for the third quarter of 2014 were $25.7 million, up $2.58 million, or 11%, from the same period of 2013. The increase was due to a number of factors including investments in additional staff and new teams to expand the specialized lending and new talent in other key areas, higher incentives due to increased loan production and obtaining higher earnings performance targets. For the first nine months of 2014, salaries and employee benefits of $74.3 million were up $2.93 million, or 4%, from the first nine months of 2013. The year-to-date increase is due to the same factors that caused the third quarter increase. Headcount totaled 1,515 at September 30, 2014, up 16 from 2013.</w:t>
      </w:r>
    </w:p>
    <w:p>
      <w:pPr>
        <w:spacing w:after="0" w:line="192" w:lineRule="exact"/>
        <w:rPr>
          <w:sz w:val="20"/>
          <w:szCs w:val="20"/>
          <w:color w:val="auto"/>
        </w:rPr>
      </w:pPr>
    </w:p>
    <w:p>
      <w:pPr>
        <w:jc w:val="both"/>
        <w:ind w:right="20"/>
        <w:spacing w:after="0" w:line="316" w:lineRule="auto"/>
        <w:rPr>
          <w:sz w:val="20"/>
          <w:szCs w:val="20"/>
          <w:color w:val="auto"/>
        </w:rPr>
      </w:pPr>
      <w:r>
        <w:rPr>
          <w:rFonts w:ascii="Arial" w:cs="Arial" w:eastAsia="Arial" w:hAnsi="Arial"/>
          <w:sz w:val="15"/>
          <w:szCs w:val="15"/>
          <w:color w:val="auto"/>
        </w:rPr>
        <w:t>Communications and equipment expense of $3.09 million for the third quarter of 2014 was down $211,000, or 6%, from the third quarter of 2013. For the first nine months of 2014, communications and equipment expense was down $449,000, or 5%, from a year ago. The decreases reflect lower software maintenance contract costs.</w:t>
      </w:r>
    </w:p>
    <w:p>
      <w:pPr>
        <w:spacing w:after="0" w:line="15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Occupancy expense of $3.43 million for the third quarter of 2014 was up $46,000, or 1%, from the third quarter of 2013. The increase from a year ago was due to higher rent and utilities charges mostly related to new locations. For the first nine months, occupancy expense of $10.1 was down $130,000, or 1%, compared to the same period of 2013. The decrease was primarily related to lower depreciation, maintenance and utilities costs.</w:t>
      </w:r>
    </w:p>
    <w:p>
      <w:pPr>
        <w:spacing w:after="0" w:line="186" w:lineRule="exact"/>
        <w:rPr>
          <w:sz w:val="20"/>
          <w:szCs w:val="20"/>
          <w:color w:val="auto"/>
        </w:rPr>
      </w:pPr>
    </w:p>
    <w:p>
      <w:pPr>
        <w:jc w:val="both"/>
        <w:ind w:right="20"/>
        <w:spacing w:after="0" w:line="316" w:lineRule="auto"/>
        <w:rPr>
          <w:sz w:val="20"/>
          <w:szCs w:val="20"/>
          <w:color w:val="auto"/>
        </w:rPr>
      </w:pPr>
      <w:r>
        <w:rPr>
          <w:rFonts w:ascii="Arial" w:cs="Arial" w:eastAsia="Arial" w:hAnsi="Arial"/>
          <w:sz w:val="15"/>
          <w:szCs w:val="15"/>
          <w:color w:val="auto"/>
        </w:rPr>
        <w:t>Advertising and public relations expense of $894,000, and $2.66 million, respectively, for the third quarter and first nine months of 2014, was down $68,000, or 7%, and down $278,000, or 9%, respectively, compared to the same periods of 2013. The decreases reflect management’s efforts to control discretionary spending.</w:t>
      </w:r>
    </w:p>
    <w:p>
      <w:pPr>
        <w:spacing w:after="0" w:line="15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Postage, printing and supplies expense of $876,000 for the third quarter of 2014 was up $232,000, or 36%, from the third quarter of 2013. For the nine months ended September 30, 2014, postage, printing and supplies expense of $2.46 million was up $55,000, or 2%, from the same period of 2013. The increase is due to higher printing and forms charges related to increased business activity.</w:t>
      </w:r>
    </w:p>
    <w:p>
      <w:pPr>
        <w:spacing w:after="0" w:line="186"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Professional fees for the third quarter of 2014 of $2.27 million were down $376,000, or 14%, from the same period in 2013. For the nine months ended September 30, 2014, professional fees of $5.87 million, were down $1.64 million, or 22%. The decrease was due primarily to lower legal fees and fewer consulting projects that are in process. Legal costs associated with the classified asset sales in 2013 resulted in higher expenses in the prior year.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2" w:name="page53"/>
    <w:bookmarkEnd w:id="52"/>
    <w:p>
      <w:pPr>
        <w:jc w:val="both"/>
        <w:ind w:right="20"/>
        <w:spacing w:after="0" w:line="293" w:lineRule="auto"/>
        <w:rPr>
          <w:sz w:val="20"/>
          <w:szCs w:val="20"/>
          <w:color w:val="auto"/>
        </w:rPr>
      </w:pPr>
      <w:r>
        <w:rPr>
          <w:rFonts w:ascii="Arial" w:cs="Arial" w:eastAsia="Arial" w:hAnsi="Arial"/>
          <w:sz w:val="15"/>
          <w:szCs w:val="15"/>
          <w:color w:val="auto"/>
        </w:rPr>
        <w:t>FDIC assessments and other regulatory charges of $1.13 million and $3.91 million, respectively, for the third quarter and first nine months of 2014 were down $1.27 million and $3.51 million, respectively, from the same periods of 2013. The decreases reflect a lower deposit insurance assessment rate following the termination of the Bank’s informal memorandum of understanding with the FDIC and the Georgia Department of Banking and Finance in the fourth quarter of 2013.</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Other expense of $3.41 million for the third quarter of 2014 increased $365,000, or 12%, from the third quarter of 2013. The increase is due to higher travel and entertainment costs and lending support costs associated with the increase in lending activity. Year-to-date, other expense of $10.7 million decreased $990,000, or 8%, from the first nine months of 2013. The decrease from prior periods was due primarily to lower problem credit related appraisal and lending support costs as well as lower ATM network provider costs.</w:t>
      </w:r>
    </w:p>
    <w:p>
      <w:pPr>
        <w:spacing w:after="0" w:line="191" w:lineRule="exact"/>
        <w:rPr>
          <w:sz w:val="20"/>
          <w:szCs w:val="20"/>
          <w:color w:val="auto"/>
        </w:rPr>
      </w:pPr>
    </w:p>
    <w:p>
      <w:pPr>
        <w:jc w:val="both"/>
        <w:ind w:right="20"/>
        <w:spacing w:after="0" w:line="300" w:lineRule="auto"/>
        <w:rPr>
          <w:sz w:val="20"/>
          <w:szCs w:val="20"/>
          <w:color w:val="auto"/>
        </w:rPr>
      </w:pPr>
      <w:r>
        <w:rPr>
          <w:rFonts w:ascii="Arial" w:cs="Arial" w:eastAsia="Arial" w:hAnsi="Arial"/>
          <w:sz w:val="14"/>
          <w:szCs w:val="14"/>
          <w:color w:val="auto"/>
        </w:rPr>
        <w:t>Net gains on sales of foreclosed property totaled $264,000 for the third quarter of 2014, compared to net gains on sale of $648,000 for the third quarter of 2013. For the nine months ended September 30, 2014, net gains on sales were $1.21 million, compared to net losses on sales of $2.40 million for the same period of the prior year. Net losses were elevated in 2013 due to the classified asset sales that occurred in the second quarter of 2013. Foreclosed property write-downs for the third quarter and first nine months of 2014 were $108,000 and $690,000, respectively, compared to $329,000 and $2.74 million, respectively, a year ago. Foreclosed property write downs in 2013 were elevated prior to the accelerated disposition of classified assets in the second quarter of 2013. Foreclosed property maintenance expenses include legal fees, property taxes, marketing costs, utility services, maintenance and repair charges and totaled $441,000 and $1.02 million, respectively, for the third quarter and first nine months of 2014 compared with $513,000 and $2.54 million, respectively, a year ago. These costs continue to decline with the decrease in the number of foreclosed properties held by United.</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Income tax expense for the third quarter and first nine months of 2014 was $9.99 million and $28.7 million, respectively, as compared with income tax expense of $9.52 million and income tax benefit of $247 million, respectively, for the same periods of 2013. The effective tax rate (as a percentage of pre-tax earnings) for the three and nine months ended September 30, 2014 was 36.2% and 36.7%, respectively. The effective tax rate for the third quarter of 2013 was 38%. The effective tax rate for the first nine months of 2013 was not meaningful due to the reversal of the full valuation allowance on United’s net deferred tax asset. For the remainder of 2014, United expects to record income tax expense at an effective tax rate of approximately 37%.</w:t>
      </w:r>
    </w:p>
    <w:p>
      <w:pPr>
        <w:spacing w:after="0" w:line="19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Deferred tax assets and liabilities are recognized for the future tax consequences attributable to differences between the financial statement carrying amounts and their respective tax bases including operating losses and tax credit carryforwards. Net deferred tax assets (deferred tax assets net of deferred tax liabilities and valuation allowance) are reported in the consolidated balance sheet as a component of total assets.</w:t>
      </w:r>
    </w:p>
    <w:p>
      <w:pPr>
        <w:spacing w:after="0" w:line="186"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requires that companies assess whether a valuation allowance should be established against their deferred tax assets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 Each quarter, management considers both positive and negative evidence and analyzes changes in near-term market conditions as well as other factors which may impact future operating results.</w:t>
      </w:r>
    </w:p>
    <w:p>
      <w:pPr>
        <w:spacing w:after="0" w:line="19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At September 30, 2014, United reported a net deferred tax asset of $225 million, net of a valuation allowance of $4.45 million that related to specific state income tax credits that have short carryforward periods and therefore are expected to expire before they can be utilized. This compared to a deferred tax asset of $259 million, net of a valuation allowance of $4.10 million at December 31, 2013 and $270 million, net of a valuation allowance of $4.61 million at September 30, 2013.</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In the second quarter of 2013, United reversed a $275 million valuation allowance on its net deferred tax asset following the achievement of six consecutive quarters of profitability. The positive earnings results through the second quarter of 2013 and improving credit measures provided an objective basis for a conclusion that profitability was sustainable and improving. In addition, the second quarter 2013 sale of classified assets improved United’s ability to project credit costs and forecast profitability going forward by removing the assets that were most likely to drive future credit losses. As a result of this discretionary distressed asset sale and continuing improvement in credit quality, United’s classified asset ratio (classified assets as a percentage of Tier 1 capital and the allowance for loan losses) improved to 24% at September 30, 2014 from 27% at December 31, 2013 and 26% at September 30, 2013.</w:t>
      </w:r>
    </w:p>
    <w:p>
      <w:pPr>
        <w:spacing w:after="0" w:line="196" w:lineRule="exact"/>
        <w:rPr>
          <w:sz w:val="20"/>
          <w:szCs w:val="20"/>
          <w:color w:val="auto"/>
        </w:rPr>
      </w:pPr>
    </w:p>
    <w:p>
      <w:pPr>
        <w:jc w:val="both"/>
        <w:ind w:right="20"/>
        <w:spacing w:after="0" w:line="281" w:lineRule="auto"/>
        <w:rPr>
          <w:sz w:val="20"/>
          <w:szCs w:val="20"/>
          <w:color w:val="auto"/>
        </w:rPr>
      </w:pPr>
      <w:r>
        <w:rPr>
          <w:rFonts w:ascii="Arial" w:cs="Arial" w:eastAsia="Arial" w:hAnsi="Arial"/>
          <w:sz w:val="15"/>
          <w:szCs w:val="15"/>
          <w:color w:val="auto"/>
        </w:rPr>
        <w:t>Based on all evidence considered, as of September 30, 2014, management again concluded it was more likely than not that our net deferred tax asset of $225 million would be realized. With continuous improvements in credit quality, quarterly earnings for the past ten quarters have closely followed management’s forecast for these periods, excluding the impact of the discretionary classified asset sales in the second quarter of 2013. The improvement in management’s ability to produce reliable forecasts, continuous and significant improvements in credit quality, and a sustained period of profitability were given appropriate weighting in our analysis, and such evidence was considered sufficient to overcome the weight of the negative evidence related to the significant operating losses in prior years.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16"/>
          <w:szCs w:val="16"/>
          <w:color w:val="auto"/>
        </w:rPr>
        <w:t>In addition to such positive evidence at September 30, 2014, United has also reduced the amount of credit risk inherent in its loan portfolio by reducing its concentration of construction loans and improving its overall loan portfolio diversification. These changes place United in a strong position to manage through the ongoing weakness in the economy. United also has a long record of positive earnings and accurate earnings forecasts prior to the recent economic downturn and is currently in a strong capital position. Effective in the first quarter of 2014, based on a rolling twelve quarters, United is no longer in a three-year cumulative loss position which had previously been considered a significant piece of negative evidence.</w:t>
      </w:r>
    </w:p>
    <w:p>
      <w:pPr>
        <w:spacing w:after="0" w:line="192" w:lineRule="exact"/>
        <w:rPr>
          <w:sz w:val="20"/>
          <w:szCs w:val="20"/>
          <w:color w:val="auto"/>
        </w:rPr>
      </w:pPr>
    </w:p>
    <w:p>
      <w:pPr>
        <w:jc w:val="both"/>
        <w:spacing w:after="0" w:line="305" w:lineRule="auto"/>
        <w:rPr>
          <w:sz w:val="20"/>
          <w:szCs w:val="20"/>
          <w:color w:val="auto"/>
        </w:rPr>
      </w:pPr>
      <w:r>
        <w:rPr>
          <w:rFonts w:ascii="Arial" w:cs="Arial" w:eastAsia="Arial" w:hAnsi="Arial"/>
          <w:sz w:val="14"/>
          <w:szCs w:val="14"/>
          <w:color w:val="auto"/>
        </w:rPr>
        <w:t>Management expects to generate higher levels of future taxable income and believes this will allow for full utilization of United’s net federal operating loss carryforwards within four to six years, which is well within the statutory carryforward periods. In determining whether management’s projections of future taxable income are reliable, management considered objective evidence supporting the forecast assumptions as well as recent experience demonstrating management’s ability to reasonably project future results of operations. Further, while the banking environment is expected to remain challenging due to economic and other uncertainties, management believes that it can confidently forecast future taxable income at sufficient levels over the future period of time that United has available to realize its September 30, 2014 deferred tax asset.</w:t>
      </w:r>
    </w:p>
    <w:p>
      <w:pPr>
        <w:spacing w:after="0" w:line="165"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17 to the consolidated financial statements filed with United’s Annual Report on Form 10-K for the year ended December 31, 2013.</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4" w:name="page55"/>
    <w:bookmarkEnd w:id="54"/>
    <w:p>
      <w:pPr>
        <w:spacing w:after="0"/>
        <w:rPr>
          <w:sz w:val="20"/>
          <w:szCs w:val="20"/>
          <w:color w:val="auto"/>
        </w:rPr>
      </w:pPr>
      <w:r>
        <w:rPr>
          <w:rFonts w:ascii="Arial" w:cs="Arial" w:eastAsia="Arial" w:hAnsi="Arial"/>
          <w:sz w:val="16"/>
          <w:szCs w:val="16"/>
          <w:b w:val="1"/>
          <w:bCs w:val="1"/>
          <w:color w:val="auto"/>
        </w:rPr>
        <w:t>Balance Sheet Review</w:t>
      </w:r>
    </w:p>
    <w:p>
      <w:pPr>
        <w:spacing w:after="0" w:line="23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Total assets at September 30, 2014, December 31, 2013 and September 30, 2013 were $7.53 billion, $7.43 billion and $7.24 billion, respectively. Average total assets for the third quarter of 2014 were $7.37 billion, up from $7.17 billion in the third quarter of 2013.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780" w:type="dxa"/>
            <w:vAlign w:val="bottom"/>
            <w:gridSpan w:val="2"/>
          </w:tcPr>
          <w:p>
            <w:pPr>
              <w:spacing w:after="0"/>
              <w:rPr>
                <w:sz w:val="20"/>
                <w:szCs w:val="20"/>
                <w:color w:val="auto"/>
              </w:rPr>
            </w:pPr>
            <w:r>
              <w:rPr>
                <w:rFonts w:ascii="Arial" w:cs="Arial" w:eastAsia="Arial" w:hAnsi="Arial"/>
                <w:sz w:val="16"/>
                <w:szCs w:val="16"/>
                <w:color w:val="auto"/>
              </w:rPr>
              <w:t>The following table presents a summary of the loan portfolio.</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0"/>
        </w:trPr>
        <w:tc>
          <w:tcPr>
            <w:tcW w:w="6780" w:type="dxa"/>
            <w:vAlign w:val="bottom"/>
            <w:gridSpan w:val="2"/>
          </w:tcPr>
          <w:p>
            <w:pPr>
              <w:ind w:left="580"/>
              <w:spacing w:after="0"/>
              <w:rPr>
                <w:sz w:val="20"/>
                <w:szCs w:val="20"/>
                <w:color w:val="auto"/>
              </w:rPr>
            </w:pPr>
            <w:r>
              <w:rPr>
                <w:rFonts w:ascii="Arial" w:cs="Arial" w:eastAsia="Arial" w:hAnsi="Arial"/>
                <w:sz w:val="16"/>
                <w:szCs w:val="16"/>
                <w:b w:val="1"/>
                <w:bCs w:val="1"/>
                <w:color w:val="auto"/>
              </w:rPr>
              <w:t>Table 7 - Loans Outstanding (excludes loans covered by loss share agreement)</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780" w:type="dxa"/>
            <w:vAlign w:val="bottom"/>
            <w:gridSpan w:val="2"/>
          </w:tcPr>
          <w:p>
            <w:pPr>
              <w:ind w:left="580"/>
              <w:spacing w:after="0"/>
              <w:rPr>
                <w:sz w:val="20"/>
                <w:szCs w:val="20"/>
                <w:color w:val="auto"/>
              </w:rPr>
            </w:pPr>
            <w:r>
              <w:rPr>
                <w:rFonts w:ascii="Arial" w:cs="Arial" w:eastAsia="Arial" w:hAnsi="Arial"/>
                <w:sz w:val="16"/>
                <w:szCs w:val="16"/>
                <w:i w:val="1"/>
                <w:iCs w:val="1"/>
                <w:color w:val="auto"/>
              </w:rPr>
              <w:t>(in thousands)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8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95"/>
              </w:rPr>
              <w:t>September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w w:val="90"/>
              </w:rPr>
              <w:t>December 31,</w:t>
            </w:r>
          </w:p>
        </w:tc>
        <w:tc>
          <w:tcPr>
            <w:tcW w:w="60" w:type="dxa"/>
            <w:vAlign w:val="bottom"/>
          </w:tcPr>
          <w:p>
            <w:pPr>
              <w:spacing w:after="0"/>
              <w:rPr>
                <w:sz w:val="24"/>
                <w:szCs w:val="24"/>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95"/>
              </w:rPr>
              <w:t>September 30,</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By Loan Type</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1,153,933</w:t>
            </w:r>
          </w:p>
        </w:tc>
        <w:tc>
          <w:tcPr>
            <w:tcW w:w="2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1,133,543</w:t>
            </w:r>
          </w:p>
        </w:tc>
        <w:tc>
          <w:tcPr>
            <w:tcW w:w="200" w:type="dxa"/>
            <w:vAlign w:val="bottom"/>
          </w:tcPr>
          <w:p>
            <w:pPr>
              <w:spacing w:after="0"/>
              <w:rPr>
                <w:sz w:val="16"/>
                <w:szCs w:val="16"/>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1,129,152</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604,727</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623,167</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613,619</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Commercial &amp; industrial</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649,853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471,961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457,414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2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Commercial construction</w:t>
            </w:r>
          </w:p>
        </w:tc>
        <w:tc>
          <w:tcPr>
            <w:tcW w:w="240" w:type="dxa"/>
            <w:vAlign w:val="bottom"/>
            <w:tcBorders>
              <w:bottom w:val="single" w:sz="8" w:color="auto"/>
            </w:tcBorders>
            <w:shd w:val="clear" w:color="auto" w:fill="F0FFFF"/>
          </w:tcPr>
          <w:p>
            <w:pPr>
              <w:spacing w:after="0"/>
              <w:rPr>
                <w:sz w:val="17"/>
                <w:szCs w:val="17"/>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180,794</w:t>
            </w:r>
          </w:p>
        </w:tc>
        <w:tc>
          <w:tcPr>
            <w:tcW w:w="200" w:type="dxa"/>
            <w:vAlign w:val="bottom"/>
            <w:tcBorders>
              <w:bottom w:val="single" w:sz="8" w:color="F0FFFF"/>
            </w:tcBorders>
            <w:shd w:val="clear" w:color="auto" w:fill="F0FFFF"/>
          </w:tcPr>
          <w:p>
            <w:pPr>
              <w:spacing w:after="0"/>
              <w:rPr>
                <w:sz w:val="17"/>
                <w:szCs w:val="17"/>
                <w:color w:val="auto"/>
              </w:rPr>
            </w:pPr>
          </w:p>
        </w:tc>
        <w:tc>
          <w:tcPr>
            <w:tcW w:w="6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148,903</w:t>
            </w:r>
          </w:p>
        </w:tc>
        <w:tc>
          <w:tcPr>
            <w:tcW w:w="200" w:type="dxa"/>
            <w:vAlign w:val="bottom"/>
            <w:tcBorders>
              <w:bottom w:val="single" w:sz="8" w:color="F0FFFF"/>
            </w:tcBorders>
            <w:shd w:val="clear" w:color="auto" w:fill="F0FFFF"/>
          </w:tcPr>
          <w:p>
            <w:pPr>
              <w:spacing w:after="0"/>
              <w:rPr>
                <w:sz w:val="17"/>
                <w:szCs w:val="17"/>
                <w:color w:val="auto"/>
              </w:rPr>
            </w:pPr>
          </w:p>
        </w:tc>
        <w:tc>
          <w:tcPr>
            <w:tcW w:w="6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auto"/>
            </w:tcBorders>
            <w:shd w:val="clear" w:color="auto" w:fill="F0FFFF"/>
          </w:tcPr>
          <w:p>
            <w:pPr>
              <w:spacing w:after="0"/>
              <w:rPr>
                <w:sz w:val="17"/>
                <w:szCs w:val="17"/>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137,146</w:t>
            </w:r>
          </w:p>
        </w:tc>
        <w:tc>
          <w:tcPr>
            <w:tcW w:w="16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Total commercial</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2,589,307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2,377,574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2,337,331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spacing w:after="0"/>
              <w:rPr>
                <w:sz w:val="20"/>
                <w:szCs w:val="20"/>
                <w:color w:val="auto"/>
              </w:rPr>
            </w:pPr>
            <w:r>
              <w:rPr>
                <w:rFonts w:ascii="Arial" w:cs="Arial" w:eastAsia="Arial" w:hAnsi="Arial"/>
                <w:sz w:val="16"/>
                <w:szCs w:val="16"/>
                <w:color w:val="auto"/>
              </w:rPr>
              <w:t>Residential mortgage</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865,568</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875,077</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888,679</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Home equity lines of credit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458,819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440,887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420,616</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307,178</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328,579</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317,789</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Consumer installment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105,345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111,045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116,535</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2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Indirect auto</w:t>
            </w:r>
          </w:p>
        </w:tc>
        <w:tc>
          <w:tcPr>
            <w:tcW w:w="240" w:type="dxa"/>
            <w:vAlign w:val="bottom"/>
            <w:tcBorders>
              <w:bottom w:val="single" w:sz="8" w:color="auto"/>
            </w:tcBorders>
            <w:shd w:val="clear" w:color="auto" w:fill="F0FFFF"/>
          </w:tcPr>
          <w:p>
            <w:pPr>
              <w:spacing w:after="0"/>
              <w:rPr>
                <w:sz w:val="17"/>
                <w:szCs w:val="17"/>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242,669</w:t>
            </w:r>
          </w:p>
        </w:tc>
        <w:tc>
          <w:tcPr>
            <w:tcW w:w="200" w:type="dxa"/>
            <w:vAlign w:val="bottom"/>
            <w:tcBorders>
              <w:bottom w:val="single" w:sz="8" w:color="F0FFFF"/>
            </w:tcBorders>
            <w:shd w:val="clear" w:color="auto" w:fill="F0FFFF"/>
          </w:tcPr>
          <w:p>
            <w:pPr>
              <w:spacing w:after="0"/>
              <w:rPr>
                <w:sz w:val="17"/>
                <w:szCs w:val="17"/>
                <w:color w:val="auto"/>
              </w:rPr>
            </w:pPr>
          </w:p>
        </w:tc>
        <w:tc>
          <w:tcPr>
            <w:tcW w:w="6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196,104</w:t>
            </w:r>
          </w:p>
        </w:tc>
        <w:tc>
          <w:tcPr>
            <w:tcW w:w="200" w:type="dxa"/>
            <w:vAlign w:val="bottom"/>
            <w:tcBorders>
              <w:bottom w:val="single" w:sz="8" w:color="F0FFFF"/>
            </w:tcBorders>
            <w:shd w:val="clear" w:color="auto" w:fill="F0FFFF"/>
          </w:tcPr>
          <w:p>
            <w:pPr>
              <w:spacing w:after="0"/>
              <w:rPr>
                <w:sz w:val="17"/>
                <w:szCs w:val="17"/>
                <w:color w:val="auto"/>
              </w:rPr>
            </w:pPr>
          </w:p>
        </w:tc>
        <w:tc>
          <w:tcPr>
            <w:tcW w:w="6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auto"/>
            </w:tcBorders>
            <w:shd w:val="clear" w:color="auto" w:fill="F0FFFF"/>
          </w:tcPr>
          <w:p>
            <w:pPr>
              <w:spacing w:after="0"/>
              <w:rPr>
                <w:sz w:val="17"/>
                <w:szCs w:val="17"/>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186,117</w:t>
            </w:r>
          </w:p>
        </w:tc>
        <w:tc>
          <w:tcPr>
            <w:tcW w:w="16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ind w:left="420"/>
              <w:spacing w:after="0"/>
              <w:rPr>
                <w:sz w:val="20"/>
                <w:szCs w:val="20"/>
                <w:color w:val="auto"/>
              </w:rPr>
            </w:pPr>
            <w:r>
              <w:rPr>
                <w:rFonts w:ascii="Arial" w:cs="Arial" w:eastAsia="Arial" w:hAnsi="Arial"/>
                <w:sz w:val="16"/>
                <w:szCs w:val="16"/>
                <w:color w:val="auto"/>
              </w:rPr>
              <w:t>Total loans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4,568,886</w:t>
            </w:r>
          </w:p>
        </w:tc>
        <w:tc>
          <w:tcPr>
            <w:tcW w:w="2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4,329,266</w:t>
            </w:r>
          </w:p>
        </w:tc>
        <w:tc>
          <w:tcPr>
            <w:tcW w:w="200" w:type="dxa"/>
            <w:vAlign w:val="bottom"/>
          </w:tcPr>
          <w:p>
            <w:pPr>
              <w:spacing w:after="0"/>
              <w:rPr>
                <w:sz w:val="16"/>
                <w:szCs w:val="16"/>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4,267,067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80" w:type="dxa"/>
            <w:vAlign w:val="bottom"/>
            <w:vMerge w:val="restart"/>
          </w:tcPr>
          <w:p>
            <w:pPr>
              <w:spacing w:after="0"/>
              <w:rPr>
                <w:sz w:val="15"/>
                <w:szCs w:val="15"/>
                <w:color w:val="auto"/>
              </w:rPr>
            </w:pPr>
          </w:p>
        </w:tc>
        <w:tc>
          <w:tcPr>
            <w:tcW w:w="620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80" w:type="dxa"/>
            <w:vAlign w:val="bottom"/>
            <w:shd w:val="clear" w:color="auto" w:fill="F0FFFF"/>
          </w:tcPr>
          <w:p>
            <w:pPr>
              <w:spacing w:after="0"/>
              <w:rPr>
                <w:sz w:val="15"/>
                <w:szCs w:val="15"/>
                <w:color w:val="auto"/>
              </w:rPr>
            </w:pPr>
          </w:p>
        </w:tc>
        <w:tc>
          <w:tcPr>
            <w:tcW w:w="106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90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80" w:type="dxa"/>
            <w:vAlign w:val="bottom"/>
            <w:vMerge w:val="continue"/>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As a percentage of total loans: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ind w:left="280"/>
              <w:spacing w:after="0"/>
              <w:rPr>
                <w:sz w:val="20"/>
                <w:szCs w:val="20"/>
                <w:color w:val="auto"/>
              </w:rPr>
            </w:pPr>
            <w:r>
              <w:rPr>
                <w:rFonts w:ascii="Arial" w:cs="Arial" w:eastAsia="Arial" w:hAnsi="Arial"/>
                <w:sz w:val="16"/>
                <w:szCs w:val="16"/>
                <w:color w:val="auto"/>
              </w:rPr>
              <w:t>Owner occupied commercial real estate</w:t>
            </w:r>
          </w:p>
        </w:tc>
        <w:tc>
          <w:tcPr>
            <w:tcW w:w="24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25%</w:t>
            </w: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26%</w:t>
            </w: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ind w:left="280"/>
              <w:spacing w:after="0"/>
              <w:rPr>
                <w:sz w:val="20"/>
                <w:szCs w:val="20"/>
                <w:color w:val="auto"/>
              </w:rPr>
            </w:pPr>
            <w:r>
              <w:rPr>
                <w:rFonts w:ascii="Arial" w:cs="Arial" w:eastAsia="Arial" w:hAnsi="Arial"/>
                <w:sz w:val="16"/>
                <w:szCs w:val="16"/>
                <w:color w:val="auto"/>
              </w:rPr>
              <w:t>Income producing commercial real estate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ind w:left="280"/>
              <w:spacing w:after="0"/>
              <w:rPr>
                <w:sz w:val="20"/>
                <w:szCs w:val="20"/>
                <w:color w:val="auto"/>
              </w:rPr>
            </w:pPr>
            <w:r>
              <w:rPr>
                <w:rFonts w:ascii="Arial" w:cs="Arial" w:eastAsia="Arial" w:hAnsi="Arial"/>
                <w:sz w:val="16"/>
                <w:szCs w:val="16"/>
                <w:color w:val="auto"/>
              </w:rPr>
              <w:t>Commercial &amp; industrial</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200" w:type="dxa"/>
            <w:vAlign w:val="bottom"/>
          </w:tcPr>
          <w:p>
            <w:pPr>
              <w:ind w:left="280"/>
              <w:spacing w:after="0"/>
              <w:rPr>
                <w:sz w:val="20"/>
                <w:szCs w:val="20"/>
                <w:color w:val="auto"/>
              </w:rPr>
            </w:pPr>
            <w:r>
              <w:rPr>
                <w:rFonts w:ascii="Arial" w:cs="Arial" w:eastAsia="Arial" w:hAnsi="Arial"/>
                <w:sz w:val="16"/>
                <w:szCs w:val="16"/>
                <w:color w:val="auto"/>
              </w:rPr>
              <w:t>Commercial construction</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ind w:left="420"/>
              <w:spacing w:after="0"/>
              <w:rPr>
                <w:sz w:val="20"/>
                <w:szCs w:val="20"/>
                <w:color w:val="auto"/>
              </w:rPr>
            </w:pPr>
            <w:r>
              <w:rPr>
                <w:rFonts w:ascii="Arial" w:cs="Arial" w:eastAsia="Arial" w:hAnsi="Arial"/>
                <w:sz w:val="16"/>
                <w:szCs w:val="16"/>
                <w:color w:val="auto"/>
              </w:rPr>
              <w:t>Total commercial</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56</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54</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55</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ind w:left="280"/>
              <w:spacing w:after="0"/>
              <w:rPr>
                <w:sz w:val="20"/>
                <w:szCs w:val="20"/>
                <w:color w:val="auto"/>
              </w:rPr>
            </w:pPr>
            <w:r>
              <w:rPr>
                <w:rFonts w:ascii="Arial" w:cs="Arial" w:eastAsia="Arial" w:hAnsi="Arial"/>
                <w:sz w:val="16"/>
                <w:szCs w:val="16"/>
                <w:color w:val="auto"/>
              </w:rPr>
              <w:t>Residential mortgage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ind w:left="280"/>
              <w:spacing w:after="0"/>
              <w:rPr>
                <w:sz w:val="20"/>
                <w:szCs w:val="20"/>
                <w:color w:val="auto"/>
              </w:rPr>
            </w:pPr>
            <w:r>
              <w:rPr>
                <w:rFonts w:ascii="Arial" w:cs="Arial" w:eastAsia="Arial" w:hAnsi="Arial"/>
                <w:sz w:val="16"/>
                <w:szCs w:val="16"/>
                <w:color w:val="auto"/>
              </w:rPr>
              <w:t>Home equity lines of credit</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ind w:left="280"/>
              <w:spacing w:after="0"/>
              <w:rPr>
                <w:sz w:val="20"/>
                <w:szCs w:val="20"/>
                <w:color w:val="auto"/>
              </w:rPr>
            </w:pPr>
            <w:r>
              <w:rPr>
                <w:rFonts w:ascii="Arial" w:cs="Arial" w:eastAsia="Arial" w:hAnsi="Arial"/>
                <w:sz w:val="16"/>
                <w:szCs w:val="16"/>
                <w:color w:val="auto"/>
              </w:rPr>
              <w:t>Residential construction</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ind w:left="280"/>
              <w:spacing w:after="0"/>
              <w:rPr>
                <w:sz w:val="20"/>
                <w:szCs w:val="20"/>
                <w:color w:val="auto"/>
              </w:rPr>
            </w:pPr>
            <w:r>
              <w:rPr>
                <w:rFonts w:ascii="Arial" w:cs="Arial" w:eastAsia="Arial" w:hAnsi="Arial"/>
                <w:sz w:val="16"/>
                <w:szCs w:val="16"/>
                <w:color w:val="auto"/>
              </w:rPr>
              <w:t>Consumer installment</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200" w:type="dxa"/>
            <w:vAlign w:val="bottom"/>
          </w:tcPr>
          <w:p>
            <w:pPr>
              <w:ind w:left="280"/>
              <w:spacing w:after="0"/>
              <w:rPr>
                <w:sz w:val="20"/>
                <w:szCs w:val="20"/>
                <w:color w:val="auto"/>
              </w:rPr>
            </w:pPr>
            <w:r>
              <w:rPr>
                <w:rFonts w:ascii="Arial" w:cs="Arial" w:eastAsia="Arial" w:hAnsi="Arial"/>
                <w:sz w:val="16"/>
                <w:szCs w:val="16"/>
                <w:color w:val="auto"/>
              </w:rPr>
              <w:t>Indirect auto</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6200" w:type="dxa"/>
            <w:vAlign w:val="bottom"/>
            <w:shd w:val="clear" w:color="auto" w:fill="F0FFFF"/>
          </w:tcPr>
          <w:p>
            <w:pPr>
              <w:ind w:left="42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F0FFFF"/>
          </w:tcPr>
          <w:p>
            <w:pPr>
              <w:spacing w:after="0"/>
              <w:rPr>
                <w:sz w:val="20"/>
                <w:szCs w:val="20"/>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100%</w:t>
            </w:r>
          </w:p>
        </w:tc>
        <w:tc>
          <w:tcPr>
            <w:tcW w:w="60" w:type="dxa"/>
            <w:vAlign w:val="bottom"/>
            <w:shd w:val="clear" w:color="auto" w:fill="F0FFFF"/>
          </w:tcPr>
          <w:p>
            <w:pPr>
              <w:spacing w:after="0"/>
              <w:rPr>
                <w:sz w:val="20"/>
                <w:szCs w:val="20"/>
                <w:color w:val="auto"/>
              </w:rPr>
            </w:pPr>
          </w:p>
        </w:tc>
        <w:tc>
          <w:tcPr>
            <w:tcW w:w="80" w:type="dxa"/>
            <w:vAlign w:val="bottom"/>
            <w:shd w:val="clear" w:color="auto" w:fill="F0FFFF"/>
          </w:tcPr>
          <w:p>
            <w:pPr>
              <w:spacing w:after="0"/>
              <w:rPr>
                <w:sz w:val="20"/>
                <w:szCs w:val="20"/>
                <w:color w:val="auto"/>
              </w:rPr>
            </w:pPr>
          </w:p>
        </w:tc>
        <w:tc>
          <w:tcPr>
            <w:tcW w:w="1260" w:type="dxa"/>
            <w:vAlign w:val="bottom"/>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100%</w:t>
            </w:r>
          </w:p>
        </w:tc>
        <w:tc>
          <w:tcPr>
            <w:tcW w:w="60" w:type="dxa"/>
            <w:vAlign w:val="bottom"/>
            <w:shd w:val="clear" w:color="auto" w:fill="F0FFFF"/>
          </w:tcPr>
          <w:p>
            <w:pPr>
              <w:spacing w:after="0"/>
              <w:rPr>
                <w:sz w:val="20"/>
                <w:szCs w:val="20"/>
                <w:color w:val="auto"/>
              </w:rPr>
            </w:pPr>
          </w:p>
        </w:tc>
        <w:tc>
          <w:tcPr>
            <w:tcW w:w="240" w:type="dxa"/>
            <w:vAlign w:val="bottom"/>
            <w:shd w:val="clear" w:color="auto" w:fill="F0FFFF"/>
          </w:tcPr>
          <w:p>
            <w:pPr>
              <w:spacing w:after="0"/>
              <w:rPr>
                <w:sz w:val="20"/>
                <w:szCs w:val="20"/>
                <w:color w:val="auto"/>
              </w:rPr>
            </w:pPr>
          </w:p>
        </w:tc>
        <w:tc>
          <w:tcPr>
            <w:tcW w:w="106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3"/>
        </w:trPr>
        <w:tc>
          <w:tcPr>
            <w:tcW w:w="580" w:type="dxa"/>
            <w:vAlign w:val="bottom"/>
            <w:vMerge w:val="restart"/>
          </w:tcPr>
          <w:p>
            <w:pPr>
              <w:spacing w:after="0"/>
              <w:rPr>
                <w:sz w:val="15"/>
                <w:szCs w:val="15"/>
                <w:color w:val="auto"/>
              </w:rPr>
            </w:pPr>
          </w:p>
        </w:tc>
        <w:tc>
          <w:tcPr>
            <w:tcW w:w="620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60" w:type="dxa"/>
            <w:vAlign w:val="bottom"/>
            <w:tcBorders>
              <w:top w:val="single" w:sz="8" w:color="F0FF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0" w:type="dxa"/>
            <w:vAlign w:val="bottom"/>
            <w:tcBorders>
              <w:top w:val="single" w:sz="8" w:color="F0FFFF"/>
            </w:tcBorders>
          </w:tcPr>
          <w:p>
            <w:pPr>
              <w:spacing w:after="0"/>
              <w:rPr>
                <w:sz w:val="15"/>
                <w:szCs w:val="15"/>
                <w:color w:val="auto"/>
              </w:rPr>
            </w:pPr>
          </w:p>
        </w:tc>
        <w:tc>
          <w:tcPr>
            <w:tcW w:w="60" w:type="dxa"/>
            <w:vAlign w:val="bottom"/>
            <w:tcBorders>
              <w:top w:val="single" w:sz="8" w:color="F0FF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Borders>
              <w:top w:val="single" w:sz="8" w:color="F0FFFF"/>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580" w:type="dxa"/>
            <w:vAlign w:val="bottom"/>
            <w:vMerge w:val="continue"/>
          </w:tcPr>
          <w:p>
            <w:pPr>
              <w:spacing w:after="0"/>
              <w:rPr>
                <w:sz w:val="16"/>
                <w:szCs w:val="16"/>
                <w:color w:val="auto"/>
              </w:rPr>
            </w:pPr>
          </w:p>
        </w:tc>
        <w:tc>
          <w:tcPr>
            <w:tcW w:w="620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By Geographic Location</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North Georgia</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1,168,307</w:t>
            </w:r>
          </w:p>
        </w:tc>
        <w:tc>
          <w:tcPr>
            <w:tcW w:w="2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1,240,234</w:t>
            </w:r>
          </w:p>
        </w:tc>
        <w:tc>
          <w:tcPr>
            <w:tcW w:w="200" w:type="dxa"/>
            <w:vAlign w:val="bottom"/>
          </w:tcPr>
          <w:p>
            <w:pPr>
              <w:spacing w:after="0"/>
              <w:rPr>
                <w:sz w:val="16"/>
                <w:szCs w:val="16"/>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1,261,751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spacing w:after="0"/>
              <w:rPr>
                <w:sz w:val="20"/>
                <w:szCs w:val="20"/>
                <w:color w:val="auto"/>
              </w:rPr>
            </w:pPr>
            <w:r>
              <w:rPr>
                <w:rFonts w:ascii="Arial" w:cs="Arial" w:eastAsia="Arial" w:hAnsi="Arial"/>
                <w:sz w:val="16"/>
                <w:szCs w:val="16"/>
                <w:color w:val="auto"/>
              </w:rPr>
              <w:t>Atlanta MSA</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1,289,267</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1,275,139</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1,246,433</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North Carolina</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553,028</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571,971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574,667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spacing w:after="0"/>
              <w:rPr>
                <w:sz w:val="20"/>
                <w:szCs w:val="20"/>
                <w:color w:val="auto"/>
              </w:rPr>
            </w:pPr>
            <w:r>
              <w:rPr>
                <w:rFonts w:ascii="Arial" w:cs="Arial" w:eastAsia="Arial" w:hAnsi="Arial"/>
                <w:sz w:val="16"/>
                <w:szCs w:val="16"/>
                <w:color w:val="auto"/>
              </w:rPr>
              <w:t>Coastal Georgia</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443,803</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423,045</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421,488</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Gainesville MSA</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253,878</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254,655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253,004</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shd w:val="clear" w:color="auto" w:fill="F0FFFF"/>
          </w:tcPr>
          <w:p>
            <w:pPr>
              <w:spacing w:after="0"/>
              <w:rPr>
                <w:sz w:val="20"/>
                <w:szCs w:val="20"/>
                <w:color w:val="auto"/>
              </w:rPr>
            </w:pPr>
            <w:r>
              <w:rPr>
                <w:rFonts w:ascii="Arial" w:cs="Arial" w:eastAsia="Arial" w:hAnsi="Arial"/>
                <w:sz w:val="16"/>
                <w:szCs w:val="16"/>
                <w:color w:val="auto"/>
              </w:rPr>
              <w:t>East Tennessee</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280,534</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80" w:type="dxa"/>
            <w:vAlign w:val="bottom"/>
            <w:shd w:val="clear" w:color="auto" w:fill="F0FFFF"/>
          </w:tcPr>
          <w:p>
            <w:pPr>
              <w:spacing w:after="0"/>
              <w:rPr>
                <w:sz w:val="16"/>
                <w:szCs w:val="16"/>
                <w:color w:val="auto"/>
              </w:rPr>
            </w:pPr>
          </w:p>
        </w:tc>
        <w:tc>
          <w:tcPr>
            <w:tcW w:w="10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279,587</w:t>
            </w:r>
          </w:p>
        </w:tc>
        <w:tc>
          <w:tcPr>
            <w:tcW w:w="200" w:type="dxa"/>
            <w:vAlign w:val="bottom"/>
            <w:shd w:val="clear" w:color="auto" w:fill="F0FFFF"/>
          </w:tcPr>
          <w:p>
            <w:pPr>
              <w:spacing w:after="0"/>
              <w:rPr>
                <w:sz w:val="16"/>
                <w:szCs w:val="16"/>
                <w:color w:val="auto"/>
              </w:rPr>
            </w:pPr>
          </w:p>
        </w:tc>
        <w:tc>
          <w:tcPr>
            <w:tcW w:w="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9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277,059</w:t>
            </w: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spacing w:after="0"/>
              <w:rPr>
                <w:sz w:val="20"/>
                <w:szCs w:val="20"/>
                <w:color w:val="auto"/>
              </w:rPr>
            </w:pPr>
            <w:r>
              <w:rPr>
                <w:rFonts w:ascii="Arial" w:cs="Arial" w:eastAsia="Arial" w:hAnsi="Arial"/>
                <w:sz w:val="16"/>
                <w:szCs w:val="16"/>
                <w:color w:val="auto"/>
              </w:rPr>
              <w:t>South Carolina / Corporate</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337,400</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88,531</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46,548</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6200" w:type="dxa"/>
            <w:vAlign w:val="bottom"/>
            <w:tcBorders>
              <w:bottom w:val="single" w:sz="8" w:color="F0FFFF"/>
            </w:tcBorders>
            <w:shd w:val="clear" w:color="auto" w:fill="F0FFFF"/>
          </w:tcPr>
          <w:p>
            <w:pPr>
              <w:spacing w:after="0"/>
              <w:rPr>
                <w:sz w:val="20"/>
                <w:szCs w:val="20"/>
                <w:color w:val="auto"/>
              </w:rPr>
            </w:pPr>
            <w:r>
              <w:rPr>
                <w:rFonts w:ascii="Arial" w:cs="Arial" w:eastAsia="Arial" w:hAnsi="Arial"/>
                <w:sz w:val="16"/>
                <w:szCs w:val="16"/>
                <w:color w:val="auto"/>
              </w:rPr>
              <w:t>Indirect auto</w:t>
            </w:r>
          </w:p>
        </w:tc>
        <w:tc>
          <w:tcPr>
            <w:tcW w:w="240" w:type="dxa"/>
            <w:vAlign w:val="bottom"/>
            <w:tcBorders>
              <w:bottom w:val="single" w:sz="8" w:color="auto"/>
            </w:tcBorders>
            <w:shd w:val="clear" w:color="auto" w:fill="F0FFFF"/>
          </w:tcPr>
          <w:p>
            <w:pPr>
              <w:spacing w:after="0"/>
              <w:rPr>
                <w:sz w:val="17"/>
                <w:szCs w:val="17"/>
                <w:color w:val="auto"/>
              </w:rPr>
            </w:pPr>
          </w:p>
        </w:tc>
        <w:tc>
          <w:tcPr>
            <w:tcW w:w="88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242,669</w:t>
            </w:r>
          </w:p>
        </w:tc>
        <w:tc>
          <w:tcPr>
            <w:tcW w:w="200" w:type="dxa"/>
            <w:vAlign w:val="bottom"/>
            <w:tcBorders>
              <w:bottom w:val="single" w:sz="8" w:color="F0FFFF"/>
            </w:tcBorders>
            <w:shd w:val="clear" w:color="auto" w:fill="F0FFFF"/>
          </w:tcPr>
          <w:p>
            <w:pPr>
              <w:spacing w:after="0"/>
              <w:rPr>
                <w:sz w:val="17"/>
                <w:szCs w:val="17"/>
                <w:color w:val="auto"/>
              </w:rPr>
            </w:pPr>
          </w:p>
        </w:tc>
        <w:tc>
          <w:tcPr>
            <w:tcW w:w="60" w:type="dxa"/>
            <w:vAlign w:val="bottom"/>
            <w:tcBorders>
              <w:bottom w:val="single" w:sz="8" w:color="F0FFFF"/>
            </w:tcBorders>
            <w:shd w:val="clear" w:color="auto" w:fill="F0FFFF"/>
          </w:tcPr>
          <w:p>
            <w:pPr>
              <w:spacing w:after="0"/>
              <w:rPr>
                <w:sz w:val="17"/>
                <w:szCs w:val="17"/>
                <w:color w:val="auto"/>
              </w:rPr>
            </w:pPr>
          </w:p>
        </w:tc>
        <w:tc>
          <w:tcPr>
            <w:tcW w:w="80" w:type="dxa"/>
            <w:vAlign w:val="bottom"/>
            <w:tcBorders>
              <w:bottom w:val="single" w:sz="8" w:color="auto"/>
            </w:tcBorders>
            <w:shd w:val="clear" w:color="auto" w:fill="F0FFFF"/>
          </w:tcPr>
          <w:p>
            <w:pPr>
              <w:spacing w:after="0"/>
              <w:rPr>
                <w:sz w:val="17"/>
                <w:szCs w:val="17"/>
                <w:color w:val="auto"/>
              </w:rPr>
            </w:pPr>
          </w:p>
        </w:tc>
        <w:tc>
          <w:tcPr>
            <w:tcW w:w="106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196,104</w:t>
            </w:r>
          </w:p>
        </w:tc>
        <w:tc>
          <w:tcPr>
            <w:tcW w:w="200" w:type="dxa"/>
            <w:vAlign w:val="bottom"/>
            <w:tcBorders>
              <w:bottom w:val="single" w:sz="8" w:color="F0FFFF"/>
            </w:tcBorders>
            <w:shd w:val="clear" w:color="auto" w:fill="F0FFFF"/>
          </w:tcPr>
          <w:p>
            <w:pPr>
              <w:spacing w:after="0"/>
              <w:rPr>
                <w:sz w:val="17"/>
                <w:szCs w:val="17"/>
                <w:color w:val="auto"/>
              </w:rPr>
            </w:pPr>
          </w:p>
        </w:tc>
        <w:tc>
          <w:tcPr>
            <w:tcW w:w="60" w:type="dxa"/>
            <w:vAlign w:val="bottom"/>
            <w:tcBorders>
              <w:bottom w:val="single" w:sz="8" w:color="F0FFFF"/>
            </w:tcBorders>
            <w:shd w:val="clear" w:color="auto" w:fill="F0FFFF"/>
          </w:tcPr>
          <w:p>
            <w:pPr>
              <w:spacing w:after="0"/>
              <w:rPr>
                <w:sz w:val="17"/>
                <w:szCs w:val="17"/>
                <w:color w:val="auto"/>
              </w:rPr>
            </w:pPr>
          </w:p>
        </w:tc>
        <w:tc>
          <w:tcPr>
            <w:tcW w:w="240" w:type="dxa"/>
            <w:vAlign w:val="bottom"/>
            <w:tcBorders>
              <w:bottom w:val="single" w:sz="8" w:color="auto"/>
            </w:tcBorders>
            <w:shd w:val="clear" w:color="auto" w:fill="F0FFFF"/>
          </w:tcPr>
          <w:p>
            <w:pPr>
              <w:spacing w:after="0"/>
              <w:rPr>
                <w:sz w:val="17"/>
                <w:szCs w:val="17"/>
                <w:color w:val="auto"/>
              </w:rPr>
            </w:pPr>
          </w:p>
        </w:tc>
        <w:tc>
          <w:tcPr>
            <w:tcW w:w="900" w:type="dxa"/>
            <w:vAlign w:val="bottom"/>
            <w:tcBorders>
              <w:bottom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186,117</w:t>
            </w:r>
          </w:p>
        </w:tc>
        <w:tc>
          <w:tcPr>
            <w:tcW w:w="160" w:type="dxa"/>
            <w:vAlign w:val="bottom"/>
            <w:tcBorders>
              <w:bottom w:val="single" w:sz="8" w:color="F0FFFF"/>
            </w:tcBorders>
            <w:shd w:val="clear" w:color="auto" w:fill="F0FF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80" w:type="dxa"/>
            <w:vAlign w:val="bottom"/>
          </w:tcPr>
          <w:p>
            <w:pPr>
              <w:spacing w:after="0"/>
              <w:rPr>
                <w:sz w:val="16"/>
                <w:szCs w:val="16"/>
                <w:color w:val="auto"/>
              </w:rPr>
            </w:pPr>
          </w:p>
        </w:tc>
        <w:tc>
          <w:tcPr>
            <w:tcW w:w="6200" w:type="dxa"/>
            <w:vAlign w:val="bottom"/>
          </w:tcPr>
          <w:p>
            <w:pPr>
              <w:ind w:left="140"/>
              <w:spacing w:after="0"/>
              <w:rPr>
                <w:sz w:val="20"/>
                <w:szCs w:val="20"/>
                <w:color w:val="auto"/>
              </w:rPr>
            </w:pPr>
            <w:r>
              <w:rPr>
                <w:rFonts w:ascii="Arial" w:cs="Arial" w:eastAsia="Arial" w:hAnsi="Arial"/>
                <w:sz w:val="16"/>
                <w:szCs w:val="16"/>
                <w:color w:val="auto"/>
              </w:rPr>
              <w:t>Total loans</w:t>
            </w:r>
          </w:p>
        </w:tc>
        <w:tc>
          <w:tcPr>
            <w:tcW w:w="240" w:type="dxa"/>
            <w:vAlign w:val="bottom"/>
          </w:tcPr>
          <w:p>
            <w:pPr>
              <w:jc w:val="right"/>
              <w:ind w:right="8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4,568,886</w:t>
            </w:r>
          </w:p>
        </w:tc>
        <w:tc>
          <w:tcPr>
            <w:tcW w:w="200" w:type="dxa"/>
            <w:vAlign w:val="bottom"/>
          </w:tcPr>
          <w:p>
            <w:pPr>
              <w:spacing w:after="0"/>
              <w:rPr>
                <w:sz w:val="16"/>
                <w:szCs w:val="16"/>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4,329,266</w:t>
            </w:r>
          </w:p>
        </w:tc>
        <w:tc>
          <w:tcPr>
            <w:tcW w:w="200" w:type="dxa"/>
            <w:vAlign w:val="bottom"/>
          </w:tcPr>
          <w:p>
            <w:pPr>
              <w:spacing w:after="0"/>
              <w:rPr>
                <w:sz w:val="16"/>
                <w:szCs w:val="16"/>
                <w:color w:val="auto"/>
              </w:rPr>
            </w:pPr>
          </w:p>
        </w:tc>
        <w:tc>
          <w:tcPr>
            <w:tcW w:w="3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4,267,067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Substantially all of United’s loans are to customers located in the immediate market areas of its community banks in Georgia, North Carolina, Tennessee and South Carolina, including customers who have a seasonal residence in United’s market areas. More than 75% of the loans are secured by real estate. At September 30, 2014, total loans, excluding loans that are covered by loss sharing agreements with the FDIC, were $4.57 billion, an increase of $302 million, or 7%, from September 30, 2013. Despite the weak economy and lagging loan demand, United has continued to pursue lending opportunities. Commercial and industrial loans are up due to United’s focus on growing business loans. Much of the growth has come through United’s corporate lending initiatives in Greenville, South Carolina including United’s focus on SBA / USDA, commercial real estate, corporate, asset-based and health care industry lending. Home equity loans increased due primarily to a successful home equity line promotion. Indirect auto loans have increased due to additional purchases of loan pools for this portfolio.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20"/>
          </w:cols>
          <w:pgMar w:left="240" w:top="620" w:right="239" w:bottom="1440" w:gutter="0" w:footer="0" w:header="0"/>
        </w:sectPr>
      </w:pPr>
    </w:p>
    <w:bookmarkStart w:id="55" w:name="page56"/>
    <w:bookmarkEnd w:id="55"/>
    <w:p>
      <w:pPr>
        <w:spacing w:after="0"/>
        <w:rPr>
          <w:sz w:val="20"/>
          <w:szCs w:val="20"/>
          <w:color w:val="auto"/>
        </w:rPr>
      </w:pPr>
      <w:r>
        <w:rPr>
          <w:rFonts w:ascii="Arial" w:cs="Arial" w:eastAsia="Arial" w:hAnsi="Arial"/>
          <w:sz w:val="16"/>
          <w:szCs w:val="16"/>
          <w:b w:val="1"/>
          <w:bCs w:val="1"/>
          <w:i w:val="1"/>
          <w:iCs w:val="1"/>
          <w:color w:val="auto"/>
        </w:rPr>
        <w:t>Asset Quality and Risk Elements</w:t>
      </w:r>
    </w:p>
    <w:p>
      <w:pPr>
        <w:spacing w:after="0" w:line="228"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6"/>
          <w:szCs w:val="16"/>
          <w:i w:val="1"/>
          <w:iCs w:val="1"/>
          <w:color w:val="auto"/>
        </w:rPr>
        <w:t>Loan Review and Nonperforming Assets</w:t>
      </w:r>
      <w:r>
        <w:rPr>
          <w:rFonts w:ascii="Arial" w:cs="Arial" w:eastAsia="Arial" w:hAnsi="Arial"/>
          <w:sz w:val="16"/>
          <w:szCs w:val="16"/>
          <w:color w:val="auto"/>
        </w:rPr>
        <w:t xml:space="preserve"> in United’s Annual Report on Form 10-K for the year ended December 31, 2013.</w:t>
      </w:r>
    </w:p>
    <w:p>
      <w:pPr>
        <w:spacing w:after="0" w:line="19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United classifies performing loans as “substandard” when there are well-defined weaknesses that jeopardize the repayment by the borrower and there is a distinct possibility that United could sustain some loss if the deficiency is not corrected.</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United’s home equity lines generally require the payment of interest only for a set period after origination. After this initial period, the outstanding balance begins amortizing and requires the payment of both principal and interest. At September 30, 2014, December 31, 2013 and September 30, 2013, the funded portion of home equity lines totaled $459 million, $441 million, and $421 million, respectively.</w:t>
      </w:r>
    </w:p>
    <w:p>
      <w:pPr>
        <w:spacing w:after="0" w:line="18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Approximately 3% of the home equity loans at September 30, 2014 were amortizing. Of the $459 million in balances outstanding at September 30, 2014, $287 million, or 62%, were first liens. At September 30, 2014, 59% of the total available home equity lines were drawn upon.</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performing substandard loans for the last five quarters.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700" w:type="dxa"/>
            <w:vAlign w:val="bottom"/>
            <w:gridSpan w:val="2"/>
          </w:tcPr>
          <w:p>
            <w:pPr>
              <w:spacing w:after="0"/>
              <w:rPr>
                <w:sz w:val="20"/>
                <w:szCs w:val="20"/>
                <w:color w:val="auto"/>
              </w:rPr>
            </w:pPr>
            <w:r>
              <w:rPr>
                <w:rFonts w:ascii="Arial" w:cs="Arial" w:eastAsia="Arial" w:hAnsi="Arial"/>
                <w:sz w:val="16"/>
                <w:szCs w:val="16"/>
                <w:b w:val="1"/>
                <w:bCs w:val="1"/>
                <w:color w:val="auto"/>
              </w:rPr>
              <w:t>Table 8 - Performing Substandard Loans</w:t>
            </w: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0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80" w:type="dxa"/>
            <w:vAlign w:val="bottom"/>
          </w:tcPr>
          <w:p>
            <w:pPr>
              <w:spacing w:after="0"/>
              <w:rPr>
                <w:sz w:val="17"/>
                <w:szCs w:val="17"/>
                <w:color w:val="auto"/>
              </w:rPr>
            </w:pPr>
          </w:p>
        </w:tc>
        <w:tc>
          <w:tcPr>
            <w:tcW w:w="13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7"/>
                <w:szCs w:val="17"/>
                <w:color w:val="auto"/>
              </w:rPr>
            </w:pPr>
          </w:p>
        </w:tc>
        <w:tc>
          <w:tcPr>
            <w:tcW w:w="122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7"/>
                <w:szCs w:val="1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March 31,</w:t>
            </w:r>
          </w:p>
        </w:tc>
        <w:tc>
          <w:tcPr>
            <w:tcW w:w="100" w:type="dxa"/>
            <w:vAlign w:val="bottom"/>
          </w:tcPr>
          <w:p>
            <w:pPr>
              <w:spacing w:after="0"/>
              <w:rPr>
                <w:sz w:val="17"/>
                <w:szCs w:val="17"/>
                <w:color w:val="auto"/>
              </w:rPr>
            </w:pPr>
          </w:p>
        </w:tc>
        <w:tc>
          <w:tcPr>
            <w:tcW w:w="11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December 31,</w:t>
            </w:r>
          </w:p>
        </w:tc>
        <w:tc>
          <w:tcPr>
            <w:tcW w:w="120" w:type="dxa"/>
            <w:vAlign w:val="bottom"/>
          </w:tcPr>
          <w:p>
            <w:pPr>
              <w:spacing w:after="0"/>
              <w:rPr>
                <w:sz w:val="17"/>
                <w:szCs w:val="17"/>
                <w:color w:val="auto"/>
              </w:rPr>
            </w:pPr>
          </w:p>
        </w:tc>
        <w:tc>
          <w:tcPr>
            <w:tcW w:w="12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By Category</w:t>
            </w: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Owner occupied commercial real estate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49,857</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48,222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47,526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43,083</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39,946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color w:val="auto"/>
              </w:rPr>
              <w:t>Income producing commercial real estate</w:t>
            </w:r>
          </w:p>
        </w:tc>
        <w:tc>
          <w:tcPr>
            <w:tcW w:w="80" w:type="dxa"/>
            <w:vAlign w:val="bottom"/>
            <w:shd w:val="clear" w:color="auto" w:fill="F0FFFF"/>
          </w:tcPr>
          <w:p>
            <w:pPr>
              <w:spacing w:after="0"/>
              <w:rPr>
                <w:sz w:val="16"/>
                <w:szCs w:val="16"/>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22,215</w:t>
            </w: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24,633</w:t>
            </w: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36,799</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34,642</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35,596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Commercial &amp; industrial</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7,498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5,647</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8,141</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9,589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10,342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color w:val="auto"/>
              </w:rPr>
              <w:t>Commercial construction</w:t>
            </w: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3,847</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4,406</w:t>
            </w:r>
          </w:p>
        </w:tc>
        <w:tc>
          <w:tcPr>
            <w:tcW w:w="2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5,281</w:t>
            </w:r>
          </w:p>
        </w:tc>
        <w:tc>
          <w:tcPr>
            <w:tcW w:w="20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16,758</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16,911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ind w:left="420"/>
              <w:spacing w:after="0"/>
              <w:rPr>
                <w:sz w:val="20"/>
                <w:szCs w:val="20"/>
                <w:color w:val="auto"/>
              </w:rPr>
            </w:pPr>
            <w:r>
              <w:rPr>
                <w:rFonts w:ascii="Arial" w:cs="Arial" w:eastAsia="Arial" w:hAnsi="Arial"/>
                <w:sz w:val="16"/>
                <w:szCs w:val="16"/>
                <w:color w:val="auto"/>
              </w:rPr>
              <w:t>Total commercial</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83,417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82,908</w:t>
            </w: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97,747</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104,072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102,795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color w:val="auto"/>
              </w:rPr>
              <w:t>Residential mortgage</w:t>
            </w:r>
          </w:p>
        </w:tc>
        <w:tc>
          <w:tcPr>
            <w:tcW w:w="80" w:type="dxa"/>
            <w:vAlign w:val="bottom"/>
            <w:shd w:val="clear" w:color="auto" w:fill="F0FFFF"/>
          </w:tcPr>
          <w:p>
            <w:pPr>
              <w:spacing w:after="0"/>
              <w:rPr>
                <w:sz w:val="16"/>
                <w:szCs w:val="16"/>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42,981</w:t>
            </w: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41,856</w:t>
            </w: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43,572</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44,022</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45,493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Home equity</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8,073</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7,562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7,662</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7,967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7,679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11,755</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12,872</w:t>
            </w: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12,977</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14,104</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15,552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Consumer installment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1,776</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2,310</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2,538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2,147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color w:val="auto"/>
              </w:rPr>
              <w:t>Indirect auto</w:t>
            </w: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684</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562</w:t>
            </w: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ind w:left="420"/>
              <w:spacing w:after="0"/>
              <w:rPr>
                <w:sz w:val="20"/>
                <w:szCs w:val="20"/>
                <w:color w:val="auto"/>
              </w:rPr>
            </w:pPr>
            <w:r>
              <w:rPr>
                <w:rFonts w:ascii="Arial" w:cs="Arial" w:eastAsia="Arial" w:hAnsi="Arial"/>
                <w:sz w:val="16"/>
                <w:szCs w:val="16"/>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148,972</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147,536</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164,865</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172,703</w:t>
            </w:r>
          </w:p>
        </w:tc>
        <w:tc>
          <w:tcPr>
            <w:tcW w:w="100" w:type="dxa"/>
            <w:vAlign w:val="bottom"/>
          </w:tcPr>
          <w:p>
            <w:pPr>
              <w:spacing w:after="0"/>
              <w:rPr>
                <w:sz w:val="16"/>
                <w:szCs w:val="16"/>
                <w:color w:val="auto"/>
              </w:rPr>
            </w:pP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173,666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shd w:val="clear" w:color="auto" w:fill="F0FFFF"/>
          </w:tcPr>
          <w:p>
            <w:pPr>
              <w:spacing w:after="0" w:line="183" w:lineRule="exact"/>
              <w:rPr>
                <w:sz w:val="20"/>
                <w:szCs w:val="20"/>
                <w:color w:val="auto"/>
              </w:rPr>
            </w:pPr>
            <w:r>
              <w:rPr>
                <w:rFonts w:ascii="Arial" w:cs="Arial" w:eastAsia="Arial" w:hAnsi="Arial"/>
                <w:sz w:val="16"/>
                <w:szCs w:val="16"/>
                <w:b w:val="1"/>
                <w:bCs w:val="1"/>
                <w:color w:val="auto"/>
              </w:rPr>
              <w:t>By Market</w:t>
            </w:r>
          </w:p>
        </w:tc>
        <w:tc>
          <w:tcPr>
            <w:tcW w:w="80" w:type="dxa"/>
            <w:vAlign w:val="bottom"/>
            <w:shd w:val="clear" w:color="auto" w:fill="F0FFFF"/>
          </w:tcPr>
          <w:p>
            <w:pPr>
              <w:spacing w:after="0"/>
              <w:rPr>
                <w:sz w:val="15"/>
                <w:szCs w:val="15"/>
                <w:color w:val="auto"/>
              </w:rPr>
            </w:pPr>
          </w:p>
        </w:tc>
        <w:tc>
          <w:tcPr>
            <w:tcW w:w="108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180" w:type="dxa"/>
            <w:vAlign w:val="bottom"/>
            <w:shd w:val="clear" w:color="auto" w:fill="F0FFFF"/>
          </w:tcPr>
          <w:p>
            <w:pPr>
              <w:spacing w:after="0"/>
              <w:rPr>
                <w:sz w:val="15"/>
                <w:szCs w:val="15"/>
                <w:color w:val="auto"/>
              </w:rPr>
            </w:pPr>
          </w:p>
        </w:tc>
        <w:tc>
          <w:tcPr>
            <w:tcW w:w="96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1000" w:type="dxa"/>
            <w:vAlign w:val="bottom"/>
            <w:shd w:val="clear" w:color="auto" w:fill="F0FFFF"/>
          </w:tcPr>
          <w:p>
            <w:pPr>
              <w:spacing w:after="0"/>
              <w:rPr>
                <w:sz w:val="15"/>
                <w:szCs w:val="15"/>
                <w:color w:val="auto"/>
              </w:rPr>
            </w:pPr>
          </w:p>
        </w:tc>
        <w:tc>
          <w:tcPr>
            <w:tcW w:w="20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0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North Georgia</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66,780</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66,709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69,584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69,510</w:t>
            </w: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74,456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color w:val="auto"/>
              </w:rPr>
              <w:t>Atlanta MSA</w:t>
            </w:r>
          </w:p>
        </w:tc>
        <w:tc>
          <w:tcPr>
            <w:tcW w:w="80" w:type="dxa"/>
            <w:vAlign w:val="bottom"/>
            <w:shd w:val="clear" w:color="auto" w:fill="F0FFFF"/>
          </w:tcPr>
          <w:p>
            <w:pPr>
              <w:spacing w:after="0"/>
              <w:rPr>
                <w:sz w:val="16"/>
                <w:szCs w:val="16"/>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34,699</w:t>
            </w: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32,975</w:t>
            </w: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32,008</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43,171</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44,650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North Carolina</w:t>
            </w:r>
          </w:p>
        </w:tc>
        <w:tc>
          <w:tcPr>
            <w:tcW w:w="8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18,465</w:t>
            </w:r>
          </w:p>
        </w:tc>
        <w:tc>
          <w:tcPr>
            <w:tcW w:w="18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19,619</w:t>
            </w: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21,735</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18,954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20,768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color w:val="auto"/>
              </w:rPr>
              <w:t>Coastal Georgia</w:t>
            </w:r>
          </w:p>
        </w:tc>
        <w:tc>
          <w:tcPr>
            <w:tcW w:w="80" w:type="dxa"/>
            <w:vAlign w:val="bottom"/>
            <w:shd w:val="clear" w:color="auto" w:fill="F0FFFF"/>
          </w:tcPr>
          <w:p>
            <w:pPr>
              <w:spacing w:after="0"/>
              <w:rPr>
                <w:sz w:val="16"/>
                <w:szCs w:val="16"/>
                <w:color w:val="auto"/>
              </w:rPr>
            </w:pPr>
          </w:p>
        </w:tc>
        <w:tc>
          <w:tcPr>
            <w:tcW w:w="132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17,368</w:t>
            </w: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17,427</w:t>
            </w: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18,354</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18,561</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10,729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Gainesville MSA</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2,016</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2,832</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14,911</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14,916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14,820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color w:val="auto"/>
              </w:rPr>
              <w:t>East Tennessee</w:t>
            </w: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7,643</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7,412</w:t>
            </w:r>
          </w:p>
        </w:tc>
        <w:tc>
          <w:tcPr>
            <w:tcW w:w="26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7,676</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7,591</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8,243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spacing w:after="0"/>
              <w:rPr>
                <w:sz w:val="20"/>
                <w:szCs w:val="20"/>
                <w:color w:val="auto"/>
              </w:rPr>
            </w:pPr>
            <w:r>
              <w:rPr>
                <w:rFonts w:ascii="Arial" w:cs="Arial" w:eastAsia="Arial" w:hAnsi="Arial"/>
                <w:sz w:val="16"/>
                <w:szCs w:val="16"/>
                <w:color w:val="auto"/>
              </w:rPr>
              <w:t>South Carolina / Corporate</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1,317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shd w:val="clear" w:color="auto" w:fill="F0FFFF"/>
          </w:tcPr>
          <w:p>
            <w:pPr>
              <w:spacing w:after="0"/>
              <w:rPr>
                <w:sz w:val="20"/>
                <w:szCs w:val="20"/>
                <w:color w:val="auto"/>
              </w:rPr>
            </w:pPr>
            <w:r>
              <w:rPr>
                <w:rFonts w:ascii="Arial" w:cs="Arial" w:eastAsia="Arial" w:hAnsi="Arial"/>
                <w:sz w:val="16"/>
                <w:szCs w:val="16"/>
                <w:color w:val="auto"/>
              </w:rPr>
              <w:t>Indirect auto</w:t>
            </w:r>
          </w:p>
        </w:tc>
        <w:tc>
          <w:tcPr>
            <w:tcW w:w="80" w:type="dxa"/>
            <w:vAlign w:val="bottom"/>
            <w:shd w:val="clear" w:color="auto" w:fill="F0FFFF"/>
          </w:tcPr>
          <w:p>
            <w:pPr>
              <w:spacing w:after="0"/>
              <w:rPr>
                <w:sz w:val="16"/>
                <w:szCs w:val="16"/>
                <w:color w:val="auto"/>
              </w:rPr>
            </w:pPr>
          </w:p>
        </w:tc>
        <w:tc>
          <w:tcPr>
            <w:tcW w:w="10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684</w:t>
            </w:r>
          </w:p>
        </w:tc>
        <w:tc>
          <w:tcPr>
            <w:tcW w:w="24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562</w:t>
            </w:r>
          </w:p>
        </w:tc>
        <w:tc>
          <w:tcPr>
            <w:tcW w:w="140" w:type="dxa"/>
            <w:vAlign w:val="bottom"/>
            <w:shd w:val="clear" w:color="auto" w:fill="F0FFFF"/>
          </w:tcPr>
          <w:p>
            <w:pPr>
              <w:spacing w:after="0"/>
              <w:rPr>
                <w:sz w:val="16"/>
                <w:szCs w:val="16"/>
                <w:color w:val="auto"/>
              </w:rPr>
            </w:pPr>
          </w:p>
        </w:tc>
        <w:tc>
          <w:tcPr>
            <w:tcW w:w="120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597</w:t>
            </w:r>
          </w:p>
        </w:tc>
        <w:tc>
          <w:tcPr>
            <w:tcW w:w="10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680" w:type="dxa"/>
            <w:vAlign w:val="bottom"/>
            <w:shd w:val="clear" w:color="auto" w:fill="F0FF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40" w:type="dxa"/>
            <w:vAlign w:val="bottom"/>
            <w:shd w:val="clear" w:color="auto" w:fill="F0FF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680" w:type="dxa"/>
            <w:vAlign w:val="bottom"/>
          </w:tcPr>
          <w:p>
            <w:pPr>
              <w:ind w:left="120"/>
              <w:spacing w:after="0"/>
              <w:rPr>
                <w:sz w:val="20"/>
                <w:szCs w:val="20"/>
                <w:color w:val="auto"/>
              </w:rPr>
            </w:pPr>
            <w:r>
              <w:rPr>
                <w:rFonts w:ascii="Arial" w:cs="Arial" w:eastAsia="Arial" w:hAnsi="Arial"/>
                <w:sz w:val="16"/>
                <w:szCs w:val="16"/>
                <w:color w:val="auto"/>
              </w:rPr>
              <w:t>Total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148,972</w:t>
            </w:r>
          </w:p>
        </w:tc>
        <w:tc>
          <w:tcPr>
            <w:tcW w:w="240" w:type="dxa"/>
            <w:vAlign w:val="bottom"/>
          </w:tcPr>
          <w:p>
            <w:pPr>
              <w:spacing w:after="0"/>
              <w:rPr>
                <w:sz w:val="16"/>
                <w:szCs w:val="16"/>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147,536</w:t>
            </w:r>
          </w:p>
        </w:tc>
        <w:tc>
          <w:tcPr>
            <w:tcW w:w="2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164,865</w:t>
            </w:r>
          </w:p>
        </w:tc>
        <w:tc>
          <w:tcPr>
            <w:tcW w:w="2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172,703</w:t>
            </w:r>
          </w:p>
        </w:tc>
        <w:tc>
          <w:tcPr>
            <w:tcW w:w="100" w:type="dxa"/>
            <w:vAlign w:val="bottom"/>
          </w:tcPr>
          <w:p>
            <w:pPr>
              <w:spacing w:after="0"/>
              <w:rPr>
                <w:sz w:val="16"/>
                <w:szCs w:val="16"/>
                <w:color w:val="auto"/>
              </w:rPr>
            </w:pPr>
          </w:p>
        </w:tc>
        <w:tc>
          <w:tcPr>
            <w:tcW w:w="36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173,666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right="20"/>
        <w:spacing w:after="0" w:line="316" w:lineRule="auto"/>
        <w:rPr>
          <w:sz w:val="20"/>
          <w:szCs w:val="20"/>
          <w:color w:val="auto"/>
        </w:rPr>
      </w:pPr>
      <w:r>
        <w:rPr>
          <w:rFonts w:ascii="Arial" w:cs="Arial" w:eastAsia="Arial" w:hAnsi="Arial"/>
          <w:sz w:val="15"/>
          <w:szCs w:val="15"/>
          <w:color w:val="auto"/>
        </w:rPr>
        <w:t>At September 30, 2014, performing substandard loans totaled $149 million and increased $1.44 million from the prior quarter-end, and decreased $24.7 million from a year ago. Performing substandard loans have been on a downward trend as credit conditions have continued to improve and problem credits are resolved.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6" w:name="page57"/>
    <w:bookmarkEnd w:id="56"/>
    <w:p>
      <w:pPr>
        <w:jc w:val="both"/>
        <w:ind w:right="20"/>
        <w:spacing w:after="0" w:line="305" w:lineRule="auto"/>
        <w:rPr>
          <w:sz w:val="20"/>
          <w:szCs w:val="20"/>
          <w:color w:val="auto"/>
        </w:rPr>
      </w:pPr>
      <w:r>
        <w:rPr>
          <w:rFonts w:ascii="Arial" w:cs="Arial" w:eastAsia="Arial" w:hAnsi="Arial"/>
          <w:sz w:val="14"/>
          <w:szCs w:val="14"/>
          <w:color w:val="auto"/>
        </w:rPr>
        <w:t>Reviews of substandard performing and nonperforming loans, troubled debt restructures, past due loans and larger credits, are conducted periodically but not less than on a quarterly basis with management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along with other factors specific to the borrower and its industry. In addition to United’s internal loan review, United also uses third party loan review specialists to provide an objective and independent review of the loan portfolio.</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the changes in the allowance for loan losses for the three and nine months ended September 30, 2014 and 2013.</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Table 9 - Allowance for Loan Losses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2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520" w:type="dxa"/>
            <w:vAlign w:val="bottom"/>
            <w:gridSpan w:val="5"/>
            <w:vMerge w:val="restart"/>
          </w:tcPr>
          <w:p>
            <w:pPr>
              <w:jc w:val="right"/>
              <w:ind w:right="80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7"/>
                <w:szCs w:val="17"/>
                <w:color w:val="auto"/>
              </w:rPr>
            </w:pPr>
          </w:p>
        </w:tc>
        <w:tc>
          <w:tcPr>
            <w:tcW w:w="2420" w:type="dxa"/>
            <w:vAlign w:val="bottom"/>
            <w:gridSpan w:val="5"/>
            <w:vMerge w:val="restart"/>
          </w:tcPr>
          <w:p>
            <w:pPr>
              <w:jc w:val="right"/>
              <w:ind w:right="7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20" w:type="dxa"/>
            <w:vAlign w:val="bottom"/>
            <w:gridSpan w:val="5"/>
            <w:vMerge w:val="continue"/>
          </w:tcPr>
          <w:p>
            <w:pPr>
              <w:spacing w:after="0"/>
              <w:rPr>
                <w:sz w:val="15"/>
                <w:szCs w:val="15"/>
                <w:color w:val="auto"/>
              </w:rPr>
            </w:pPr>
          </w:p>
        </w:tc>
        <w:tc>
          <w:tcPr>
            <w:tcW w:w="240" w:type="dxa"/>
            <w:vAlign w:val="bottom"/>
          </w:tcPr>
          <w:p>
            <w:pPr>
              <w:spacing w:after="0"/>
              <w:rPr>
                <w:sz w:val="15"/>
                <w:szCs w:val="15"/>
                <w:color w:val="auto"/>
              </w:rPr>
            </w:pPr>
          </w:p>
        </w:tc>
        <w:tc>
          <w:tcPr>
            <w:tcW w:w="24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2013</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w w:val="89"/>
              </w:rPr>
              <w:t>2013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6"/>
                <w:szCs w:val="16"/>
                <w:color w:val="auto"/>
              </w:rPr>
              <w:t>Allowance for loan losses at beginning of period</w:t>
            </w:r>
          </w:p>
        </w:tc>
        <w:tc>
          <w:tcPr>
            <w:tcW w:w="106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73,248</w:t>
            </w:r>
          </w:p>
        </w:tc>
        <w:tc>
          <w:tcPr>
            <w:tcW w:w="380" w:type="dxa"/>
            <w:vAlign w:val="bottom"/>
            <w:shd w:val="clear" w:color="auto" w:fill="F0FFFF"/>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81,845</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76,762</w:t>
            </w:r>
          </w:p>
        </w:tc>
        <w:tc>
          <w:tcPr>
            <w:tcW w:w="380" w:type="dxa"/>
            <w:vAlign w:val="bottom"/>
            <w:shd w:val="clear" w:color="auto" w:fill="F0FFFF"/>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107,137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Charge-offs: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Owner occupied commercial real estate</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832</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1,712</w:t>
            </w:r>
          </w:p>
        </w:tc>
        <w:tc>
          <w:tcPr>
            <w:tcW w:w="240" w:type="dxa"/>
            <w:vAlign w:val="bottom"/>
            <w:shd w:val="clear" w:color="auto" w:fill="F0FFFF"/>
          </w:tcPr>
          <w:p>
            <w:pPr>
              <w:spacing w:after="0"/>
              <w:rPr>
                <w:sz w:val="16"/>
                <w:szCs w:val="16"/>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2,116</w:t>
            </w: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23,444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Income producing commercial real estate</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598</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216</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1,435</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10,678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Commercial &amp; industrial</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30</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826</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2,005</w:t>
            </w: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18,581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Commercial construction</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104</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134</w:t>
            </w: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236</w:t>
            </w: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6,484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Residential mortgage</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1,357</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918</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5,738</w:t>
            </w: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8,272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Home equity lines of credit</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405</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388</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2,032</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Residential construction</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753</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1,096</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3,004</w:t>
            </w: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22,608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Consumer installment</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449</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345</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1,580</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Indirect auto</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178</w:t>
            </w:r>
          </w:p>
        </w:tc>
        <w:tc>
          <w:tcPr>
            <w:tcW w:w="26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74</w:t>
            </w:r>
          </w:p>
        </w:tc>
        <w:tc>
          <w:tcPr>
            <w:tcW w:w="240" w:type="dxa"/>
            <w:vAlign w:val="bottom"/>
            <w:shd w:val="clear" w:color="auto" w:fill="F0FFFF"/>
          </w:tcPr>
          <w:p>
            <w:pPr>
              <w:spacing w:after="0"/>
              <w:rPr>
                <w:sz w:val="16"/>
                <w:szCs w:val="16"/>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344</w:t>
            </w: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18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tcPr>
          <w:p>
            <w:pPr>
              <w:ind w:left="260"/>
              <w:spacing w:after="0"/>
              <w:rPr>
                <w:sz w:val="20"/>
                <w:szCs w:val="20"/>
                <w:color w:val="auto"/>
              </w:rPr>
            </w:pPr>
            <w:r>
              <w:rPr>
                <w:rFonts w:ascii="Arial" w:cs="Arial" w:eastAsia="Arial" w:hAnsi="Arial"/>
                <w:sz w:val="16"/>
                <w:szCs w:val="16"/>
                <w:color w:val="auto"/>
              </w:rPr>
              <w:t>Total loans charged-off</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4,706</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5,709</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18,490</w:t>
            </w:r>
          </w:p>
        </w:tc>
        <w:tc>
          <w:tcPr>
            <w:tcW w:w="3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93,866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6"/>
                <w:szCs w:val="16"/>
                <w:color w:val="auto"/>
              </w:rPr>
              <w:t>Recoveries:</w:t>
            </w:r>
          </w:p>
        </w:tc>
        <w:tc>
          <w:tcPr>
            <w:tcW w:w="82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88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38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880" w:type="dxa"/>
            <w:vAlign w:val="bottom"/>
            <w:tcBorders>
              <w:top w:val="single" w:sz="8" w:color="auto"/>
            </w:tcBorders>
            <w:shd w:val="clear" w:color="auto" w:fill="F0FFFF"/>
          </w:tcPr>
          <w:p>
            <w:pPr>
              <w:spacing w:after="0"/>
              <w:rPr>
                <w:sz w:val="16"/>
                <w:szCs w:val="16"/>
                <w:color w:val="auto"/>
              </w:rPr>
            </w:pP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Owner occupied commercial real estate</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86</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71</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2,929</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1,296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Income producing commercial real estate</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494</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6"/>
                <w:szCs w:val="16"/>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691</w:t>
            </w: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Commercial &amp; industrial</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372</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690</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1,263</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1,368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Commercial construction</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w:t>
            </w:r>
          </w:p>
        </w:tc>
        <w:tc>
          <w:tcPr>
            <w:tcW w:w="240" w:type="dxa"/>
            <w:vAlign w:val="bottom"/>
            <w:shd w:val="clear" w:color="auto" w:fill="F0FFFF"/>
          </w:tcPr>
          <w:p>
            <w:pPr>
              <w:spacing w:after="0"/>
              <w:rPr>
                <w:sz w:val="16"/>
                <w:szCs w:val="16"/>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w:t>
            </w: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Residential mortgage</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240</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229</w:t>
            </w: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597</w:t>
            </w: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Home equity lines of credit</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50</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w:t>
            </w:r>
          </w:p>
        </w:tc>
        <w:tc>
          <w:tcPr>
            <w:tcW w:w="240" w:type="dxa"/>
            <w:vAlign w:val="bottom"/>
            <w:shd w:val="clear" w:color="auto" w:fill="F0FFFF"/>
          </w:tcPr>
          <w:p>
            <w:pPr>
              <w:spacing w:after="0"/>
              <w:rPr>
                <w:sz w:val="16"/>
                <w:szCs w:val="16"/>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218</w:t>
            </w: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Residential construction</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41</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24</w:t>
            </w: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410</w:t>
            </w: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Consumer installment</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256</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210</w:t>
            </w:r>
          </w:p>
        </w:tc>
        <w:tc>
          <w:tcPr>
            <w:tcW w:w="240" w:type="dxa"/>
            <w:vAlign w:val="bottom"/>
            <w:shd w:val="clear" w:color="auto" w:fill="F0FFFF"/>
          </w:tcPr>
          <w:p>
            <w:pPr>
              <w:spacing w:after="0"/>
              <w:rPr>
                <w:sz w:val="16"/>
                <w:szCs w:val="16"/>
                <w:color w:val="auto"/>
              </w:rPr>
            </w:pPr>
          </w:p>
        </w:tc>
        <w:tc>
          <w:tcPr>
            <w:tcW w:w="114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974</w:t>
            </w: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891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Indirect auto</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260"/>
              <w:spacing w:after="0"/>
              <w:rPr>
                <w:sz w:val="20"/>
                <w:szCs w:val="20"/>
                <w:color w:val="auto"/>
              </w:rPr>
            </w:pPr>
            <w:r>
              <w:rPr>
                <w:rFonts w:ascii="Arial" w:cs="Arial" w:eastAsia="Arial" w:hAnsi="Arial"/>
                <w:sz w:val="16"/>
                <w:szCs w:val="16"/>
                <w:color w:val="auto"/>
              </w:rPr>
              <w:t>Total recoveries</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1,551</w:t>
            </w:r>
          </w:p>
        </w:tc>
        <w:tc>
          <w:tcPr>
            <w:tcW w:w="26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1,236</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7,121</w:t>
            </w: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4,601</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18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260"/>
              <w:spacing w:after="0"/>
              <w:rPr>
                <w:sz w:val="20"/>
                <w:szCs w:val="20"/>
                <w:color w:val="auto"/>
              </w:rPr>
            </w:pPr>
            <w:r>
              <w:rPr>
                <w:rFonts w:ascii="Arial" w:cs="Arial" w:eastAsia="Arial" w:hAnsi="Arial"/>
                <w:sz w:val="16"/>
                <w:szCs w:val="16"/>
                <w:color w:val="auto"/>
              </w:rPr>
              <w:t>Net charge-offs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3,155</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4,473</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11,369</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89,265</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6"/>
                <w:szCs w:val="16"/>
                <w:color w:val="auto"/>
              </w:rPr>
              <w:t>Provision for loan losses</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1,835</w:t>
            </w:r>
          </w:p>
        </w:tc>
        <w:tc>
          <w:tcPr>
            <w:tcW w:w="26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3,000</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6,535</w:t>
            </w: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62,500</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18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Allowance for loan losses at end of period</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71,928</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80,372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71,928</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80,372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shd w:val="clear" w:color="auto" w:fill="F0FFFF"/>
          </w:tcPr>
          <w:p>
            <w:pPr>
              <w:spacing w:after="0" w:line="183" w:lineRule="exact"/>
              <w:rPr>
                <w:sz w:val="20"/>
                <w:szCs w:val="20"/>
                <w:color w:val="auto"/>
              </w:rPr>
            </w:pPr>
            <w:r>
              <w:rPr>
                <w:rFonts w:ascii="Arial" w:cs="Arial" w:eastAsia="Arial" w:hAnsi="Arial"/>
                <w:sz w:val="16"/>
                <w:szCs w:val="16"/>
                <w:color w:val="auto"/>
              </w:rPr>
              <w:t>Allowance for unfunded commitments at beginning of period</w:t>
            </w:r>
          </w:p>
        </w:tc>
        <w:tc>
          <w:tcPr>
            <w:tcW w:w="1060" w:type="dxa"/>
            <w:vAlign w:val="bottom"/>
            <w:gridSpan w:val="2"/>
            <w:shd w:val="clear" w:color="auto" w:fill="F0FF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1140" w:type="dxa"/>
            <w:vAlign w:val="bottom"/>
            <w:gridSpan w:val="2"/>
            <w:shd w:val="clear" w:color="auto" w:fill="F0FFFF"/>
          </w:tcPr>
          <w:p>
            <w:pPr>
              <w:jc w:val="right"/>
              <w:ind w:right="260"/>
              <w:spacing w:after="0" w:line="183" w:lineRule="exact"/>
              <w:rPr>
                <w:sz w:val="20"/>
                <w:szCs w:val="20"/>
                <w:color w:val="auto"/>
              </w:rPr>
            </w:pPr>
            <w:r>
              <w:rPr>
                <w:rFonts w:ascii="Arial" w:cs="Arial" w:eastAsia="Arial" w:hAnsi="Arial"/>
                <w:sz w:val="16"/>
                <w:szCs w:val="16"/>
                <w:color w:val="auto"/>
              </w:rPr>
              <w:t>2,165</w:t>
            </w:r>
          </w:p>
        </w:tc>
        <w:tc>
          <w:tcPr>
            <w:tcW w:w="380" w:type="dxa"/>
            <w:vAlign w:val="bottom"/>
            <w:shd w:val="clear" w:color="auto" w:fill="F0FFFF"/>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ind w:right="260"/>
              <w:spacing w:after="0" w:line="183" w:lineRule="exact"/>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F0FFFF"/>
          </w:tcPr>
          <w:p>
            <w:pPr>
              <w:jc w:val="right"/>
              <w:spacing w:after="0" w:line="183" w:lineRule="exact"/>
              <w:rPr>
                <w:sz w:val="20"/>
                <w:szCs w:val="20"/>
                <w:color w:val="auto"/>
              </w:rPr>
            </w:pPr>
            <w:r>
              <w:rPr>
                <w:rFonts w:ascii="Arial" w:cs="Arial" w:eastAsia="Arial" w:hAnsi="Arial"/>
                <w:sz w:val="16"/>
                <w:szCs w:val="16"/>
                <w:color w:val="auto"/>
              </w:rPr>
              <w:t>2,165</w:t>
            </w:r>
          </w:p>
        </w:tc>
        <w:tc>
          <w:tcPr>
            <w:tcW w:w="260" w:type="dxa"/>
            <w:vAlign w:val="bottom"/>
            <w:tcBorders>
              <w:right w:val="single" w:sz="8" w:color="F0FFFF"/>
            </w:tcBorders>
            <w:shd w:val="clear" w:color="auto" w:fill="F0FFFF"/>
          </w:tcPr>
          <w:p>
            <w:pPr>
              <w:spacing w:after="0"/>
              <w:rPr>
                <w:sz w:val="15"/>
                <w:szCs w:val="15"/>
                <w:color w:val="auto"/>
              </w:rPr>
            </w:pPr>
          </w:p>
        </w:tc>
        <w:tc>
          <w:tcPr>
            <w:tcW w:w="380" w:type="dxa"/>
            <w:vAlign w:val="bottom"/>
            <w:shd w:val="clear" w:color="auto" w:fill="F0FFFF"/>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F0FFFF"/>
          </w:tcPr>
          <w:p>
            <w:pPr>
              <w:jc w:val="right"/>
              <w:ind w:right="160"/>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Provision for losses on unfunded commitments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165</w:t>
            </w: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6"/>
                <w:szCs w:val="16"/>
                <w:color w:val="auto"/>
              </w:rPr>
              <w:t>Allowance for unfunded commitments at end of period</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2,330</w:t>
            </w:r>
          </w:p>
        </w:tc>
        <w:tc>
          <w:tcPr>
            <w:tcW w:w="26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2,330</w:t>
            </w: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5180" w:type="dxa"/>
            <w:vAlign w:val="bottom"/>
            <w:shd w:val="clear" w:color="auto" w:fill="F0FFFF"/>
          </w:tcPr>
          <w:p>
            <w:pPr>
              <w:spacing w:after="0"/>
              <w:rPr>
                <w:sz w:val="2"/>
                <w:szCs w:val="2"/>
                <w:color w:val="auto"/>
              </w:rPr>
            </w:pPr>
          </w:p>
        </w:tc>
        <w:tc>
          <w:tcPr>
            <w:tcW w:w="82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vMerge w:val="continue"/>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Allowance for credit losses</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74,258</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80,372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74,258</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80,372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180" w:type="dxa"/>
            <w:vAlign w:val="bottom"/>
            <w:shd w:val="clear" w:color="auto" w:fill="F0FFFF"/>
          </w:tcPr>
          <w:p>
            <w:pPr>
              <w:spacing w:after="0" w:line="183" w:lineRule="exact"/>
              <w:rPr>
                <w:sz w:val="20"/>
                <w:szCs w:val="20"/>
                <w:color w:val="auto"/>
              </w:rPr>
            </w:pPr>
            <w:r>
              <w:rPr>
                <w:rFonts w:ascii="Arial" w:cs="Arial" w:eastAsia="Arial" w:hAnsi="Arial"/>
                <w:sz w:val="16"/>
                <w:szCs w:val="16"/>
                <w:color w:val="auto"/>
              </w:rPr>
              <w:t>Total loans: *</w:t>
            </w:r>
          </w:p>
        </w:tc>
        <w:tc>
          <w:tcPr>
            <w:tcW w:w="82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38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80" w:type="dxa"/>
            <w:vAlign w:val="bottom"/>
            <w:shd w:val="clear" w:color="auto" w:fill="F0FFFF"/>
          </w:tcPr>
          <w:p>
            <w:pPr>
              <w:spacing w:after="0"/>
              <w:rPr>
                <w:sz w:val="15"/>
                <w:szCs w:val="15"/>
                <w:color w:val="auto"/>
              </w:rPr>
            </w:pPr>
          </w:p>
        </w:tc>
        <w:tc>
          <w:tcPr>
            <w:tcW w:w="260" w:type="dxa"/>
            <w:vAlign w:val="bottom"/>
            <w:tcBorders>
              <w:right w:val="single" w:sz="8" w:color="F0FFFF"/>
            </w:tcBorders>
            <w:shd w:val="clear" w:color="auto" w:fill="F0FFFF"/>
          </w:tcPr>
          <w:p>
            <w:pPr>
              <w:spacing w:after="0"/>
              <w:rPr>
                <w:sz w:val="15"/>
                <w:szCs w:val="15"/>
                <w:color w:val="auto"/>
              </w:rPr>
            </w:pPr>
          </w:p>
        </w:tc>
        <w:tc>
          <w:tcPr>
            <w:tcW w:w="38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At period-end</w:t>
            </w: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4,568,886</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4,267,067</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4,568,886</w:t>
            </w:r>
          </w:p>
        </w:tc>
        <w:tc>
          <w:tcPr>
            <w:tcW w:w="260" w:type="dxa"/>
            <w:vAlign w:val="bottom"/>
          </w:tcPr>
          <w:p>
            <w:pPr>
              <w:spacing w:after="0"/>
              <w:rPr>
                <w:sz w:val="16"/>
                <w:szCs w:val="16"/>
                <w:color w:val="auto"/>
              </w:rPr>
            </w:pP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4,267,067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Average</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4,445,947</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4,225,014</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4,380,327</w:t>
            </w: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4,206,279</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Allowance for loan losses as a percentage of period-end loans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1.57%</w:t>
            </w:r>
          </w:p>
        </w:tc>
        <w:tc>
          <w:tcPr>
            <w:tcW w:w="3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1.88%</w:t>
            </w:r>
          </w:p>
        </w:tc>
        <w:tc>
          <w:tcPr>
            <w:tcW w:w="24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1.57%</w:t>
            </w:r>
          </w:p>
        </w:tc>
        <w:tc>
          <w:tcPr>
            <w:tcW w:w="3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spacing w:after="0"/>
              <w:rPr>
                <w:sz w:val="20"/>
                <w:szCs w:val="20"/>
                <w:color w:val="auto"/>
              </w:rPr>
            </w:pPr>
            <w:r>
              <w:rPr>
                <w:rFonts w:ascii="Arial" w:cs="Arial" w:eastAsia="Arial" w:hAnsi="Arial"/>
                <w:sz w:val="16"/>
                <w:szCs w:val="16"/>
                <w:color w:val="auto"/>
              </w:rPr>
              <w:t>As a percentage of average loans (annualized):</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spacing w:after="0"/>
              <w:rPr>
                <w:sz w:val="16"/>
                <w:szCs w:val="16"/>
                <w:color w:val="auto"/>
              </w:rPr>
            </w:pP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tcPr>
          <w:p>
            <w:pPr>
              <w:ind w:left="120"/>
              <w:spacing w:after="0"/>
              <w:rPr>
                <w:sz w:val="20"/>
                <w:szCs w:val="20"/>
                <w:color w:val="auto"/>
              </w:rPr>
            </w:pPr>
            <w:r>
              <w:rPr>
                <w:rFonts w:ascii="Arial" w:cs="Arial" w:eastAsia="Arial" w:hAnsi="Arial"/>
                <w:sz w:val="16"/>
                <w:szCs w:val="16"/>
                <w:color w:val="auto"/>
              </w:rPr>
              <w:t>Net charge-offs</w:t>
            </w: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.28</w:t>
            </w:r>
          </w:p>
        </w:tc>
        <w:tc>
          <w:tcPr>
            <w:tcW w:w="3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Provision for loan losses</w:t>
            </w:r>
          </w:p>
        </w:tc>
        <w:tc>
          <w:tcPr>
            <w:tcW w:w="8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.16</w:t>
            </w:r>
          </w:p>
        </w:tc>
        <w:tc>
          <w:tcPr>
            <w:tcW w:w="3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.28</w:t>
            </w:r>
          </w:p>
        </w:tc>
        <w:tc>
          <w:tcPr>
            <w:tcW w:w="240" w:type="dxa"/>
            <w:vAlign w:val="bottom"/>
            <w:shd w:val="clear" w:color="auto" w:fill="F0FFFF"/>
          </w:tcPr>
          <w:p>
            <w:pPr>
              <w:spacing w:after="0"/>
              <w:rPr>
                <w:sz w:val="16"/>
                <w:szCs w:val="16"/>
                <w:color w:val="auto"/>
              </w:rPr>
            </w:pPr>
          </w:p>
        </w:tc>
        <w:tc>
          <w:tcPr>
            <w:tcW w:w="88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w:t>
            </w:r>
          </w:p>
        </w:tc>
        <w:tc>
          <w:tcPr>
            <w:tcW w:w="260" w:type="dxa"/>
            <w:vAlign w:val="bottom"/>
            <w:tcBorders>
              <w:right w:val="single" w:sz="8" w:color="F0FFFF"/>
            </w:tcBorders>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1.99</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80" w:type="dxa"/>
            <w:vAlign w:val="bottom"/>
          </w:tcPr>
          <w:p>
            <w:pPr>
              <w:spacing w:after="0" w:line="181" w:lineRule="exact"/>
              <w:rPr>
                <w:sz w:val="20"/>
                <w:szCs w:val="20"/>
                <w:color w:val="auto"/>
              </w:rPr>
            </w:pPr>
            <w:r>
              <w:rPr>
                <w:rFonts w:ascii="Arial" w:cs="Arial" w:eastAsia="Arial" w:hAnsi="Arial"/>
                <w:sz w:val="16"/>
                <w:szCs w:val="16"/>
                <w:color w:val="auto"/>
              </w:rPr>
              <w:t>Allowance for loan losses as a percentage of non-performing loans</w:t>
            </w: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gridSpan w:val="2"/>
          </w:tcPr>
          <w:p>
            <w:pPr>
              <w:jc w:val="right"/>
              <w:ind w:right="260"/>
              <w:spacing w:after="0" w:line="181" w:lineRule="exact"/>
              <w:rPr>
                <w:sz w:val="20"/>
                <w:szCs w:val="20"/>
                <w:color w:val="auto"/>
              </w:rPr>
            </w:pPr>
            <w:r>
              <w:rPr>
                <w:rFonts w:ascii="Arial" w:cs="Arial" w:eastAsia="Arial" w:hAnsi="Arial"/>
                <w:sz w:val="16"/>
                <w:szCs w:val="16"/>
                <w:color w:val="auto"/>
              </w:rPr>
              <w:t>384</w:t>
            </w:r>
          </w:p>
        </w:tc>
        <w:tc>
          <w:tcPr>
            <w:tcW w:w="380" w:type="dxa"/>
            <w:vAlign w:val="bottom"/>
          </w:tcPr>
          <w:p>
            <w:pPr>
              <w:spacing w:after="0"/>
              <w:rPr>
                <w:sz w:val="15"/>
                <w:szCs w:val="15"/>
                <w:color w:val="auto"/>
              </w:rPr>
            </w:pPr>
          </w:p>
        </w:tc>
        <w:tc>
          <w:tcPr>
            <w:tcW w:w="1000" w:type="dxa"/>
            <w:vAlign w:val="bottom"/>
            <w:gridSpan w:val="2"/>
          </w:tcPr>
          <w:p>
            <w:pPr>
              <w:jc w:val="right"/>
              <w:ind w:right="260"/>
              <w:spacing w:after="0" w:line="181" w:lineRule="exact"/>
              <w:rPr>
                <w:sz w:val="20"/>
                <w:szCs w:val="20"/>
                <w:color w:val="auto"/>
              </w:rPr>
            </w:pPr>
            <w:r>
              <w:rPr>
                <w:rFonts w:ascii="Arial" w:cs="Arial" w:eastAsia="Arial" w:hAnsi="Arial"/>
                <w:sz w:val="16"/>
                <w:szCs w:val="16"/>
                <w:color w:val="auto"/>
              </w:rPr>
              <w:t>308</w:t>
            </w:r>
          </w:p>
        </w:tc>
        <w:tc>
          <w:tcPr>
            <w:tcW w:w="240" w:type="dxa"/>
            <w:vAlign w:val="bottom"/>
          </w:tcPr>
          <w:p>
            <w:pPr>
              <w:spacing w:after="0"/>
              <w:rPr>
                <w:sz w:val="15"/>
                <w:szCs w:val="15"/>
                <w:color w:val="auto"/>
              </w:rPr>
            </w:pPr>
          </w:p>
        </w:tc>
        <w:tc>
          <w:tcPr>
            <w:tcW w:w="1140" w:type="dxa"/>
            <w:vAlign w:val="bottom"/>
            <w:gridSpan w:val="2"/>
          </w:tcPr>
          <w:p>
            <w:pPr>
              <w:jc w:val="right"/>
              <w:ind w:right="260"/>
              <w:spacing w:after="0" w:line="181" w:lineRule="exact"/>
              <w:rPr>
                <w:sz w:val="20"/>
                <w:szCs w:val="20"/>
                <w:color w:val="auto"/>
              </w:rPr>
            </w:pPr>
            <w:r>
              <w:rPr>
                <w:rFonts w:ascii="Arial" w:cs="Arial" w:eastAsia="Arial" w:hAnsi="Arial"/>
                <w:sz w:val="16"/>
                <w:szCs w:val="16"/>
                <w:color w:val="auto"/>
              </w:rPr>
              <w:t>384</w:t>
            </w:r>
          </w:p>
        </w:tc>
        <w:tc>
          <w:tcPr>
            <w:tcW w:w="380" w:type="dxa"/>
            <w:vAlign w:val="bottom"/>
          </w:tcPr>
          <w:p>
            <w:pPr>
              <w:spacing w:after="0"/>
              <w:rPr>
                <w:sz w:val="15"/>
                <w:szCs w:val="15"/>
                <w:color w:val="auto"/>
              </w:rPr>
            </w:pPr>
          </w:p>
        </w:tc>
        <w:tc>
          <w:tcPr>
            <w:tcW w:w="900" w:type="dxa"/>
            <w:vAlign w:val="bottom"/>
            <w:gridSpan w:val="2"/>
          </w:tcPr>
          <w:p>
            <w:pPr>
              <w:jc w:val="right"/>
              <w:ind w:right="160"/>
              <w:spacing w:after="0" w:line="181" w:lineRule="exact"/>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06"/>
        </w:trPr>
        <w:tc>
          <w:tcPr>
            <w:tcW w:w="5200" w:type="dxa"/>
            <w:vAlign w:val="bottom"/>
            <w:gridSpan w:val="2"/>
          </w:tcPr>
          <w:p>
            <w:pPr>
              <w:spacing w:after="0"/>
              <w:rPr>
                <w:sz w:val="20"/>
                <w:szCs w:val="20"/>
                <w:color w:val="auto"/>
              </w:rPr>
            </w:pPr>
            <w:r>
              <w:rPr>
                <w:rFonts w:ascii="Arial" w:cs="Arial" w:eastAsia="Arial" w:hAnsi="Arial"/>
                <w:sz w:val="16"/>
                <w:szCs w:val="16"/>
                <w:color w:val="auto"/>
              </w:rPr>
              <w:t>* Excludes loans covered by loss sharing agreements with the FDIC</w:t>
            </w: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provision for credit losses charged to earnings was based upon management’s judgment of the amount necessary to maintain the allowance at a level appropriate to reflect the probable incurred losses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level of the allowance for loan losses compared to the previous periods reflects stabilizing trends in substandard loans, leading to an expectation that charge-off levels will continue to decline. Further, the declining balance of the allowance for loan losses over the last several quarters reflects an overall improving trend in credit quality of the loan portfolio.</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7" w:name="page58"/>
    <w:bookmarkEnd w:id="57"/>
    <w:p>
      <w:pPr>
        <w:jc w:val="both"/>
        <w:ind w:right="20"/>
        <w:spacing w:after="0" w:line="267" w:lineRule="auto"/>
        <w:rPr>
          <w:sz w:val="20"/>
          <w:szCs w:val="20"/>
          <w:color w:val="auto"/>
        </w:rPr>
      </w:pPr>
      <w:r>
        <w:rPr>
          <w:rFonts w:ascii="Arial" w:cs="Arial" w:eastAsia="Arial" w:hAnsi="Arial"/>
          <w:sz w:val="16"/>
          <w:szCs w:val="16"/>
          <w:color w:val="auto"/>
        </w:rPr>
        <w:t>The allowance for credit losses, which includes a portion related to unfunded commitments, totaled $74.3 million at September 30, 2014, compared with $78.9 million at December 31, 2013, and $80.4 million at September 30, 2013. At September 30, 2014, the allowance for loan losses was $71.9 million, or 1.57% of loans, compared with $76.8 million, or 1.77% of total loans, at December 31, 2013 and $80.4 million, or 1.88% of loans, at September 30, 2013.</w:t>
      </w:r>
    </w:p>
    <w:p>
      <w:pPr>
        <w:spacing w:after="0" w:line="186"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Management believes that the allowance for loan losses at September 30, 2014 reflects the probable incurred losses in the loan portfolio and unfunded loan commitments. This assessment involves uncertainty and judgment; therefore, the adequacy of the allowance for credit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credit losses in future periods if, in their opinion, the results of their review warrant such additions. See the “Critical Accounting Policies” section for additional information on the allowance for loan losses.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Nonperforming Assets</w:t>
      </w:r>
    </w:p>
    <w:p>
      <w:pPr>
        <w:spacing w:after="0" w:line="228"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The table below summarizes nonperforming assets, excluding assets covered by the loss-sharing agreements with the FDIC. Those assets have been excluded from nonperforming assets, as the loss-sharing agreements with the FDIC and purchase price adjustments to reflect credit losses effectively eliminate the likelihood of recognizing any losses on the covered assets.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400" w:type="dxa"/>
            <w:vAlign w:val="bottom"/>
            <w:gridSpan w:val="2"/>
          </w:tcPr>
          <w:p>
            <w:pPr>
              <w:spacing w:after="0"/>
              <w:rPr>
                <w:sz w:val="20"/>
                <w:szCs w:val="20"/>
                <w:color w:val="auto"/>
              </w:rPr>
            </w:pPr>
            <w:r>
              <w:rPr>
                <w:rFonts w:ascii="Arial" w:cs="Arial" w:eastAsia="Arial" w:hAnsi="Arial"/>
                <w:sz w:val="16"/>
                <w:szCs w:val="16"/>
                <w:b w:val="1"/>
                <w:bCs w:val="1"/>
                <w:color w:val="auto"/>
              </w:rPr>
              <w:t>Table 10 - Nonperforming 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0" w:type="dxa"/>
            <w:vAlign w:val="bottom"/>
            <w:gridSpan w:val="2"/>
          </w:tcPr>
          <w:p>
            <w:pPr>
              <w:spacing w:after="0"/>
              <w:rPr>
                <w:sz w:val="20"/>
                <w:szCs w:val="20"/>
                <w:color w:val="auto"/>
              </w:rPr>
            </w:pPr>
            <w:r>
              <w:rPr>
                <w:rFonts w:ascii="Arial" w:cs="Arial" w:eastAsia="Arial" w:hAnsi="Arial"/>
                <w:sz w:val="16"/>
                <w:szCs w:val="16"/>
                <w:i w:val="1"/>
                <w:iCs w:val="1"/>
                <w:color w:val="auto"/>
              </w:rPr>
              <w:t>(in thousands)</w:t>
            </w:r>
          </w:p>
        </w:tc>
        <w:tc>
          <w:tcPr>
            <w:tcW w:w="1380" w:type="dxa"/>
            <w:vAlign w:val="bottom"/>
            <w:gridSpan w:val="3"/>
            <w:vMerge w:val="restart"/>
          </w:tcPr>
          <w:p>
            <w:pPr>
              <w:jc w:val="center"/>
              <w:ind w:right="260"/>
              <w:spacing w:after="0"/>
              <w:rPr>
                <w:sz w:val="20"/>
                <w:szCs w:val="20"/>
                <w:color w:val="auto"/>
              </w:rPr>
            </w:pPr>
            <w:r>
              <w:rPr>
                <w:rFonts w:ascii="Arial" w:cs="Arial" w:eastAsia="Arial" w:hAnsi="Arial"/>
                <w:sz w:val="16"/>
                <w:szCs w:val="16"/>
                <w:b w:val="1"/>
                <w:bCs w:val="1"/>
                <w:color w:val="auto"/>
                <w:w w:val="91"/>
              </w:rPr>
              <w:t>September 30,</w:t>
            </w:r>
          </w:p>
        </w:tc>
        <w:tc>
          <w:tcPr>
            <w:tcW w:w="80" w:type="dxa"/>
            <w:vAlign w:val="bottom"/>
          </w:tcPr>
          <w:p>
            <w:pPr>
              <w:spacing w:after="0"/>
              <w:rPr>
                <w:sz w:val="17"/>
                <w:szCs w:val="17"/>
                <w:color w:val="auto"/>
              </w:rPr>
            </w:pPr>
          </w:p>
        </w:tc>
        <w:tc>
          <w:tcPr>
            <w:tcW w:w="1300" w:type="dxa"/>
            <w:vAlign w:val="bottom"/>
            <w:gridSpan w:val="2"/>
            <w:vMerge w:val="restart"/>
          </w:tcPr>
          <w:p>
            <w:pPr>
              <w:jc w:val="right"/>
              <w:ind w:right="340"/>
              <w:spacing w:after="0"/>
              <w:rPr>
                <w:sz w:val="20"/>
                <w:szCs w:val="20"/>
                <w:color w:val="auto"/>
              </w:rPr>
            </w:pPr>
            <w:r>
              <w:rPr>
                <w:rFonts w:ascii="Arial" w:cs="Arial" w:eastAsia="Arial" w:hAnsi="Arial"/>
                <w:sz w:val="16"/>
                <w:szCs w:val="16"/>
                <w:b w:val="1"/>
                <w:bCs w:val="1"/>
                <w:color w:val="auto"/>
                <w:w w:val="90"/>
              </w:rPr>
              <w:t>December 31,</w:t>
            </w:r>
          </w:p>
        </w:tc>
        <w:tc>
          <w:tcPr>
            <w:tcW w:w="1280" w:type="dxa"/>
            <w:vAlign w:val="bottom"/>
            <w:gridSpan w:val="3"/>
            <w:vMerge w:val="restart"/>
          </w:tcPr>
          <w:p>
            <w:pPr>
              <w:jc w:val="center"/>
              <w:ind w:right="160"/>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F0FFFF"/>
          </w:tcPr>
          <w:p>
            <w:pPr>
              <w:spacing w:after="0"/>
              <w:rPr>
                <w:sz w:val="20"/>
                <w:szCs w:val="20"/>
                <w:color w:val="auto"/>
              </w:rPr>
            </w:pPr>
            <w:r>
              <w:rPr>
                <w:rFonts w:ascii="Arial" w:cs="Arial" w:eastAsia="Arial" w:hAnsi="Arial"/>
                <w:sz w:val="16"/>
                <w:szCs w:val="16"/>
                <w:color w:val="auto"/>
              </w:rPr>
              <w:t>Nonperforming loans</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18,745</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26,819</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26,088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Foreclosed properties (OREO)</w:t>
            </w:r>
          </w:p>
        </w:tc>
        <w:tc>
          <w:tcPr>
            <w:tcW w:w="240" w:type="dxa"/>
            <w:vAlign w:val="bottom"/>
          </w:tcPr>
          <w:p>
            <w:pPr>
              <w:spacing w:after="0"/>
              <w:rPr>
                <w:sz w:val="16"/>
                <w:szCs w:val="16"/>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3,146</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4,221</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4,467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738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 nonperforming assets</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21,891</w:t>
            </w:r>
          </w:p>
        </w:tc>
        <w:tc>
          <w:tcPr>
            <w:tcW w:w="8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F0FFFF"/>
            </w:tcBorders>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31,040</w:t>
            </w:r>
          </w:p>
        </w:tc>
        <w:tc>
          <w:tcPr>
            <w:tcW w:w="240" w:type="dxa"/>
            <w:vAlign w:val="bottom"/>
            <w:shd w:val="clear" w:color="auto" w:fill="F0FFFF"/>
          </w:tcPr>
          <w:p>
            <w:pPr>
              <w:jc w:val="right"/>
              <w:ind w:right="8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30,555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8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tcBorders>
            <w:shd w:val="clear" w:color="auto" w:fill="F0FF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F0FFFF"/>
              <w:right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F0FFFF"/>
            </w:tcBorders>
            <w:shd w:val="clear" w:color="auto" w:fill="F0FF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7380" w:type="dxa"/>
            <w:vAlign w:val="bottom"/>
          </w:tcPr>
          <w:p>
            <w:pPr>
              <w:spacing w:after="0" w:line="183" w:lineRule="exact"/>
              <w:rPr>
                <w:sz w:val="20"/>
                <w:szCs w:val="20"/>
                <w:color w:val="auto"/>
              </w:rPr>
            </w:pPr>
            <w:r>
              <w:rPr>
                <w:rFonts w:ascii="Arial" w:cs="Arial" w:eastAsia="Arial" w:hAnsi="Arial"/>
                <w:sz w:val="16"/>
                <w:szCs w:val="16"/>
                <w:color w:val="auto"/>
              </w:rPr>
              <w:t>Nonperforming loans as a percentage of total loans</w:t>
            </w:r>
          </w:p>
        </w:tc>
        <w:tc>
          <w:tcPr>
            <w:tcW w:w="240" w:type="dxa"/>
            <w:vAlign w:val="bottom"/>
          </w:tcPr>
          <w:p>
            <w:pPr>
              <w:spacing w:after="0"/>
              <w:rPr>
                <w:sz w:val="15"/>
                <w:szCs w:val="15"/>
                <w:color w:val="auto"/>
              </w:rPr>
            </w:pPr>
          </w:p>
        </w:tc>
        <w:tc>
          <w:tcPr>
            <w:tcW w:w="114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.41%</w:t>
            </w:r>
          </w:p>
        </w:tc>
        <w:tc>
          <w:tcPr>
            <w:tcW w:w="80" w:type="dxa"/>
            <w:vAlign w:val="bottom"/>
          </w:tcPr>
          <w:p>
            <w:pPr>
              <w:spacing w:after="0"/>
              <w:rPr>
                <w:sz w:val="15"/>
                <w:szCs w:val="15"/>
                <w:color w:val="auto"/>
              </w:rPr>
            </w:pPr>
          </w:p>
        </w:tc>
        <w:tc>
          <w:tcPr>
            <w:tcW w:w="1300" w:type="dxa"/>
            <w:vAlign w:val="bottom"/>
            <w:gridSpan w:val="2"/>
          </w:tcPr>
          <w:p>
            <w:pPr>
              <w:jc w:val="right"/>
              <w:ind w:right="120"/>
              <w:spacing w:after="0" w:line="183" w:lineRule="exact"/>
              <w:rPr>
                <w:sz w:val="20"/>
                <w:szCs w:val="20"/>
                <w:color w:val="auto"/>
              </w:rPr>
            </w:pPr>
            <w:r>
              <w:rPr>
                <w:rFonts w:ascii="Arial" w:cs="Arial" w:eastAsia="Arial" w:hAnsi="Arial"/>
                <w:sz w:val="16"/>
                <w:szCs w:val="16"/>
                <w:color w:val="auto"/>
              </w:rPr>
              <w:t>.62%</w:t>
            </w:r>
          </w:p>
        </w:tc>
        <w:tc>
          <w:tcPr>
            <w:tcW w:w="240" w:type="dxa"/>
            <w:vAlign w:val="bottom"/>
          </w:tcPr>
          <w:p>
            <w:pPr>
              <w:spacing w:after="0"/>
              <w:rPr>
                <w:sz w:val="15"/>
                <w:szCs w:val="15"/>
                <w:color w:val="auto"/>
              </w:rPr>
            </w:pPr>
          </w:p>
        </w:tc>
        <w:tc>
          <w:tcPr>
            <w:tcW w:w="1040" w:type="dxa"/>
            <w:vAlign w:val="bottom"/>
            <w:gridSpan w:val="2"/>
          </w:tcPr>
          <w:p>
            <w:pPr>
              <w:jc w:val="right"/>
              <w:ind w:right="20"/>
              <w:spacing w:after="0" w:line="183" w:lineRule="exact"/>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380" w:type="dxa"/>
            <w:vAlign w:val="bottom"/>
            <w:shd w:val="clear" w:color="auto" w:fill="F0FFFF"/>
          </w:tcPr>
          <w:p>
            <w:pPr>
              <w:spacing w:after="0"/>
              <w:rPr>
                <w:sz w:val="20"/>
                <w:szCs w:val="20"/>
                <w:color w:val="auto"/>
              </w:rPr>
            </w:pPr>
            <w:r>
              <w:rPr>
                <w:rFonts w:ascii="Arial" w:cs="Arial" w:eastAsia="Arial" w:hAnsi="Arial"/>
                <w:sz w:val="16"/>
                <w:szCs w:val="16"/>
                <w:color w:val="auto"/>
              </w:rPr>
              <w:t>Nonperforming assets as a percentage of total loans and OREO</w:t>
            </w:r>
          </w:p>
        </w:tc>
        <w:tc>
          <w:tcPr>
            <w:tcW w:w="24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.48</w:t>
            </w:r>
          </w:p>
        </w:tc>
        <w:tc>
          <w:tcPr>
            <w:tcW w:w="80" w:type="dxa"/>
            <w:vAlign w:val="bottom"/>
            <w:shd w:val="clear" w:color="auto" w:fill="F0FFFF"/>
          </w:tcPr>
          <w:p>
            <w:pPr>
              <w:spacing w:after="0"/>
              <w:rPr>
                <w:sz w:val="16"/>
                <w:szCs w:val="16"/>
                <w:color w:val="auto"/>
              </w:rPr>
            </w:pPr>
          </w:p>
        </w:tc>
        <w:tc>
          <w:tcPr>
            <w:tcW w:w="10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.72</w:t>
            </w:r>
          </w:p>
        </w:tc>
        <w:tc>
          <w:tcPr>
            <w:tcW w:w="260" w:type="dxa"/>
            <w:vAlign w:val="bottom"/>
            <w:tcBorders>
              <w:right w:val="single" w:sz="8" w:color="F0FFFF"/>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380" w:type="dxa"/>
            <w:vAlign w:val="bottom"/>
          </w:tcPr>
          <w:p>
            <w:pPr>
              <w:spacing w:after="0"/>
              <w:rPr>
                <w:sz w:val="20"/>
                <w:szCs w:val="20"/>
                <w:color w:val="auto"/>
              </w:rPr>
            </w:pPr>
            <w:r>
              <w:rPr>
                <w:rFonts w:ascii="Arial" w:cs="Arial" w:eastAsia="Arial" w:hAnsi="Arial"/>
                <w:sz w:val="16"/>
                <w:szCs w:val="16"/>
                <w:color w:val="auto"/>
              </w:rPr>
              <w:t>Nonperforming assets as a percentage of total assets</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At September 30, 2014, nonperforming loans were $18.7 million compared to $26.8 million at December 31, 2013 and $26.1 million at September 30, 2013. Nonperforming loans have steadily decreased in dollar amount and as a percentage of total loans. In addition, the second quarter of 2013 classified asset sales further reduced nonperforming assets. Nonperforming assets, which include nonperforming loans and foreclosed real estate, totaled $21.9 million at September 30, 2014 compared with $31.0 million at December 31, 2013 and $30.6 million at September 30, 2013. United sold $2.35 million of foreclosed properties and added $2.16 million in new foreclosures during the third quarter of 2014.</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8" w:name="page59"/>
    <w:bookmarkEnd w:id="58"/>
    <w:p>
      <w:pPr>
        <w:jc w:val="both"/>
        <w:ind w:right="20"/>
        <w:spacing w:after="0" w:line="281" w:lineRule="auto"/>
        <w:rPr>
          <w:sz w:val="20"/>
          <w:szCs w:val="20"/>
          <w:color w:val="auto"/>
        </w:rPr>
      </w:pPr>
      <w:r>
        <w:rPr>
          <w:rFonts w:ascii="Arial" w:cs="Arial" w:eastAsia="Arial" w:hAnsi="Arial"/>
          <w:sz w:val="16"/>
          <w:szCs w:val="16"/>
          <w:color w:val="auto"/>
        </w:rPr>
        <w:t>The following table summarizes nonperforming assets by category and market. As with Tables 7, 8, 9 and 10, assets covered by the loss-sharing agreements with the FDIC related to the acquisition of SCB are excluded from this table.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11 - Nonperforming Assets by Quarter</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2"/>
              </w:rPr>
              <w:t>September 30, 2014</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4"/>
              </w:rPr>
              <w:t>December 31, 2013</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w w:val="93"/>
              </w:rPr>
              <w:t>September 30, 2013</w:t>
            </w:r>
          </w:p>
        </w:tc>
        <w:tc>
          <w:tcPr>
            <w:tcW w:w="800" w:type="dxa"/>
            <w:vAlign w:val="bottom"/>
            <w:tcBorders>
              <w:bottom w:val="single" w:sz="8" w:color="auto"/>
            </w:tcBorders>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2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Nonaccrual</w:t>
            </w:r>
          </w:p>
        </w:tc>
        <w:tc>
          <w:tcPr>
            <w:tcW w:w="960" w:type="dxa"/>
            <w:vAlign w:val="bottom"/>
            <w:tcBorders>
              <w:right w:val="single" w:sz="8" w:color="auto"/>
            </w:tcBorders>
            <w:gridSpan w:val="3"/>
          </w:tcPr>
          <w:p>
            <w:pPr>
              <w:ind w:left="20"/>
              <w:spacing w:after="0" w:line="178" w:lineRule="exact"/>
              <w:rPr>
                <w:sz w:val="20"/>
                <w:szCs w:val="20"/>
                <w:color w:val="auto"/>
              </w:rPr>
            </w:pPr>
            <w:r>
              <w:rPr>
                <w:rFonts w:ascii="Arial" w:cs="Arial" w:eastAsia="Arial" w:hAnsi="Arial"/>
                <w:sz w:val="16"/>
                <w:szCs w:val="16"/>
                <w:b w:val="1"/>
                <w:bCs w:val="1"/>
                <w:color w:val="auto"/>
              </w:rPr>
              <w:t>Foreclosed</w:t>
            </w:r>
          </w:p>
        </w:tc>
        <w:tc>
          <w:tcPr>
            <w:tcW w:w="220" w:type="dxa"/>
            <w:vAlign w:val="bottom"/>
          </w:tcPr>
          <w:p>
            <w:pPr>
              <w:spacing w:after="0"/>
              <w:rPr>
                <w:sz w:val="15"/>
                <w:szCs w:val="15"/>
                <w:color w:val="auto"/>
              </w:rPr>
            </w:pPr>
          </w:p>
        </w:tc>
        <w:tc>
          <w:tcPr>
            <w:tcW w:w="800" w:type="dxa"/>
            <w:vAlign w:val="bottom"/>
            <w:tcBorders>
              <w:right w:val="single" w:sz="8" w:color="auto"/>
            </w:tcBorders>
          </w:tcPr>
          <w:p>
            <w:pPr>
              <w:jc w:val="right"/>
              <w:ind w:right="299"/>
              <w:spacing w:after="0" w:line="178"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c>
          <w:tcPr>
            <w:tcW w:w="94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Nonaccrual</w:t>
            </w:r>
          </w:p>
        </w:tc>
        <w:tc>
          <w:tcPr>
            <w:tcW w:w="100" w:type="dxa"/>
            <w:vAlign w:val="bottom"/>
          </w:tcPr>
          <w:p>
            <w:pPr>
              <w:spacing w:after="0"/>
              <w:rPr>
                <w:sz w:val="15"/>
                <w:szCs w:val="15"/>
                <w:color w:val="auto"/>
              </w:rPr>
            </w:pPr>
          </w:p>
        </w:tc>
        <w:tc>
          <w:tcPr>
            <w:tcW w:w="960" w:type="dxa"/>
            <w:vAlign w:val="bottom"/>
            <w:tcBorders>
              <w:right w:val="single" w:sz="8" w:color="auto"/>
            </w:tcBorders>
            <w:gridSpan w:val="3"/>
          </w:tcPr>
          <w:p>
            <w:pPr>
              <w:jc w:val="right"/>
              <w:ind w:right="200"/>
              <w:spacing w:after="0" w:line="178" w:lineRule="exact"/>
              <w:rPr>
                <w:sz w:val="20"/>
                <w:szCs w:val="20"/>
                <w:color w:val="auto"/>
              </w:rPr>
            </w:pPr>
            <w:r>
              <w:rPr>
                <w:rFonts w:ascii="Arial" w:cs="Arial" w:eastAsia="Arial" w:hAnsi="Arial"/>
                <w:sz w:val="16"/>
                <w:szCs w:val="16"/>
                <w:b w:val="1"/>
                <w:bCs w:val="1"/>
                <w:color w:val="auto"/>
                <w:w w:val="86"/>
              </w:rPr>
              <w:t>Foreclosed</w:t>
            </w:r>
          </w:p>
        </w:tc>
        <w:tc>
          <w:tcPr>
            <w:tcW w:w="220" w:type="dxa"/>
            <w:vAlign w:val="bottom"/>
          </w:tcPr>
          <w:p>
            <w:pPr>
              <w:spacing w:after="0"/>
              <w:rPr>
                <w:sz w:val="15"/>
                <w:szCs w:val="15"/>
                <w:color w:val="auto"/>
              </w:rPr>
            </w:pPr>
          </w:p>
        </w:tc>
        <w:tc>
          <w:tcPr>
            <w:tcW w:w="820" w:type="dxa"/>
            <w:vAlign w:val="bottom"/>
            <w:tcBorders>
              <w:right w:val="single" w:sz="8" w:color="auto"/>
            </w:tcBorders>
          </w:tcPr>
          <w:p>
            <w:pPr>
              <w:jc w:val="right"/>
              <w:ind w:right="319"/>
              <w:spacing w:after="0" w:line="178"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c>
          <w:tcPr>
            <w:tcW w:w="1040" w:type="dxa"/>
            <w:vAlign w:val="bottom"/>
            <w:gridSpan w:val="3"/>
          </w:tcPr>
          <w:p>
            <w:pPr>
              <w:spacing w:after="0" w:line="178" w:lineRule="exact"/>
              <w:rPr>
                <w:sz w:val="20"/>
                <w:szCs w:val="20"/>
                <w:color w:val="auto"/>
              </w:rPr>
            </w:pPr>
            <w:r>
              <w:rPr>
                <w:rFonts w:ascii="Arial" w:cs="Arial" w:eastAsia="Arial" w:hAnsi="Arial"/>
                <w:sz w:val="16"/>
                <w:szCs w:val="16"/>
                <w:b w:val="1"/>
                <w:bCs w:val="1"/>
                <w:color w:val="auto"/>
              </w:rPr>
              <w:t>Nonaccrual</w:t>
            </w:r>
          </w:p>
        </w:tc>
        <w:tc>
          <w:tcPr>
            <w:tcW w:w="960" w:type="dxa"/>
            <w:vAlign w:val="bottom"/>
            <w:tcBorders>
              <w:right w:val="single" w:sz="8" w:color="auto"/>
            </w:tcBorders>
            <w:gridSpan w:val="3"/>
          </w:tcPr>
          <w:p>
            <w:pPr>
              <w:jc w:val="right"/>
              <w:ind w:right="200"/>
              <w:spacing w:after="0" w:line="178" w:lineRule="exact"/>
              <w:rPr>
                <w:sz w:val="20"/>
                <w:szCs w:val="20"/>
                <w:color w:val="auto"/>
              </w:rPr>
            </w:pPr>
            <w:r>
              <w:rPr>
                <w:rFonts w:ascii="Arial" w:cs="Arial" w:eastAsia="Arial" w:hAnsi="Arial"/>
                <w:sz w:val="16"/>
                <w:szCs w:val="16"/>
                <w:b w:val="1"/>
                <w:bCs w:val="1"/>
                <w:color w:val="auto"/>
                <w:w w:val="86"/>
              </w:rPr>
              <w:t>Foreclosed</w:t>
            </w:r>
          </w:p>
        </w:tc>
        <w:tc>
          <w:tcPr>
            <w:tcW w:w="240" w:type="dxa"/>
            <w:vAlign w:val="bottom"/>
          </w:tcPr>
          <w:p>
            <w:pPr>
              <w:spacing w:after="0"/>
              <w:rPr>
                <w:sz w:val="15"/>
                <w:szCs w:val="15"/>
                <w:color w:val="auto"/>
              </w:rPr>
            </w:pPr>
          </w:p>
        </w:tc>
        <w:tc>
          <w:tcPr>
            <w:tcW w:w="800" w:type="dxa"/>
            <w:vAlign w:val="bottom"/>
            <w:tcBorders>
              <w:right w:val="single" w:sz="8" w:color="auto"/>
            </w:tcBorders>
          </w:tcPr>
          <w:p>
            <w:pPr>
              <w:jc w:val="right"/>
              <w:ind w:right="299"/>
              <w:spacing w:after="0" w:line="178" w:lineRule="exact"/>
              <w:rPr>
                <w:sz w:val="20"/>
                <w:szCs w:val="20"/>
                <w:color w:val="auto"/>
              </w:rPr>
            </w:pPr>
            <w:r>
              <w:rPr>
                <w:rFonts w:ascii="Arial" w:cs="Arial" w:eastAsia="Arial" w:hAnsi="Arial"/>
                <w:sz w:val="16"/>
                <w:szCs w:val="16"/>
                <w:b w:val="1"/>
                <w:bCs w:val="1"/>
                <w:color w:val="auto"/>
              </w:rPr>
              <w:t>Total</w:t>
            </w:r>
          </w:p>
        </w:tc>
      </w:tr>
      <w:tr>
        <w:trPr>
          <w:trHeight w:val="215"/>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w w:val="97"/>
              </w:rPr>
              <w:t>Loans</w:t>
            </w:r>
          </w:p>
        </w:tc>
        <w:tc>
          <w:tcPr>
            <w:tcW w:w="960" w:type="dxa"/>
            <w:vAlign w:val="bottom"/>
            <w:tcBorders>
              <w:right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Properties</w:t>
            </w:r>
          </w:p>
        </w:tc>
        <w:tc>
          <w:tcPr>
            <w:tcW w:w="220" w:type="dxa"/>
            <w:vAlign w:val="bottom"/>
          </w:tcPr>
          <w:p>
            <w:pPr>
              <w:spacing w:after="0"/>
              <w:rPr>
                <w:sz w:val="18"/>
                <w:szCs w:val="18"/>
                <w:color w:val="auto"/>
              </w:rPr>
            </w:pPr>
          </w:p>
        </w:tc>
        <w:tc>
          <w:tcPr>
            <w:tcW w:w="800" w:type="dxa"/>
            <w:vAlign w:val="bottom"/>
            <w:tcBorders>
              <w:right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8"/>
              </w:rPr>
              <w:t>NPAs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w w:val="93"/>
              </w:rPr>
              <w:t>Loans</w:t>
            </w:r>
          </w:p>
        </w:tc>
        <w:tc>
          <w:tcPr>
            <w:tcW w:w="100" w:type="dxa"/>
            <w:vAlign w:val="bottom"/>
          </w:tcPr>
          <w:p>
            <w:pPr>
              <w:spacing w:after="0"/>
              <w:rPr>
                <w:sz w:val="18"/>
                <w:szCs w:val="18"/>
                <w:color w:val="auto"/>
              </w:rPr>
            </w:pPr>
          </w:p>
        </w:tc>
        <w:tc>
          <w:tcPr>
            <w:tcW w:w="9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3"/>
              </w:rPr>
              <w:t>Properties</w:t>
            </w:r>
          </w:p>
        </w:tc>
        <w:tc>
          <w:tcPr>
            <w:tcW w:w="220" w:type="dxa"/>
            <w:vAlign w:val="bottom"/>
          </w:tcPr>
          <w:p>
            <w:pPr>
              <w:spacing w:after="0"/>
              <w:rPr>
                <w:sz w:val="18"/>
                <w:szCs w:val="18"/>
                <w:color w:val="auto"/>
              </w:rPr>
            </w:pPr>
          </w:p>
        </w:tc>
        <w:tc>
          <w:tcPr>
            <w:tcW w:w="82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8"/>
              </w:rPr>
              <w:t>NPAs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59"/>
              <w:spacing w:after="0"/>
              <w:rPr>
                <w:sz w:val="20"/>
                <w:szCs w:val="20"/>
                <w:color w:val="auto"/>
              </w:rPr>
            </w:pPr>
            <w:r>
              <w:rPr>
                <w:rFonts w:ascii="Arial" w:cs="Arial" w:eastAsia="Arial" w:hAnsi="Arial"/>
                <w:sz w:val="16"/>
                <w:szCs w:val="16"/>
                <w:b w:val="1"/>
                <w:bCs w:val="1"/>
                <w:color w:val="auto"/>
                <w:w w:val="93"/>
              </w:rPr>
              <w:t>Loans</w:t>
            </w:r>
          </w:p>
        </w:tc>
        <w:tc>
          <w:tcPr>
            <w:tcW w:w="960" w:type="dxa"/>
            <w:vAlign w:val="bottom"/>
            <w:tcBorders>
              <w:right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w w:val="93"/>
              </w:rPr>
              <w:t>Properties</w:t>
            </w:r>
          </w:p>
        </w:tc>
        <w:tc>
          <w:tcPr>
            <w:tcW w:w="240" w:type="dxa"/>
            <w:vAlign w:val="bottom"/>
          </w:tcPr>
          <w:p>
            <w:pPr>
              <w:spacing w:after="0"/>
              <w:rPr>
                <w:sz w:val="18"/>
                <w:szCs w:val="18"/>
                <w:color w:val="auto"/>
              </w:rPr>
            </w:pPr>
          </w:p>
        </w:tc>
        <w:tc>
          <w:tcPr>
            <w:tcW w:w="800" w:type="dxa"/>
            <w:vAlign w:val="bottom"/>
            <w:tcBorders>
              <w:right w:val="single" w:sz="8" w:color="auto"/>
            </w:tcBorders>
          </w:tcPr>
          <w:p>
            <w:pPr>
              <w:jc w:val="right"/>
              <w:ind w:right="299"/>
              <w:spacing w:after="0"/>
              <w:rPr>
                <w:sz w:val="20"/>
                <w:szCs w:val="20"/>
                <w:color w:val="auto"/>
              </w:rPr>
            </w:pPr>
            <w:r>
              <w:rPr>
                <w:rFonts w:ascii="Arial" w:cs="Arial" w:eastAsia="Arial" w:hAnsi="Arial"/>
                <w:sz w:val="16"/>
                <w:szCs w:val="16"/>
                <w:b w:val="1"/>
                <w:bCs w:val="1"/>
                <w:color w:val="auto"/>
                <w:w w:val="93"/>
              </w:rPr>
              <w:t>NPAs</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b w:val="1"/>
                <w:bCs w:val="1"/>
                <w:color w:val="auto"/>
              </w:rPr>
              <w:t>BY CATEGORY</w:t>
            </w:r>
          </w:p>
        </w:tc>
        <w:tc>
          <w:tcPr>
            <w:tcW w:w="100" w:type="dxa"/>
            <w:vAlign w:val="bottom"/>
            <w:tcBorders>
              <w:top w:val="single" w:sz="8" w:color="auto"/>
            </w:tcBorders>
            <w:shd w:val="clear" w:color="auto" w:fill="F0FFFF"/>
          </w:tcPr>
          <w:p>
            <w:pPr>
              <w:spacing w:after="0"/>
              <w:rPr>
                <w:sz w:val="16"/>
                <w:szCs w:val="16"/>
                <w:color w:val="auto"/>
              </w:rPr>
            </w:pPr>
          </w:p>
        </w:tc>
        <w:tc>
          <w:tcPr>
            <w:tcW w:w="66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540" w:type="dxa"/>
            <w:vAlign w:val="bottom"/>
            <w:tcBorders>
              <w:top w:val="single" w:sz="8" w:color="auto"/>
            </w:tcBorders>
            <w:shd w:val="clear" w:color="auto" w:fill="F0FFFF"/>
          </w:tcPr>
          <w:p>
            <w:pPr>
              <w:spacing w:after="0"/>
              <w:rPr>
                <w:sz w:val="16"/>
                <w:szCs w:val="16"/>
                <w:color w:val="auto"/>
              </w:rPr>
            </w:pPr>
          </w:p>
        </w:tc>
        <w:tc>
          <w:tcPr>
            <w:tcW w:w="180" w:type="dxa"/>
            <w:vAlign w:val="bottom"/>
            <w:tcBorders>
              <w:right w:val="single" w:sz="8" w:color="auto"/>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800" w:type="dxa"/>
            <w:vAlign w:val="bottom"/>
            <w:tcBorders>
              <w:top w:val="single" w:sz="8" w:color="auto"/>
              <w:right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640" w:type="dxa"/>
            <w:vAlign w:val="bottom"/>
            <w:tcBorders>
              <w:top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 w:type="dxa"/>
            <w:vAlign w:val="bottom"/>
            <w:tcBorders>
              <w:top w:val="single" w:sz="8" w:color="auto"/>
            </w:tcBorders>
            <w:shd w:val="clear" w:color="auto" w:fill="F0FFFF"/>
          </w:tcPr>
          <w:p>
            <w:pPr>
              <w:spacing w:after="0"/>
              <w:rPr>
                <w:sz w:val="16"/>
                <w:szCs w:val="16"/>
                <w:color w:val="auto"/>
              </w:rPr>
            </w:pPr>
          </w:p>
        </w:tc>
        <w:tc>
          <w:tcPr>
            <w:tcW w:w="260" w:type="dxa"/>
            <w:vAlign w:val="bottom"/>
            <w:tcBorders>
              <w:top w:val="single" w:sz="8" w:color="auto"/>
            </w:tcBorders>
            <w:shd w:val="clear" w:color="auto" w:fill="F0FFFF"/>
          </w:tcPr>
          <w:p>
            <w:pPr>
              <w:spacing w:after="0"/>
              <w:rPr>
                <w:sz w:val="16"/>
                <w:szCs w:val="16"/>
                <w:color w:val="auto"/>
              </w:rPr>
            </w:pPr>
          </w:p>
        </w:tc>
        <w:tc>
          <w:tcPr>
            <w:tcW w:w="540" w:type="dxa"/>
            <w:vAlign w:val="bottom"/>
            <w:tcBorders>
              <w:top w:val="single" w:sz="8" w:color="auto"/>
            </w:tcBorders>
            <w:shd w:val="clear" w:color="auto" w:fill="F0FFFF"/>
          </w:tcPr>
          <w:p>
            <w:pPr>
              <w:spacing w:after="0"/>
              <w:rPr>
                <w:sz w:val="16"/>
                <w:szCs w:val="16"/>
                <w:color w:val="auto"/>
              </w:rPr>
            </w:pPr>
          </w:p>
        </w:tc>
        <w:tc>
          <w:tcPr>
            <w:tcW w:w="160" w:type="dxa"/>
            <w:vAlign w:val="bottom"/>
            <w:tcBorders>
              <w:right w:val="single" w:sz="8" w:color="auto"/>
            </w:tcBorders>
            <w:shd w:val="clear" w:color="auto" w:fill="F0FFFF"/>
          </w:tcPr>
          <w:p>
            <w:pPr>
              <w:spacing w:after="0"/>
              <w:rPr>
                <w:sz w:val="16"/>
                <w:szCs w:val="16"/>
                <w:color w:val="auto"/>
              </w:rPr>
            </w:pPr>
          </w:p>
        </w:tc>
        <w:tc>
          <w:tcPr>
            <w:tcW w:w="220" w:type="dxa"/>
            <w:vAlign w:val="bottom"/>
            <w:tcBorders>
              <w:top w:val="single" w:sz="8" w:color="auto"/>
            </w:tcBorders>
            <w:shd w:val="clear" w:color="auto" w:fill="F0FFFF"/>
          </w:tcPr>
          <w:p>
            <w:pPr>
              <w:spacing w:after="0"/>
              <w:rPr>
                <w:sz w:val="16"/>
                <w:szCs w:val="16"/>
                <w:color w:val="auto"/>
              </w:rPr>
            </w:pPr>
          </w:p>
        </w:tc>
        <w:tc>
          <w:tcPr>
            <w:tcW w:w="820" w:type="dxa"/>
            <w:vAlign w:val="bottom"/>
            <w:tcBorders>
              <w:top w:val="single" w:sz="8" w:color="auto"/>
              <w:right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40" w:type="dxa"/>
            <w:vAlign w:val="bottom"/>
            <w:tcBorders>
              <w:top w:val="single" w:sz="8" w:color="auto"/>
            </w:tcBorders>
            <w:shd w:val="clear" w:color="auto" w:fill="F0FFFF"/>
          </w:tcPr>
          <w:p>
            <w:pPr>
              <w:spacing w:after="0"/>
              <w:rPr>
                <w:sz w:val="16"/>
                <w:szCs w:val="16"/>
                <w:color w:val="auto"/>
              </w:rPr>
            </w:pPr>
          </w:p>
        </w:tc>
        <w:tc>
          <w:tcPr>
            <w:tcW w:w="640" w:type="dxa"/>
            <w:vAlign w:val="bottom"/>
            <w:tcBorders>
              <w:top w:val="single" w:sz="8" w:color="auto"/>
            </w:tcBorders>
            <w:shd w:val="clear" w:color="auto" w:fill="F0FFFF"/>
          </w:tcPr>
          <w:p>
            <w:pPr>
              <w:spacing w:after="0"/>
              <w:rPr>
                <w:sz w:val="16"/>
                <w:szCs w:val="16"/>
                <w:color w:val="auto"/>
              </w:rPr>
            </w:pPr>
          </w:p>
        </w:tc>
        <w:tc>
          <w:tcPr>
            <w:tcW w:w="260" w:type="dxa"/>
            <w:vAlign w:val="bottom"/>
            <w:tcBorders>
              <w:right w:val="single" w:sz="8" w:color="F0FFFF"/>
            </w:tcBorders>
            <w:shd w:val="clear" w:color="auto" w:fill="F0FFFF"/>
          </w:tcPr>
          <w:p>
            <w:pPr>
              <w:spacing w:after="0"/>
              <w:rPr>
                <w:sz w:val="16"/>
                <w:szCs w:val="16"/>
                <w:color w:val="auto"/>
              </w:rPr>
            </w:pPr>
          </w:p>
        </w:tc>
        <w:tc>
          <w:tcPr>
            <w:tcW w:w="260" w:type="dxa"/>
            <w:vAlign w:val="bottom"/>
            <w:tcBorders>
              <w:top w:val="single" w:sz="8" w:color="auto"/>
            </w:tcBorders>
            <w:shd w:val="clear" w:color="auto" w:fill="F0FFFF"/>
          </w:tcPr>
          <w:p>
            <w:pPr>
              <w:spacing w:after="0"/>
              <w:rPr>
                <w:sz w:val="16"/>
                <w:szCs w:val="16"/>
                <w:color w:val="auto"/>
              </w:rPr>
            </w:pPr>
          </w:p>
        </w:tc>
        <w:tc>
          <w:tcPr>
            <w:tcW w:w="540" w:type="dxa"/>
            <w:vAlign w:val="bottom"/>
            <w:tcBorders>
              <w:top w:val="single" w:sz="8" w:color="auto"/>
            </w:tcBorders>
            <w:shd w:val="clear" w:color="auto" w:fill="F0FFFF"/>
          </w:tcPr>
          <w:p>
            <w:pPr>
              <w:spacing w:after="0"/>
              <w:rPr>
                <w:sz w:val="16"/>
                <w:szCs w:val="16"/>
                <w:color w:val="auto"/>
              </w:rPr>
            </w:pPr>
          </w:p>
        </w:tc>
        <w:tc>
          <w:tcPr>
            <w:tcW w:w="160" w:type="dxa"/>
            <w:vAlign w:val="bottom"/>
            <w:tcBorders>
              <w:right w:val="single" w:sz="8" w:color="auto"/>
            </w:tcBorders>
            <w:shd w:val="clear" w:color="auto" w:fill="F0FFFF"/>
          </w:tcPr>
          <w:p>
            <w:pPr>
              <w:spacing w:after="0"/>
              <w:rPr>
                <w:sz w:val="16"/>
                <w:szCs w:val="16"/>
                <w:color w:val="auto"/>
              </w:rPr>
            </w:pPr>
          </w:p>
        </w:tc>
        <w:tc>
          <w:tcPr>
            <w:tcW w:w="240" w:type="dxa"/>
            <w:vAlign w:val="bottom"/>
            <w:tcBorders>
              <w:top w:val="single" w:sz="8" w:color="auto"/>
            </w:tcBorders>
            <w:shd w:val="clear" w:color="auto" w:fill="F0FFFF"/>
          </w:tcPr>
          <w:p>
            <w:pPr>
              <w:spacing w:after="0"/>
              <w:rPr>
                <w:sz w:val="16"/>
                <w:szCs w:val="16"/>
                <w:color w:val="auto"/>
              </w:rPr>
            </w:pPr>
          </w:p>
        </w:tc>
        <w:tc>
          <w:tcPr>
            <w:tcW w:w="800" w:type="dxa"/>
            <w:vAlign w:val="bottom"/>
            <w:tcBorders>
              <w:top w:val="single" w:sz="8" w:color="auto"/>
              <w:right w:val="single" w:sz="8" w:color="auto"/>
            </w:tcBorders>
            <w:shd w:val="clear" w:color="auto" w:fill="F0FFFF"/>
          </w:tcPr>
          <w:p>
            <w:pPr>
              <w:spacing w:after="0"/>
              <w:rPr>
                <w:sz w:val="16"/>
                <w:szCs w:val="16"/>
                <w:color w:val="auto"/>
              </w:rPr>
            </w:pPr>
          </w:p>
        </w:tc>
      </w:tr>
      <w:tr>
        <w:trPr>
          <w:trHeight w:val="181"/>
        </w:trPr>
        <w:tc>
          <w:tcPr>
            <w:tcW w:w="20" w:type="dxa"/>
            <w:vAlign w:val="bottom"/>
          </w:tcPr>
          <w:p>
            <w:pPr>
              <w:spacing w:after="0"/>
              <w:rPr>
                <w:sz w:val="15"/>
                <w:szCs w:val="15"/>
                <w:color w:val="auto"/>
              </w:rPr>
            </w:pPr>
          </w:p>
        </w:tc>
        <w:tc>
          <w:tcPr>
            <w:tcW w:w="2140" w:type="dxa"/>
            <w:vAlign w:val="bottom"/>
          </w:tcPr>
          <w:p>
            <w:pPr>
              <w:spacing w:after="0" w:line="181" w:lineRule="exact"/>
              <w:rPr>
                <w:sz w:val="20"/>
                <w:szCs w:val="20"/>
                <w:color w:val="auto"/>
              </w:rPr>
            </w:pPr>
            <w:r>
              <w:rPr>
                <w:rFonts w:ascii="Arial" w:cs="Arial" w:eastAsia="Arial" w:hAnsi="Arial"/>
                <w:sz w:val="16"/>
                <w:szCs w:val="16"/>
                <w:color w:val="auto"/>
              </w:rPr>
              <w:t>Owner occupied commercial</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r>
      <w:tr>
        <w:trPr>
          <w:trHeight w:val="206"/>
        </w:trPr>
        <w:tc>
          <w:tcPr>
            <w:tcW w:w="20" w:type="dxa"/>
            <w:vAlign w:val="bottom"/>
          </w:tcPr>
          <w:p>
            <w:pPr>
              <w:spacing w:after="0"/>
              <w:rPr>
                <w:sz w:val="17"/>
                <w:szCs w:val="17"/>
                <w:color w:val="auto"/>
              </w:rPr>
            </w:pPr>
          </w:p>
        </w:tc>
        <w:tc>
          <w:tcPr>
            <w:tcW w:w="2140" w:type="dxa"/>
            <w:vAlign w:val="bottom"/>
          </w:tcPr>
          <w:p>
            <w:pPr>
              <w:ind w:left="120"/>
              <w:spacing w:after="0"/>
              <w:rPr>
                <w:sz w:val="20"/>
                <w:szCs w:val="20"/>
                <w:color w:val="auto"/>
              </w:rPr>
            </w:pPr>
            <w:r>
              <w:rPr>
                <w:rFonts w:ascii="Arial" w:cs="Arial" w:eastAsia="Arial" w:hAnsi="Arial"/>
                <w:sz w:val="16"/>
                <w:szCs w:val="16"/>
                <w:color w:val="auto"/>
              </w:rPr>
              <w:t>real estate</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2,156</w:t>
            </w:r>
          </w:p>
        </w:tc>
        <w:tc>
          <w:tcPr>
            <w:tcW w:w="26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1,024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3,180</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5,822</w:t>
            </w:r>
          </w:p>
        </w:tc>
        <w:tc>
          <w:tcPr>
            <w:tcW w:w="160" w:type="dxa"/>
            <w:vAlign w:val="bottom"/>
          </w:tcPr>
          <w:p>
            <w:pPr>
              <w:spacing w:after="0"/>
              <w:rPr>
                <w:sz w:val="17"/>
                <w:szCs w:val="17"/>
                <w:color w:val="auto"/>
              </w:rPr>
            </w:pPr>
          </w:p>
        </w:tc>
        <w:tc>
          <w:tcPr>
            <w:tcW w:w="3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832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6,654</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6,358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591</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6,949</w:t>
            </w:r>
          </w:p>
        </w:tc>
      </w:tr>
      <w:tr>
        <w:trPr>
          <w:trHeight w:val="182"/>
        </w:trPr>
        <w:tc>
          <w:tcPr>
            <w:tcW w:w="20" w:type="dxa"/>
            <w:vAlign w:val="bottom"/>
          </w:tcPr>
          <w:p>
            <w:pPr>
              <w:spacing w:after="0"/>
              <w:rPr>
                <w:sz w:val="15"/>
                <w:szCs w:val="15"/>
                <w:color w:val="auto"/>
              </w:rPr>
            </w:pPr>
          </w:p>
        </w:tc>
        <w:tc>
          <w:tcPr>
            <w:tcW w:w="2140" w:type="dxa"/>
            <w:vAlign w:val="bottom"/>
            <w:tcBorders>
              <w:right w:val="single" w:sz="8" w:color="F0FFFF"/>
            </w:tcBorders>
            <w:shd w:val="clear" w:color="auto" w:fill="F0FFFF"/>
          </w:tcPr>
          <w:p>
            <w:pPr>
              <w:spacing w:after="0" w:line="182" w:lineRule="exact"/>
              <w:rPr>
                <w:sz w:val="20"/>
                <w:szCs w:val="20"/>
                <w:color w:val="auto"/>
              </w:rPr>
            </w:pPr>
            <w:r>
              <w:rPr>
                <w:rFonts w:ascii="Arial" w:cs="Arial" w:eastAsia="Arial" w:hAnsi="Arial"/>
                <w:sz w:val="16"/>
                <w:szCs w:val="16"/>
                <w:color w:val="auto"/>
                <w:w w:val="98"/>
              </w:rPr>
              <w:t>Income producing commercial</w:t>
            </w:r>
          </w:p>
        </w:tc>
        <w:tc>
          <w:tcPr>
            <w:tcW w:w="10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80" w:type="dxa"/>
            <w:vAlign w:val="bottom"/>
            <w:tcBorders>
              <w:right w:val="single" w:sz="8" w:color="auto"/>
            </w:tcBorders>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00" w:type="dxa"/>
            <w:vAlign w:val="bottom"/>
            <w:tcBorders>
              <w:right w:val="single" w:sz="8" w:color="auto"/>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60" w:type="dxa"/>
            <w:vAlign w:val="bottom"/>
            <w:tcBorders>
              <w:right w:val="single" w:sz="8" w:color="auto"/>
            </w:tcBorders>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20" w:type="dxa"/>
            <w:vAlign w:val="bottom"/>
            <w:tcBorders>
              <w:right w:val="single" w:sz="8" w:color="auto"/>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260" w:type="dxa"/>
            <w:vAlign w:val="bottom"/>
            <w:tcBorders>
              <w:right w:val="single" w:sz="8" w:color="F0FFFF"/>
            </w:tcBorders>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60" w:type="dxa"/>
            <w:vAlign w:val="bottom"/>
            <w:tcBorders>
              <w:right w:val="single" w:sz="8" w:color="auto"/>
            </w:tcBorders>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00" w:type="dxa"/>
            <w:vAlign w:val="bottom"/>
            <w:tcBorders>
              <w:right w:val="single" w:sz="8" w:color="auto"/>
            </w:tcBorders>
            <w:shd w:val="clear" w:color="auto" w:fill="F0FFFF"/>
          </w:tcPr>
          <w:p>
            <w:pPr>
              <w:spacing w:after="0"/>
              <w:rPr>
                <w:sz w:val="15"/>
                <w:szCs w:val="15"/>
                <w:color w:val="auto"/>
              </w:rPr>
            </w:pPr>
          </w:p>
        </w:tc>
      </w:tr>
      <w:tr>
        <w:trPr>
          <w:trHeight w:val="207"/>
        </w:trPr>
        <w:tc>
          <w:tcPr>
            <w:tcW w:w="20" w:type="dxa"/>
            <w:vAlign w:val="bottom"/>
          </w:tcPr>
          <w:p>
            <w:pPr>
              <w:spacing w:after="0"/>
              <w:rPr>
                <w:sz w:val="17"/>
                <w:szCs w:val="17"/>
                <w:color w:val="auto"/>
              </w:rPr>
            </w:pPr>
          </w:p>
        </w:tc>
        <w:tc>
          <w:tcPr>
            <w:tcW w:w="2140" w:type="dxa"/>
            <w:vAlign w:val="bottom"/>
            <w:tcBorders>
              <w:right w:val="single" w:sz="8" w:color="F0FFFF"/>
            </w:tcBorders>
            <w:shd w:val="clear" w:color="auto" w:fill="F0FFFF"/>
          </w:tcPr>
          <w:p>
            <w:pPr>
              <w:ind w:left="120"/>
              <w:spacing w:after="0"/>
              <w:rPr>
                <w:sz w:val="20"/>
                <w:szCs w:val="20"/>
                <w:color w:val="auto"/>
              </w:rPr>
            </w:pPr>
            <w:r>
              <w:rPr>
                <w:rFonts w:ascii="Arial" w:cs="Arial" w:eastAsia="Arial" w:hAnsi="Arial"/>
                <w:sz w:val="16"/>
                <w:szCs w:val="16"/>
                <w:color w:val="auto"/>
              </w:rPr>
              <w:t>real estate</w:t>
            </w:r>
          </w:p>
        </w:tc>
        <w:tc>
          <w:tcPr>
            <w:tcW w:w="100" w:type="dxa"/>
            <w:vAlign w:val="bottom"/>
            <w:shd w:val="clear" w:color="auto" w:fill="F0FFFF"/>
          </w:tcPr>
          <w:p>
            <w:pPr>
              <w:spacing w:after="0"/>
              <w:rPr>
                <w:sz w:val="17"/>
                <w:szCs w:val="17"/>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1,742</w:t>
            </w:r>
          </w:p>
        </w:tc>
        <w:tc>
          <w:tcPr>
            <w:tcW w:w="26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72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42</w:t>
            </w:r>
          </w:p>
        </w:tc>
        <w:tc>
          <w:tcPr>
            <w:tcW w:w="220" w:type="dxa"/>
            <w:vAlign w:val="bottom"/>
            <w:shd w:val="clear" w:color="auto" w:fill="F0FFFF"/>
          </w:tcPr>
          <w:p>
            <w:pPr>
              <w:spacing w:after="0"/>
              <w:rPr>
                <w:sz w:val="17"/>
                <w:szCs w:val="17"/>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1,784</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2,518</w:t>
            </w:r>
          </w:p>
        </w:tc>
        <w:tc>
          <w:tcPr>
            <w:tcW w:w="160" w:type="dxa"/>
            <w:vAlign w:val="bottom"/>
            <w:shd w:val="clear" w:color="auto" w:fill="F0FFFF"/>
          </w:tcPr>
          <w:p>
            <w:pPr>
              <w:spacing w:after="0"/>
              <w:rPr>
                <w:sz w:val="17"/>
                <w:szCs w:val="17"/>
                <w:color w:val="auto"/>
              </w:rPr>
            </w:pPr>
          </w:p>
        </w:tc>
        <w:tc>
          <w:tcPr>
            <w:tcW w:w="100" w:type="dxa"/>
            <w:vAlign w:val="bottom"/>
            <w:shd w:val="clear" w:color="auto" w:fill="F0FFFF"/>
          </w:tcPr>
          <w:p>
            <w:pPr>
              <w:spacing w:after="0"/>
              <w:rPr>
                <w:sz w:val="17"/>
                <w:szCs w:val="17"/>
                <w:color w:val="auto"/>
              </w:rPr>
            </w:pPr>
          </w:p>
        </w:tc>
        <w:tc>
          <w:tcPr>
            <w:tcW w:w="260" w:type="dxa"/>
            <w:vAlign w:val="bottom"/>
            <w:shd w:val="clear" w:color="auto" w:fill="F0FFFF"/>
          </w:tcPr>
          <w:p>
            <w:pPr>
              <w:spacing w:after="0"/>
              <w:rPr>
                <w:sz w:val="17"/>
                <w:szCs w:val="17"/>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7"/>
                <w:szCs w:val="17"/>
                <w:color w:val="auto"/>
              </w:rPr>
            </w:pPr>
          </w:p>
        </w:tc>
        <w:tc>
          <w:tcPr>
            <w:tcW w:w="82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2,518</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900" w:type="dxa"/>
            <w:vAlign w:val="bottom"/>
            <w:tcBorders>
              <w:right w:val="single" w:sz="8" w:color="F0FFFF"/>
            </w:tcBorders>
            <w:gridSpan w:val="2"/>
            <w:shd w:val="clear" w:color="auto" w:fill="F0FFFF"/>
          </w:tcPr>
          <w:p>
            <w:pPr>
              <w:jc w:val="right"/>
              <w:ind w:right="179"/>
              <w:spacing w:after="0"/>
              <w:rPr>
                <w:sz w:val="20"/>
                <w:szCs w:val="20"/>
                <w:color w:val="auto"/>
              </w:rPr>
            </w:pPr>
            <w:r>
              <w:rPr>
                <w:rFonts w:ascii="Arial" w:cs="Arial" w:eastAsia="Arial" w:hAnsi="Arial"/>
                <w:sz w:val="16"/>
                <w:szCs w:val="16"/>
                <w:color w:val="auto"/>
              </w:rPr>
              <w:t>1,657</w:t>
            </w:r>
          </w:p>
        </w:tc>
        <w:tc>
          <w:tcPr>
            <w:tcW w:w="260" w:type="dxa"/>
            <w:vAlign w:val="bottom"/>
            <w:shd w:val="clear" w:color="auto" w:fill="F0FFFF"/>
          </w:tcPr>
          <w:p>
            <w:pPr>
              <w:spacing w:after="0"/>
              <w:rPr>
                <w:sz w:val="17"/>
                <w:szCs w:val="17"/>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139</w:t>
            </w:r>
          </w:p>
        </w:tc>
        <w:tc>
          <w:tcPr>
            <w:tcW w:w="240" w:type="dxa"/>
            <w:vAlign w:val="bottom"/>
            <w:shd w:val="clear" w:color="auto" w:fill="F0FFFF"/>
          </w:tcPr>
          <w:p>
            <w:pPr>
              <w:spacing w:after="0"/>
              <w:rPr>
                <w:sz w:val="17"/>
                <w:szCs w:val="17"/>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1,796</w:t>
            </w:r>
          </w:p>
        </w:tc>
      </w:tr>
      <w:tr>
        <w:trPr>
          <w:trHeight w:val="194"/>
        </w:trPr>
        <w:tc>
          <w:tcPr>
            <w:tcW w:w="2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Commercial &amp; industrial</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1,593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609</w:t>
            </w: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609</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Commercial construction</w:t>
            </w: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148</w:t>
            </w: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2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148</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6"/>
                <w:szCs w:val="16"/>
                <w:color w:val="auto"/>
              </w:rPr>
            </w:pPr>
          </w:p>
        </w:tc>
        <w:tc>
          <w:tcPr>
            <w:tcW w:w="82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361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179"/>
              <w:spacing w:after="0"/>
              <w:rPr>
                <w:sz w:val="20"/>
                <w:szCs w:val="20"/>
                <w:color w:val="auto"/>
              </w:rPr>
            </w:pPr>
            <w:r>
              <w:rPr>
                <w:rFonts w:ascii="Arial" w:cs="Arial" w:eastAsia="Arial" w:hAnsi="Arial"/>
                <w:sz w:val="16"/>
                <w:szCs w:val="16"/>
                <w:color w:val="auto"/>
              </w:rPr>
              <w:t>343</w:t>
            </w: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376</w:t>
            </w:r>
          </w:p>
        </w:tc>
        <w:tc>
          <w:tcPr>
            <w:tcW w:w="24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719</w:t>
            </w:r>
          </w:p>
        </w:tc>
      </w:tr>
      <w:tr>
        <w:trPr>
          <w:trHeight w:val="24"/>
        </w:trPr>
        <w:tc>
          <w:tcPr>
            <w:tcW w:w="20" w:type="dxa"/>
            <w:vAlign w:val="bottom"/>
          </w:tcPr>
          <w:p>
            <w:pPr>
              <w:spacing w:after="0"/>
              <w:rPr>
                <w:sz w:val="2"/>
                <w:szCs w:val="2"/>
                <w:color w:val="auto"/>
              </w:rPr>
            </w:pPr>
          </w:p>
        </w:tc>
        <w:tc>
          <w:tcPr>
            <w:tcW w:w="21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2140" w:type="dxa"/>
            <w:vAlign w:val="bottom"/>
          </w:tcPr>
          <w:p>
            <w:pPr>
              <w:ind w:left="260"/>
              <w:spacing w:after="0"/>
              <w:rPr>
                <w:sz w:val="20"/>
                <w:szCs w:val="20"/>
                <w:color w:val="auto"/>
              </w:rPr>
            </w:pPr>
            <w:r>
              <w:rPr>
                <w:rFonts w:ascii="Arial" w:cs="Arial" w:eastAsia="Arial" w:hAnsi="Arial"/>
                <w:sz w:val="16"/>
                <w:szCs w:val="16"/>
                <w:color w:val="auto"/>
              </w:rPr>
              <w:t>Total commercial</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5,639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1,066</w:t>
            </w:r>
          </w:p>
        </w:tc>
        <w:tc>
          <w:tcPr>
            <w:tcW w:w="22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6,705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9,128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832</w:t>
            </w:r>
          </w:p>
        </w:tc>
        <w:tc>
          <w:tcPr>
            <w:tcW w:w="220" w:type="dxa"/>
            <w:vAlign w:val="bottom"/>
          </w:tcPr>
          <w:p>
            <w:pPr>
              <w:spacing w:after="0"/>
              <w:rPr>
                <w:sz w:val="16"/>
                <w:szCs w:val="16"/>
                <w:color w:val="auto"/>
              </w:rPr>
            </w:pP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9,960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8,967</w:t>
            </w: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1,106</w:t>
            </w:r>
          </w:p>
        </w:tc>
        <w:tc>
          <w:tcPr>
            <w:tcW w:w="160" w:type="dxa"/>
            <w:vAlign w:val="bottom"/>
            <w:tcBorders>
              <w:right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10,073</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Residential mortgage</w:t>
            </w: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8,350</w:t>
            </w: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2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1,769</w:t>
            </w:r>
          </w:p>
        </w:tc>
        <w:tc>
          <w:tcPr>
            <w:tcW w:w="22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10,119</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11,730</w:t>
            </w:r>
          </w:p>
        </w:tc>
        <w:tc>
          <w:tcPr>
            <w:tcW w:w="1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2,684</w:t>
            </w:r>
          </w:p>
        </w:tc>
        <w:tc>
          <w:tcPr>
            <w:tcW w:w="160" w:type="dxa"/>
            <w:vAlign w:val="bottom"/>
            <w:tcBorders>
              <w:right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2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14,414</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11,335</w:t>
            </w:r>
          </w:p>
        </w:tc>
        <w:tc>
          <w:tcPr>
            <w:tcW w:w="260" w:type="dxa"/>
            <w:vAlign w:val="bottom"/>
            <w:tcBorders>
              <w:right w:val="single" w:sz="8" w:color="F0FFFF"/>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1,679</w:t>
            </w:r>
          </w:p>
        </w:tc>
        <w:tc>
          <w:tcPr>
            <w:tcW w:w="160" w:type="dxa"/>
            <w:vAlign w:val="bottom"/>
            <w:tcBorders>
              <w:right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13,014</w:t>
            </w:r>
          </w:p>
        </w:tc>
      </w:tr>
      <w:tr>
        <w:trPr>
          <w:trHeight w:val="194"/>
        </w:trPr>
        <w:tc>
          <w:tcPr>
            <w:tcW w:w="2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Home equity</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720</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90</w:t>
            </w:r>
          </w:p>
        </w:tc>
        <w:tc>
          <w:tcPr>
            <w:tcW w:w="22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810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1,448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389</w:t>
            </w:r>
          </w:p>
        </w:tc>
        <w:tc>
          <w:tcPr>
            <w:tcW w:w="220" w:type="dxa"/>
            <w:vAlign w:val="bottom"/>
          </w:tcPr>
          <w:p>
            <w:pPr>
              <w:spacing w:after="0"/>
              <w:rPr>
                <w:sz w:val="16"/>
                <w:szCs w:val="16"/>
                <w:color w:val="auto"/>
              </w:rPr>
            </w:pP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1,837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1,169</w:t>
            </w: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475</w:t>
            </w:r>
          </w:p>
        </w:tc>
        <w:tc>
          <w:tcPr>
            <w:tcW w:w="24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1,644</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Residential construction</w:t>
            </w: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3,543</w:t>
            </w: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2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221</w:t>
            </w:r>
          </w:p>
        </w:tc>
        <w:tc>
          <w:tcPr>
            <w:tcW w:w="22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3,764</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4,264</w:t>
            </w:r>
          </w:p>
        </w:tc>
        <w:tc>
          <w:tcPr>
            <w:tcW w:w="1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316</w:t>
            </w:r>
          </w:p>
        </w:tc>
        <w:tc>
          <w:tcPr>
            <w:tcW w:w="220" w:type="dxa"/>
            <w:vAlign w:val="bottom"/>
            <w:shd w:val="clear" w:color="auto" w:fill="F0FFFF"/>
          </w:tcPr>
          <w:p>
            <w:pPr>
              <w:spacing w:after="0"/>
              <w:rPr>
                <w:sz w:val="16"/>
                <w:szCs w:val="16"/>
                <w:color w:val="auto"/>
              </w:rPr>
            </w:pPr>
          </w:p>
        </w:tc>
        <w:tc>
          <w:tcPr>
            <w:tcW w:w="82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4,580</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179"/>
              <w:spacing w:after="0"/>
              <w:rPr>
                <w:sz w:val="20"/>
                <w:szCs w:val="20"/>
                <w:color w:val="auto"/>
              </w:rPr>
            </w:pPr>
            <w:r>
              <w:rPr>
                <w:rFonts w:ascii="Arial" w:cs="Arial" w:eastAsia="Arial" w:hAnsi="Arial"/>
                <w:sz w:val="16"/>
                <w:szCs w:val="16"/>
                <w:color w:val="auto"/>
              </w:rPr>
              <w:t>4,097</w:t>
            </w:r>
          </w:p>
        </w:tc>
        <w:tc>
          <w:tcPr>
            <w:tcW w:w="260" w:type="dxa"/>
            <w:vAlign w:val="bottom"/>
            <w:shd w:val="clear" w:color="auto" w:fill="F0FFFF"/>
          </w:tcPr>
          <w:p>
            <w:pPr>
              <w:spacing w:after="0"/>
              <w:rPr>
                <w:sz w:val="16"/>
                <w:szCs w:val="16"/>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1,207</w:t>
            </w:r>
          </w:p>
        </w:tc>
        <w:tc>
          <w:tcPr>
            <w:tcW w:w="160" w:type="dxa"/>
            <w:vAlign w:val="bottom"/>
            <w:tcBorders>
              <w:right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5,304</w:t>
            </w:r>
          </w:p>
        </w:tc>
      </w:tr>
      <w:tr>
        <w:trPr>
          <w:trHeight w:val="194"/>
        </w:trPr>
        <w:tc>
          <w:tcPr>
            <w:tcW w:w="2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Consumer installment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520</w:t>
            </w: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520</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Indirect auto</w:t>
            </w: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354</w:t>
            </w: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2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6"/>
                <w:szCs w:val="16"/>
                <w:color w:val="auto"/>
              </w:rPr>
            </w:pPr>
          </w:p>
        </w:tc>
        <w:tc>
          <w:tcPr>
            <w:tcW w:w="82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r>
      <w:tr>
        <w:trPr>
          <w:trHeight w:val="24"/>
        </w:trPr>
        <w:tc>
          <w:tcPr>
            <w:tcW w:w="20" w:type="dxa"/>
            <w:vAlign w:val="bottom"/>
          </w:tcPr>
          <w:p>
            <w:pPr>
              <w:spacing w:after="0"/>
              <w:rPr>
                <w:sz w:val="2"/>
                <w:szCs w:val="2"/>
                <w:color w:val="auto"/>
              </w:rPr>
            </w:pPr>
          </w:p>
        </w:tc>
        <w:tc>
          <w:tcPr>
            <w:tcW w:w="21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2140" w:type="dxa"/>
            <w:vAlign w:val="bottom"/>
          </w:tcPr>
          <w:p>
            <w:pPr>
              <w:ind w:left="260"/>
              <w:spacing w:after="0"/>
              <w:rPr>
                <w:sz w:val="20"/>
                <w:szCs w:val="20"/>
                <w:color w:val="auto"/>
              </w:rPr>
            </w:pPr>
            <w:r>
              <w:rPr>
                <w:rFonts w:ascii="Arial" w:cs="Arial" w:eastAsia="Arial" w:hAnsi="Arial"/>
                <w:sz w:val="16"/>
                <w:szCs w:val="16"/>
                <w:b w:val="1"/>
                <w:bCs w:val="1"/>
                <w:color w:val="auto"/>
              </w:rPr>
              <w:t>Total NPAs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18,745</w:t>
            </w:r>
          </w:p>
        </w:tc>
        <w:tc>
          <w:tcPr>
            <w:tcW w:w="26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3,146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21,891</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9"/>
              <w:spacing w:after="0"/>
              <w:rPr>
                <w:sz w:val="20"/>
                <w:szCs w:val="20"/>
                <w:color w:val="auto"/>
              </w:rPr>
            </w:pPr>
            <w:r>
              <w:rPr>
                <w:rFonts w:ascii="Arial" w:cs="Arial" w:eastAsia="Arial" w:hAnsi="Arial"/>
                <w:sz w:val="16"/>
                <w:szCs w:val="16"/>
                <w:color w:val="auto"/>
              </w:rPr>
              <w:t>26,819</w:t>
            </w:r>
          </w:p>
        </w:tc>
        <w:tc>
          <w:tcPr>
            <w:tcW w:w="3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4,221</w:t>
            </w:r>
          </w:p>
        </w:tc>
        <w:tc>
          <w:tcPr>
            <w:tcW w:w="160" w:type="dxa"/>
            <w:vAlign w:val="bottom"/>
            <w:tcBorders>
              <w:right w:val="single" w:sz="8" w:color="auto"/>
            </w:tcBorders>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31,040</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26,088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4,467</w:t>
            </w:r>
          </w:p>
        </w:tc>
        <w:tc>
          <w:tcPr>
            <w:tcW w:w="160" w:type="dxa"/>
            <w:vAlign w:val="bottom"/>
            <w:tcBorders>
              <w:right w:val="single" w:sz="8" w:color="auto"/>
            </w:tcBorders>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30,555</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right w:val="single" w:sz="8" w:color="auto"/>
            </w:tcBorders>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2140" w:type="dxa"/>
            <w:vAlign w:val="bottom"/>
            <w:tcBorders>
              <w:right w:val="single" w:sz="8" w:color="F0FFFF"/>
            </w:tcBorders>
            <w:shd w:val="clear" w:color="auto" w:fill="F0FFFF"/>
          </w:tcPr>
          <w:p>
            <w:pPr>
              <w:ind w:left="260"/>
              <w:spacing w:after="0" w:line="183" w:lineRule="exact"/>
              <w:rPr>
                <w:sz w:val="20"/>
                <w:szCs w:val="20"/>
                <w:color w:val="auto"/>
              </w:rPr>
            </w:pPr>
            <w:r>
              <w:rPr>
                <w:rFonts w:ascii="Arial" w:cs="Arial" w:eastAsia="Arial" w:hAnsi="Arial"/>
                <w:sz w:val="16"/>
                <w:szCs w:val="16"/>
                <w:b w:val="1"/>
                <w:bCs w:val="1"/>
                <w:color w:val="auto"/>
              </w:rPr>
              <w:t>Balance as a % of</w:t>
            </w:r>
          </w:p>
        </w:tc>
        <w:tc>
          <w:tcPr>
            <w:tcW w:w="100" w:type="dxa"/>
            <w:vAlign w:val="bottom"/>
            <w:shd w:val="clear" w:color="auto" w:fill="F0FFFF"/>
          </w:tcPr>
          <w:p>
            <w:pPr>
              <w:spacing w:after="0"/>
              <w:rPr>
                <w:sz w:val="15"/>
                <w:szCs w:val="15"/>
                <w:color w:val="auto"/>
              </w:rPr>
            </w:pPr>
          </w:p>
        </w:tc>
        <w:tc>
          <w:tcPr>
            <w:tcW w:w="66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80" w:type="dxa"/>
            <w:vAlign w:val="bottom"/>
            <w:tcBorders>
              <w:right w:val="single" w:sz="8" w:color="auto"/>
            </w:tcBorders>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00" w:type="dxa"/>
            <w:vAlign w:val="bottom"/>
            <w:tcBorders>
              <w:right w:val="single" w:sz="8" w:color="auto"/>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16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60" w:type="dxa"/>
            <w:vAlign w:val="bottom"/>
            <w:tcBorders>
              <w:right w:val="single" w:sz="8" w:color="auto"/>
            </w:tcBorders>
            <w:shd w:val="clear" w:color="auto" w:fill="F0FFFF"/>
          </w:tcPr>
          <w:p>
            <w:pPr>
              <w:spacing w:after="0"/>
              <w:rPr>
                <w:sz w:val="15"/>
                <w:szCs w:val="15"/>
                <w:color w:val="auto"/>
              </w:rPr>
            </w:pPr>
          </w:p>
        </w:tc>
        <w:tc>
          <w:tcPr>
            <w:tcW w:w="220" w:type="dxa"/>
            <w:vAlign w:val="bottom"/>
            <w:shd w:val="clear" w:color="auto" w:fill="F0FFFF"/>
          </w:tcPr>
          <w:p>
            <w:pPr>
              <w:spacing w:after="0"/>
              <w:rPr>
                <w:sz w:val="15"/>
                <w:szCs w:val="15"/>
                <w:color w:val="auto"/>
              </w:rPr>
            </w:pPr>
          </w:p>
        </w:tc>
        <w:tc>
          <w:tcPr>
            <w:tcW w:w="820" w:type="dxa"/>
            <w:vAlign w:val="bottom"/>
            <w:tcBorders>
              <w:right w:val="single" w:sz="8" w:color="auto"/>
            </w:tcBorders>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40" w:type="dxa"/>
            <w:vAlign w:val="bottom"/>
            <w:shd w:val="clear" w:color="auto" w:fill="F0FFFF"/>
          </w:tcPr>
          <w:p>
            <w:pPr>
              <w:spacing w:after="0"/>
              <w:rPr>
                <w:sz w:val="15"/>
                <w:szCs w:val="15"/>
                <w:color w:val="auto"/>
              </w:rPr>
            </w:pPr>
          </w:p>
        </w:tc>
        <w:tc>
          <w:tcPr>
            <w:tcW w:w="640" w:type="dxa"/>
            <w:vAlign w:val="bottom"/>
            <w:shd w:val="clear" w:color="auto" w:fill="F0FFFF"/>
          </w:tcPr>
          <w:p>
            <w:pPr>
              <w:spacing w:after="0"/>
              <w:rPr>
                <w:sz w:val="15"/>
                <w:szCs w:val="15"/>
                <w:color w:val="auto"/>
              </w:rPr>
            </w:pPr>
          </w:p>
        </w:tc>
        <w:tc>
          <w:tcPr>
            <w:tcW w:w="260" w:type="dxa"/>
            <w:vAlign w:val="bottom"/>
            <w:tcBorders>
              <w:right w:val="single" w:sz="8" w:color="F0FFFF"/>
            </w:tcBorders>
            <w:shd w:val="clear" w:color="auto" w:fill="F0FFFF"/>
          </w:tcPr>
          <w:p>
            <w:pPr>
              <w:spacing w:after="0"/>
              <w:rPr>
                <w:sz w:val="15"/>
                <w:szCs w:val="15"/>
                <w:color w:val="auto"/>
              </w:rPr>
            </w:pPr>
          </w:p>
        </w:tc>
        <w:tc>
          <w:tcPr>
            <w:tcW w:w="260" w:type="dxa"/>
            <w:vAlign w:val="bottom"/>
            <w:shd w:val="clear" w:color="auto" w:fill="F0FFFF"/>
          </w:tcPr>
          <w:p>
            <w:pPr>
              <w:spacing w:after="0"/>
              <w:rPr>
                <w:sz w:val="15"/>
                <w:szCs w:val="15"/>
                <w:color w:val="auto"/>
              </w:rPr>
            </w:pPr>
          </w:p>
        </w:tc>
        <w:tc>
          <w:tcPr>
            <w:tcW w:w="540" w:type="dxa"/>
            <w:vAlign w:val="bottom"/>
            <w:shd w:val="clear" w:color="auto" w:fill="F0FFFF"/>
          </w:tcPr>
          <w:p>
            <w:pPr>
              <w:spacing w:after="0"/>
              <w:rPr>
                <w:sz w:val="15"/>
                <w:szCs w:val="15"/>
                <w:color w:val="auto"/>
              </w:rPr>
            </w:pPr>
          </w:p>
        </w:tc>
        <w:tc>
          <w:tcPr>
            <w:tcW w:w="160" w:type="dxa"/>
            <w:vAlign w:val="bottom"/>
            <w:tcBorders>
              <w:right w:val="single" w:sz="8" w:color="auto"/>
            </w:tcBorders>
            <w:shd w:val="clear" w:color="auto" w:fill="F0FFFF"/>
          </w:tcPr>
          <w:p>
            <w:pPr>
              <w:spacing w:after="0"/>
              <w:rPr>
                <w:sz w:val="15"/>
                <w:szCs w:val="15"/>
                <w:color w:val="auto"/>
              </w:rPr>
            </w:pPr>
          </w:p>
        </w:tc>
        <w:tc>
          <w:tcPr>
            <w:tcW w:w="240" w:type="dxa"/>
            <w:vAlign w:val="bottom"/>
            <w:shd w:val="clear" w:color="auto" w:fill="F0FFFF"/>
          </w:tcPr>
          <w:p>
            <w:pPr>
              <w:spacing w:after="0"/>
              <w:rPr>
                <w:sz w:val="15"/>
                <w:szCs w:val="15"/>
                <w:color w:val="auto"/>
              </w:rPr>
            </w:pPr>
          </w:p>
        </w:tc>
        <w:tc>
          <w:tcPr>
            <w:tcW w:w="800" w:type="dxa"/>
            <w:vAlign w:val="bottom"/>
            <w:tcBorders>
              <w:right w:val="single" w:sz="8" w:color="auto"/>
            </w:tcBorders>
            <w:shd w:val="clear" w:color="auto" w:fill="F0FFFF"/>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140" w:type="dxa"/>
            <w:vAlign w:val="bottom"/>
          </w:tcPr>
          <w:p>
            <w:pPr>
              <w:ind w:left="420"/>
              <w:spacing w:after="0"/>
              <w:rPr>
                <w:sz w:val="20"/>
                <w:szCs w:val="20"/>
                <w:color w:val="auto"/>
              </w:rPr>
            </w:pPr>
            <w:r>
              <w:rPr>
                <w:rFonts w:ascii="Arial" w:cs="Arial" w:eastAsia="Arial" w:hAnsi="Arial"/>
                <w:sz w:val="16"/>
                <w:szCs w:val="16"/>
                <w:b w:val="1"/>
                <w:bCs w:val="1"/>
                <w:color w:val="auto"/>
              </w:rPr>
              <w:t>Unpaid Principal</w:t>
            </w:r>
          </w:p>
        </w:tc>
        <w:tc>
          <w:tcPr>
            <w:tcW w:w="100" w:type="dxa"/>
            <w:vAlign w:val="bottom"/>
          </w:tcPr>
          <w:p>
            <w:pPr>
              <w:spacing w:after="0"/>
              <w:rPr>
                <w:sz w:val="16"/>
                <w:szCs w:val="16"/>
                <w:color w:val="auto"/>
              </w:rPr>
            </w:pPr>
          </w:p>
        </w:tc>
        <w:tc>
          <w:tcPr>
            <w:tcW w:w="920" w:type="dxa"/>
            <w:vAlign w:val="bottom"/>
            <w:gridSpan w:val="2"/>
          </w:tcPr>
          <w:p>
            <w:pPr>
              <w:jc w:val="right"/>
              <w:ind w:right="39"/>
              <w:spacing w:after="0"/>
              <w:rPr>
                <w:sz w:val="20"/>
                <w:szCs w:val="20"/>
                <w:color w:val="auto"/>
              </w:rPr>
            </w:pPr>
            <w:r>
              <w:rPr>
                <w:rFonts w:ascii="Arial" w:cs="Arial" w:eastAsia="Arial" w:hAnsi="Arial"/>
                <w:sz w:val="16"/>
                <w:szCs w:val="16"/>
                <w:color w:val="auto"/>
              </w:rPr>
              <w:t>68.6%</w:t>
            </w:r>
          </w:p>
        </w:tc>
        <w:tc>
          <w:tcPr>
            <w:tcW w:w="24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54.5%</w:t>
            </w:r>
          </w:p>
        </w:tc>
        <w:tc>
          <w:tcPr>
            <w:tcW w:w="220" w:type="dxa"/>
            <w:vAlign w:val="bottom"/>
          </w:tcPr>
          <w:p>
            <w:pPr>
              <w:spacing w:after="0"/>
              <w:rPr>
                <w:sz w:val="16"/>
                <w:szCs w:val="16"/>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65.3%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44.5%</w:t>
            </w:r>
          </w:p>
        </w:tc>
        <w:tc>
          <w:tcPr>
            <w:tcW w:w="220" w:type="dxa"/>
            <w:vAlign w:val="bottom"/>
          </w:tcPr>
          <w:p>
            <w:pPr>
              <w:spacing w:after="0"/>
              <w:rPr>
                <w:sz w:val="16"/>
                <w:szCs w:val="16"/>
                <w:color w:val="auto"/>
              </w:rPr>
            </w:pP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39"/>
              <w:spacing w:after="0"/>
              <w:rPr>
                <w:sz w:val="20"/>
                <w:szCs w:val="20"/>
                <w:color w:val="auto"/>
              </w:rPr>
            </w:pPr>
            <w:r>
              <w:rPr>
                <w:rFonts w:ascii="Arial" w:cs="Arial" w:eastAsia="Arial" w:hAnsi="Arial"/>
                <w:sz w:val="16"/>
                <w:szCs w:val="16"/>
                <w:color w:val="auto"/>
              </w:rPr>
              <w:t>61.6%</w:t>
            </w: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41.5%</w:t>
            </w:r>
          </w:p>
        </w:tc>
        <w:tc>
          <w:tcPr>
            <w:tcW w:w="240" w:type="dxa"/>
            <w:vAlign w:val="bottom"/>
          </w:tcPr>
          <w:p>
            <w:pPr>
              <w:spacing w:after="0"/>
              <w:rPr>
                <w:sz w:val="16"/>
                <w:szCs w:val="16"/>
                <w:color w:val="auto"/>
              </w:rPr>
            </w:pPr>
          </w:p>
        </w:tc>
        <w:tc>
          <w:tcPr>
            <w:tcW w:w="80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57.6%</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b w:val="1"/>
                <w:bCs w:val="1"/>
                <w:color w:val="auto"/>
              </w:rPr>
              <w:t>BY MARKET</w:t>
            </w: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80" w:type="dxa"/>
            <w:vAlign w:val="bottom"/>
            <w:tcBorders>
              <w:right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60" w:type="dxa"/>
            <w:vAlign w:val="bottom"/>
            <w:tcBorders>
              <w:right w:val="single" w:sz="8" w:color="auto"/>
            </w:tcBorders>
            <w:shd w:val="clear" w:color="auto" w:fill="F0FFFF"/>
          </w:tcPr>
          <w:p>
            <w:pPr>
              <w:spacing w:after="0"/>
              <w:rPr>
                <w:sz w:val="16"/>
                <w:szCs w:val="16"/>
                <w:color w:val="auto"/>
              </w:rPr>
            </w:pPr>
          </w:p>
        </w:tc>
        <w:tc>
          <w:tcPr>
            <w:tcW w:w="220" w:type="dxa"/>
            <w:vAlign w:val="bottom"/>
            <w:shd w:val="clear" w:color="auto" w:fill="F0FFFF"/>
          </w:tcPr>
          <w:p>
            <w:pPr>
              <w:spacing w:after="0"/>
              <w:rPr>
                <w:sz w:val="16"/>
                <w:szCs w:val="16"/>
                <w:color w:val="auto"/>
              </w:rPr>
            </w:pPr>
          </w:p>
        </w:tc>
        <w:tc>
          <w:tcPr>
            <w:tcW w:w="820" w:type="dxa"/>
            <w:vAlign w:val="bottom"/>
            <w:tcBorders>
              <w:right w:val="single" w:sz="8" w:color="auto"/>
            </w:tcBorders>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spacing w:after="0"/>
              <w:rPr>
                <w:sz w:val="16"/>
                <w:szCs w:val="16"/>
                <w:color w:val="auto"/>
              </w:rPr>
            </w:pPr>
          </w:p>
        </w:tc>
        <w:tc>
          <w:tcPr>
            <w:tcW w:w="260" w:type="dxa"/>
            <w:vAlign w:val="bottom"/>
            <w:tcBorders>
              <w:right w:val="single" w:sz="8" w:color="F0FFFF"/>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540" w:type="dxa"/>
            <w:vAlign w:val="bottom"/>
            <w:shd w:val="clear" w:color="auto" w:fill="F0FFFF"/>
          </w:tcPr>
          <w:p>
            <w:pPr>
              <w:spacing w:after="0"/>
              <w:rPr>
                <w:sz w:val="16"/>
                <w:szCs w:val="16"/>
                <w:color w:val="auto"/>
              </w:rPr>
            </w:pPr>
          </w:p>
        </w:tc>
        <w:tc>
          <w:tcPr>
            <w:tcW w:w="160" w:type="dxa"/>
            <w:vAlign w:val="bottom"/>
            <w:tcBorders>
              <w:right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North Georgia</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7,392</w:t>
            </w:r>
          </w:p>
        </w:tc>
        <w:tc>
          <w:tcPr>
            <w:tcW w:w="26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1,717</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9,109</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9"/>
              <w:spacing w:after="0"/>
              <w:rPr>
                <w:sz w:val="20"/>
                <w:szCs w:val="20"/>
                <w:color w:val="auto"/>
              </w:rPr>
            </w:pPr>
            <w:r>
              <w:rPr>
                <w:rFonts w:ascii="Arial" w:cs="Arial" w:eastAsia="Arial" w:hAnsi="Arial"/>
                <w:sz w:val="16"/>
                <w:szCs w:val="16"/>
                <w:color w:val="auto"/>
              </w:rPr>
              <w:t>12,352</w:t>
            </w:r>
          </w:p>
        </w:tc>
        <w:tc>
          <w:tcPr>
            <w:tcW w:w="3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2,494</w:t>
            </w:r>
          </w:p>
        </w:tc>
        <w:tc>
          <w:tcPr>
            <w:tcW w:w="160" w:type="dxa"/>
            <w:vAlign w:val="bottom"/>
            <w:tcBorders>
              <w:right w:val="single" w:sz="8" w:color="auto"/>
            </w:tcBorders>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14,846</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13,652</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1,726</w:t>
            </w:r>
          </w:p>
        </w:tc>
        <w:tc>
          <w:tcPr>
            <w:tcW w:w="160" w:type="dxa"/>
            <w:vAlign w:val="bottom"/>
            <w:tcBorders>
              <w:right w:val="single" w:sz="8" w:color="auto"/>
            </w:tcBorders>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15,378</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Atlanta MSA</w:t>
            </w: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1,724</w:t>
            </w: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2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364</w:t>
            </w:r>
          </w:p>
        </w:tc>
        <w:tc>
          <w:tcPr>
            <w:tcW w:w="22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2,088</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2,830</w:t>
            </w:r>
          </w:p>
        </w:tc>
        <w:tc>
          <w:tcPr>
            <w:tcW w:w="1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684</w:t>
            </w:r>
          </w:p>
        </w:tc>
        <w:tc>
          <w:tcPr>
            <w:tcW w:w="220" w:type="dxa"/>
            <w:vAlign w:val="bottom"/>
            <w:shd w:val="clear" w:color="auto" w:fill="F0FFFF"/>
          </w:tcPr>
          <w:p>
            <w:pPr>
              <w:spacing w:after="0"/>
              <w:rPr>
                <w:sz w:val="16"/>
                <w:szCs w:val="16"/>
                <w:color w:val="auto"/>
              </w:rPr>
            </w:pPr>
          </w:p>
        </w:tc>
        <w:tc>
          <w:tcPr>
            <w:tcW w:w="82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3,514</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179"/>
              <w:spacing w:after="0"/>
              <w:rPr>
                <w:sz w:val="20"/>
                <w:szCs w:val="20"/>
                <w:color w:val="auto"/>
              </w:rPr>
            </w:pPr>
            <w:r>
              <w:rPr>
                <w:rFonts w:ascii="Arial" w:cs="Arial" w:eastAsia="Arial" w:hAnsi="Arial"/>
                <w:sz w:val="16"/>
                <w:szCs w:val="16"/>
                <w:color w:val="auto"/>
              </w:rPr>
              <w:t>3,096</w:t>
            </w:r>
          </w:p>
        </w:tc>
        <w:tc>
          <w:tcPr>
            <w:tcW w:w="260" w:type="dxa"/>
            <w:vAlign w:val="bottom"/>
            <w:shd w:val="clear" w:color="auto" w:fill="F0FFFF"/>
          </w:tcPr>
          <w:p>
            <w:pPr>
              <w:spacing w:after="0"/>
              <w:rPr>
                <w:sz w:val="16"/>
                <w:szCs w:val="16"/>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1,026</w:t>
            </w:r>
          </w:p>
        </w:tc>
        <w:tc>
          <w:tcPr>
            <w:tcW w:w="160" w:type="dxa"/>
            <w:vAlign w:val="bottom"/>
            <w:tcBorders>
              <w:right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4,122</w:t>
            </w:r>
          </w:p>
        </w:tc>
      </w:tr>
      <w:tr>
        <w:trPr>
          <w:trHeight w:val="194"/>
        </w:trPr>
        <w:tc>
          <w:tcPr>
            <w:tcW w:w="2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North Carolina</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4,919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398</w:t>
            </w:r>
          </w:p>
        </w:tc>
        <w:tc>
          <w:tcPr>
            <w:tcW w:w="22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5,317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6,567</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683</w:t>
            </w:r>
          </w:p>
        </w:tc>
        <w:tc>
          <w:tcPr>
            <w:tcW w:w="220" w:type="dxa"/>
            <w:vAlign w:val="bottom"/>
          </w:tcPr>
          <w:p>
            <w:pPr>
              <w:spacing w:after="0"/>
              <w:rPr>
                <w:sz w:val="16"/>
                <w:szCs w:val="16"/>
                <w:color w:val="auto"/>
              </w:rPr>
            </w:pP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7,250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5,680</w:t>
            </w: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762</w:t>
            </w:r>
          </w:p>
        </w:tc>
        <w:tc>
          <w:tcPr>
            <w:tcW w:w="24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6,442</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Coastal Georgia</w:t>
            </w: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781</w:t>
            </w: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2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160</w:t>
            </w:r>
          </w:p>
        </w:tc>
        <w:tc>
          <w:tcPr>
            <w:tcW w:w="22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2,342</w:t>
            </w:r>
          </w:p>
        </w:tc>
        <w:tc>
          <w:tcPr>
            <w:tcW w:w="1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173</w:t>
            </w:r>
          </w:p>
        </w:tc>
        <w:tc>
          <w:tcPr>
            <w:tcW w:w="220" w:type="dxa"/>
            <w:vAlign w:val="bottom"/>
            <w:shd w:val="clear" w:color="auto" w:fill="F0FFFF"/>
          </w:tcPr>
          <w:p>
            <w:pPr>
              <w:spacing w:after="0"/>
              <w:rPr>
                <w:sz w:val="16"/>
                <w:szCs w:val="16"/>
                <w:color w:val="auto"/>
              </w:rPr>
            </w:pPr>
          </w:p>
        </w:tc>
        <w:tc>
          <w:tcPr>
            <w:tcW w:w="82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2,515</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179"/>
              <w:spacing w:after="0"/>
              <w:rPr>
                <w:sz w:val="20"/>
                <w:szCs w:val="20"/>
                <w:color w:val="auto"/>
              </w:rPr>
            </w:pPr>
            <w:r>
              <w:rPr>
                <w:rFonts w:ascii="Arial" w:cs="Arial" w:eastAsia="Arial" w:hAnsi="Arial"/>
                <w:sz w:val="16"/>
                <w:szCs w:val="16"/>
                <w:color w:val="auto"/>
              </w:rPr>
              <w:t>995</w:t>
            </w: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928</w:t>
            </w:r>
          </w:p>
        </w:tc>
        <w:tc>
          <w:tcPr>
            <w:tcW w:w="24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1,923</w:t>
            </w:r>
          </w:p>
        </w:tc>
      </w:tr>
      <w:tr>
        <w:trPr>
          <w:trHeight w:val="194"/>
        </w:trPr>
        <w:tc>
          <w:tcPr>
            <w:tcW w:w="2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Gainesville MSA</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1,403</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85</w:t>
            </w:r>
          </w:p>
        </w:tc>
        <w:tc>
          <w:tcPr>
            <w:tcW w:w="22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1,488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928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1,036</w:t>
            </w: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1,036</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East Tennessee</w:t>
            </w: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1,227</w:t>
            </w: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2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245</w:t>
            </w:r>
          </w:p>
        </w:tc>
        <w:tc>
          <w:tcPr>
            <w:tcW w:w="22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1,472</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6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1,800</w:t>
            </w:r>
          </w:p>
        </w:tc>
        <w:tc>
          <w:tcPr>
            <w:tcW w:w="16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187</w:t>
            </w:r>
          </w:p>
        </w:tc>
        <w:tc>
          <w:tcPr>
            <w:tcW w:w="220" w:type="dxa"/>
            <w:vAlign w:val="bottom"/>
            <w:shd w:val="clear" w:color="auto" w:fill="F0FFFF"/>
          </w:tcPr>
          <w:p>
            <w:pPr>
              <w:spacing w:after="0"/>
              <w:rPr>
                <w:sz w:val="16"/>
                <w:szCs w:val="16"/>
                <w:color w:val="auto"/>
              </w:rPr>
            </w:pPr>
          </w:p>
        </w:tc>
        <w:tc>
          <w:tcPr>
            <w:tcW w:w="82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1,987</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179"/>
              <w:spacing w:after="0"/>
              <w:rPr>
                <w:sz w:val="20"/>
                <w:szCs w:val="20"/>
                <w:color w:val="auto"/>
              </w:rPr>
            </w:pPr>
            <w:r>
              <w:rPr>
                <w:rFonts w:ascii="Arial" w:cs="Arial" w:eastAsia="Arial" w:hAnsi="Arial"/>
                <w:sz w:val="16"/>
                <w:szCs w:val="16"/>
                <w:color w:val="auto"/>
              </w:rPr>
              <w:t>1,629</w:t>
            </w:r>
          </w:p>
        </w:tc>
        <w:tc>
          <w:tcPr>
            <w:tcW w:w="260" w:type="dxa"/>
            <w:vAlign w:val="bottom"/>
            <w:shd w:val="clear" w:color="auto" w:fill="F0FFFF"/>
          </w:tcPr>
          <w:p>
            <w:pPr>
              <w:spacing w:after="0"/>
              <w:rPr>
                <w:sz w:val="16"/>
                <w:szCs w:val="16"/>
                <w:color w:val="auto"/>
              </w:rPr>
            </w:pPr>
          </w:p>
        </w:tc>
        <w:tc>
          <w:tcPr>
            <w:tcW w:w="5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25</w:t>
            </w:r>
          </w:p>
        </w:tc>
        <w:tc>
          <w:tcPr>
            <w:tcW w:w="160" w:type="dxa"/>
            <w:vAlign w:val="bottom"/>
            <w:tcBorders>
              <w:right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1,654</w:t>
            </w:r>
          </w:p>
        </w:tc>
      </w:tr>
      <w:tr>
        <w:trPr>
          <w:trHeight w:val="194"/>
        </w:trPr>
        <w:tc>
          <w:tcPr>
            <w:tcW w:w="20" w:type="dxa"/>
            <w:vAlign w:val="bottom"/>
          </w:tcPr>
          <w:p>
            <w:pPr>
              <w:spacing w:after="0"/>
              <w:rPr>
                <w:sz w:val="16"/>
                <w:szCs w:val="16"/>
                <w:color w:val="auto"/>
              </w:rPr>
            </w:pPr>
          </w:p>
        </w:tc>
        <w:tc>
          <w:tcPr>
            <w:tcW w:w="2140" w:type="dxa"/>
            <w:vAlign w:val="bottom"/>
          </w:tcPr>
          <w:p>
            <w:pPr>
              <w:spacing w:after="0"/>
              <w:rPr>
                <w:sz w:val="20"/>
                <w:szCs w:val="20"/>
                <w:color w:val="auto"/>
              </w:rPr>
            </w:pPr>
            <w:r>
              <w:rPr>
                <w:rFonts w:ascii="Arial" w:cs="Arial" w:eastAsia="Arial" w:hAnsi="Arial"/>
                <w:sz w:val="16"/>
                <w:szCs w:val="16"/>
                <w:color w:val="auto"/>
              </w:rPr>
              <w:t>South Carolina</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945</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177</w:t>
            </w:r>
          </w:p>
        </w:tc>
        <w:tc>
          <w:tcPr>
            <w:tcW w:w="22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1,122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0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2140" w:type="dxa"/>
            <w:vAlign w:val="bottom"/>
            <w:tcBorders>
              <w:right w:val="single" w:sz="8" w:color="F0FFFF"/>
            </w:tcBorders>
            <w:shd w:val="clear" w:color="auto" w:fill="F0FFFF"/>
          </w:tcPr>
          <w:p>
            <w:pPr>
              <w:spacing w:after="0"/>
              <w:rPr>
                <w:sz w:val="20"/>
                <w:szCs w:val="20"/>
                <w:color w:val="auto"/>
              </w:rPr>
            </w:pPr>
            <w:r>
              <w:rPr>
                <w:rFonts w:ascii="Arial" w:cs="Arial" w:eastAsia="Arial" w:hAnsi="Arial"/>
                <w:sz w:val="16"/>
                <w:szCs w:val="16"/>
                <w:color w:val="auto"/>
              </w:rPr>
              <w:t>Indirect auto</w:t>
            </w:r>
          </w:p>
        </w:tc>
        <w:tc>
          <w:tcPr>
            <w:tcW w:w="100" w:type="dxa"/>
            <w:vAlign w:val="bottom"/>
            <w:shd w:val="clear" w:color="auto" w:fill="F0FFFF"/>
          </w:tcPr>
          <w:p>
            <w:pPr>
              <w:spacing w:after="0"/>
              <w:rPr>
                <w:sz w:val="16"/>
                <w:szCs w:val="16"/>
                <w:color w:val="auto"/>
              </w:rPr>
            </w:pPr>
          </w:p>
        </w:tc>
        <w:tc>
          <w:tcPr>
            <w:tcW w:w="6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354</w:t>
            </w:r>
          </w:p>
        </w:tc>
        <w:tc>
          <w:tcPr>
            <w:tcW w:w="26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720" w:type="dxa"/>
            <w:vAlign w:val="bottom"/>
            <w:tcBorders>
              <w:right w:val="single" w:sz="8" w:color="auto"/>
            </w:tcBorders>
            <w:gridSpan w:val="2"/>
            <w:shd w:val="clear" w:color="auto" w:fill="F0FF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354</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80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F0FFFF"/>
          </w:tcPr>
          <w:p>
            <w:pPr>
              <w:spacing w:after="0"/>
              <w:rPr>
                <w:sz w:val="16"/>
                <w:szCs w:val="16"/>
                <w:color w:val="auto"/>
              </w:rPr>
            </w:pPr>
          </w:p>
        </w:tc>
        <w:tc>
          <w:tcPr>
            <w:tcW w:w="82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900" w:type="dxa"/>
            <w:vAlign w:val="bottom"/>
            <w:tcBorders>
              <w:right w:val="single" w:sz="8" w:color="F0FFFF"/>
            </w:tcBorders>
            <w:gridSpan w:val="2"/>
            <w:shd w:val="clear" w:color="auto" w:fill="F0FFFF"/>
          </w:tcPr>
          <w:p>
            <w:pPr>
              <w:jc w:val="right"/>
              <w:ind w:right="179"/>
              <w:spacing w:after="0"/>
              <w:rPr>
                <w:sz w:val="20"/>
                <w:szCs w:val="20"/>
                <w:color w:val="auto"/>
              </w:rPr>
            </w:pPr>
            <w:r>
              <w:rPr>
                <w:rFonts w:ascii="Arial" w:cs="Arial" w:eastAsia="Arial" w:hAnsi="Arial"/>
                <w:sz w:val="16"/>
                <w:szCs w:val="16"/>
                <w:color w:val="auto"/>
              </w:rPr>
              <w:t>—</w:t>
            </w:r>
          </w:p>
        </w:tc>
        <w:tc>
          <w:tcPr>
            <w:tcW w:w="260" w:type="dxa"/>
            <w:vAlign w:val="bottom"/>
            <w:shd w:val="clear" w:color="auto" w:fill="F0FFFF"/>
          </w:tcPr>
          <w:p>
            <w:pPr>
              <w:spacing w:after="0"/>
              <w:rPr>
                <w:sz w:val="16"/>
                <w:szCs w:val="16"/>
                <w:color w:val="auto"/>
              </w:rPr>
            </w:pPr>
          </w:p>
        </w:tc>
        <w:tc>
          <w:tcPr>
            <w:tcW w:w="700" w:type="dxa"/>
            <w:vAlign w:val="bottom"/>
            <w:tcBorders>
              <w:right w:val="single" w:sz="8" w:color="auto"/>
            </w:tcBorders>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F0FFFF"/>
          </w:tcPr>
          <w:p>
            <w:pPr>
              <w:spacing w:after="0"/>
              <w:rPr>
                <w:sz w:val="16"/>
                <w:szCs w:val="16"/>
                <w:color w:val="auto"/>
              </w:rPr>
            </w:pPr>
          </w:p>
        </w:tc>
        <w:tc>
          <w:tcPr>
            <w:tcW w:w="800" w:type="dxa"/>
            <w:vAlign w:val="bottom"/>
            <w:tcBorders>
              <w:right w:val="single" w:sz="8" w:color="auto"/>
            </w:tcBorders>
            <w:shd w:val="clear" w:color="auto" w:fill="F0FFFF"/>
          </w:tcPr>
          <w:p>
            <w:pPr>
              <w:jc w:val="right"/>
              <w:ind w:right="99"/>
              <w:spacing w:after="0"/>
              <w:rPr>
                <w:sz w:val="20"/>
                <w:szCs w:val="20"/>
                <w:color w:val="auto"/>
              </w:rPr>
            </w:pPr>
            <w:r>
              <w:rPr>
                <w:rFonts w:ascii="Arial" w:cs="Arial" w:eastAsia="Arial" w:hAnsi="Arial"/>
                <w:sz w:val="16"/>
                <w:szCs w:val="16"/>
                <w:color w:val="auto"/>
              </w:rPr>
              <w:t>—</w:t>
            </w:r>
          </w:p>
        </w:tc>
      </w:tr>
      <w:tr>
        <w:trPr>
          <w:trHeight w:val="24"/>
        </w:trPr>
        <w:tc>
          <w:tcPr>
            <w:tcW w:w="20" w:type="dxa"/>
            <w:vAlign w:val="bottom"/>
          </w:tcPr>
          <w:p>
            <w:pPr>
              <w:spacing w:after="0"/>
              <w:rPr>
                <w:sz w:val="2"/>
                <w:szCs w:val="2"/>
                <w:color w:val="auto"/>
              </w:rPr>
            </w:pPr>
          </w:p>
        </w:tc>
        <w:tc>
          <w:tcPr>
            <w:tcW w:w="2140" w:type="dxa"/>
            <w:vAlign w:val="bottom"/>
            <w:tcBorders>
              <w:right w:val="single" w:sz="8" w:color="F0FFFF"/>
            </w:tcBorders>
            <w:shd w:val="clear" w:color="auto" w:fill="F0FF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F0FFFF"/>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F0FF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Borders>
              <w:right w:val="single" w:sz="8" w:color="F0FFFF"/>
            </w:tcBorders>
            <w:shd w:val="clear" w:color="auto" w:fill="F0FF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F0FF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tcBorders>
              <w:right w:val="single" w:sz="8" w:color="auto"/>
            </w:tcBorders>
            <w:shd w:val="clear" w:color="auto" w:fill="000000"/>
          </w:tcPr>
          <w:p>
            <w:pPr>
              <w:spacing w:after="0"/>
              <w:rPr>
                <w:sz w:val="2"/>
                <w:szCs w:val="2"/>
                <w:color w:val="auto"/>
              </w:rPr>
            </w:pPr>
          </w:p>
        </w:tc>
      </w:tr>
      <w:tr>
        <w:trPr>
          <w:trHeight w:val="194"/>
        </w:trPr>
        <w:tc>
          <w:tcPr>
            <w:tcW w:w="20" w:type="dxa"/>
            <w:vAlign w:val="bottom"/>
          </w:tcPr>
          <w:p>
            <w:pPr>
              <w:spacing w:after="0"/>
              <w:rPr>
                <w:sz w:val="16"/>
                <w:szCs w:val="16"/>
                <w:color w:val="auto"/>
              </w:rPr>
            </w:pPr>
          </w:p>
        </w:tc>
        <w:tc>
          <w:tcPr>
            <w:tcW w:w="2140" w:type="dxa"/>
            <w:vAlign w:val="bottom"/>
          </w:tcPr>
          <w:p>
            <w:pPr>
              <w:ind w:left="260"/>
              <w:spacing w:after="0"/>
              <w:rPr>
                <w:sz w:val="20"/>
                <w:szCs w:val="20"/>
                <w:color w:val="auto"/>
              </w:rPr>
            </w:pPr>
            <w:r>
              <w:rPr>
                <w:rFonts w:ascii="Arial" w:cs="Arial" w:eastAsia="Arial" w:hAnsi="Arial"/>
                <w:sz w:val="16"/>
                <w:szCs w:val="16"/>
                <w:b w:val="1"/>
                <w:bCs w:val="1"/>
                <w:color w:val="auto"/>
              </w:rPr>
              <w:t>Total NPAs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18,745</w:t>
            </w:r>
          </w:p>
        </w:tc>
        <w:tc>
          <w:tcPr>
            <w:tcW w:w="260" w:type="dxa"/>
            <w:vAlign w:val="bottom"/>
          </w:tcPr>
          <w:p>
            <w:pPr>
              <w:spacing w:after="0"/>
              <w:rPr>
                <w:sz w:val="16"/>
                <w:szCs w:val="16"/>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7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3,146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21,891</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79"/>
              <w:spacing w:after="0"/>
              <w:rPr>
                <w:sz w:val="20"/>
                <w:szCs w:val="20"/>
                <w:color w:val="auto"/>
              </w:rPr>
            </w:pPr>
            <w:r>
              <w:rPr>
                <w:rFonts w:ascii="Arial" w:cs="Arial" w:eastAsia="Arial" w:hAnsi="Arial"/>
                <w:sz w:val="16"/>
                <w:szCs w:val="16"/>
                <w:color w:val="auto"/>
              </w:rPr>
              <w:t>26,819</w:t>
            </w:r>
          </w:p>
        </w:tc>
        <w:tc>
          <w:tcPr>
            <w:tcW w:w="360" w:type="dxa"/>
            <w:vAlign w:val="bottom"/>
            <w:gridSpan w:val="2"/>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4,221</w:t>
            </w:r>
          </w:p>
        </w:tc>
        <w:tc>
          <w:tcPr>
            <w:tcW w:w="160" w:type="dxa"/>
            <w:vAlign w:val="bottom"/>
            <w:tcBorders>
              <w:right w:val="single" w:sz="8" w:color="auto"/>
            </w:tcBorders>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31,040</w:t>
            </w:r>
          </w:p>
        </w:tc>
        <w:tc>
          <w:tcPr>
            <w:tcW w:w="24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179"/>
              <w:spacing w:after="0"/>
              <w:rPr>
                <w:sz w:val="20"/>
                <w:szCs w:val="20"/>
                <w:color w:val="auto"/>
              </w:rPr>
            </w:pPr>
            <w:r>
              <w:rPr>
                <w:rFonts w:ascii="Arial" w:cs="Arial" w:eastAsia="Arial" w:hAnsi="Arial"/>
                <w:sz w:val="16"/>
                <w:szCs w:val="16"/>
                <w:color w:val="auto"/>
              </w:rPr>
              <w:t>26,088</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4,467</w:t>
            </w:r>
          </w:p>
        </w:tc>
        <w:tc>
          <w:tcPr>
            <w:tcW w:w="160" w:type="dxa"/>
            <w:vAlign w:val="bottom"/>
            <w:tcBorders>
              <w:right w:val="single" w:sz="8" w:color="auto"/>
            </w:tcBorders>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right w:val="single" w:sz="8" w:color="auto"/>
            </w:tcBorders>
          </w:tcPr>
          <w:p>
            <w:pPr>
              <w:jc w:val="right"/>
              <w:ind w:right="99"/>
              <w:spacing w:after="0"/>
              <w:rPr>
                <w:sz w:val="20"/>
                <w:szCs w:val="20"/>
                <w:color w:val="auto"/>
              </w:rPr>
            </w:pPr>
            <w:r>
              <w:rPr>
                <w:rFonts w:ascii="Arial" w:cs="Arial" w:eastAsia="Arial" w:hAnsi="Arial"/>
                <w:sz w:val="16"/>
                <w:szCs w:val="16"/>
                <w:color w:val="auto"/>
              </w:rPr>
              <w:t>30,555</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right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4"/>
          <w:szCs w:val="14"/>
          <w:color w:val="auto"/>
        </w:rPr>
        <w:t>Nonperforming assets have decreased in nearly every category and market from a year ago and the beginning of the year. The decreases reflect improving credit conditions.</w:t>
      </w:r>
    </w:p>
    <w:p>
      <w:pPr>
        <w:spacing w:after="0" w:line="251"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At September 30, 2014, December 31, 2013, and September 30, 2013, United had $88.6 million, $87.0 million and $87.3 million, respectively, in loans with terms that have been modified in troubled debt restructurings (“TDRs”). Included therein were $6.4 million, $8.25 million and $7.48 million, respectively, of TDRs that were not performing in accordance with their modified terms and were included in nonperforming loans. The remaining TDRs with an aggregate balance of $82.2 million, $78.7 million and $79.8 million, respectively, were performing according to their modified terms and are therefore not considered to be nonperforming assets.</w:t>
      </w:r>
    </w:p>
    <w:p>
      <w:pPr>
        <w:spacing w:after="0" w:line="175"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color w:val="auto"/>
        </w:rPr>
        <w:t xml:space="preserve">At September 30, 2014, December 31, 2013 and September 30, 2013, there were $109 million, $115 million and $105 million, respectively, of loans classified as impaired under the definition outlined in the Accounting Standards Codification, including TDRs which are by definition considered impaired. Included in impaired loans at September 30, 2014, December 31, 2013 and September 30, 2013 was $26.9 million, $38.9 million and $32.8 million, respectively, that did not require specific reserves or had previously been charged down to net realizable value. The balance of impaired loans at September 30, 2014, December 31, 2013 and September 30, 2013 of $82.1 million, $75.7 million and $72.5 million, respectively, had specific reserves that totaled $10.3 million, $6.02 million and $5.35 million, respectively. The average recorded investment in impaired loans for the third quarters of 2014 and 2013 was $110 million and $106 million, respectively. For the nine months ended September 30, 2014 and 2013, the average recorded investment in impaired loans was $109 million and $134 million, respectively. For the three and nine months ended September 30, 2014, United recognized $1.27 million and $3.77 million, respectively, in interest revenue on impaired loans compared to $2.48 million and $5.50 million, respectively, for the same periods of the prior year. United’s policy is to discontinue the recognition of interest revenue for loans classified as impaired under ASC 310-10-35, </w:t>
      </w:r>
      <w:r>
        <w:rPr>
          <w:rFonts w:ascii="Arial" w:cs="Arial" w:eastAsia="Arial" w:hAnsi="Arial"/>
          <w:sz w:val="15"/>
          <w:szCs w:val="15"/>
          <w:i w:val="1"/>
          <w:iCs w:val="1"/>
          <w:color w:val="auto"/>
        </w:rPr>
        <w:t>Receivables,</w:t>
      </w:r>
      <w:r>
        <w:rPr>
          <w:rFonts w:ascii="Arial" w:cs="Arial" w:eastAsia="Arial" w:hAnsi="Arial"/>
          <w:sz w:val="15"/>
          <w:szCs w:val="15"/>
          <w:color w:val="auto"/>
        </w:rPr>
        <w:t xml:space="preserve"> when a loan meets the criteria for nonaccrual status. Impaired loans increased 4% from September 30, 2013 to September 30, 2014, due primarily to the higher level of TDRs.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59" w:name="page60"/>
    <w:bookmarkEnd w:id="59"/>
    <w:p>
      <w:pPr>
        <w:jc w:val="both"/>
        <w:ind w:right="20"/>
        <w:spacing w:after="0" w:line="281" w:lineRule="auto"/>
        <w:rPr>
          <w:sz w:val="20"/>
          <w:szCs w:val="20"/>
          <w:color w:val="auto"/>
        </w:rPr>
      </w:pPr>
      <w:r>
        <w:rPr>
          <w:rFonts w:ascii="Arial" w:cs="Arial" w:eastAsia="Arial" w:hAnsi="Arial"/>
          <w:sz w:val="16"/>
          <w:szCs w:val="16"/>
          <w:color w:val="auto"/>
        </w:rPr>
        <w:t>The table below summarizes activity in nonperforming assets by quarter. Assets covered by loss-sharing agreements with the FDIC related to the acquisition of SCB, are not included in this table.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Table 12 - Activity in Nonperforming Assets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w w:val="96"/>
              </w:rPr>
              <w:t>Third Quarter 2014</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w w:val="96"/>
              </w:rPr>
              <w:t>Third Quarter 2013</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300"/>
              <w:spacing w:after="0" w:line="178" w:lineRule="exact"/>
              <w:rPr>
                <w:sz w:val="20"/>
                <w:szCs w:val="20"/>
                <w:color w:val="auto"/>
              </w:rPr>
            </w:pPr>
            <w:r>
              <w:rPr>
                <w:rFonts w:ascii="Arial" w:cs="Arial" w:eastAsia="Arial" w:hAnsi="Arial"/>
                <w:sz w:val="16"/>
                <w:szCs w:val="16"/>
                <w:b w:val="1"/>
                <w:bCs w:val="1"/>
                <w:color w:val="auto"/>
                <w:w w:val="94"/>
              </w:rPr>
              <w:t>Nonaccrual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Borders>
              <w:right w:val="single" w:sz="8" w:color="auto"/>
            </w:tcBorders>
            <w:gridSpan w:val="2"/>
          </w:tcPr>
          <w:p>
            <w:pPr>
              <w:jc w:val="right"/>
              <w:ind w:right="400"/>
              <w:spacing w:after="0" w:line="178" w:lineRule="exact"/>
              <w:rPr>
                <w:sz w:val="20"/>
                <w:szCs w:val="20"/>
                <w:color w:val="auto"/>
              </w:rPr>
            </w:pPr>
            <w:r>
              <w:rPr>
                <w:rFonts w:ascii="Arial" w:cs="Arial" w:eastAsia="Arial" w:hAnsi="Arial"/>
                <w:sz w:val="16"/>
                <w:szCs w:val="16"/>
                <w:b w:val="1"/>
                <w:bCs w:val="1"/>
                <w:color w:val="auto"/>
                <w:w w:val="88"/>
              </w:rPr>
              <w:t>Foreclosed</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Borders>
              <w:right w:val="single" w:sz="8" w:color="auto"/>
            </w:tcBorders>
          </w:tcPr>
          <w:p>
            <w:pPr>
              <w:jc w:val="right"/>
              <w:ind w:right="439"/>
              <w:spacing w:after="0" w:line="178"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280"/>
              <w:spacing w:after="0" w:line="178" w:lineRule="exact"/>
              <w:rPr>
                <w:sz w:val="20"/>
                <w:szCs w:val="20"/>
                <w:color w:val="auto"/>
              </w:rPr>
            </w:pPr>
            <w:r>
              <w:rPr>
                <w:rFonts w:ascii="Arial" w:cs="Arial" w:eastAsia="Arial" w:hAnsi="Arial"/>
                <w:sz w:val="16"/>
                <w:szCs w:val="16"/>
                <w:b w:val="1"/>
                <w:bCs w:val="1"/>
                <w:color w:val="auto"/>
                <w:w w:val="94"/>
              </w:rPr>
              <w:t>Nonaccrual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Borders>
              <w:right w:val="single" w:sz="8" w:color="auto"/>
            </w:tcBorders>
            <w:gridSpan w:val="2"/>
          </w:tcPr>
          <w:p>
            <w:pPr>
              <w:jc w:val="right"/>
              <w:ind w:right="320"/>
              <w:spacing w:after="0" w:line="178" w:lineRule="exact"/>
              <w:rPr>
                <w:sz w:val="20"/>
                <w:szCs w:val="20"/>
                <w:color w:val="auto"/>
              </w:rPr>
            </w:pPr>
            <w:r>
              <w:rPr>
                <w:rFonts w:ascii="Arial" w:cs="Arial" w:eastAsia="Arial" w:hAnsi="Arial"/>
                <w:sz w:val="16"/>
                <w:szCs w:val="16"/>
                <w:b w:val="1"/>
                <w:bCs w:val="1"/>
                <w:color w:val="auto"/>
                <w:w w:val="91"/>
              </w:rPr>
              <w:t>Foreclosed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Borders>
              <w:right w:val="single" w:sz="8" w:color="auto"/>
            </w:tcBorders>
          </w:tcPr>
          <w:p>
            <w:pPr>
              <w:jc w:val="right"/>
              <w:ind w:right="419"/>
              <w:spacing w:after="0" w:line="178" w:lineRule="exact"/>
              <w:rPr>
                <w:sz w:val="20"/>
                <w:szCs w:val="20"/>
                <w:color w:val="auto"/>
              </w:rPr>
            </w:pPr>
            <w:r>
              <w:rPr>
                <w:rFonts w:ascii="Arial" w:cs="Arial" w:eastAsia="Arial" w:hAnsi="Arial"/>
                <w:sz w:val="16"/>
                <w:szCs w:val="16"/>
                <w:b w:val="1"/>
                <w:bCs w:val="1"/>
                <w:color w:val="auto"/>
              </w:rPr>
              <w:t>Total</w:t>
            </w: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Loans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w w:val="93"/>
              </w:rPr>
              <w:t>Properties</w:t>
            </w:r>
          </w:p>
        </w:tc>
        <w:tc>
          <w:tcPr>
            <w:tcW w:w="140" w:type="dxa"/>
            <w:vAlign w:val="bottom"/>
            <w:tcBorders>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NPAs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Loans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Properties</w:t>
            </w:r>
          </w:p>
        </w:tc>
        <w:tc>
          <w:tcPr>
            <w:tcW w:w="12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NPAs</w:t>
            </w: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20,724</w:t>
            </w:r>
          </w:p>
        </w:tc>
        <w:tc>
          <w:tcPr>
            <w:tcW w:w="120" w:type="dxa"/>
            <w:vAlign w:val="bottom"/>
            <w:shd w:val="clear" w:color="auto" w:fill="F0FFFF"/>
          </w:tcPr>
          <w:p>
            <w:pPr>
              <w:spacing w:after="0"/>
              <w:rPr>
                <w:sz w:val="16"/>
                <w:szCs w:val="16"/>
                <w:color w:val="auto"/>
              </w:rPr>
            </w:pP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2,969</w:t>
            </w:r>
          </w:p>
        </w:tc>
        <w:tc>
          <w:tcPr>
            <w:tcW w:w="60" w:type="dxa"/>
            <w:vAlign w:val="bottom"/>
            <w:shd w:val="clear" w:color="auto" w:fill="F0FFFF"/>
          </w:tcPr>
          <w:p>
            <w:pPr>
              <w:spacing w:after="0"/>
              <w:rPr>
                <w:sz w:val="16"/>
                <w:szCs w:val="16"/>
                <w:color w:val="auto"/>
              </w:rPr>
            </w:pPr>
          </w:p>
        </w:tc>
        <w:tc>
          <w:tcPr>
            <w:tcW w:w="28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23,693</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27,864</w:t>
            </w:r>
          </w:p>
        </w:tc>
        <w:tc>
          <w:tcPr>
            <w:tcW w:w="24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3,936</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31,800</w:t>
            </w: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Loans placed on non-accrual</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7,665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7,665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9,959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9,959</w:t>
            </w: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Payments received</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(3,129)</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104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(3,129)</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(3,601)</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(3,601)</w:t>
            </w: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Loan charge-offs</w:t>
            </w:r>
          </w:p>
        </w:tc>
        <w:tc>
          <w:tcPr>
            <w:tcW w:w="1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(4,353)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(4,353)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(5,395)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(5,395)</w:t>
            </w: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Foreclosures</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(2,162)</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2,162</w:t>
            </w:r>
          </w:p>
        </w:tc>
        <w:tc>
          <w:tcPr>
            <w:tcW w:w="6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104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(2,739)</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2,739</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Capitalized costs</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209</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7</w:t>
            </w: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Property sales</w:t>
            </w:r>
          </w:p>
        </w:tc>
        <w:tc>
          <w:tcPr>
            <w:tcW w:w="12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8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(2,350)</w:t>
            </w:r>
          </w:p>
        </w:tc>
        <w:tc>
          <w:tcPr>
            <w:tcW w:w="6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104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(2,350)</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2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(2,534)</w:t>
            </w:r>
          </w:p>
        </w:tc>
        <w:tc>
          <w:tcPr>
            <w:tcW w:w="8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(2,534)</w:t>
            </w: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Write downs</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(329)</w:t>
            </w:r>
          </w:p>
        </w:tc>
      </w:tr>
      <w:tr>
        <w:trPr>
          <w:trHeight w:val="198"/>
        </w:trPr>
        <w:tc>
          <w:tcPr>
            <w:tcW w:w="20" w:type="dxa"/>
            <w:vAlign w:val="bottom"/>
          </w:tcPr>
          <w:p>
            <w:pPr>
              <w:spacing w:after="0"/>
              <w:rPr>
                <w:sz w:val="17"/>
                <w:szCs w:val="17"/>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Net gains on sales</w:t>
            </w:r>
          </w:p>
        </w:tc>
        <w:tc>
          <w:tcPr>
            <w:tcW w:w="120" w:type="dxa"/>
            <w:vAlign w:val="bottom"/>
            <w:shd w:val="clear" w:color="auto" w:fill="F0FFFF"/>
          </w:tcPr>
          <w:p>
            <w:pPr>
              <w:spacing w:after="0"/>
              <w:rPr>
                <w:sz w:val="17"/>
                <w:szCs w:val="17"/>
                <w:color w:val="auto"/>
              </w:rPr>
            </w:pPr>
          </w:p>
        </w:tc>
        <w:tc>
          <w:tcPr>
            <w:tcW w:w="11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8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264</w:t>
            </w:r>
          </w:p>
        </w:tc>
        <w:tc>
          <w:tcPr>
            <w:tcW w:w="60" w:type="dxa"/>
            <w:vAlign w:val="bottom"/>
            <w:shd w:val="clear" w:color="auto" w:fill="F0FFFF"/>
          </w:tcPr>
          <w:p>
            <w:pPr>
              <w:spacing w:after="0"/>
              <w:rPr>
                <w:sz w:val="17"/>
                <w:szCs w:val="17"/>
                <w:color w:val="auto"/>
              </w:rPr>
            </w:pPr>
          </w:p>
        </w:tc>
        <w:tc>
          <w:tcPr>
            <w:tcW w:w="280" w:type="dxa"/>
            <w:vAlign w:val="bottom"/>
            <w:shd w:val="clear" w:color="auto" w:fill="F0FFFF"/>
          </w:tcPr>
          <w:p>
            <w:pPr>
              <w:spacing w:after="0"/>
              <w:rPr>
                <w:sz w:val="17"/>
                <w:szCs w:val="17"/>
                <w:color w:val="auto"/>
              </w:rPr>
            </w:pPr>
          </w:p>
        </w:tc>
        <w:tc>
          <w:tcPr>
            <w:tcW w:w="104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264</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1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2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648</w:t>
            </w:r>
          </w:p>
        </w:tc>
        <w:tc>
          <w:tcPr>
            <w:tcW w:w="80" w:type="dxa"/>
            <w:vAlign w:val="bottom"/>
            <w:shd w:val="clear" w:color="auto" w:fill="F0FFFF"/>
          </w:tcPr>
          <w:p>
            <w:pPr>
              <w:spacing w:after="0"/>
              <w:rPr>
                <w:sz w:val="17"/>
                <w:szCs w:val="17"/>
                <w:color w:val="auto"/>
              </w:rPr>
            </w:pPr>
          </w:p>
        </w:tc>
        <w:tc>
          <w:tcPr>
            <w:tcW w:w="240" w:type="dxa"/>
            <w:vAlign w:val="bottom"/>
            <w:shd w:val="clear" w:color="auto" w:fill="F0FFFF"/>
          </w:tcPr>
          <w:p>
            <w:pPr>
              <w:spacing w:after="0"/>
              <w:rPr>
                <w:sz w:val="17"/>
                <w:szCs w:val="17"/>
                <w:color w:val="auto"/>
              </w:rPr>
            </w:pPr>
          </w:p>
        </w:tc>
        <w:tc>
          <w:tcPr>
            <w:tcW w:w="102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648</w:t>
            </w:r>
          </w:p>
        </w:tc>
      </w:tr>
      <w:tr>
        <w:trPr>
          <w:trHeight w:val="194"/>
        </w:trPr>
        <w:tc>
          <w:tcPr>
            <w:tcW w:w="20" w:type="dxa"/>
            <w:vAlign w:val="bottom"/>
          </w:tcPr>
          <w:p>
            <w:pPr>
              <w:spacing w:after="0"/>
              <w:rPr>
                <w:sz w:val="16"/>
                <w:szCs w:val="16"/>
                <w:color w:val="auto"/>
              </w:rPr>
            </w:pPr>
          </w:p>
        </w:tc>
        <w:tc>
          <w:tcPr>
            <w:tcW w:w="3320" w:type="dxa"/>
            <w:vAlign w:val="bottom"/>
            <w:tcBorders>
              <w:top w:val="single" w:sz="8" w:color="F0FFFF"/>
            </w:tcBorders>
          </w:tcPr>
          <w:p>
            <w:pPr>
              <w:ind w:left="12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18,745</w:t>
            </w: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F0FF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140" w:type="dxa"/>
            <w:vAlign w:val="bottom"/>
            <w:tcBorders>
              <w:top w:val="single" w:sz="8" w:color="F0FFFF"/>
              <w:right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21,891</w:t>
            </w: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26,088</w:t>
            </w:r>
          </w:p>
        </w:tc>
        <w:tc>
          <w:tcPr>
            <w:tcW w:w="100" w:type="dxa"/>
            <w:vAlign w:val="bottom"/>
            <w:tcBorders>
              <w:top w:val="single" w:sz="8" w:color="F0FFFF"/>
            </w:tcBorders>
          </w:tcPr>
          <w:p>
            <w:pPr>
              <w:spacing w:after="0"/>
              <w:rPr>
                <w:sz w:val="16"/>
                <w:szCs w:val="16"/>
                <w:color w:val="auto"/>
              </w:rPr>
            </w:pPr>
          </w:p>
        </w:tc>
        <w:tc>
          <w:tcPr>
            <w:tcW w:w="100" w:type="dxa"/>
            <w:vAlign w:val="bottom"/>
            <w:tcBorders>
              <w:top w:val="single" w:sz="8" w:color="F0FF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4,467</w:t>
            </w:r>
          </w:p>
        </w:tc>
        <w:tc>
          <w:tcPr>
            <w:tcW w:w="120" w:type="dxa"/>
            <w:vAlign w:val="bottom"/>
            <w:tcBorders>
              <w:top w:val="single" w:sz="8" w:color="F0FFFF"/>
              <w:right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30,555</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5"/>
          </w:tcPr>
          <w:p>
            <w:pPr>
              <w:jc w:val="right"/>
              <w:ind w:right="99"/>
              <w:spacing w:after="0"/>
              <w:rPr>
                <w:sz w:val="20"/>
                <w:szCs w:val="20"/>
                <w:color w:val="auto"/>
              </w:rPr>
            </w:pPr>
            <w:r>
              <w:rPr>
                <w:rFonts w:ascii="Arial" w:cs="Arial" w:eastAsia="Arial" w:hAnsi="Arial"/>
                <w:sz w:val="16"/>
                <w:szCs w:val="16"/>
                <w:b w:val="1"/>
                <w:bCs w:val="1"/>
                <w:color w:val="auto"/>
                <w:w w:val="92"/>
              </w:rPr>
              <w:t>First Nine Months 2014</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6"/>
                <w:szCs w:val="16"/>
                <w:b w:val="1"/>
                <w:bCs w:val="1"/>
                <w:color w:val="auto"/>
                <w:w w:val="92"/>
              </w:rPr>
              <w:t>First Nine Months 2013</w:t>
            </w:r>
          </w:p>
        </w:tc>
        <w:tc>
          <w:tcPr>
            <w:tcW w:w="1020" w:type="dxa"/>
            <w:vAlign w:val="bottom"/>
            <w:tcBorders>
              <w:bottom w:val="single" w:sz="8" w:color="auto"/>
            </w:tcBorders>
          </w:tcPr>
          <w:p>
            <w:pPr>
              <w:spacing w:after="0"/>
              <w:rPr>
                <w:sz w:val="18"/>
                <w:szCs w:val="18"/>
                <w:color w:val="auto"/>
              </w:rPr>
            </w:pPr>
          </w:p>
        </w:tc>
      </w:tr>
      <w:tr>
        <w:trPr>
          <w:trHeight w:val="177"/>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right"/>
              <w:ind w:right="240"/>
              <w:spacing w:after="0" w:line="178" w:lineRule="exact"/>
              <w:rPr>
                <w:sz w:val="20"/>
                <w:szCs w:val="20"/>
                <w:color w:val="auto"/>
              </w:rPr>
            </w:pPr>
            <w:r>
              <w:rPr>
                <w:rFonts w:ascii="Arial" w:cs="Arial" w:eastAsia="Arial" w:hAnsi="Arial"/>
                <w:sz w:val="16"/>
                <w:szCs w:val="16"/>
                <w:b w:val="1"/>
                <w:bCs w:val="1"/>
                <w:color w:val="auto"/>
                <w:w w:val="94"/>
              </w:rPr>
              <w:t>Nonaccrual</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Borders>
              <w:right w:val="single" w:sz="8" w:color="auto"/>
            </w:tcBorders>
            <w:gridSpan w:val="2"/>
          </w:tcPr>
          <w:p>
            <w:pPr>
              <w:jc w:val="right"/>
              <w:ind w:right="340"/>
              <w:spacing w:after="0" w:line="178" w:lineRule="exact"/>
              <w:rPr>
                <w:sz w:val="20"/>
                <w:szCs w:val="20"/>
                <w:color w:val="auto"/>
              </w:rPr>
            </w:pPr>
            <w:r>
              <w:rPr>
                <w:rFonts w:ascii="Arial" w:cs="Arial" w:eastAsia="Arial" w:hAnsi="Arial"/>
                <w:sz w:val="16"/>
                <w:szCs w:val="16"/>
                <w:b w:val="1"/>
                <w:bCs w:val="1"/>
                <w:color w:val="auto"/>
                <w:w w:val="93"/>
              </w:rPr>
              <w:t>Foreclosed</w:t>
            </w:r>
          </w:p>
        </w:tc>
        <w:tc>
          <w:tcPr>
            <w:tcW w:w="340" w:type="dxa"/>
            <w:vAlign w:val="bottom"/>
          </w:tcPr>
          <w:p>
            <w:pPr>
              <w:spacing w:after="0"/>
              <w:rPr>
                <w:sz w:val="15"/>
                <w:szCs w:val="15"/>
                <w:color w:val="auto"/>
              </w:rPr>
            </w:pPr>
          </w:p>
        </w:tc>
        <w:tc>
          <w:tcPr>
            <w:tcW w:w="1040" w:type="dxa"/>
            <w:vAlign w:val="bottom"/>
            <w:tcBorders>
              <w:right w:val="single" w:sz="8" w:color="auto"/>
            </w:tcBorders>
          </w:tcPr>
          <w:p>
            <w:pPr>
              <w:jc w:val="right"/>
              <w:ind w:right="439"/>
              <w:spacing w:after="0" w:line="178" w:lineRule="exact"/>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299"/>
              <w:spacing w:after="0" w:line="178" w:lineRule="exact"/>
              <w:rPr>
                <w:sz w:val="20"/>
                <w:szCs w:val="20"/>
                <w:color w:val="auto"/>
              </w:rPr>
            </w:pPr>
            <w:r>
              <w:rPr>
                <w:rFonts w:ascii="Arial" w:cs="Arial" w:eastAsia="Arial" w:hAnsi="Arial"/>
                <w:sz w:val="16"/>
                <w:szCs w:val="16"/>
                <w:b w:val="1"/>
                <w:bCs w:val="1"/>
                <w:color w:val="auto"/>
                <w:w w:val="94"/>
              </w:rPr>
              <w:t>Nonaccrual</w:t>
            </w:r>
          </w:p>
        </w:tc>
        <w:tc>
          <w:tcPr>
            <w:tcW w:w="160" w:type="dxa"/>
            <w:vAlign w:val="bottom"/>
          </w:tcPr>
          <w:p>
            <w:pPr>
              <w:spacing w:after="0"/>
              <w:rPr>
                <w:sz w:val="15"/>
                <w:szCs w:val="15"/>
                <w:color w:val="auto"/>
              </w:rPr>
            </w:pPr>
          </w:p>
        </w:tc>
        <w:tc>
          <w:tcPr>
            <w:tcW w:w="1100" w:type="dxa"/>
            <w:vAlign w:val="bottom"/>
            <w:tcBorders>
              <w:right w:val="single" w:sz="8" w:color="auto"/>
            </w:tcBorders>
            <w:gridSpan w:val="2"/>
          </w:tcPr>
          <w:p>
            <w:pPr>
              <w:jc w:val="right"/>
              <w:ind w:right="280"/>
              <w:spacing w:after="0" w:line="178" w:lineRule="exact"/>
              <w:rPr>
                <w:sz w:val="20"/>
                <w:szCs w:val="20"/>
                <w:color w:val="auto"/>
              </w:rPr>
            </w:pPr>
            <w:r>
              <w:rPr>
                <w:rFonts w:ascii="Arial" w:cs="Arial" w:eastAsia="Arial" w:hAnsi="Arial"/>
                <w:sz w:val="16"/>
                <w:szCs w:val="16"/>
                <w:b w:val="1"/>
                <w:bCs w:val="1"/>
                <w:color w:val="auto"/>
                <w:w w:val="93"/>
              </w:rPr>
              <w:t>Foreclosed</w:t>
            </w:r>
          </w:p>
        </w:tc>
        <w:tc>
          <w:tcPr>
            <w:tcW w:w="320" w:type="dxa"/>
            <w:vAlign w:val="bottom"/>
          </w:tcPr>
          <w:p>
            <w:pPr>
              <w:spacing w:after="0"/>
              <w:rPr>
                <w:sz w:val="15"/>
                <w:szCs w:val="15"/>
                <w:color w:val="auto"/>
              </w:rPr>
            </w:pPr>
          </w:p>
        </w:tc>
        <w:tc>
          <w:tcPr>
            <w:tcW w:w="1020" w:type="dxa"/>
            <w:vAlign w:val="bottom"/>
            <w:tcBorders>
              <w:right w:val="single" w:sz="8" w:color="auto"/>
            </w:tcBorders>
          </w:tcPr>
          <w:p>
            <w:pPr>
              <w:jc w:val="right"/>
              <w:ind w:right="419"/>
              <w:spacing w:after="0" w:line="178" w:lineRule="exact"/>
              <w:rPr>
                <w:sz w:val="20"/>
                <w:szCs w:val="20"/>
                <w:color w:val="auto"/>
              </w:rPr>
            </w:pPr>
            <w:r>
              <w:rPr>
                <w:rFonts w:ascii="Arial" w:cs="Arial" w:eastAsia="Arial" w:hAnsi="Arial"/>
                <w:sz w:val="16"/>
                <w:szCs w:val="16"/>
                <w:b w:val="1"/>
                <w:bCs w:val="1"/>
                <w:color w:val="auto"/>
              </w:rPr>
              <w:t>Total</w:t>
            </w:r>
          </w:p>
        </w:tc>
      </w:tr>
      <w:tr>
        <w:trPr>
          <w:trHeight w:val="215"/>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Loans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Properties</w:t>
            </w:r>
          </w:p>
        </w:tc>
        <w:tc>
          <w:tcPr>
            <w:tcW w:w="140" w:type="dxa"/>
            <w:vAlign w:val="bottom"/>
            <w:tcBorders>
              <w:right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NPAs</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Loans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Properties</w:t>
            </w:r>
          </w:p>
        </w:tc>
        <w:tc>
          <w:tcPr>
            <w:tcW w:w="120" w:type="dxa"/>
            <w:vAlign w:val="bottom"/>
            <w:tcBorders>
              <w:right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NPAs</w:t>
            </w: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Beginning Balance</w:t>
            </w:r>
          </w:p>
        </w:tc>
        <w:tc>
          <w:tcPr>
            <w:tcW w:w="120" w:type="dxa"/>
            <w:vAlign w:val="bottom"/>
            <w:shd w:val="clear" w:color="auto" w:fill="F0FF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F0FFFF"/>
          </w:tcPr>
          <w:p>
            <w:pPr>
              <w:jc w:val="right"/>
              <w:spacing w:after="0"/>
              <w:rPr>
                <w:sz w:val="20"/>
                <w:szCs w:val="20"/>
                <w:color w:val="auto"/>
              </w:rPr>
            </w:pPr>
            <w:r>
              <w:rPr>
                <w:rFonts w:ascii="Arial" w:cs="Arial" w:eastAsia="Arial" w:hAnsi="Arial"/>
                <w:sz w:val="16"/>
                <w:szCs w:val="16"/>
                <w:color w:val="auto"/>
              </w:rPr>
              <w:t>26,819</w:t>
            </w:r>
          </w:p>
        </w:tc>
        <w:tc>
          <w:tcPr>
            <w:tcW w:w="60" w:type="dxa"/>
            <w:vAlign w:val="bottom"/>
            <w:shd w:val="clear" w:color="auto" w:fill="F0FFFF"/>
          </w:tcPr>
          <w:p>
            <w:pPr>
              <w:spacing w:after="0"/>
              <w:rPr>
                <w:sz w:val="16"/>
                <w:szCs w:val="16"/>
                <w:color w:val="auto"/>
              </w:rPr>
            </w:pPr>
          </w:p>
        </w:tc>
        <w:tc>
          <w:tcPr>
            <w:tcW w:w="3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4,221</w:t>
            </w:r>
          </w:p>
        </w:tc>
        <w:tc>
          <w:tcPr>
            <w:tcW w:w="340" w:type="dxa"/>
            <w:vAlign w:val="bottom"/>
            <w:shd w:val="clear" w:color="auto" w:fill="F0FF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31,040</w:t>
            </w:r>
          </w:p>
        </w:tc>
        <w:tc>
          <w:tcPr>
            <w:tcW w:w="22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109,894</w:t>
            </w:r>
          </w:p>
        </w:tc>
        <w:tc>
          <w:tcPr>
            <w:tcW w:w="160" w:type="dxa"/>
            <w:vAlign w:val="bottom"/>
            <w:shd w:val="clear" w:color="auto" w:fill="F0FF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18,264</w:t>
            </w:r>
          </w:p>
        </w:tc>
        <w:tc>
          <w:tcPr>
            <w:tcW w:w="320" w:type="dxa"/>
            <w:vAlign w:val="bottom"/>
            <w:shd w:val="clear" w:color="auto" w:fill="F0FFFF"/>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128,158</w:t>
            </w: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Loans placed on non-accrual</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26,497</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26,497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32,824</w:t>
            </w:r>
          </w:p>
        </w:tc>
        <w:tc>
          <w:tcPr>
            <w:tcW w:w="16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32,824</w:t>
            </w: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Payments received</w:t>
            </w:r>
          </w:p>
        </w:tc>
        <w:tc>
          <w:tcPr>
            <w:tcW w:w="12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(8,822)</w:t>
            </w:r>
          </w:p>
        </w:tc>
        <w:tc>
          <w:tcPr>
            <w:tcW w:w="1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shd w:val="clear" w:color="auto" w:fill="F0FFFF"/>
          </w:tcPr>
          <w:p>
            <w:pPr>
              <w:spacing w:after="0"/>
              <w:rPr>
                <w:sz w:val="16"/>
                <w:szCs w:val="16"/>
                <w:color w:val="auto"/>
              </w:rPr>
            </w:pPr>
          </w:p>
        </w:tc>
        <w:tc>
          <w:tcPr>
            <w:tcW w:w="104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(8,822)</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(58,347)</w:t>
            </w:r>
          </w:p>
        </w:tc>
        <w:tc>
          <w:tcPr>
            <w:tcW w:w="160" w:type="dxa"/>
            <w:vAlign w:val="bottom"/>
            <w:shd w:val="clear" w:color="auto" w:fill="F0FFFF"/>
          </w:tcPr>
          <w:p>
            <w:pPr>
              <w:spacing w:after="0"/>
              <w:rPr>
                <w:sz w:val="16"/>
                <w:szCs w:val="16"/>
                <w:color w:val="auto"/>
              </w:rPr>
            </w:pPr>
          </w:p>
        </w:tc>
        <w:tc>
          <w:tcPr>
            <w:tcW w:w="110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shd w:val="clear" w:color="auto" w:fill="F0FFFF"/>
          </w:tcPr>
          <w:p>
            <w:pPr>
              <w:spacing w:after="0"/>
              <w:rPr>
                <w:sz w:val="16"/>
                <w:szCs w:val="16"/>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(58,347)</w:t>
            </w: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Loan charge-offs</w:t>
            </w:r>
          </w:p>
        </w:tc>
        <w:tc>
          <w:tcPr>
            <w:tcW w:w="12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(17,533)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(17,533)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79"/>
              <w:spacing w:after="0"/>
              <w:rPr>
                <w:sz w:val="20"/>
                <w:szCs w:val="20"/>
                <w:color w:val="auto"/>
              </w:rPr>
            </w:pPr>
            <w:r>
              <w:rPr>
                <w:rFonts w:ascii="Arial" w:cs="Arial" w:eastAsia="Arial" w:hAnsi="Arial"/>
                <w:sz w:val="16"/>
                <w:szCs w:val="16"/>
                <w:color w:val="auto"/>
              </w:rPr>
              <w:t>(39,823)</w:t>
            </w:r>
          </w:p>
        </w:tc>
        <w:tc>
          <w:tcPr>
            <w:tcW w:w="16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6"/>
                <w:szCs w:val="16"/>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(39,823)</w:t>
            </w: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Foreclosures</w:t>
            </w:r>
          </w:p>
        </w:tc>
        <w:tc>
          <w:tcPr>
            <w:tcW w:w="12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spacing w:after="0"/>
              <w:rPr>
                <w:sz w:val="20"/>
                <w:szCs w:val="20"/>
                <w:color w:val="auto"/>
              </w:rPr>
            </w:pPr>
            <w:r>
              <w:rPr>
                <w:rFonts w:ascii="Arial" w:cs="Arial" w:eastAsia="Arial" w:hAnsi="Arial"/>
                <w:sz w:val="16"/>
                <w:szCs w:val="16"/>
                <w:color w:val="auto"/>
              </w:rPr>
              <w:t>(8,216)</w:t>
            </w:r>
          </w:p>
        </w:tc>
        <w:tc>
          <w:tcPr>
            <w:tcW w:w="1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8,216</w:t>
            </w:r>
          </w:p>
        </w:tc>
        <w:tc>
          <w:tcPr>
            <w:tcW w:w="340" w:type="dxa"/>
            <w:vAlign w:val="bottom"/>
            <w:shd w:val="clear" w:color="auto" w:fill="F0FFFF"/>
          </w:tcPr>
          <w:p>
            <w:pPr>
              <w:spacing w:after="0"/>
              <w:rPr>
                <w:sz w:val="16"/>
                <w:szCs w:val="16"/>
                <w:color w:val="auto"/>
              </w:rPr>
            </w:pPr>
          </w:p>
        </w:tc>
        <w:tc>
          <w:tcPr>
            <w:tcW w:w="104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79"/>
              <w:spacing w:after="0"/>
              <w:rPr>
                <w:sz w:val="20"/>
                <w:szCs w:val="20"/>
                <w:color w:val="auto"/>
              </w:rPr>
            </w:pPr>
            <w:r>
              <w:rPr>
                <w:rFonts w:ascii="Arial" w:cs="Arial" w:eastAsia="Arial" w:hAnsi="Arial"/>
                <w:sz w:val="16"/>
                <w:szCs w:val="16"/>
                <w:color w:val="auto"/>
              </w:rPr>
              <w:t>(18,460)</w:t>
            </w:r>
          </w:p>
        </w:tc>
        <w:tc>
          <w:tcPr>
            <w:tcW w:w="160" w:type="dxa"/>
            <w:vAlign w:val="bottom"/>
            <w:shd w:val="clear" w:color="auto" w:fill="F0FFFF"/>
          </w:tcPr>
          <w:p>
            <w:pPr>
              <w:spacing w:after="0"/>
              <w:rPr>
                <w:sz w:val="16"/>
                <w:szCs w:val="16"/>
                <w:color w:val="auto"/>
              </w:rPr>
            </w:pPr>
          </w:p>
        </w:tc>
        <w:tc>
          <w:tcPr>
            <w:tcW w:w="1100" w:type="dxa"/>
            <w:vAlign w:val="bottom"/>
            <w:tcBorders>
              <w:right w:val="single" w:sz="8" w:color="auto"/>
            </w:tcBorders>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18,460</w:t>
            </w:r>
          </w:p>
        </w:tc>
        <w:tc>
          <w:tcPr>
            <w:tcW w:w="320" w:type="dxa"/>
            <w:vAlign w:val="bottom"/>
            <w:shd w:val="clear" w:color="auto" w:fill="F0FFFF"/>
          </w:tcPr>
          <w:p>
            <w:pPr>
              <w:spacing w:after="0"/>
              <w:rPr>
                <w:sz w:val="16"/>
                <w:szCs w:val="16"/>
                <w:color w:val="auto"/>
              </w:rPr>
            </w:pPr>
          </w:p>
        </w:tc>
        <w:tc>
          <w:tcPr>
            <w:tcW w:w="102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w:t>
            </w: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Capitalized costs</w:t>
            </w:r>
          </w:p>
        </w:tc>
        <w:tc>
          <w:tcPr>
            <w:tcW w:w="1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209</w:t>
            </w:r>
          </w:p>
        </w:tc>
        <w:tc>
          <w:tcPr>
            <w:tcW w:w="340" w:type="dxa"/>
            <w:vAlign w:val="bottom"/>
          </w:tcPr>
          <w:p>
            <w:pPr>
              <w:spacing w:after="0"/>
              <w:rPr>
                <w:sz w:val="16"/>
                <w:szCs w:val="16"/>
                <w:color w:val="auto"/>
              </w:rPr>
            </w:pPr>
          </w:p>
        </w:tc>
        <w:tc>
          <w:tcPr>
            <w:tcW w:w="104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6"/>
                <w:szCs w:val="16"/>
                <w:color w:val="auto"/>
              </w:rPr>
              <w:t>116</w:t>
            </w:r>
          </w:p>
        </w:tc>
        <w:tc>
          <w:tcPr>
            <w:tcW w:w="320" w:type="dxa"/>
            <w:vAlign w:val="bottom"/>
          </w:tcPr>
          <w:p>
            <w:pPr>
              <w:spacing w:after="0"/>
              <w:rPr>
                <w:sz w:val="16"/>
                <w:szCs w:val="16"/>
                <w:color w:val="auto"/>
              </w:rPr>
            </w:pPr>
          </w:p>
        </w:tc>
        <w:tc>
          <w:tcPr>
            <w:tcW w:w="1020" w:type="dxa"/>
            <w:vAlign w:val="bottom"/>
            <w:tcBorders>
              <w:right w:val="single" w:sz="8" w:color="auto"/>
            </w:tcBorders>
          </w:tcPr>
          <w:p>
            <w:pPr>
              <w:jc w:val="right"/>
              <w:ind w:right="39"/>
              <w:spacing w:after="0"/>
              <w:rPr>
                <w:sz w:val="20"/>
                <w:szCs w:val="20"/>
                <w:color w:val="auto"/>
              </w:rPr>
            </w:pPr>
            <w:r>
              <w:rPr>
                <w:rFonts w:ascii="Arial" w:cs="Arial" w:eastAsia="Arial" w:hAnsi="Arial"/>
                <w:sz w:val="16"/>
                <w:szCs w:val="16"/>
                <w:color w:val="auto"/>
              </w:rPr>
              <w:t>116</w:t>
            </w:r>
          </w:p>
        </w:tc>
      </w:tr>
      <w:tr>
        <w:trPr>
          <w:trHeight w:val="194"/>
        </w:trPr>
        <w:tc>
          <w:tcPr>
            <w:tcW w:w="20" w:type="dxa"/>
            <w:vAlign w:val="bottom"/>
          </w:tcPr>
          <w:p>
            <w:pPr>
              <w:spacing w:after="0"/>
              <w:rPr>
                <w:sz w:val="16"/>
                <w:szCs w:val="16"/>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Note / property sales</w:t>
            </w:r>
          </w:p>
        </w:tc>
        <w:tc>
          <w:tcPr>
            <w:tcW w:w="120" w:type="dxa"/>
            <w:vAlign w:val="bottom"/>
            <w:shd w:val="clear" w:color="auto" w:fill="F0FFFF"/>
          </w:tcPr>
          <w:p>
            <w:pPr>
              <w:spacing w:after="0"/>
              <w:rPr>
                <w:sz w:val="16"/>
                <w:szCs w:val="16"/>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16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(10,018)</w:t>
            </w:r>
          </w:p>
        </w:tc>
        <w:tc>
          <w:tcPr>
            <w:tcW w:w="340" w:type="dxa"/>
            <w:vAlign w:val="bottom"/>
            <w:shd w:val="clear" w:color="auto" w:fill="F0FFFF"/>
          </w:tcPr>
          <w:p>
            <w:pPr>
              <w:spacing w:after="0"/>
              <w:rPr>
                <w:sz w:val="16"/>
                <w:szCs w:val="16"/>
                <w:color w:val="auto"/>
              </w:rPr>
            </w:pPr>
          </w:p>
        </w:tc>
        <w:tc>
          <w:tcPr>
            <w:tcW w:w="104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(10,018)</w:t>
            </w: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22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6"/>
                <w:szCs w:val="16"/>
                <w:color w:val="auto"/>
              </w:rPr>
            </w:pPr>
          </w:p>
        </w:tc>
        <w:tc>
          <w:tcPr>
            <w:tcW w:w="110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(27,232)</w:t>
            </w:r>
          </w:p>
        </w:tc>
        <w:tc>
          <w:tcPr>
            <w:tcW w:w="320" w:type="dxa"/>
            <w:vAlign w:val="bottom"/>
            <w:shd w:val="clear" w:color="auto" w:fill="F0FFFF"/>
          </w:tcPr>
          <w:p>
            <w:pPr>
              <w:spacing w:after="0"/>
              <w:rPr>
                <w:sz w:val="16"/>
                <w:szCs w:val="16"/>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(27,232)</w:t>
            </w:r>
          </w:p>
        </w:tc>
      </w:tr>
      <w:tr>
        <w:trPr>
          <w:trHeight w:val="194"/>
        </w:trPr>
        <w:tc>
          <w:tcPr>
            <w:tcW w:w="20" w:type="dxa"/>
            <w:vAlign w:val="bottom"/>
          </w:tcPr>
          <w:p>
            <w:pPr>
              <w:spacing w:after="0"/>
              <w:rPr>
                <w:sz w:val="16"/>
                <w:szCs w:val="16"/>
                <w:color w:val="auto"/>
              </w:rPr>
            </w:pPr>
          </w:p>
        </w:tc>
        <w:tc>
          <w:tcPr>
            <w:tcW w:w="3320" w:type="dxa"/>
            <w:vAlign w:val="bottom"/>
          </w:tcPr>
          <w:p>
            <w:pPr>
              <w:spacing w:after="0"/>
              <w:rPr>
                <w:sz w:val="20"/>
                <w:szCs w:val="20"/>
                <w:color w:val="auto"/>
              </w:rPr>
            </w:pPr>
            <w:r>
              <w:rPr>
                <w:rFonts w:ascii="Arial" w:cs="Arial" w:eastAsia="Arial" w:hAnsi="Arial"/>
                <w:sz w:val="16"/>
                <w:szCs w:val="16"/>
                <w:color w:val="auto"/>
              </w:rPr>
              <w:t>Write downs</w:t>
            </w:r>
          </w:p>
        </w:tc>
        <w:tc>
          <w:tcPr>
            <w:tcW w:w="120" w:type="dxa"/>
            <w:vAlign w:val="bottom"/>
          </w:tcPr>
          <w:p>
            <w:pPr>
              <w:spacing w:after="0"/>
              <w:rPr>
                <w:sz w:val="16"/>
                <w:szCs w:val="16"/>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(690)</w:t>
            </w:r>
          </w:p>
        </w:tc>
        <w:tc>
          <w:tcPr>
            <w:tcW w:w="340" w:type="dxa"/>
            <w:vAlign w:val="bottom"/>
          </w:tcPr>
          <w:p>
            <w:pPr>
              <w:spacing w:after="0"/>
              <w:rPr>
                <w:sz w:val="16"/>
                <w:szCs w:val="16"/>
                <w:color w:val="auto"/>
              </w:rPr>
            </w:pP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110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(2,739)</w:t>
            </w:r>
          </w:p>
        </w:tc>
        <w:tc>
          <w:tcPr>
            <w:tcW w:w="320" w:type="dxa"/>
            <w:vAlign w:val="bottom"/>
          </w:tcPr>
          <w:p>
            <w:pPr>
              <w:spacing w:after="0"/>
              <w:rPr>
                <w:sz w:val="16"/>
                <w:szCs w:val="16"/>
                <w:color w:val="auto"/>
              </w:rPr>
            </w:pPr>
          </w:p>
        </w:tc>
        <w:tc>
          <w:tcPr>
            <w:tcW w:w="10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(2,739)</w:t>
            </w:r>
          </w:p>
        </w:tc>
      </w:tr>
      <w:tr>
        <w:trPr>
          <w:trHeight w:val="198"/>
        </w:trPr>
        <w:tc>
          <w:tcPr>
            <w:tcW w:w="20" w:type="dxa"/>
            <w:vAlign w:val="bottom"/>
          </w:tcPr>
          <w:p>
            <w:pPr>
              <w:spacing w:after="0"/>
              <w:rPr>
                <w:sz w:val="17"/>
                <w:szCs w:val="17"/>
                <w:color w:val="auto"/>
              </w:rPr>
            </w:pPr>
          </w:p>
        </w:tc>
        <w:tc>
          <w:tcPr>
            <w:tcW w:w="3320" w:type="dxa"/>
            <w:vAlign w:val="bottom"/>
            <w:shd w:val="clear" w:color="auto" w:fill="F0FFFF"/>
          </w:tcPr>
          <w:p>
            <w:pPr>
              <w:spacing w:after="0"/>
              <w:rPr>
                <w:sz w:val="20"/>
                <w:szCs w:val="20"/>
                <w:color w:val="auto"/>
              </w:rPr>
            </w:pPr>
            <w:r>
              <w:rPr>
                <w:rFonts w:ascii="Arial" w:cs="Arial" w:eastAsia="Arial" w:hAnsi="Arial"/>
                <w:sz w:val="16"/>
                <w:szCs w:val="16"/>
                <w:color w:val="auto"/>
              </w:rPr>
              <w:t>Net gains (losses) on sales</w:t>
            </w:r>
          </w:p>
        </w:tc>
        <w:tc>
          <w:tcPr>
            <w:tcW w:w="120" w:type="dxa"/>
            <w:vAlign w:val="bottom"/>
            <w:shd w:val="clear" w:color="auto" w:fill="F0FFFF"/>
          </w:tcPr>
          <w:p>
            <w:pPr>
              <w:spacing w:after="0"/>
              <w:rPr>
                <w:sz w:val="17"/>
                <w:szCs w:val="17"/>
                <w:color w:val="auto"/>
              </w:rPr>
            </w:pPr>
          </w:p>
        </w:tc>
        <w:tc>
          <w:tcPr>
            <w:tcW w:w="1080" w:type="dxa"/>
            <w:vAlign w:val="bottom"/>
            <w:gridSpan w:val="2"/>
            <w:shd w:val="clear" w:color="auto" w:fill="F0FFFF"/>
          </w:tcPr>
          <w:p>
            <w:pPr>
              <w:jc w:val="right"/>
              <w:ind w:right="60"/>
              <w:spacing w:after="0"/>
              <w:rPr>
                <w:sz w:val="20"/>
                <w:szCs w:val="20"/>
                <w:color w:val="auto"/>
              </w:rPr>
            </w:pPr>
            <w:r>
              <w:rPr>
                <w:rFonts w:ascii="Arial" w:cs="Arial" w:eastAsia="Arial" w:hAnsi="Arial"/>
                <w:sz w:val="16"/>
                <w:szCs w:val="16"/>
                <w:color w:val="auto"/>
              </w:rPr>
              <w:t>—</w:t>
            </w:r>
          </w:p>
        </w:tc>
        <w:tc>
          <w:tcPr>
            <w:tcW w:w="180" w:type="dxa"/>
            <w:vAlign w:val="bottom"/>
            <w:shd w:val="clear" w:color="auto" w:fill="F0FFFF"/>
          </w:tcPr>
          <w:p>
            <w:pPr>
              <w:spacing w:after="0"/>
              <w:rPr>
                <w:sz w:val="17"/>
                <w:szCs w:val="17"/>
                <w:color w:val="auto"/>
              </w:rPr>
            </w:pPr>
          </w:p>
        </w:tc>
        <w:tc>
          <w:tcPr>
            <w:tcW w:w="140" w:type="dxa"/>
            <w:vAlign w:val="bottom"/>
            <w:shd w:val="clear" w:color="auto" w:fill="F0FFFF"/>
          </w:tcPr>
          <w:p>
            <w:pPr>
              <w:spacing w:after="0"/>
              <w:rPr>
                <w:sz w:val="17"/>
                <w:szCs w:val="17"/>
                <w:color w:val="auto"/>
              </w:rPr>
            </w:pPr>
          </w:p>
        </w:tc>
        <w:tc>
          <w:tcPr>
            <w:tcW w:w="1160" w:type="dxa"/>
            <w:vAlign w:val="bottom"/>
            <w:tcBorders>
              <w:right w:val="single" w:sz="8" w:color="auto"/>
            </w:tcBorders>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1,208</w:t>
            </w:r>
          </w:p>
        </w:tc>
        <w:tc>
          <w:tcPr>
            <w:tcW w:w="340" w:type="dxa"/>
            <w:vAlign w:val="bottom"/>
            <w:shd w:val="clear" w:color="auto" w:fill="F0FFFF"/>
          </w:tcPr>
          <w:p>
            <w:pPr>
              <w:spacing w:after="0"/>
              <w:rPr>
                <w:sz w:val="17"/>
                <w:szCs w:val="17"/>
                <w:color w:val="auto"/>
              </w:rPr>
            </w:pPr>
          </w:p>
        </w:tc>
        <w:tc>
          <w:tcPr>
            <w:tcW w:w="1040" w:type="dxa"/>
            <w:vAlign w:val="bottom"/>
            <w:tcBorders>
              <w:right w:val="single" w:sz="8" w:color="auto"/>
            </w:tcBorders>
            <w:shd w:val="clear" w:color="auto" w:fill="F0FFFF"/>
          </w:tcPr>
          <w:p>
            <w:pPr>
              <w:jc w:val="right"/>
              <w:ind w:right="39"/>
              <w:spacing w:after="0"/>
              <w:rPr>
                <w:sz w:val="20"/>
                <w:szCs w:val="20"/>
                <w:color w:val="auto"/>
              </w:rPr>
            </w:pPr>
            <w:r>
              <w:rPr>
                <w:rFonts w:ascii="Arial" w:cs="Arial" w:eastAsia="Arial" w:hAnsi="Arial"/>
                <w:sz w:val="16"/>
                <w:szCs w:val="16"/>
                <w:color w:val="auto"/>
              </w:rPr>
              <w:t>1,208</w:t>
            </w:r>
          </w:p>
        </w:tc>
        <w:tc>
          <w:tcPr>
            <w:tcW w:w="100" w:type="dxa"/>
            <w:vAlign w:val="bottom"/>
            <w:shd w:val="clear" w:color="auto" w:fill="F0FFFF"/>
          </w:tcPr>
          <w:p>
            <w:pPr>
              <w:spacing w:after="0"/>
              <w:rPr>
                <w:sz w:val="17"/>
                <w:szCs w:val="17"/>
                <w:color w:val="auto"/>
              </w:rPr>
            </w:pPr>
          </w:p>
        </w:tc>
        <w:tc>
          <w:tcPr>
            <w:tcW w:w="120" w:type="dxa"/>
            <w:vAlign w:val="bottom"/>
            <w:shd w:val="clear" w:color="auto" w:fill="F0FFFF"/>
          </w:tcPr>
          <w:p>
            <w:pPr>
              <w:spacing w:after="0"/>
              <w:rPr>
                <w:sz w:val="17"/>
                <w:szCs w:val="17"/>
                <w:color w:val="auto"/>
              </w:rPr>
            </w:pPr>
          </w:p>
        </w:tc>
        <w:tc>
          <w:tcPr>
            <w:tcW w:w="1220" w:type="dxa"/>
            <w:vAlign w:val="bottom"/>
            <w:gridSpan w:val="2"/>
            <w:shd w:val="clear" w:color="auto" w:fill="F0FFFF"/>
          </w:tcPr>
          <w:p>
            <w:pPr>
              <w:jc w:val="right"/>
              <w:ind w:right="119"/>
              <w:spacing w:after="0"/>
              <w:rPr>
                <w:sz w:val="20"/>
                <w:szCs w:val="20"/>
                <w:color w:val="auto"/>
              </w:rPr>
            </w:pPr>
            <w:r>
              <w:rPr>
                <w:rFonts w:ascii="Arial" w:cs="Arial" w:eastAsia="Arial" w:hAnsi="Arial"/>
                <w:sz w:val="16"/>
                <w:szCs w:val="16"/>
                <w:color w:val="auto"/>
              </w:rPr>
              <w:t>—</w:t>
            </w:r>
          </w:p>
        </w:tc>
        <w:tc>
          <w:tcPr>
            <w:tcW w:w="160" w:type="dxa"/>
            <w:vAlign w:val="bottom"/>
            <w:shd w:val="clear" w:color="auto" w:fill="F0FFFF"/>
          </w:tcPr>
          <w:p>
            <w:pPr>
              <w:spacing w:after="0"/>
              <w:rPr>
                <w:sz w:val="17"/>
                <w:szCs w:val="17"/>
                <w:color w:val="auto"/>
              </w:rPr>
            </w:pPr>
          </w:p>
        </w:tc>
        <w:tc>
          <w:tcPr>
            <w:tcW w:w="1100" w:type="dxa"/>
            <w:vAlign w:val="bottom"/>
            <w:tcBorders>
              <w:right w:val="single" w:sz="8" w:color="auto"/>
            </w:tcBorders>
            <w:gridSpan w:val="2"/>
            <w:shd w:val="clear" w:color="auto" w:fill="F0FFFF"/>
          </w:tcPr>
          <w:p>
            <w:pPr>
              <w:jc w:val="right"/>
              <w:ind w:right="80"/>
              <w:spacing w:after="0"/>
              <w:rPr>
                <w:sz w:val="20"/>
                <w:szCs w:val="20"/>
                <w:color w:val="auto"/>
              </w:rPr>
            </w:pPr>
            <w:r>
              <w:rPr>
                <w:rFonts w:ascii="Arial" w:cs="Arial" w:eastAsia="Arial" w:hAnsi="Arial"/>
                <w:sz w:val="16"/>
                <w:szCs w:val="16"/>
                <w:color w:val="auto"/>
              </w:rPr>
              <w:t>(2,402)</w:t>
            </w:r>
          </w:p>
        </w:tc>
        <w:tc>
          <w:tcPr>
            <w:tcW w:w="320" w:type="dxa"/>
            <w:vAlign w:val="bottom"/>
            <w:shd w:val="clear" w:color="auto" w:fill="F0FFFF"/>
          </w:tcPr>
          <w:p>
            <w:pPr>
              <w:spacing w:after="0"/>
              <w:rPr>
                <w:sz w:val="17"/>
                <w:szCs w:val="17"/>
                <w:color w:val="auto"/>
              </w:rPr>
            </w:pPr>
          </w:p>
        </w:tc>
        <w:tc>
          <w:tcPr>
            <w:tcW w:w="1020" w:type="dxa"/>
            <w:vAlign w:val="bottom"/>
            <w:tcBorders>
              <w:right w:val="single" w:sz="8" w:color="auto"/>
            </w:tcBorders>
            <w:shd w:val="clear" w:color="auto" w:fill="F0FFFF"/>
          </w:tcPr>
          <w:p>
            <w:pPr>
              <w:jc w:val="right"/>
              <w:spacing w:after="0"/>
              <w:rPr>
                <w:sz w:val="20"/>
                <w:szCs w:val="20"/>
                <w:color w:val="auto"/>
              </w:rPr>
            </w:pPr>
            <w:r>
              <w:rPr>
                <w:rFonts w:ascii="Arial" w:cs="Arial" w:eastAsia="Arial" w:hAnsi="Arial"/>
                <w:sz w:val="16"/>
                <w:szCs w:val="16"/>
                <w:color w:val="auto"/>
              </w:rPr>
              <w:t>(2,402)</w:t>
            </w:r>
          </w:p>
        </w:tc>
      </w:tr>
      <w:tr>
        <w:trPr>
          <w:trHeight w:val="194"/>
        </w:trPr>
        <w:tc>
          <w:tcPr>
            <w:tcW w:w="20" w:type="dxa"/>
            <w:vAlign w:val="bottom"/>
          </w:tcPr>
          <w:p>
            <w:pPr>
              <w:spacing w:after="0"/>
              <w:rPr>
                <w:sz w:val="16"/>
                <w:szCs w:val="16"/>
                <w:color w:val="auto"/>
              </w:rPr>
            </w:pPr>
          </w:p>
        </w:tc>
        <w:tc>
          <w:tcPr>
            <w:tcW w:w="3320" w:type="dxa"/>
            <w:vAlign w:val="bottom"/>
            <w:tcBorders>
              <w:top w:val="single" w:sz="8" w:color="F0FFFF"/>
            </w:tcBorders>
          </w:tcPr>
          <w:p>
            <w:pPr>
              <w:ind w:left="120"/>
              <w:spacing w:after="0"/>
              <w:rPr>
                <w:sz w:val="20"/>
                <w:szCs w:val="20"/>
                <w:color w:val="auto"/>
              </w:rPr>
            </w:pPr>
            <w:r>
              <w:rPr>
                <w:rFonts w:ascii="Arial" w:cs="Arial" w:eastAsia="Arial" w:hAnsi="Arial"/>
                <w:sz w:val="16"/>
                <w:szCs w:val="16"/>
                <w:b w:val="1"/>
                <w:bCs w:val="1"/>
                <w:color w:val="auto"/>
              </w:rPr>
              <w:t>Ending Balance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18,745</w:t>
            </w:r>
          </w:p>
        </w:tc>
        <w:tc>
          <w:tcPr>
            <w:tcW w:w="60" w:type="dxa"/>
            <w:vAlign w:val="bottom"/>
            <w:tcBorders>
              <w:top w:val="single" w:sz="8" w:color="F0FFFF"/>
            </w:tcBorders>
          </w:tcPr>
          <w:p>
            <w:pPr>
              <w:spacing w:after="0"/>
              <w:rPr>
                <w:sz w:val="16"/>
                <w:szCs w:val="16"/>
                <w:color w:val="auto"/>
              </w:rPr>
            </w:pPr>
          </w:p>
        </w:tc>
        <w:tc>
          <w:tcPr>
            <w:tcW w:w="180" w:type="dxa"/>
            <w:vAlign w:val="bottom"/>
            <w:tcBorders>
              <w:top w:val="single" w:sz="8" w:color="F0FF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3,146</w:t>
            </w:r>
          </w:p>
        </w:tc>
        <w:tc>
          <w:tcPr>
            <w:tcW w:w="140" w:type="dxa"/>
            <w:vAlign w:val="bottom"/>
            <w:tcBorders>
              <w:top w:val="single" w:sz="8" w:color="F0FFFF"/>
              <w:right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21,891</w:t>
            </w:r>
          </w:p>
        </w:tc>
        <w:tc>
          <w:tcPr>
            <w:tcW w:w="100" w:type="dxa"/>
            <w:vAlign w:val="bottom"/>
            <w:tcBorders>
              <w:top w:val="single" w:sz="8" w:color="F0FFFF"/>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26,088</w:t>
            </w:r>
          </w:p>
        </w:tc>
        <w:tc>
          <w:tcPr>
            <w:tcW w:w="200" w:type="dxa"/>
            <w:vAlign w:val="bottom"/>
            <w:tcBorders>
              <w:top w:val="single" w:sz="8" w:color="F0FFFF"/>
            </w:tcBorders>
          </w:tcPr>
          <w:p>
            <w:pPr>
              <w:spacing w:after="0"/>
              <w:rPr>
                <w:sz w:val="16"/>
                <w:szCs w:val="16"/>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4,467</w:t>
            </w:r>
          </w:p>
        </w:tc>
        <w:tc>
          <w:tcPr>
            <w:tcW w:w="120" w:type="dxa"/>
            <w:vAlign w:val="bottom"/>
            <w:tcBorders>
              <w:top w:val="single" w:sz="8" w:color="F0FFFF"/>
              <w:right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right w:val="single" w:sz="8" w:color="auto"/>
            </w:tcBorders>
          </w:tcPr>
          <w:p>
            <w:pPr>
              <w:jc w:val="right"/>
              <w:ind w:right="39"/>
              <w:spacing w:after="0"/>
              <w:rPr>
                <w:sz w:val="20"/>
                <w:szCs w:val="20"/>
                <w:color w:val="auto"/>
              </w:rPr>
            </w:pPr>
            <w:r>
              <w:rPr>
                <w:rFonts w:ascii="Arial" w:cs="Arial" w:eastAsia="Arial" w:hAnsi="Arial"/>
                <w:sz w:val="16"/>
                <w:szCs w:val="16"/>
                <w:color w:val="auto"/>
              </w:rPr>
              <w:t>30,555</w:t>
            </w: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right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4"/>
          <w:szCs w:val="14"/>
          <w:i w:val="1"/>
          <w:iCs w:val="1"/>
          <w:color w:val="auto"/>
        </w:rPr>
        <w:t>Real Estate Sales</w:t>
      </w:r>
      <w:r>
        <w:rPr>
          <w:rFonts w:ascii="Arial" w:cs="Arial" w:eastAsia="Arial" w:hAnsi="Arial"/>
          <w:sz w:val="14"/>
          <w:szCs w:val="14"/>
          <w:color w:val="auto"/>
        </w:rPr>
        <w:t>. For the third quarter of 2014, United transferred $2.16 million of loans into foreclosed property through foreclosures. During the same period, proceeds from sales of foreclosed property were $2.35 million, which includes $483,000 in sales that were financed by United.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Investment Securities</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and borrowings, including repurchase agreements. Total investment securities at September 30, 2014 increased $53.0 million from a year ago.</w:t>
      </w:r>
    </w:p>
    <w:p>
      <w:pPr>
        <w:spacing w:after="0" w:line="191"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At September 30, 2014, December 31, 2013 and September 30, 2013, United had securities held-to-maturity with a carrying amount of $432 million, $480 million, and $206 million, respectively, and securities available-for-sale totaling $1.80 billion, $1.83 billion, and $1.96 billion, respectively. At September 30, 2014, December 31, 2013, and September 30, 2013, the securities portfolio represented approximately 30%, 31%, and 30% of total assets, respectively.</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The investment securities portfolio primarily consists of U.S. government sponsored agency mortgage-backed securities, non-agency mortgage-backed securities, corporate securities, municipal securities and asset-backed securities. Mortgage-backed securities rely on the underlying pools of mortgage loans to provide a cash flow of principal and interest. The actual maturities of these securities will usually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60" w:name="page61"/>
    <w:bookmarkEnd w:id="60"/>
    <w:p>
      <w:pPr>
        <w:jc w:val="both"/>
        <w:ind w:right="20"/>
        <w:spacing w:after="0" w:line="262" w:lineRule="auto"/>
        <w:rPr>
          <w:sz w:val="20"/>
          <w:szCs w:val="20"/>
          <w:color w:val="auto"/>
        </w:rPr>
      </w:pPr>
      <w:r>
        <w:rPr>
          <w:rFonts w:ascii="Arial" w:cs="Arial" w:eastAsia="Arial" w:hAnsi="Arial"/>
          <w:sz w:val="16"/>
          <w:szCs w:val="16"/>
          <w:color w:val="auto"/>
        </w:rPr>
        <w:t>Management evaluates its securities portfolio each quarter to determine if any security is considered to be other than temporarily impaired. In making this evaluation, management considers its ability and intent to hold securities to recover current market losses. Losses on United’s fixed income securities at September 30, 2014 primarily reflect the effect of changes in interest rates. United did not recognize any other than temporary impairment losses on its investment securities during the third quarter or first nine months of 2014 or 2013.</w:t>
      </w:r>
    </w:p>
    <w:p>
      <w:pPr>
        <w:spacing w:after="0" w:line="19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At September 30, 2014, December 31, 2013 and September 30, 2013, 31%, 41% and 39%, respectively, of the securities portfolio was invested in floating-rate securities or fixed-rate securities that were swapped to floating rates in order to manage exposure to rising interest rates.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Goodwill and Core Deposit Intangibles</w:t>
      </w:r>
    </w:p>
    <w:p>
      <w:pPr>
        <w:spacing w:after="0" w:line="228"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Goodwill represents the premium paid for acquired companies above the fair value of the assets acquired and liabilities assumed, including separately identifiable intangible assets.</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United’s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goodwill or other intangible assets.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Deposits</w:t>
      </w:r>
    </w:p>
    <w:p>
      <w:pPr>
        <w:spacing w:after="0" w:line="228"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United has initiated several programs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United’s high level of service, as evidenced by its strong customer satisfaction scores, has been instrumental in attracting and retaining deposits.</w:t>
      </w:r>
    </w:p>
    <w:p>
      <w:pPr>
        <w:spacing w:after="0" w:line="191"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Total customer deposits, excluding brokered deposits, as of September 30, 2014 were $5.84 billion, an increase of $142 million from September 30, 2013. Total core deposits (demand, NOW, money market and savings deposits, excluding public funds deposits) of $3.71 billion increased $299 million, or 9%, from a year ago, due to the success of core deposit programs and general industry trends.</w:t>
      </w:r>
    </w:p>
    <w:p>
      <w:pPr>
        <w:spacing w:after="0" w:line="186"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Total time deposits, excluding brokered deposits, as of September 30, 2014 were $1.31 billion, down $243 million from September 30, 2013. Time deposits less than $100,000 totaled $774 million, a decrease of $150 million, or 16%, from a year ago. Time deposits of $100,000 and greater totaled $531 million as of September 30, 2014, a decrease of $92.6 million, or 15%, from September 30, 2013. United continued to offer low rates on certificates of deposit, allowing balances to decline as United’s funding needs declined due to weak loan demand and a shift to lower cost transaction account deposits.</w:t>
      </w:r>
    </w:p>
    <w:p>
      <w:pPr>
        <w:spacing w:after="0" w:line="191"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Brokered deposits totaled $405million as of September 30, 2014, a decrease of $14.0 million from a year ago. United has actively added long-term deposits to diversify our funding base. These are typically swapped to LIBOR minus a spread, which achieves low cost funding within our interest rate risk parameters.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Wholesale Funding</w:t>
      </w:r>
    </w:p>
    <w:p>
      <w:pPr>
        <w:spacing w:after="0" w:line="228"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Bank is a shareholder in the Federal Home Loan Bank of Atlanta (“FHLB”). Through this affiliation, FHLB secured advances totaled $330 million, $120 million and $125,000, respectively, as of September 30, 2014, December 31, 2013 and September 30, 2013. United anticipates continued use of this short and long-term source of funds. Additional information regarding FHLB advances is provided in Note 12 to the consolidated financial statements included in United’s Annual Report on Form 10-K for the year ended December 31, 2013.</w:t>
      </w:r>
    </w:p>
    <w:p>
      <w:pPr>
        <w:spacing w:after="0" w:line="191"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At September 30, 2014, December 31, 2013 and September 30, 2013, United had $6.00 million, $53.2 million and $53.8 million, respectively, in other short-term borrowings outstanding. United takes advantage of these additional sources of liquidity when rates are favorable compared to other forms of short-term borrowings, such as FHLB advances and brokered deposits.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There have not been any material changes to United’s contractual obligations since December 31, 2013.</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auto"/>
        </w:rPr>
        <w:t>Interest Rate Sensitivity Management</w:t>
      </w:r>
    </w:p>
    <w:p>
      <w:pPr>
        <w:spacing w:after="0" w:line="23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One of the tools management uses to estimate and manage the sensitivity of net interest revenue to changes in interest rates is an asset/liability simulation model. Resulting estimates are based upon a number of assumptions for each scenario, including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198"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United’s policy is based on the 12-month impact on net interest revenue of interest rate shocks and ramps that increase or decrease from 100 to 400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September 30, 2014 and 2013 made use of the down scenarios problematic. The following table presents United’s interest sensitivity position at September 30, 2014 and 2013.</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3700" w:type="dxa"/>
            <w:vAlign w:val="bottom"/>
            <w:gridSpan w:val="3"/>
          </w:tcPr>
          <w:p>
            <w:pPr>
              <w:spacing w:after="0"/>
              <w:rPr>
                <w:sz w:val="20"/>
                <w:szCs w:val="20"/>
                <w:color w:val="auto"/>
              </w:rPr>
            </w:pPr>
            <w:r>
              <w:rPr>
                <w:rFonts w:ascii="Arial" w:cs="Arial" w:eastAsia="Arial" w:hAnsi="Arial"/>
                <w:sz w:val="16"/>
                <w:szCs w:val="16"/>
                <w:b w:val="1"/>
                <w:bCs w:val="1"/>
                <w:color w:val="auto"/>
              </w:rPr>
              <w:t>Table 13 - Interest Sensitivity</w:t>
            </w:r>
          </w:p>
        </w:tc>
        <w:tc>
          <w:tcPr>
            <w:tcW w:w="5460" w:type="dxa"/>
            <w:vAlign w:val="bottom"/>
            <w:gridSpan w:val="11"/>
            <w:vMerge w:val="restart"/>
          </w:tcPr>
          <w:p>
            <w:pPr>
              <w:ind w:left="360"/>
              <w:spacing w:after="0"/>
              <w:rPr>
                <w:sz w:val="20"/>
                <w:szCs w:val="20"/>
                <w:color w:val="auto"/>
              </w:rPr>
            </w:pPr>
            <w:r>
              <w:rPr>
                <w:rFonts w:ascii="Arial" w:cs="Arial" w:eastAsia="Arial" w:hAnsi="Arial"/>
                <w:sz w:val="16"/>
                <w:szCs w:val="16"/>
                <w:b w:val="1"/>
                <w:bCs w:val="1"/>
                <w:color w:val="auto"/>
              </w:rPr>
              <w:t>Increase (Decrease) in Net Interest Revenue from Base Scenario at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60" w:type="dxa"/>
            <w:vAlign w:val="bottom"/>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1180"/>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6"/>
                <w:szCs w:val="16"/>
                <w:b w:val="1"/>
                <w:bCs w:val="1"/>
                <w:color w:val="auto"/>
              </w:rPr>
              <w:t>2014</w:t>
            </w:r>
          </w:p>
        </w:tc>
        <w:tc>
          <w:tcPr>
            <w:tcW w:w="8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6"/>
                <w:szCs w:val="16"/>
                <w:b w:val="1"/>
                <w:bCs w:val="1"/>
                <w:color w:val="auto"/>
              </w:rPr>
              <w:t>2013</w:t>
            </w:r>
          </w:p>
        </w:tc>
        <w:tc>
          <w:tcPr>
            <w:tcW w:w="9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Change in Rates</w:t>
            </w:r>
          </w:p>
        </w:tc>
        <w:tc>
          <w:tcPr>
            <w:tcW w:w="80" w:type="dxa"/>
            <w:vAlign w:val="bottom"/>
          </w:tcPr>
          <w:p>
            <w:pPr>
              <w:spacing w:after="0"/>
              <w:rPr>
                <w:sz w:val="19"/>
                <w:szCs w:val="19"/>
                <w:color w:val="auto"/>
              </w:rPr>
            </w:pPr>
          </w:p>
        </w:tc>
        <w:tc>
          <w:tcPr>
            <w:tcW w:w="11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Shock</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Ramp</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Shock</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Ramp</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680" w:type="dxa"/>
            <w:vAlign w:val="bottom"/>
            <w:gridSpan w:val="2"/>
            <w:shd w:val="clear" w:color="auto" w:fill="F0FFFF"/>
          </w:tcPr>
          <w:p>
            <w:pPr>
              <w:spacing w:after="0"/>
              <w:rPr>
                <w:sz w:val="20"/>
                <w:szCs w:val="20"/>
                <w:color w:val="auto"/>
              </w:rPr>
            </w:pPr>
            <w:r>
              <w:rPr>
                <w:rFonts w:ascii="Arial" w:cs="Arial" w:eastAsia="Arial" w:hAnsi="Arial"/>
                <w:sz w:val="16"/>
                <w:szCs w:val="16"/>
                <w:color w:val="auto"/>
              </w:rPr>
              <w:t>200 basis point increase</w:t>
            </w:r>
          </w:p>
        </w:tc>
        <w:tc>
          <w:tcPr>
            <w:tcW w:w="13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w:t>
            </w:r>
          </w:p>
        </w:tc>
        <w:tc>
          <w:tcPr>
            <w:tcW w:w="220" w:type="dxa"/>
            <w:vAlign w:val="bottom"/>
            <w:shd w:val="clear" w:color="auto" w:fill="F0FFFF"/>
          </w:tcPr>
          <w:p>
            <w:pPr>
              <w:spacing w:after="0"/>
              <w:rPr>
                <w:sz w:val="16"/>
                <w:szCs w:val="16"/>
                <w:color w:val="auto"/>
              </w:rPr>
            </w:pPr>
          </w:p>
        </w:tc>
        <w:tc>
          <w:tcPr>
            <w:tcW w:w="1040" w:type="dxa"/>
            <w:vAlign w:val="bottom"/>
            <w:gridSpan w:val="2"/>
            <w:shd w:val="clear" w:color="auto" w:fill="F0FFFF"/>
          </w:tcPr>
          <w:p>
            <w:pPr>
              <w:jc w:val="right"/>
              <w:ind w:right="20"/>
              <w:spacing w:after="0"/>
              <w:rPr>
                <w:sz w:val="20"/>
                <w:szCs w:val="20"/>
                <w:color w:val="auto"/>
              </w:rPr>
            </w:pPr>
            <w:r>
              <w:rPr>
                <w:rFonts w:ascii="Arial" w:cs="Arial" w:eastAsia="Arial" w:hAnsi="Arial"/>
                <w:sz w:val="16"/>
                <w:szCs w:val="16"/>
                <w:color w:val="auto"/>
              </w:rPr>
              <w:t>2.1%</w:t>
            </w:r>
          </w:p>
        </w:tc>
        <w:tc>
          <w:tcPr>
            <w:tcW w:w="1520" w:type="dxa"/>
            <w:vAlign w:val="bottom"/>
            <w:gridSpan w:val="3"/>
            <w:shd w:val="clear" w:color="auto" w:fill="F0FFFF"/>
          </w:tcPr>
          <w:p>
            <w:pPr>
              <w:jc w:val="right"/>
              <w:ind w:right="140"/>
              <w:spacing w:after="0"/>
              <w:rPr>
                <w:sz w:val="20"/>
                <w:szCs w:val="20"/>
                <w:color w:val="auto"/>
              </w:rPr>
            </w:pPr>
            <w:r>
              <w:rPr>
                <w:rFonts w:ascii="Arial" w:cs="Arial" w:eastAsia="Arial" w:hAnsi="Arial"/>
                <w:sz w:val="16"/>
                <w:szCs w:val="16"/>
                <w:color w:val="auto"/>
              </w:rPr>
              <w:t>5.9%</w:t>
            </w:r>
          </w:p>
        </w:tc>
        <w:tc>
          <w:tcPr>
            <w:tcW w:w="180" w:type="dxa"/>
            <w:vAlign w:val="bottom"/>
            <w:shd w:val="clear" w:color="auto" w:fill="F0FFFF"/>
          </w:tcPr>
          <w:p>
            <w:pPr>
              <w:spacing w:after="0"/>
              <w:rPr>
                <w:sz w:val="16"/>
                <w:szCs w:val="16"/>
                <w:color w:val="auto"/>
              </w:rPr>
            </w:pPr>
          </w:p>
        </w:tc>
        <w:tc>
          <w:tcPr>
            <w:tcW w:w="1140" w:type="dxa"/>
            <w:vAlign w:val="bottom"/>
            <w:gridSpan w:val="2"/>
            <w:shd w:val="clear" w:color="auto" w:fill="F0FFFF"/>
          </w:tcPr>
          <w:p>
            <w:pPr>
              <w:jc w:val="right"/>
              <w:ind w:right="4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25 basis point decrease</w:t>
            </w: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(2.1)</w:t>
            </w:r>
          </w:p>
        </w:tc>
        <w:tc>
          <w:tcPr>
            <w:tcW w:w="22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1520" w:type="dxa"/>
            <w:vAlign w:val="bottom"/>
            <w:gridSpan w:val="3"/>
          </w:tcPr>
          <w:p>
            <w:pPr>
              <w:jc w:val="right"/>
              <w:ind w:right="220"/>
              <w:spacing w:after="0"/>
              <w:rPr>
                <w:sz w:val="20"/>
                <w:szCs w:val="20"/>
                <w:color w:val="auto"/>
              </w:rPr>
            </w:pPr>
            <w:r>
              <w:rPr>
                <w:rFonts w:ascii="Arial" w:cs="Arial" w:eastAsia="Arial" w:hAnsi="Arial"/>
                <w:sz w:val="16"/>
                <w:szCs w:val="16"/>
                <w:color w:val="auto"/>
              </w:rPr>
              <w:t>(3.4)</w:t>
            </w:r>
          </w:p>
        </w:tc>
        <w:tc>
          <w:tcPr>
            <w:tcW w:w="18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effect of interest rate changes on net interest revenue.</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91" w:lineRule="exact"/>
        <w:rPr>
          <w:sz w:val="20"/>
          <w:szCs w:val="20"/>
          <w:color w:val="auto"/>
        </w:rPr>
      </w:pPr>
    </w:p>
    <w:p>
      <w:pPr>
        <w:jc w:val="both"/>
        <w:spacing w:after="0" w:line="322" w:lineRule="auto"/>
        <w:rPr>
          <w:sz w:val="20"/>
          <w:szCs w:val="20"/>
          <w:color w:val="auto"/>
        </w:rPr>
      </w:pPr>
      <w:r>
        <w:rPr>
          <w:rFonts w:ascii="Arial" w:cs="Arial" w:eastAsia="Arial" w:hAnsi="Arial"/>
          <w:sz w:val="14"/>
          <w:szCs w:val="14"/>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the case may be) and receives a fixed rate (or variable rate, as the case may be).</w:t>
      </w:r>
    </w:p>
    <w:p>
      <w:pPr>
        <w:spacing w:after="0" w:line="152"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United’s derivative financial instruments that are designated as accounting hedges are classified as either cash flow or fair value hedges. The change in fair value of cash flow hedges is recognized in other comprehensive income. Fair value hedges recognize in earnings both the effect of the change in the fair value of the derivative financial instrument and the offsetting effect of the change in fair value of the hedged asset or liability associated with the particular risk of that asset or liability being hedged. United has other derivative financial instruments that are not designated as accounting hedges but are used for interest rate risk management purposes and as an effective economic hedge. Derivative financial instruments that are not accounted for as an accounting hedge are marked to market through earnings.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20"/>
          </w:cols>
          <w:pgMar w:left="240" w:top="838" w:right="239" w:bottom="1440" w:gutter="0" w:footer="0" w:header="0"/>
        </w:sectPr>
      </w:pPr>
    </w:p>
    <w:bookmarkStart w:id="62" w:name="page63"/>
    <w:bookmarkEnd w:id="62"/>
    <w:p>
      <w:pPr>
        <w:ind w:left="3"/>
        <w:spacing w:after="0" w:line="281" w:lineRule="auto"/>
        <w:rPr>
          <w:sz w:val="20"/>
          <w:szCs w:val="20"/>
          <w:color w:val="auto"/>
        </w:rPr>
      </w:pPr>
      <w:r>
        <w:rPr>
          <w:rFonts w:ascii="Arial" w:cs="Arial" w:eastAsia="Arial" w:hAnsi="Arial"/>
          <w:sz w:val="16"/>
          <w:szCs w:val="16"/>
          <w:color w:val="auto"/>
        </w:rPr>
        <w:t>In addition to derivative instruments, United uses a variety of balance sheet instruments to manage interest rate risk such as Investment Portfolio holdings, wholesale funding, and bank-issued deposits.</w:t>
      </w:r>
    </w:p>
    <w:p>
      <w:pPr>
        <w:spacing w:after="0" w:line="175"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presents United’s outstanding derivative positions at September 30, 2014.</w:t>
      </w:r>
    </w:p>
    <w:p>
      <w:pPr>
        <w:spacing w:after="0" w:line="200"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Table 14 - Derivative Financial Instruments</w:t>
      </w:r>
    </w:p>
    <w:p>
      <w:pPr>
        <w:spacing w:after="0" w:line="26" w:lineRule="exact"/>
        <w:rPr>
          <w:sz w:val="20"/>
          <w:szCs w:val="20"/>
          <w:color w:val="auto"/>
        </w:rPr>
      </w:pPr>
    </w:p>
    <w:p>
      <w:pPr>
        <w:ind w:left="3"/>
        <w:spacing w:after="0"/>
        <w:rPr>
          <w:sz w:val="20"/>
          <w:szCs w:val="20"/>
          <w:color w:val="auto"/>
        </w:rPr>
      </w:pPr>
      <w:r>
        <w:rPr>
          <w:rFonts w:ascii="Arial" w:cs="Arial" w:eastAsia="Arial" w:hAnsi="Arial"/>
          <w:sz w:val="16"/>
          <w:szCs w:val="16"/>
          <w:i w:val="1"/>
          <w:iCs w:val="1"/>
          <w:color w:val="auto"/>
        </w:rPr>
        <w:t>(in thousands)</w:t>
      </w:r>
    </w:p>
    <w:p>
      <w:pPr>
        <w:spacing w:after="0" w:line="188" w:lineRule="exact"/>
        <w:rPr>
          <w:sz w:val="20"/>
          <w:szCs w:val="20"/>
          <w:color w:val="auto"/>
        </w:rPr>
      </w:pPr>
    </w:p>
    <w:tbl>
      <w:tblPr>
        <w:tblLayout w:type="fixed"/>
        <w:tblInd w:w="3"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 xml:space="preserve">Fair Value </w:t>
            </w:r>
            <w:r>
              <w:rPr>
                <w:rFonts w:ascii="Arial" w:cs="Arial" w:eastAsia="Arial" w:hAnsi="Arial"/>
                <w:sz w:val="16"/>
                <w:szCs w:val="16"/>
                <w:color w:val="auto"/>
                <w:vertAlign w:val="superscript"/>
              </w:rPr>
              <w:t>(6)</w:t>
            </w:r>
          </w:p>
        </w:tc>
      </w:tr>
      <w:tr>
        <w:trPr>
          <w:trHeight w:val="223"/>
        </w:trPr>
        <w:tc>
          <w:tcPr>
            <w:tcW w:w="3660" w:type="dxa"/>
            <w:vAlign w:val="bottom"/>
            <w:tcBorders>
              <w:bottom w:val="single" w:sz="8" w:color="auto"/>
            </w:tcBorders>
          </w:tcPr>
          <w:p>
            <w:pPr>
              <w:ind w:left="1160"/>
              <w:spacing w:after="0"/>
              <w:rPr>
                <w:sz w:val="20"/>
                <w:szCs w:val="20"/>
                <w:color w:val="auto"/>
              </w:rPr>
            </w:pPr>
            <w:r>
              <w:rPr>
                <w:rFonts w:ascii="Arial" w:cs="Arial" w:eastAsia="Arial" w:hAnsi="Arial"/>
                <w:sz w:val="16"/>
                <w:szCs w:val="16"/>
                <w:b w:val="1"/>
                <w:bCs w:val="1"/>
                <w:color w:val="auto"/>
              </w:rPr>
              <w:t>Type of Instrument</w:t>
            </w:r>
          </w:p>
        </w:tc>
        <w:tc>
          <w:tcPr>
            <w:tcW w:w="120" w:type="dxa"/>
            <w:vAlign w:val="bottom"/>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Contracts</w:t>
            </w:r>
          </w:p>
        </w:tc>
        <w:tc>
          <w:tcPr>
            <w:tcW w:w="120" w:type="dxa"/>
            <w:vAlign w:val="bottom"/>
          </w:tcPr>
          <w:p>
            <w:pPr>
              <w:spacing w:after="0"/>
              <w:rPr>
                <w:sz w:val="19"/>
                <w:szCs w:val="19"/>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Notional</w:t>
            </w:r>
          </w:p>
        </w:tc>
        <w:tc>
          <w:tcPr>
            <w:tcW w:w="120" w:type="dxa"/>
            <w:vAlign w:val="bottom"/>
          </w:tcPr>
          <w:p>
            <w:pPr>
              <w:spacing w:after="0"/>
              <w:rPr>
                <w:sz w:val="19"/>
                <w:szCs w:val="19"/>
                <w:color w:val="auto"/>
              </w:rPr>
            </w:pPr>
          </w:p>
        </w:tc>
        <w:tc>
          <w:tcPr>
            <w:tcW w:w="2760" w:type="dxa"/>
            <w:vAlign w:val="bottom"/>
            <w:tcBorders>
              <w:bottom w:val="single" w:sz="8" w:color="auto"/>
            </w:tcBorders>
          </w:tcPr>
          <w:p>
            <w:pPr>
              <w:ind w:left="1100"/>
              <w:spacing w:after="0"/>
              <w:rPr>
                <w:sz w:val="20"/>
                <w:szCs w:val="20"/>
                <w:color w:val="auto"/>
              </w:rPr>
            </w:pPr>
            <w:r>
              <w:rPr>
                <w:rFonts w:ascii="Arial" w:cs="Arial" w:eastAsia="Arial" w:hAnsi="Arial"/>
                <w:sz w:val="16"/>
                <w:szCs w:val="16"/>
                <w:b w:val="1"/>
                <w:bCs w:val="1"/>
                <w:color w:val="auto"/>
              </w:rPr>
              <w:t>Purpose</w:t>
            </w:r>
          </w:p>
        </w:tc>
        <w:tc>
          <w:tcPr>
            <w:tcW w:w="100" w:type="dxa"/>
            <w:vAlign w:val="bottom"/>
          </w:tcPr>
          <w:p>
            <w:pPr>
              <w:spacing w:after="0"/>
              <w:rPr>
                <w:sz w:val="19"/>
                <w:szCs w:val="19"/>
                <w:color w:val="auto"/>
              </w:rPr>
            </w:pPr>
          </w:p>
        </w:tc>
        <w:tc>
          <w:tcPr>
            <w:tcW w:w="78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w w:val="87"/>
              </w:rPr>
              <w:t>Asset</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Liability</w:t>
            </w:r>
          </w:p>
        </w:tc>
      </w:tr>
    </w:tbl>
    <w:p>
      <w:pPr>
        <w:spacing w:after="0" w:line="177"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Fair value hedges of fixed rate brokered deposit (accounting hedge)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260590" cy="1231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0590" cy="123190"/>
                    </a:xfrm>
                    <a:prstGeom prst="rect">
                      <a:avLst/>
                    </a:prstGeom>
                    <a:noFill/>
                  </pic:spPr>
                </pic:pic>
              </a:graphicData>
            </a:graphic>
          </wp:anchor>
        </w:drawing>
      </w:r>
    </w:p>
    <w:tbl>
      <w:tblPr>
        <w:tblLayout w:type="fixed"/>
        <w:tblInd w:w="3" w:type="dxa"/>
        <w:tblCellMar>
          <w:top w:w="0" w:type="dxa"/>
          <w:left w:w="0" w:type="dxa"/>
          <w:bottom w:w="0" w:type="dxa"/>
          <w:right w:w="0" w:type="dxa"/>
        </w:tblCellMar>
      </w:tblPr>
      <w:tr>
        <w:trPr>
          <w:trHeight w:val="221"/>
        </w:trPr>
        <w:tc>
          <w:tcPr>
            <w:tcW w:w="3960" w:type="dxa"/>
            <w:vAlign w:val="bottom"/>
          </w:tcPr>
          <w:p>
            <w:pPr>
              <w:ind w:left="140"/>
              <w:spacing w:after="0" w:line="221" w:lineRule="exact"/>
              <w:rPr>
                <w:sz w:val="20"/>
                <w:szCs w:val="20"/>
                <w:color w:val="auto"/>
              </w:rPr>
            </w:pPr>
            <w:r>
              <w:rPr>
                <w:rFonts w:ascii="Arial" w:cs="Arial" w:eastAsia="Arial" w:hAnsi="Arial"/>
                <w:sz w:val="16"/>
                <w:szCs w:val="16"/>
                <w:color w:val="auto"/>
              </w:rPr>
              <w:t xml:space="preserve">Receive fixed cancellable swaps </w:t>
            </w:r>
            <w:r>
              <w:rPr>
                <w:rFonts w:ascii="Arial" w:cs="Arial" w:eastAsia="Arial" w:hAnsi="Arial"/>
                <w:sz w:val="22"/>
                <w:szCs w:val="22"/>
                <w:color w:val="auto"/>
                <w:vertAlign w:val="superscript"/>
              </w:rPr>
              <w:t>(1)</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16</w:t>
            </w:r>
          </w:p>
        </w:tc>
        <w:tc>
          <w:tcPr>
            <w:tcW w:w="5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199,000</w:t>
            </w:r>
          </w:p>
        </w:tc>
        <w:tc>
          <w:tcPr>
            <w:tcW w:w="2980" w:type="dxa"/>
            <w:vAlign w:val="bottom"/>
          </w:tcPr>
          <w:p>
            <w:pPr>
              <w:ind w:left="120"/>
              <w:spacing w:after="0"/>
              <w:rPr>
                <w:sz w:val="20"/>
                <w:szCs w:val="20"/>
                <w:color w:val="auto"/>
              </w:rPr>
            </w:pPr>
            <w:r>
              <w:rPr>
                <w:rFonts w:ascii="Arial" w:cs="Arial" w:eastAsia="Arial" w:hAnsi="Arial"/>
                <w:sz w:val="16"/>
                <w:szCs w:val="16"/>
                <w:color w:val="auto"/>
              </w:rPr>
              <w:t>Low cost funding</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10,201</w:t>
            </w:r>
          </w:p>
        </w:tc>
      </w:tr>
      <w:tr>
        <w:trPr>
          <w:trHeight w:val="194"/>
        </w:trPr>
        <w:tc>
          <w:tcPr>
            <w:tcW w:w="396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De-designated former cash flow hedges</w:t>
            </w:r>
          </w:p>
        </w:tc>
        <w:tc>
          <w:tcPr>
            <w:tcW w:w="5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980" w:type="dxa"/>
            <w:vAlign w:val="bottom"/>
            <w:tcBorders>
              <w:left w:val="single" w:sz="8" w:color="F0FFFF"/>
            </w:tcBorders>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3960" w:type="dxa"/>
            <w:vAlign w:val="bottom"/>
          </w:tcPr>
          <w:p>
            <w:pPr>
              <w:ind w:left="140"/>
              <w:spacing w:after="0" w:line="194" w:lineRule="exact"/>
              <w:rPr>
                <w:sz w:val="20"/>
                <w:szCs w:val="20"/>
                <w:color w:val="auto"/>
              </w:rPr>
            </w:pPr>
            <w:r>
              <w:rPr>
                <w:rFonts w:ascii="Arial" w:cs="Arial" w:eastAsia="Arial" w:hAnsi="Arial"/>
                <w:sz w:val="16"/>
                <w:szCs w:val="16"/>
                <w:color w:val="auto"/>
              </w:rPr>
              <w:t xml:space="preserve">Pay fixed swaps </w:t>
            </w:r>
            <w:r>
              <w:rPr>
                <w:rFonts w:ascii="Arial" w:cs="Arial" w:eastAsia="Arial" w:hAnsi="Arial"/>
                <w:sz w:val="22"/>
                <w:szCs w:val="22"/>
                <w:color w:val="auto"/>
                <w:vertAlign w:val="superscript"/>
              </w:rPr>
              <w:t>(2)</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300,000</w:t>
            </w:r>
          </w:p>
        </w:tc>
        <w:tc>
          <w:tcPr>
            <w:tcW w:w="2980" w:type="dxa"/>
            <w:vAlign w:val="bottom"/>
          </w:tcPr>
          <w:p>
            <w:pPr>
              <w:ind w:left="120"/>
              <w:spacing w:after="0"/>
              <w:rPr>
                <w:sz w:val="20"/>
                <w:szCs w:val="20"/>
                <w:color w:val="auto"/>
              </w:rPr>
            </w:pPr>
            <w:r>
              <w:rPr>
                <w:rFonts w:ascii="Arial" w:cs="Arial" w:eastAsia="Arial" w:hAnsi="Arial"/>
                <w:sz w:val="16"/>
                <w:szCs w:val="16"/>
                <w:color w:val="auto"/>
              </w:rPr>
              <w:t>De-designated cash flow hedge</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3,550</w:t>
            </w:r>
          </w:p>
        </w:tc>
      </w:tr>
      <w:tr>
        <w:trPr>
          <w:trHeight w:val="194"/>
        </w:trPr>
        <w:tc>
          <w:tcPr>
            <w:tcW w:w="4480" w:type="dxa"/>
            <w:vAlign w:val="bottom"/>
            <w:gridSpan w:val="2"/>
            <w:shd w:val="clear" w:color="auto" w:fill="F0FFFF"/>
          </w:tcPr>
          <w:p>
            <w:pPr>
              <w:spacing w:after="0"/>
              <w:rPr>
                <w:sz w:val="20"/>
                <w:szCs w:val="20"/>
                <w:color w:val="auto"/>
              </w:rPr>
            </w:pPr>
            <w:r>
              <w:rPr>
                <w:rFonts w:ascii="Arial" w:cs="Arial" w:eastAsia="Arial" w:hAnsi="Arial"/>
                <w:sz w:val="16"/>
                <w:szCs w:val="16"/>
                <w:b w:val="1"/>
                <w:bCs w:val="1"/>
                <w:color w:val="auto"/>
                <w:w w:val="93"/>
              </w:rPr>
              <w:t>Offsetting positions to de-designated former cash flow hedges</w:t>
            </w:r>
          </w:p>
        </w:tc>
        <w:tc>
          <w:tcPr>
            <w:tcW w:w="24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980" w:type="dxa"/>
            <w:vAlign w:val="bottom"/>
            <w:tcBorders>
              <w:left w:val="single" w:sz="8" w:color="F0FFFF"/>
            </w:tcBorders>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3960" w:type="dxa"/>
            <w:vAlign w:val="bottom"/>
          </w:tcPr>
          <w:p>
            <w:pPr>
              <w:ind w:left="140"/>
              <w:spacing w:after="0" w:line="194" w:lineRule="exact"/>
              <w:rPr>
                <w:sz w:val="20"/>
                <w:szCs w:val="20"/>
                <w:color w:val="auto"/>
              </w:rPr>
            </w:pPr>
            <w:r>
              <w:rPr>
                <w:rFonts w:ascii="Arial" w:cs="Arial" w:eastAsia="Arial" w:hAnsi="Arial"/>
                <w:sz w:val="16"/>
                <w:szCs w:val="16"/>
                <w:color w:val="auto"/>
              </w:rPr>
              <w:t xml:space="preserve">Receive fixed swaps </w:t>
            </w:r>
            <w:r>
              <w:rPr>
                <w:rFonts w:ascii="Arial" w:cs="Arial" w:eastAsia="Arial" w:hAnsi="Arial"/>
                <w:sz w:val="22"/>
                <w:szCs w:val="22"/>
                <w:color w:val="auto"/>
                <w:vertAlign w:val="superscript"/>
              </w:rPr>
              <w:t>(2)</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300,000</w:t>
            </w:r>
          </w:p>
        </w:tc>
        <w:tc>
          <w:tcPr>
            <w:tcW w:w="2980" w:type="dxa"/>
            <w:vAlign w:val="bottom"/>
          </w:tcPr>
          <w:p>
            <w:pPr>
              <w:ind w:left="120"/>
              <w:spacing w:after="0"/>
              <w:rPr>
                <w:sz w:val="20"/>
                <w:szCs w:val="20"/>
                <w:color w:val="auto"/>
              </w:rPr>
            </w:pPr>
            <w:r>
              <w:rPr>
                <w:rFonts w:ascii="Arial" w:cs="Arial" w:eastAsia="Arial" w:hAnsi="Arial"/>
                <w:sz w:val="16"/>
                <w:szCs w:val="16"/>
                <w:color w:val="auto"/>
                <w:w w:val="99"/>
              </w:rPr>
              <w:t>Offset to de-designated cash flow hedge</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3,550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77"/>
        </w:trPr>
        <w:tc>
          <w:tcPr>
            <w:tcW w:w="4480" w:type="dxa"/>
            <w:vAlign w:val="bottom"/>
            <w:gridSpan w:val="2"/>
            <w:shd w:val="clear" w:color="auto" w:fill="F0FFFF"/>
          </w:tcPr>
          <w:p>
            <w:pPr>
              <w:spacing w:after="0" w:line="178" w:lineRule="exact"/>
              <w:rPr>
                <w:sz w:val="20"/>
                <w:szCs w:val="20"/>
                <w:color w:val="auto"/>
              </w:rPr>
            </w:pPr>
            <w:r>
              <w:rPr>
                <w:rFonts w:ascii="Arial" w:cs="Arial" w:eastAsia="Arial" w:hAnsi="Arial"/>
                <w:sz w:val="16"/>
                <w:szCs w:val="16"/>
                <w:b w:val="1"/>
                <w:bCs w:val="1"/>
                <w:color w:val="auto"/>
                <w:w w:val="97"/>
              </w:rPr>
              <w:t>Cash flow hedges of LIBOR indexed money market deposits</w:t>
            </w:r>
          </w:p>
        </w:tc>
        <w:tc>
          <w:tcPr>
            <w:tcW w:w="240" w:type="dxa"/>
            <w:vAlign w:val="bottom"/>
            <w:shd w:val="clear" w:color="auto" w:fill="F0FFFF"/>
          </w:tcPr>
          <w:p>
            <w:pPr>
              <w:spacing w:after="0"/>
              <w:rPr>
                <w:sz w:val="15"/>
                <w:szCs w:val="15"/>
                <w:color w:val="auto"/>
              </w:rPr>
            </w:pPr>
          </w:p>
        </w:tc>
        <w:tc>
          <w:tcPr>
            <w:tcW w:w="280" w:type="dxa"/>
            <w:vAlign w:val="bottom"/>
            <w:shd w:val="clear" w:color="auto" w:fill="F0FFFF"/>
          </w:tcPr>
          <w:p>
            <w:pPr>
              <w:spacing w:after="0"/>
              <w:rPr>
                <w:sz w:val="15"/>
                <w:szCs w:val="15"/>
                <w:color w:val="auto"/>
              </w:rPr>
            </w:pPr>
          </w:p>
        </w:tc>
        <w:tc>
          <w:tcPr>
            <w:tcW w:w="860" w:type="dxa"/>
            <w:vAlign w:val="bottom"/>
            <w:shd w:val="clear" w:color="auto" w:fill="F0FFFF"/>
          </w:tcPr>
          <w:p>
            <w:pPr>
              <w:spacing w:after="0"/>
              <w:rPr>
                <w:sz w:val="15"/>
                <w:szCs w:val="15"/>
                <w:color w:val="auto"/>
              </w:rPr>
            </w:pPr>
          </w:p>
        </w:tc>
        <w:tc>
          <w:tcPr>
            <w:tcW w:w="2980" w:type="dxa"/>
            <w:vAlign w:val="bottom"/>
            <w:tcBorders>
              <w:left w:val="single" w:sz="8" w:color="F0FFFF"/>
            </w:tcBorders>
            <w:shd w:val="clear" w:color="auto" w:fill="F0FFFF"/>
          </w:tcPr>
          <w:p>
            <w:pPr>
              <w:spacing w:after="0"/>
              <w:rPr>
                <w:sz w:val="15"/>
                <w:szCs w:val="15"/>
                <w:color w:val="auto"/>
              </w:rPr>
            </w:pPr>
          </w:p>
        </w:tc>
        <w:tc>
          <w:tcPr>
            <w:tcW w:w="40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0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c>
          <w:tcPr>
            <w:tcW w:w="380" w:type="dxa"/>
            <w:vAlign w:val="bottom"/>
            <w:shd w:val="clear" w:color="auto" w:fill="F0FFFF"/>
          </w:tcPr>
          <w:p>
            <w:pPr>
              <w:spacing w:after="0"/>
              <w:rPr>
                <w:sz w:val="15"/>
                <w:szCs w:val="15"/>
                <w:color w:val="auto"/>
              </w:rPr>
            </w:pPr>
          </w:p>
        </w:tc>
        <w:tc>
          <w:tcPr>
            <w:tcW w:w="740" w:type="dxa"/>
            <w:vAlign w:val="bottom"/>
            <w:shd w:val="clear" w:color="auto" w:fill="F0FFFF"/>
          </w:tcPr>
          <w:p>
            <w:pPr>
              <w:spacing w:after="0"/>
              <w:rPr>
                <w:sz w:val="15"/>
                <w:szCs w:val="15"/>
                <w:color w:val="auto"/>
              </w:rPr>
            </w:pPr>
          </w:p>
        </w:tc>
        <w:tc>
          <w:tcPr>
            <w:tcW w:w="120" w:type="dxa"/>
            <w:vAlign w:val="bottom"/>
            <w:shd w:val="clear" w:color="auto" w:fill="F0FFFF"/>
          </w:tcPr>
          <w:p>
            <w:pPr>
              <w:spacing w:after="0"/>
              <w:rPr>
                <w:sz w:val="15"/>
                <w:szCs w:val="15"/>
                <w:color w:val="auto"/>
              </w:rPr>
            </w:pPr>
          </w:p>
        </w:tc>
      </w:tr>
      <w:tr>
        <w:trPr>
          <w:trHeight w:val="211"/>
        </w:trPr>
        <w:tc>
          <w:tcPr>
            <w:tcW w:w="396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(accounting hedge)</w:t>
            </w:r>
          </w:p>
        </w:tc>
        <w:tc>
          <w:tcPr>
            <w:tcW w:w="520" w:type="dxa"/>
            <w:vAlign w:val="bottom"/>
            <w:shd w:val="clear" w:color="auto" w:fill="F0FFFF"/>
          </w:tcPr>
          <w:p>
            <w:pPr>
              <w:spacing w:after="0"/>
              <w:rPr>
                <w:sz w:val="18"/>
                <w:szCs w:val="18"/>
                <w:color w:val="auto"/>
              </w:rPr>
            </w:pPr>
          </w:p>
        </w:tc>
        <w:tc>
          <w:tcPr>
            <w:tcW w:w="240" w:type="dxa"/>
            <w:vAlign w:val="bottom"/>
            <w:shd w:val="clear" w:color="auto" w:fill="F0FFFF"/>
          </w:tcPr>
          <w:p>
            <w:pPr>
              <w:spacing w:after="0"/>
              <w:rPr>
                <w:sz w:val="18"/>
                <w:szCs w:val="18"/>
                <w:color w:val="auto"/>
              </w:rPr>
            </w:pPr>
          </w:p>
        </w:tc>
        <w:tc>
          <w:tcPr>
            <w:tcW w:w="280" w:type="dxa"/>
            <w:vAlign w:val="bottom"/>
            <w:shd w:val="clear" w:color="auto" w:fill="F0FFFF"/>
          </w:tcPr>
          <w:p>
            <w:pPr>
              <w:spacing w:after="0"/>
              <w:rPr>
                <w:sz w:val="18"/>
                <w:szCs w:val="18"/>
                <w:color w:val="auto"/>
              </w:rPr>
            </w:pPr>
          </w:p>
        </w:tc>
        <w:tc>
          <w:tcPr>
            <w:tcW w:w="860" w:type="dxa"/>
            <w:vAlign w:val="bottom"/>
            <w:shd w:val="clear" w:color="auto" w:fill="F0FFFF"/>
          </w:tcPr>
          <w:p>
            <w:pPr>
              <w:spacing w:after="0"/>
              <w:rPr>
                <w:sz w:val="18"/>
                <w:szCs w:val="18"/>
                <w:color w:val="auto"/>
              </w:rPr>
            </w:pPr>
          </w:p>
        </w:tc>
        <w:tc>
          <w:tcPr>
            <w:tcW w:w="2980" w:type="dxa"/>
            <w:vAlign w:val="bottom"/>
            <w:tcBorders>
              <w:left w:val="single" w:sz="8" w:color="F0FFFF"/>
            </w:tcBorders>
            <w:shd w:val="clear" w:color="auto" w:fill="F0FFFF"/>
          </w:tcPr>
          <w:p>
            <w:pPr>
              <w:spacing w:after="0"/>
              <w:rPr>
                <w:sz w:val="18"/>
                <w:szCs w:val="18"/>
                <w:color w:val="auto"/>
              </w:rPr>
            </w:pPr>
          </w:p>
        </w:tc>
        <w:tc>
          <w:tcPr>
            <w:tcW w:w="40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0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c>
          <w:tcPr>
            <w:tcW w:w="380" w:type="dxa"/>
            <w:vAlign w:val="bottom"/>
            <w:shd w:val="clear" w:color="auto" w:fill="F0FFFF"/>
          </w:tcPr>
          <w:p>
            <w:pPr>
              <w:spacing w:after="0"/>
              <w:rPr>
                <w:sz w:val="18"/>
                <w:szCs w:val="18"/>
                <w:color w:val="auto"/>
              </w:rPr>
            </w:pPr>
          </w:p>
        </w:tc>
        <w:tc>
          <w:tcPr>
            <w:tcW w:w="740" w:type="dxa"/>
            <w:vAlign w:val="bottom"/>
            <w:shd w:val="clear" w:color="auto" w:fill="F0FFFF"/>
          </w:tcPr>
          <w:p>
            <w:pPr>
              <w:spacing w:after="0"/>
              <w:rPr>
                <w:sz w:val="18"/>
                <w:szCs w:val="18"/>
                <w:color w:val="auto"/>
              </w:rPr>
            </w:pPr>
          </w:p>
        </w:tc>
        <w:tc>
          <w:tcPr>
            <w:tcW w:w="120" w:type="dxa"/>
            <w:vAlign w:val="bottom"/>
            <w:shd w:val="clear" w:color="auto" w:fill="F0FFFF"/>
          </w:tcPr>
          <w:p>
            <w:pPr>
              <w:spacing w:after="0"/>
              <w:rPr>
                <w:sz w:val="18"/>
                <w:szCs w:val="18"/>
                <w:color w:val="auto"/>
              </w:rPr>
            </w:pPr>
          </w:p>
        </w:tc>
      </w:tr>
      <w:tr>
        <w:trPr>
          <w:trHeight w:val="194"/>
        </w:trPr>
        <w:tc>
          <w:tcPr>
            <w:tcW w:w="3960" w:type="dxa"/>
            <w:vAlign w:val="bottom"/>
          </w:tcPr>
          <w:p>
            <w:pPr>
              <w:ind w:left="140"/>
              <w:spacing w:after="0" w:line="194" w:lineRule="exact"/>
              <w:rPr>
                <w:sz w:val="20"/>
                <w:szCs w:val="20"/>
                <w:color w:val="auto"/>
              </w:rPr>
            </w:pPr>
            <w:r>
              <w:rPr>
                <w:rFonts w:ascii="Arial" w:cs="Arial" w:eastAsia="Arial" w:hAnsi="Arial"/>
                <w:sz w:val="16"/>
                <w:szCs w:val="16"/>
                <w:color w:val="auto"/>
              </w:rPr>
              <w:t xml:space="preserve">Pay fixed swaps </w:t>
            </w:r>
            <w:r>
              <w:rPr>
                <w:rFonts w:ascii="Arial" w:cs="Arial" w:eastAsia="Arial" w:hAnsi="Arial"/>
                <w:sz w:val="22"/>
                <w:szCs w:val="22"/>
                <w:color w:val="auto"/>
                <w:vertAlign w:val="superscript"/>
              </w:rPr>
              <w:t>(3)</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275,000</w:t>
            </w:r>
          </w:p>
        </w:tc>
        <w:tc>
          <w:tcPr>
            <w:tcW w:w="2980" w:type="dxa"/>
            <w:vAlign w:val="bottom"/>
          </w:tcPr>
          <w:p>
            <w:pPr>
              <w:ind w:left="120"/>
              <w:spacing w:after="0"/>
              <w:rPr>
                <w:sz w:val="20"/>
                <w:szCs w:val="20"/>
                <w:color w:val="auto"/>
              </w:rPr>
            </w:pPr>
            <w:r>
              <w:rPr>
                <w:rFonts w:ascii="Arial" w:cs="Arial" w:eastAsia="Arial" w:hAnsi="Arial"/>
                <w:sz w:val="16"/>
                <w:szCs w:val="16"/>
                <w:color w:val="auto"/>
              </w:rPr>
              <w:t>Protection from rising interest rates</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1,349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4"/>
        </w:trPr>
        <w:tc>
          <w:tcPr>
            <w:tcW w:w="396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Customer swap positions</w:t>
            </w:r>
          </w:p>
        </w:tc>
        <w:tc>
          <w:tcPr>
            <w:tcW w:w="5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980" w:type="dxa"/>
            <w:vAlign w:val="bottom"/>
            <w:tcBorders>
              <w:left w:val="single" w:sz="8" w:color="F0FFFF"/>
            </w:tcBorders>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3960" w:type="dxa"/>
            <w:vAlign w:val="bottom"/>
          </w:tcPr>
          <w:p>
            <w:pPr>
              <w:ind w:left="140"/>
              <w:spacing w:after="0" w:line="194" w:lineRule="exact"/>
              <w:rPr>
                <w:sz w:val="20"/>
                <w:szCs w:val="20"/>
                <w:color w:val="auto"/>
              </w:rPr>
            </w:pPr>
            <w:r>
              <w:rPr>
                <w:rFonts w:ascii="Arial" w:cs="Arial" w:eastAsia="Arial" w:hAnsi="Arial"/>
                <w:sz w:val="16"/>
                <w:szCs w:val="16"/>
                <w:color w:val="auto"/>
              </w:rPr>
              <w:t xml:space="preserve">Receive fixed swaps </w:t>
            </w:r>
            <w:r>
              <w:rPr>
                <w:rFonts w:ascii="Arial" w:cs="Arial" w:eastAsia="Arial" w:hAnsi="Arial"/>
                <w:sz w:val="22"/>
                <w:szCs w:val="22"/>
                <w:color w:val="auto"/>
                <w:vertAlign w:val="superscript"/>
              </w:rPr>
              <w:t>(4)</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177,890</w:t>
            </w:r>
          </w:p>
        </w:tc>
        <w:tc>
          <w:tcPr>
            <w:tcW w:w="2980" w:type="dxa"/>
            <w:vAlign w:val="bottom"/>
          </w:tcPr>
          <w:p>
            <w:pPr>
              <w:ind w:left="120"/>
              <w:spacing w:after="0"/>
              <w:rPr>
                <w:sz w:val="20"/>
                <w:szCs w:val="20"/>
                <w:color w:val="auto"/>
              </w:rPr>
            </w:pPr>
            <w:r>
              <w:rPr>
                <w:rFonts w:ascii="Arial" w:cs="Arial" w:eastAsia="Arial" w:hAnsi="Arial"/>
                <w:sz w:val="16"/>
                <w:szCs w:val="16"/>
                <w:color w:val="auto"/>
              </w:rPr>
              <w:t>Provide customer with fixed rate loan</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2,067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475</w:t>
            </w:r>
          </w:p>
        </w:tc>
      </w:tr>
      <w:tr>
        <w:trPr>
          <w:trHeight w:val="194"/>
        </w:trPr>
        <w:tc>
          <w:tcPr>
            <w:tcW w:w="3960" w:type="dxa"/>
            <w:vAlign w:val="bottom"/>
            <w:shd w:val="clear" w:color="auto" w:fill="F0FFFF"/>
          </w:tcPr>
          <w:p>
            <w:pPr>
              <w:spacing w:after="0"/>
              <w:rPr>
                <w:sz w:val="20"/>
                <w:szCs w:val="20"/>
                <w:color w:val="auto"/>
              </w:rPr>
            </w:pPr>
            <w:r>
              <w:rPr>
                <w:rFonts w:ascii="Arial" w:cs="Arial" w:eastAsia="Arial" w:hAnsi="Arial"/>
                <w:sz w:val="16"/>
                <w:szCs w:val="16"/>
                <w:b w:val="1"/>
                <w:bCs w:val="1"/>
                <w:color w:val="auto"/>
              </w:rPr>
              <w:t>Dealer offset to customer swap positions</w:t>
            </w:r>
          </w:p>
        </w:tc>
        <w:tc>
          <w:tcPr>
            <w:tcW w:w="5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980" w:type="dxa"/>
            <w:vAlign w:val="bottom"/>
            <w:tcBorders>
              <w:left w:val="single" w:sz="8" w:color="F0FFFF"/>
            </w:tcBorders>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3960" w:type="dxa"/>
            <w:vAlign w:val="bottom"/>
          </w:tcPr>
          <w:p>
            <w:pPr>
              <w:ind w:left="140"/>
              <w:spacing w:after="0" w:line="194" w:lineRule="exact"/>
              <w:rPr>
                <w:sz w:val="20"/>
                <w:szCs w:val="20"/>
                <w:color w:val="auto"/>
              </w:rPr>
            </w:pPr>
            <w:r>
              <w:rPr>
                <w:rFonts w:ascii="Arial" w:cs="Arial" w:eastAsia="Arial" w:hAnsi="Arial"/>
                <w:sz w:val="16"/>
                <w:szCs w:val="16"/>
                <w:color w:val="auto"/>
              </w:rPr>
              <w:t xml:space="preserve">Pay fixed swaps </w:t>
            </w:r>
            <w:r>
              <w:rPr>
                <w:rFonts w:ascii="Arial" w:cs="Arial" w:eastAsia="Arial" w:hAnsi="Arial"/>
                <w:sz w:val="22"/>
                <w:szCs w:val="22"/>
                <w:color w:val="auto"/>
                <w:vertAlign w:val="superscript"/>
              </w:rPr>
              <w:t>(4)</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68</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177,890</w:t>
            </w:r>
          </w:p>
        </w:tc>
        <w:tc>
          <w:tcPr>
            <w:tcW w:w="2980" w:type="dxa"/>
            <w:vAlign w:val="bottom"/>
          </w:tcPr>
          <w:p>
            <w:pPr>
              <w:ind w:left="120"/>
              <w:spacing w:after="0"/>
              <w:rPr>
                <w:sz w:val="20"/>
                <w:szCs w:val="20"/>
                <w:color w:val="auto"/>
              </w:rPr>
            </w:pPr>
            <w:r>
              <w:rPr>
                <w:rFonts w:ascii="Arial" w:cs="Arial" w:eastAsia="Arial" w:hAnsi="Arial"/>
                <w:sz w:val="16"/>
                <w:szCs w:val="16"/>
                <w:color w:val="auto"/>
              </w:rPr>
              <w:t>Protection from rising interest rates</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2,087</w:t>
            </w:r>
          </w:p>
        </w:tc>
      </w:tr>
      <w:tr>
        <w:trPr>
          <w:trHeight w:val="194"/>
        </w:trPr>
        <w:tc>
          <w:tcPr>
            <w:tcW w:w="4480" w:type="dxa"/>
            <w:vAlign w:val="bottom"/>
            <w:gridSpan w:val="2"/>
            <w:shd w:val="clear" w:color="auto" w:fill="F0FFFF"/>
          </w:tcPr>
          <w:p>
            <w:pPr>
              <w:spacing w:after="0"/>
              <w:rPr>
                <w:sz w:val="20"/>
                <w:szCs w:val="20"/>
                <w:color w:val="auto"/>
              </w:rPr>
            </w:pPr>
            <w:r>
              <w:rPr>
                <w:rFonts w:ascii="Arial" w:cs="Arial" w:eastAsia="Arial" w:hAnsi="Arial"/>
                <w:sz w:val="16"/>
                <w:szCs w:val="16"/>
                <w:b w:val="1"/>
                <w:bCs w:val="1"/>
                <w:color w:val="auto"/>
                <w:w w:val="97"/>
              </w:rPr>
              <w:t>Bifurcated derivatives embedded in hybrid host instruments</w:t>
            </w:r>
          </w:p>
        </w:tc>
        <w:tc>
          <w:tcPr>
            <w:tcW w:w="24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980" w:type="dxa"/>
            <w:vAlign w:val="bottom"/>
            <w:tcBorders>
              <w:left w:val="single" w:sz="8" w:color="F0FFFF"/>
            </w:tcBorders>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3960" w:type="dxa"/>
            <w:vAlign w:val="bottom"/>
          </w:tcPr>
          <w:p>
            <w:pPr>
              <w:ind w:left="140"/>
              <w:spacing w:after="0" w:line="194" w:lineRule="exact"/>
              <w:rPr>
                <w:sz w:val="20"/>
                <w:szCs w:val="20"/>
                <w:color w:val="auto"/>
              </w:rPr>
            </w:pPr>
            <w:r>
              <w:rPr>
                <w:rFonts w:ascii="Arial" w:cs="Arial" w:eastAsia="Arial" w:hAnsi="Arial"/>
                <w:sz w:val="16"/>
                <w:szCs w:val="16"/>
                <w:color w:val="auto"/>
              </w:rPr>
              <w:t xml:space="preserve">Pay steepener rate cancellable swap </w:t>
            </w:r>
            <w:r>
              <w:rPr>
                <w:rFonts w:ascii="Arial" w:cs="Arial" w:eastAsia="Arial" w:hAnsi="Arial"/>
                <w:sz w:val="22"/>
                <w:szCs w:val="22"/>
                <w:color w:val="auto"/>
                <w:vertAlign w:val="superscript"/>
              </w:rPr>
              <w:t>(5)</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96,425</w:t>
            </w:r>
          </w:p>
        </w:tc>
        <w:tc>
          <w:tcPr>
            <w:tcW w:w="2980" w:type="dxa"/>
            <w:vAlign w:val="bottom"/>
          </w:tcPr>
          <w:p>
            <w:pPr>
              <w:ind w:left="120"/>
              <w:spacing w:after="0"/>
              <w:rPr>
                <w:sz w:val="20"/>
                <w:szCs w:val="20"/>
                <w:color w:val="auto"/>
              </w:rPr>
            </w:pPr>
            <w:r>
              <w:rPr>
                <w:rFonts w:ascii="Arial" w:cs="Arial" w:eastAsia="Arial" w:hAnsi="Arial"/>
                <w:sz w:val="16"/>
                <w:szCs w:val="16"/>
                <w:color w:val="auto"/>
              </w:rPr>
              <w:t>Low cost funding</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14,780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4"/>
        </w:trPr>
        <w:tc>
          <w:tcPr>
            <w:tcW w:w="3960" w:type="dxa"/>
            <w:vAlign w:val="bottom"/>
            <w:shd w:val="clear" w:color="auto" w:fill="F0FFFF"/>
          </w:tcPr>
          <w:p>
            <w:pPr>
              <w:spacing w:after="0"/>
              <w:rPr>
                <w:sz w:val="20"/>
                <w:szCs w:val="20"/>
                <w:color w:val="auto"/>
              </w:rPr>
            </w:pPr>
            <w:r>
              <w:rPr>
                <w:rFonts w:ascii="Arial" w:cs="Arial" w:eastAsia="Arial" w:hAnsi="Arial"/>
                <w:sz w:val="16"/>
                <w:szCs w:val="16"/>
                <w:b w:val="1"/>
                <w:bCs w:val="1"/>
                <w:color w:val="auto"/>
                <w:w w:val="90"/>
              </w:rPr>
              <w:t>Interest rate swaps not designated as accounting hedges</w:t>
            </w:r>
          </w:p>
        </w:tc>
        <w:tc>
          <w:tcPr>
            <w:tcW w:w="520" w:type="dxa"/>
            <w:vAlign w:val="bottom"/>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80" w:type="dxa"/>
            <w:vAlign w:val="bottom"/>
            <w:shd w:val="clear" w:color="auto" w:fill="F0FFFF"/>
          </w:tcPr>
          <w:p>
            <w:pPr>
              <w:spacing w:after="0"/>
              <w:rPr>
                <w:sz w:val="16"/>
                <w:szCs w:val="16"/>
                <w:color w:val="auto"/>
              </w:rPr>
            </w:pPr>
          </w:p>
        </w:tc>
        <w:tc>
          <w:tcPr>
            <w:tcW w:w="860" w:type="dxa"/>
            <w:vAlign w:val="bottom"/>
            <w:shd w:val="clear" w:color="auto" w:fill="F0FFFF"/>
          </w:tcPr>
          <w:p>
            <w:pPr>
              <w:spacing w:after="0"/>
              <w:rPr>
                <w:sz w:val="16"/>
                <w:szCs w:val="16"/>
                <w:color w:val="auto"/>
              </w:rPr>
            </w:pPr>
          </w:p>
        </w:tc>
        <w:tc>
          <w:tcPr>
            <w:tcW w:w="2980" w:type="dxa"/>
            <w:vAlign w:val="bottom"/>
            <w:tcBorders>
              <w:left w:val="single" w:sz="8" w:color="F0FFFF"/>
            </w:tcBorders>
            <w:shd w:val="clear" w:color="auto" w:fill="F0FFFF"/>
          </w:tcPr>
          <w:p>
            <w:pPr>
              <w:spacing w:after="0"/>
              <w:rPr>
                <w:sz w:val="16"/>
                <w:szCs w:val="16"/>
                <w:color w:val="auto"/>
              </w:rPr>
            </w:pPr>
          </w:p>
        </w:tc>
        <w:tc>
          <w:tcPr>
            <w:tcW w:w="40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380" w:type="dxa"/>
            <w:vAlign w:val="bottom"/>
            <w:shd w:val="clear" w:color="auto" w:fill="F0FFFF"/>
          </w:tcPr>
          <w:p>
            <w:pPr>
              <w:spacing w:after="0"/>
              <w:rPr>
                <w:sz w:val="16"/>
                <w:szCs w:val="16"/>
                <w:color w:val="auto"/>
              </w:rPr>
            </w:pPr>
          </w:p>
        </w:tc>
        <w:tc>
          <w:tcPr>
            <w:tcW w:w="7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r>
      <w:tr>
        <w:trPr>
          <w:trHeight w:val="194"/>
        </w:trPr>
        <w:tc>
          <w:tcPr>
            <w:tcW w:w="3960" w:type="dxa"/>
            <w:vAlign w:val="bottom"/>
          </w:tcPr>
          <w:p>
            <w:pPr>
              <w:ind w:left="140"/>
              <w:spacing w:after="0" w:line="194" w:lineRule="exact"/>
              <w:rPr>
                <w:sz w:val="20"/>
                <w:szCs w:val="20"/>
                <w:color w:val="auto"/>
              </w:rPr>
            </w:pPr>
            <w:r>
              <w:rPr>
                <w:rFonts w:ascii="Arial" w:cs="Arial" w:eastAsia="Arial" w:hAnsi="Arial"/>
                <w:sz w:val="16"/>
                <w:szCs w:val="16"/>
                <w:color w:val="auto"/>
              </w:rPr>
              <w:t xml:space="preserve">Receive steepener rate cancellable swap </w:t>
            </w:r>
            <w:r>
              <w:rPr>
                <w:rFonts w:ascii="Arial" w:cs="Arial" w:eastAsia="Arial" w:hAnsi="Arial"/>
                <w:sz w:val="22"/>
                <w:szCs w:val="22"/>
                <w:color w:val="auto"/>
                <w:vertAlign w:val="superscript"/>
              </w:rPr>
              <w:t>(5)</w:t>
            </w:r>
          </w:p>
        </w:tc>
        <w:tc>
          <w:tcPr>
            <w:tcW w:w="520" w:type="dxa"/>
            <w:vAlign w:val="bottom"/>
          </w:tcPr>
          <w:p>
            <w:pPr>
              <w:jc w:val="right"/>
              <w:ind w:right="159"/>
              <w:spacing w:after="0"/>
              <w:rPr>
                <w:sz w:val="20"/>
                <w:szCs w:val="20"/>
                <w:color w:val="auto"/>
              </w:rPr>
            </w:pPr>
            <w:r>
              <w:rPr>
                <w:rFonts w:ascii="Arial" w:cs="Arial" w:eastAsia="Arial" w:hAnsi="Arial"/>
                <w:sz w:val="16"/>
                <w:szCs w:val="16"/>
                <w:color w:val="auto"/>
              </w:rPr>
              <w:t>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96,425</w:t>
            </w:r>
          </w:p>
        </w:tc>
        <w:tc>
          <w:tcPr>
            <w:tcW w:w="2980" w:type="dxa"/>
            <w:vAlign w:val="bottom"/>
          </w:tcPr>
          <w:p>
            <w:pPr>
              <w:ind w:left="120"/>
              <w:spacing w:after="0"/>
              <w:rPr>
                <w:sz w:val="20"/>
                <w:szCs w:val="20"/>
                <w:color w:val="auto"/>
              </w:rPr>
            </w:pPr>
            <w:r>
              <w:rPr>
                <w:rFonts w:ascii="Arial" w:cs="Arial" w:eastAsia="Arial" w:hAnsi="Arial"/>
                <w:sz w:val="16"/>
                <w:szCs w:val="16"/>
                <w:color w:val="auto"/>
              </w:rPr>
              <w:t>Low cost funding</w:t>
            </w:r>
          </w:p>
        </w:tc>
        <w:tc>
          <w:tcPr>
            <w:tcW w:w="400" w:type="dxa"/>
            <w:vAlign w:val="bottom"/>
          </w:tcPr>
          <w:p>
            <w:pPr>
              <w:spacing w:after="0"/>
              <w:rPr>
                <w:sz w:val="16"/>
                <w:szCs w:val="16"/>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19,858</w:t>
            </w:r>
          </w:p>
        </w:tc>
      </w:tr>
      <w:tr>
        <w:trPr>
          <w:trHeight w:val="24"/>
        </w:trPr>
        <w:tc>
          <w:tcPr>
            <w:tcW w:w="39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9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4"/>
        </w:trPr>
        <w:tc>
          <w:tcPr>
            <w:tcW w:w="3960" w:type="dxa"/>
            <w:vAlign w:val="bottom"/>
            <w:shd w:val="clear" w:color="auto" w:fill="F0FFFF"/>
          </w:tcPr>
          <w:p>
            <w:pPr>
              <w:spacing w:after="0"/>
              <w:rPr>
                <w:sz w:val="18"/>
                <w:szCs w:val="18"/>
                <w:color w:val="auto"/>
              </w:rPr>
            </w:pPr>
          </w:p>
        </w:tc>
        <w:tc>
          <w:tcPr>
            <w:tcW w:w="520" w:type="dxa"/>
            <w:vAlign w:val="bottom"/>
            <w:shd w:val="clear" w:color="auto" w:fill="F0FFFF"/>
          </w:tcPr>
          <w:p>
            <w:pPr>
              <w:spacing w:after="0"/>
              <w:rPr>
                <w:sz w:val="18"/>
                <w:szCs w:val="18"/>
                <w:color w:val="auto"/>
              </w:rPr>
            </w:pPr>
          </w:p>
        </w:tc>
        <w:tc>
          <w:tcPr>
            <w:tcW w:w="520" w:type="dxa"/>
            <w:vAlign w:val="bottom"/>
            <w:gridSpan w:val="2"/>
            <w:shd w:val="clear" w:color="auto" w:fill="F0FFFF"/>
          </w:tcPr>
          <w:p>
            <w:pPr>
              <w:jc w:val="right"/>
              <w:ind w:right="200"/>
              <w:spacing w:after="0"/>
              <w:rPr>
                <w:sz w:val="20"/>
                <w:szCs w:val="20"/>
                <w:color w:val="auto"/>
              </w:rPr>
            </w:pPr>
            <w:r>
              <w:rPr>
                <w:rFonts w:ascii="Arial" w:cs="Arial" w:eastAsia="Arial" w:hAnsi="Arial"/>
                <w:sz w:val="16"/>
                <w:szCs w:val="16"/>
                <w:color w:val="auto"/>
              </w:rPr>
              <w:t>$</w:t>
            </w:r>
          </w:p>
        </w:tc>
        <w:tc>
          <w:tcPr>
            <w:tcW w:w="86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1,622,630</w:t>
            </w:r>
          </w:p>
        </w:tc>
        <w:tc>
          <w:tcPr>
            <w:tcW w:w="2980" w:type="dxa"/>
            <w:vAlign w:val="bottom"/>
            <w:tcBorders>
              <w:left w:val="single" w:sz="8" w:color="F0FFFF"/>
            </w:tcBorders>
            <w:shd w:val="clear" w:color="auto" w:fill="F0FFFF"/>
          </w:tcPr>
          <w:p>
            <w:pPr>
              <w:spacing w:after="0"/>
              <w:rPr>
                <w:sz w:val="18"/>
                <w:szCs w:val="18"/>
                <w:color w:val="auto"/>
              </w:rPr>
            </w:pPr>
          </w:p>
        </w:tc>
        <w:tc>
          <w:tcPr>
            <w:tcW w:w="400" w:type="dxa"/>
            <w:vAlign w:val="bottom"/>
            <w:shd w:val="clear" w:color="auto" w:fill="F0FFFF"/>
          </w:tcPr>
          <w:p>
            <w:pPr>
              <w:jc w:val="right"/>
              <w:ind w:right="244"/>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22,221</w:t>
            </w:r>
          </w:p>
        </w:tc>
        <w:tc>
          <w:tcPr>
            <w:tcW w:w="500" w:type="dxa"/>
            <w:vAlign w:val="bottom"/>
            <w:gridSpan w:val="2"/>
            <w:shd w:val="clear" w:color="auto" w:fill="F0FFFF"/>
          </w:tcPr>
          <w:p>
            <w:pPr>
              <w:jc w:val="right"/>
              <w:ind w:right="30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36,171</w:t>
            </w:r>
          </w:p>
        </w:tc>
      </w:tr>
      <w:tr>
        <w:trPr>
          <w:trHeight w:val="20"/>
        </w:trPr>
        <w:tc>
          <w:tcPr>
            <w:tcW w:w="3960" w:type="dxa"/>
            <w:vAlign w:val="bottom"/>
            <w:tcBorders>
              <w:top w:val="single" w:sz="8" w:color="F0FFFF"/>
            </w:tcBorders>
            <w:shd w:val="clear" w:color="auto" w:fill="F0FFFF"/>
          </w:tcPr>
          <w:p>
            <w:pPr>
              <w:spacing w:after="0" w:line="20" w:lineRule="exact"/>
              <w:rPr>
                <w:sz w:val="1"/>
                <w:szCs w:val="1"/>
                <w:color w:val="auto"/>
              </w:rPr>
            </w:pPr>
          </w:p>
        </w:tc>
        <w:tc>
          <w:tcPr>
            <w:tcW w:w="520" w:type="dxa"/>
            <w:vAlign w:val="bottom"/>
            <w:tcBorders>
              <w:top w:val="single" w:sz="8" w:color="F0FFFF"/>
            </w:tcBorders>
            <w:shd w:val="clear" w:color="auto" w:fill="F0FFFF"/>
          </w:tcPr>
          <w:p>
            <w:pPr>
              <w:spacing w:after="0" w:line="20" w:lineRule="exact"/>
              <w:rPr>
                <w:sz w:val="1"/>
                <w:szCs w:val="1"/>
                <w:color w:val="auto"/>
              </w:rPr>
            </w:pPr>
          </w:p>
        </w:tc>
        <w:tc>
          <w:tcPr>
            <w:tcW w:w="240" w:type="dxa"/>
            <w:vAlign w:val="bottom"/>
            <w:tcBorders>
              <w:top w:val="single" w:sz="8" w:color="F0FFFF"/>
            </w:tcBorders>
            <w:shd w:val="clear" w:color="auto" w:fill="F0FF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980" w:type="dxa"/>
            <w:vAlign w:val="bottom"/>
            <w:tcBorders>
              <w:top w:val="single" w:sz="8" w:color="F0FFFF"/>
              <w:left w:val="single" w:sz="8" w:color="F0FFFF"/>
            </w:tcBorders>
            <w:shd w:val="clear" w:color="auto" w:fill="F0FF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F0FFFF"/>
            </w:tcBorders>
            <w:shd w:val="clear" w:color="auto" w:fill="F0FFFF"/>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F0FFFF"/>
            </w:tcBorders>
            <w:shd w:val="clear" w:color="auto" w:fill="F0FFFF"/>
          </w:tcPr>
          <w:p>
            <w:pPr>
              <w:spacing w:after="0" w:line="20" w:lineRule="exact"/>
              <w:rPr>
                <w:sz w:val="1"/>
                <w:szCs w:val="1"/>
                <w:color w:val="auto"/>
              </w:rPr>
            </w:pPr>
          </w:p>
        </w:tc>
      </w:tr>
    </w:tbl>
    <w:p>
      <w:pPr>
        <w:spacing w:after="0" w:line="181" w:lineRule="exact"/>
        <w:rPr>
          <w:sz w:val="20"/>
          <w:szCs w:val="20"/>
          <w:color w:val="auto"/>
        </w:rPr>
      </w:pPr>
    </w:p>
    <w:p>
      <w:pPr>
        <w:ind w:left="3" w:right="20" w:hanging="3"/>
        <w:spacing w:after="0" w:line="262" w:lineRule="auto"/>
        <w:tabs>
          <w:tab w:leader="none" w:pos="135" w:val="left"/>
        </w:tabs>
        <w:numPr>
          <w:ilvl w:val="0"/>
          <w:numId w:val="9"/>
        </w:numPr>
        <w:rPr>
          <w:rFonts w:ascii="Arial" w:cs="Arial" w:eastAsia="Arial" w:hAnsi="Arial"/>
          <w:sz w:val="16"/>
          <w:szCs w:val="16"/>
          <w:color w:val="auto"/>
          <w:vertAlign w:val="superscript"/>
        </w:rPr>
      </w:pPr>
      <w:r>
        <w:rPr>
          <w:rFonts w:ascii="Arial" w:cs="Arial" w:eastAsia="Arial" w:hAnsi="Arial"/>
          <w:sz w:val="16"/>
          <w:szCs w:val="16"/>
          <w:color w:val="auto"/>
        </w:rPr>
        <w:t>United uses these swaps as part of a program to provide a low cost non-collateralized source of funds. The swaps hedge fixed rate brokered deposits with step up rates that increase over time that are mirrored in the receive rate of the swaps. The variable pay rates on these swaps are based on three-month LIBOR at spreads of minus 20 to minus 65 basis points. The counterparties have the right to call the instruments at any time generally after six months to one year following inception. United has a similar option in the hedged brokered deposit.</w:t>
      </w:r>
    </w:p>
    <w:p>
      <w:pPr>
        <w:spacing w:after="0" w:line="166" w:lineRule="exact"/>
        <w:rPr>
          <w:rFonts w:ascii="Arial" w:cs="Arial" w:eastAsia="Arial" w:hAnsi="Arial"/>
          <w:sz w:val="16"/>
          <w:szCs w:val="16"/>
          <w:color w:val="auto"/>
          <w:vertAlign w:val="superscript"/>
        </w:rPr>
      </w:pPr>
    </w:p>
    <w:p>
      <w:pPr>
        <w:ind w:left="3" w:right="160" w:hanging="3"/>
        <w:spacing w:after="0" w:line="262" w:lineRule="auto"/>
        <w:tabs>
          <w:tab w:leader="none" w:pos="135" w:val="left"/>
        </w:tabs>
        <w:numPr>
          <w:ilvl w:val="0"/>
          <w:numId w:val="9"/>
        </w:numPr>
        <w:rPr>
          <w:rFonts w:ascii="Arial" w:cs="Arial" w:eastAsia="Arial" w:hAnsi="Arial"/>
          <w:sz w:val="16"/>
          <w:szCs w:val="16"/>
          <w:color w:val="auto"/>
          <w:vertAlign w:val="superscript"/>
        </w:rPr>
      </w:pPr>
      <w:r>
        <w:rPr>
          <w:rFonts w:ascii="Arial" w:cs="Arial" w:eastAsia="Arial" w:hAnsi="Arial"/>
          <w:sz w:val="16"/>
          <w:szCs w:val="16"/>
          <w:color w:val="auto"/>
        </w:rPr>
        <w:t>These swaps are forward starting and became effective in the first and second quarters of 2014. They were originally entered into to convert three month LIBOR-based floating rate borrowings and one month LIBOR-based money market deposits to fixed rates for a three-year term in order to provide protection from rising short-term interest rates. In the second quarter of 2014, United determined that the interest rate protection was no longer needed and de-designated these swaps as hedges and entered into mirror image offsetting positions to effectively terminate the hedging relationship.</w:t>
      </w:r>
    </w:p>
    <w:p>
      <w:pPr>
        <w:spacing w:after="0" w:line="166" w:lineRule="exact"/>
        <w:rPr>
          <w:rFonts w:ascii="Arial" w:cs="Arial" w:eastAsia="Arial" w:hAnsi="Arial"/>
          <w:sz w:val="16"/>
          <w:szCs w:val="16"/>
          <w:color w:val="auto"/>
          <w:vertAlign w:val="superscript"/>
        </w:rPr>
      </w:pPr>
    </w:p>
    <w:p>
      <w:pPr>
        <w:ind w:left="3" w:right="320" w:hanging="3"/>
        <w:spacing w:after="0" w:line="281" w:lineRule="auto"/>
        <w:tabs>
          <w:tab w:leader="none" w:pos="135" w:val="left"/>
        </w:tabs>
        <w:numPr>
          <w:ilvl w:val="0"/>
          <w:numId w:val="9"/>
        </w:numPr>
        <w:rPr>
          <w:rFonts w:ascii="Arial" w:cs="Arial" w:eastAsia="Arial" w:hAnsi="Arial"/>
          <w:sz w:val="16"/>
          <w:szCs w:val="16"/>
          <w:color w:val="auto"/>
          <w:vertAlign w:val="superscript"/>
        </w:rPr>
      </w:pPr>
      <w:r>
        <w:rPr>
          <w:rFonts w:ascii="Arial" w:cs="Arial" w:eastAsia="Arial" w:hAnsi="Arial"/>
          <w:sz w:val="16"/>
          <w:szCs w:val="16"/>
          <w:color w:val="auto"/>
        </w:rPr>
        <w:t>These swaps are forward starting and become effective in the third quarter of 2014 and the second quarter of 2015. They convert one month LIBOR-based money market deposits to fixed rates for terms of three to eight years. They are used for protection against rising interest rates.</w:t>
      </w:r>
    </w:p>
    <w:p>
      <w:pPr>
        <w:spacing w:after="0" w:line="151" w:lineRule="exact"/>
        <w:rPr>
          <w:rFonts w:ascii="Arial" w:cs="Arial" w:eastAsia="Arial" w:hAnsi="Arial"/>
          <w:sz w:val="16"/>
          <w:szCs w:val="16"/>
          <w:color w:val="auto"/>
          <w:vertAlign w:val="superscript"/>
        </w:rPr>
      </w:pPr>
    </w:p>
    <w:p>
      <w:pPr>
        <w:ind w:left="3" w:right="80" w:hanging="3"/>
        <w:spacing w:after="0" w:line="316" w:lineRule="auto"/>
        <w:tabs>
          <w:tab w:leader="none" w:pos="135" w:val="left"/>
        </w:tabs>
        <w:numPr>
          <w:ilvl w:val="0"/>
          <w:numId w:val="9"/>
        </w:numPr>
        <w:rPr>
          <w:rFonts w:ascii="Arial" w:cs="Arial" w:eastAsia="Arial" w:hAnsi="Arial"/>
          <w:sz w:val="15"/>
          <w:szCs w:val="15"/>
          <w:color w:val="auto"/>
          <w:vertAlign w:val="superscript"/>
        </w:rPr>
      </w:pPr>
      <w:r>
        <w:rPr>
          <w:rFonts w:ascii="Arial" w:cs="Arial" w:eastAsia="Arial" w:hAnsi="Arial"/>
          <w:sz w:val="15"/>
          <w:szCs w:val="15"/>
          <w:color w:val="auto"/>
        </w:rPr>
        <w:t>United offers interest rate swaps to customers seeking fixed rate loans under a back to back swap program. United enters into offsetting swap positions with qualified dealers simultaneously with the customer swap. Customer swaps and the offsetting dealer swap positions are marked to market through other fee revenue.</w:t>
      </w:r>
    </w:p>
    <w:p>
      <w:pPr>
        <w:spacing w:after="0" w:line="127" w:lineRule="exact"/>
        <w:rPr>
          <w:rFonts w:ascii="Arial" w:cs="Arial" w:eastAsia="Arial" w:hAnsi="Arial"/>
          <w:sz w:val="15"/>
          <w:szCs w:val="15"/>
          <w:color w:val="auto"/>
          <w:vertAlign w:val="superscript"/>
        </w:rPr>
      </w:pPr>
    </w:p>
    <w:p>
      <w:pPr>
        <w:ind w:left="3" w:right="60" w:hanging="3"/>
        <w:spacing w:after="0" w:line="258" w:lineRule="auto"/>
        <w:tabs>
          <w:tab w:leader="none" w:pos="135" w:val="left"/>
        </w:tabs>
        <w:numPr>
          <w:ilvl w:val="0"/>
          <w:numId w:val="9"/>
        </w:numPr>
        <w:rPr>
          <w:rFonts w:ascii="Arial" w:cs="Arial" w:eastAsia="Arial" w:hAnsi="Arial"/>
          <w:sz w:val="16"/>
          <w:szCs w:val="16"/>
          <w:color w:val="auto"/>
          <w:vertAlign w:val="superscript"/>
        </w:rPr>
      </w:pPr>
      <w:r>
        <w:rPr>
          <w:rFonts w:ascii="Arial" w:cs="Arial" w:eastAsia="Arial" w:hAnsi="Arial"/>
          <w:sz w:val="16"/>
          <w:szCs w:val="16"/>
          <w:color w:val="auto"/>
        </w:rPr>
        <w:t>United offers market linked certificates of deposit through broker dealers. The rate paid on these hybrid instruments is based on a formula derived from the spread betweeen the long and short ends of the constant maturity swap ("CMS") rate curve. This type of instrument is referred to as a steepener since it derives its value from the slope of the CMS curve. United has determined that these hybrid instruments contain an embedded swap contract which has been bifurcated from the host contract. United enters into a swap with a swap dealer simultaneously where the receive rate on the swap mirrors the pay rate on the brokered deposit. The bifurcated derivative and the stand alone swap are both marked to market through other fee revenue. Although these instruments are not treated as an accounting hedge, the swap acts as an effective economic hedge of the steepener index in the brokered deposit.</w:t>
      </w:r>
    </w:p>
    <w:p>
      <w:pPr>
        <w:spacing w:after="0" w:line="171" w:lineRule="exact"/>
        <w:rPr>
          <w:rFonts w:ascii="Arial" w:cs="Arial" w:eastAsia="Arial" w:hAnsi="Arial"/>
          <w:sz w:val="16"/>
          <w:szCs w:val="16"/>
          <w:color w:val="auto"/>
          <w:vertAlign w:val="superscript"/>
        </w:rPr>
      </w:pPr>
    </w:p>
    <w:p>
      <w:pPr>
        <w:ind w:left="123" w:hanging="123"/>
        <w:spacing w:after="0"/>
        <w:tabs>
          <w:tab w:leader="none" w:pos="123" w:val="left"/>
        </w:tabs>
        <w:numPr>
          <w:ilvl w:val="0"/>
          <w:numId w:val="9"/>
        </w:numPr>
        <w:rPr>
          <w:rFonts w:ascii="Arial" w:cs="Arial" w:eastAsia="Arial" w:hAnsi="Arial"/>
          <w:sz w:val="15"/>
          <w:szCs w:val="15"/>
          <w:color w:val="auto"/>
          <w:vertAlign w:val="superscript"/>
        </w:rPr>
      </w:pPr>
      <w:r>
        <w:rPr>
          <w:rFonts w:ascii="Arial" w:cs="Arial" w:eastAsia="Arial" w:hAnsi="Arial"/>
          <w:sz w:val="15"/>
          <w:szCs w:val="15"/>
          <w:color w:val="auto"/>
        </w:rPr>
        <w:t>Market values presented here do not include accrued interest.</w:t>
      </w:r>
    </w:p>
    <w:p>
      <w:pPr>
        <w:spacing w:after="0" w:line="200" w:lineRule="exact"/>
        <w:rPr>
          <w:sz w:val="20"/>
          <w:szCs w:val="20"/>
          <w:color w:val="auto"/>
        </w:rPr>
      </w:pPr>
    </w:p>
    <w:p>
      <w:pPr>
        <w:spacing w:after="0" w:line="210" w:lineRule="exact"/>
        <w:rPr>
          <w:sz w:val="20"/>
          <w:szCs w:val="20"/>
          <w:color w:val="auto"/>
        </w:rPr>
      </w:pPr>
    </w:p>
    <w:p>
      <w:pPr>
        <w:jc w:val="center"/>
        <w:ind w:right="-2"/>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6059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3"/>
          </w:cols>
          <w:pgMar w:left="237" w:top="842" w:right="219" w:bottom="1440" w:gutter="0" w:footer="0" w:header="0"/>
        </w:sectPr>
      </w:pPr>
    </w:p>
    <w:bookmarkStart w:id="63" w:name="page64"/>
    <w:bookmarkEnd w:id="63"/>
    <w:p>
      <w:pPr>
        <w:jc w:val="both"/>
        <w:ind w:right="20"/>
        <w:spacing w:after="0" w:line="258" w:lineRule="auto"/>
        <w:rPr>
          <w:sz w:val="20"/>
          <w:szCs w:val="20"/>
          <w:color w:val="auto"/>
        </w:rPr>
      </w:pPr>
      <w:r>
        <w:rPr>
          <w:rFonts w:ascii="Arial" w:cs="Arial" w:eastAsia="Arial" w:hAnsi="Arial"/>
          <w:sz w:val="16"/>
          <w:szCs w:val="16"/>
          <w:color w:val="auto"/>
        </w:rPr>
        <w:t>From time to time, United will terminate derivative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In addition, United’s forward starting active cash flow hedges of floating rate liabilities have begun or will begin interest settlements over the next twelve months. United expects that $3.77 million will be reclassified as an increase to deposit interest expense over the next twelve months related to these cash flow hedges.</w:t>
      </w:r>
    </w:p>
    <w:p>
      <w:pPr>
        <w:spacing w:after="0" w:line="196"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During the fourth quarter of 2013, United reclassified hedge ineffectiveness gains and losses from other fee revenue to net interest revenue. This reclassification has been reflected in all prior period results.</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Management</w:t>
      </w:r>
    </w:p>
    <w:p>
      <w:pPr>
        <w:spacing w:after="0" w:line="232" w:lineRule="exact"/>
        <w:rPr>
          <w:sz w:val="20"/>
          <w:szCs w:val="20"/>
          <w:color w:val="auto"/>
        </w:rPr>
      </w:pPr>
    </w:p>
    <w:p>
      <w:pPr>
        <w:jc w:val="both"/>
        <w:ind w:right="20"/>
        <w:spacing w:after="0" w:line="277" w:lineRule="auto"/>
        <w:rPr>
          <w:sz w:val="20"/>
          <w:szCs w:val="20"/>
          <w:color w:val="auto"/>
        </w:rPr>
      </w:pPr>
      <w:r>
        <w:rPr>
          <w:rFonts w:ascii="Arial" w:cs="Arial" w:eastAsia="Arial" w:hAnsi="Arial"/>
          <w:sz w:val="15"/>
          <w:szCs w:val="15"/>
          <w:color w:val="auto"/>
        </w:rPr>
        <w:t>The objective of liquidity management is to ensure that sufficient funding is available, at a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To assist in determining the adequacy of its liquidity, United performs a variety of liquidity stress tests including idiosyncratic, systematic and combined scenarios for both moderate and severe events.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United maintains an unencumbered liquid asset reserve to ensure its ability to meet its obligations. The size of the reserve is determined through severe liquidity stress testing and covers a 30 day period.</w:t>
      </w:r>
    </w:p>
    <w:p>
      <w:pPr>
        <w:spacing w:after="0" w:line="183" w:lineRule="exact"/>
        <w:rPr>
          <w:sz w:val="20"/>
          <w:szCs w:val="20"/>
          <w:color w:val="auto"/>
        </w:rPr>
      </w:pPr>
    </w:p>
    <w:p>
      <w:pPr>
        <w:jc w:val="both"/>
        <w:ind w:right="20"/>
        <w:spacing w:after="0" w:line="285" w:lineRule="auto"/>
        <w:rPr>
          <w:sz w:val="20"/>
          <w:szCs w:val="20"/>
          <w:color w:val="auto"/>
        </w:rPr>
      </w:pPr>
      <w:r>
        <w:rPr>
          <w:rFonts w:ascii="Arial" w:cs="Arial" w:eastAsia="Arial" w:hAnsi="Arial"/>
          <w:sz w:val="15"/>
          <w:szCs w:val="15"/>
          <w:color w:val="auto"/>
        </w:rPr>
        <w:t>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 United currently has internal capital resources to meet these obligations. Substantially all of United’s liquidity is obtained from subsidiary service fees and dividends from the Bank, which are limited by applicable law. In recent years, when the bank was unable to pay dividends to United, liquidity was obtained from external sources (debt and equity issuances) to meet its needs.</w:t>
      </w:r>
    </w:p>
    <w:p>
      <w:pPr>
        <w:spacing w:after="0" w:line="175"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Two key objectives of asset/liability management are to provide for adequate liquidity in order to meet the needs of customers and to maintain an appropriate balance between interest-sensitive assets and interest-sensitive liabilities to optimize net interest revenue. Daily monitoring of the sources and uses of funds is necessary to maintain a position that meets both requirements.</w:t>
      </w:r>
    </w:p>
    <w:p>
      <w:pPr>
        <w:spacing w:after="0" w:line="186"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$20.0 million at September 30, 2014, and typically turn over every 45 days as the closed loans are sold to investors in the secondary market.</w:t>
      </w:r>
    </w:p>
    <w:p>
      <w:pPr>
        <w:spacing w:after="0" w:line="169"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169"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At September 30, 2014, United had cash and cash equivalent balances of $216 million and had sufficient qualifying collateral to increase FHLB advances by $516 million and Federal Reserve discount window capacity of $607 million. United also has the ability to raise substantial funds through brokered deposits. In addition to these wholesale sources, United has the ability to attract retail deposits by competing more aggressively on pricing.</w:t>
      </w:r>
    </w:p>
    <w:p>
      <w:pPr>
        <w:spacing w:after="0" w:line="186"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As disclosed in United’s consolidated statement of cash flows, net cash provided by operating activities was $63.0 million for the nine months ended September 30, 2014. The net income of $49.4 million for the nine month period included the deferred income tax expense of $28.1 million, and non-cash expenses for the following: provision for credit losses of $6.70 million, depreciation, amortization and accretion of $15.1 million and stock-based compensation expense of $3.32 million. These sources of cash from operating activities were offset by the following uses of cash: increase in other assets of $12.3 million, increase in mortgage loans held for sale of $9.69 million and a decrease in accrued expenses and other liabilities of $16.8 million. Net cash used in investing activities of $161.4 million consisted primarily of a $220 million net increase in loans, purchases of investment securities totaling $552 million, and $31.2 million paid for the acquisition of Business Carolina Inc. These uses of cash were partially offset by $47.6 million in proceeds from maturities and calls of investment securities held-to-maturity, $404 million in proceeds from the sale of investment securities available-for-sale and $176 million in proceeds from maturities and calls of investment securities available-for-sale. Net cash provided by financing activities of $85.5 million consisted primarily of a net increase in deposits of $39.2 million, a net $210 million increase in FHLB advances and $12.2 million in proceeds from the issuance of common stock. These sources of cash were partially offset by $122 million in payments to redeem preferred stock, $1.80 million in dividends to common shareholders and a $51.7 million decrease in short-term borrowings. In the opinion of management, United’s liquidity position at September 30, 2014, was sufficient to meet its expected cash flow requirements.</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18" w:right="21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auto"/>
        </w:rPr>
        <w:t>Capital Resources and Dividends</w:t>
      </w:r>
    </w:p>
    <w:p>
      <w:pPr>
        <w:spacing w:after="0" w:line="23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Shareholders’ equity at September 30, 2014 was $736 million, a decrease of $59.3 million from December 31, 2013 due to United’s redemption of all of its previously-outstanding preferred stock.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 Excluding the change in the accumulated other comprehensive income, shareholders’ equity decreased $61.4 million from December 31, 2013.</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As of September 30, 2014, United no longer had any preferred stock outstanding. On December 27, 2013, United redeemed $75 million of its $180 million in outstanding Series B Preferred Stock at par. The remaining $105 million of United’s Series B Preferred Stock was redeemed at par on January 10, 2014. United funded both redemptions by utilizing cash on hand, cash dividends from the Bank and short-term debt. On March 3, 2014, United redeemed all of its outstanding $16.6 million in Series D Preferred Stock at par.</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2010, United granted a warrant to Fletcher to purchase common stock equivalent junior preferred stock that would be convertible into 1,411,765 common shares, exercisable at a price equivalent to $21.25 per share (the "Warrant"). In November 2014, United completed a settlement whereby United repurchased the Warrant in November 2014 and retired any obligation to issue shares under the Warrant.</w:t>
      </w:r>
    </w:p>
    <w:p>
      <w:pPr>
        <w:spacing w:after="0" w:line="186"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1 capital. However, to be considered well-capitalized under the guidelines, a 10% total risk-based capital ratio is required, of which 6% must be Tier 1 capital.</w:t>
      </w:r>
    </w:p>
    <w:p>
      <w:pPr>
        <w:spacing w:after="0" w:line="192"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based on the obligor, or the guarantor, if relevant,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A minimum leverage ratio is required in addition to the risk-based capital standards and is defined as Tier 1 capital divided by average assets adjusted for goodwill and deposit-based intangibles. Although a minimum leverage ratio of 3% is required, the Federal Reserve requires a bank holding company to maintain a leverage ratio greater than 3% if it is experiencing or anticipating significant growth or is operating with less than well-diversified risks in the opinion of the Federal Reserve. The Federal Reserve uses the leverage and risk-based capital ratios to assess capital adequacy of banks and bank holding companies.</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United’s Tier 1 capital excludes other comprehensive income, and consists of shareholders’ equity and qualifying capital securities, less goodwill and deposit-based intangibles. Tier 2 capital components include supplemental capital items such as a qualifying allowance for loan losses and qualifying subordinated debt. Tier 1 capital plus Tier 2 capital components is referred to as Total Risk-Based capital.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65" w:name="page66"/>
    <w:bookmarkEnd w:id="65"/>
    <w:p>
      <w:pPr>
        <w:spacing w:after="0"/>
        <w:rPr>
          <w:sz w:val="20"/>
          <w:szCs w:val="20"/>
          <w:color w:val="auto"/>
        </w:rPr>
      </w:pPr>
      <w:r>
        <w:rPr>
          <w:rFonts w:ascii="Arial" w:cs="Arial" w:eastAsia="Arial" w:hAnsi="Arial"/>
          <w:sz w:val="15"/>
          <w:szCs w:val="15"/>
          <w:color w:val="auto"/>
        </w:rPr>
        <w:t>The following table shows United’s capital ratios, as calculated under regulatory guidelines, at September 30, 2014, December 31, 2013 and September 30, 2013.</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140" w:type="dxa"/>
            <w:vAlign w:val="bottom"/>
            <w:gridSpan w:val="2"/>
          </w:tcPr>
          <w:p>
            <w:pPr>
              <w:spacing w:after="0"/>
              <w:rPr>
                <w:sz w:val="20"/>
                <w:szCs w:val="20"/>
                <w:color w:val="auto"/>
              </w:rPr>
            </w:pPr>
            <w:r>
              <w:rPr>
                <w:rFonts w:ascii="Arial" w:cs="Arial" w:eastAsia="Arial" w:hAnsi="Arial"/>
                <w:sz w:val="16"/>
                <w:szCs w:val="16"/>
                <w:b w:val="1"/>
                <w:bCs w:val="1"/>
                <w:color w:val="auto"/>
              </w:rPr>
              <w:t>Table 15 - Capital Ratios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40" w:type="dxa"/>
            <w:vAlign w:val="bottom"/>
            <w:gridSpan w:val="2"/>
          </w:tcPr>
          <w:p>
            <w:pPr>
              <w:spacing w:after="0"/>
              <w:rPr>
                <w:sz w:val="20"/>
                <w:szCs w:val="20"/>
                <w:color w:val="auto"/>
              </w:rPr>
            </w:pPr>
            <w:r>
              <w:rPr>
                <w:rFonts w:ascii="Arial" w:cs="Arial" w:eastAsia="Arial" w:hAnsi="Arial"/>
                <w:sz w:val="16"/>
                <w:szCs w:val="16"/>
                <w:i w:val="1"/>
                <w:iCs w:val="1"/>
                <w:color w:val="auto"/>
              </w:rPr>
              <w:t>(dollars in thousands)</w:t>
            </w:r>
          </w:p>
        </w:tc>
        <w:tc>
          <w:tcPr>
            <w:tcW w:w="2200" w:type="dxa"/>
            <w:vAlign w:val="bottom"/>
            <w:gridSpan w:val="4"/>
            <w:vMerge w:val="restart"/>
          </w:tcPr>
          <w:p>
            <w:pPr>
              <w:ind w:left="700"/>
              <w:spacing w:after="0"/>
              <w:rPr>
                <w:sz w:val="20"/>
                <w:szCs w:val="20"/>
                <w:color w:val="auto"/>
              </w:rPr>
            </w:pPr>
            <w:r>
              <w:rPr>
                <w:rFonts w:ascii="Arial" w:cs="Arial" w:eastAsia="Arial" w:hAnsi="Arial"/>
                <w:sz w:val="16"/>
                <w:szCs w:val="16"/>
                <w:b w:val="1"/>
                <w:bCs w:val="1"/>
                <w:color w:val="auto"/>
              </w:rPr>
              <w:t>Regulatory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0" w:type="dxa"/>
            <w:vAlign w:val="bottom"/>
            <w:gridSpan w:val="8"/>
            <w:vMerge w:val="restart"/>
          </w:tcPr>
          <w:p>
            <w:pPr>
              <w:jc w:val="center"/>
              <w:ind w:right="160"/>
              <w:spacing w:after="0"/>
              <w:rPr>
                <w:sz w:val="20"/>
                <w:szCs w:val="20"/>
                <w:color w:val="auto"/>
              </w:rPr>
            </w:pPr>
            <w:r>
              <w:rPr>
                <w:rFonts w:ascii="Arial" w:cs="Arial" w:eastAsia="Arial" w:hAnsi="Arial"/>
                <w:sz w:val="16"/>
                <w:szCs w:val="16"/>
                <w:b w:val="1"/>
                <w:bCs w:val="1"/>
                <w:color w:val="auto"/>
                <w:w w:val="93"/>
              </w:rPr>
              <w:t>United Community Banks, Inc.</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200" w:type="dxa"/>
            <w:vAlign w:val="bottom"/>
            <w:gridSpan w:val="4"/>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0" w:type="dxa"/>
            <w:vAlign w:val="bottom"/>
            <w:gridSpan w:val="8"/>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200" w:type="dxa"/>
            <w:vAlign w:val="bottom"/>
            <w:tcBorders>
              <w:bottom w:val="single" w:sz="8" w:color="auto"/>
            </w:tcBorders>
            <w:gridSpan w:val="4"/>
          </w:tcPr>
          <w:p>
            <w:pPr>
              <w:ind w:left="720"/>
              <w:spacing w:after="0"/>
              <w:rPr>
                <w:sz w:val="20"/>
                <w:szCs w:val="20"/>
                <w:color w:val="auto"/>
              </w:rPr>
            </w:pPr>
            <w:r>
              <w:rPr>
                <w:rFonts w:ascii="Arial" w:cs="Arial" w:eastAsia="Arial" w:hAnsi="Arial"/>
                <w:sz w:val="16"/>
                <w:szCs w:val="16"/>
                <w:b w:val="1"/>
                <w:bCs w:val="1"/>
                <w:color w:val="auto"/>
              </w:rPr>
              <w:t>Guidelines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89"/>
              </w:rPr>
              <w:t>(Consolidated)</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6"/>
                <w:szCs w:val="16"/>
                <w:b w:val="1"/>
                <w:bCs w:val="1"/>
                <w:color w:val="auto"/>
                <w:w w:val="93"/>
              </w:rPr>
              <w:t>United Community Bank</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440"/>
              <w:spacing w:after="0" w:line="178" w:lineRule="exact"/>
              <w:rPr>
                <w:sz w:val="20"/>
                <w:szCs w:val="20"/>
                <w:color w:val="auto"/>
              </w:rPr>
            </w:pPr>
            <w:r>
              <w:rPr>
                <w:rFonts w:ascii="Arial" w:cs="Arial" w:eastAsia="Arial" w:hAnsi="Arial"/>
                <w:sz w:val="16"/>
                <w:szCs w:val="16"/>
                <w:b w:val="1"/>
                <w:bCs w:val="1"/>
                <w:color w:val="auto"/>
              </w:rPr>
              <w:t>Well</w:t>
            </w:r>
          </w:p>
        </w:tc>
        <w:tc>
          <w:tcPr>
            <w:tcW w:w="100" w:type="dxa"/>
            <w:vAlign w:val="bottom"/>
          </w:tcPr>
          <w:p>
            <w:pPr>
              <w:spacing w:after="0"/>
              <w:rPr>
                <w:sz w:val="15"/>
                <w:szCs w:val="15"/>
                <w:color w:val="auto"/>
              </w:rPr>
            </w:pPr>
          </w:p>
        </w:tc>
        <w:tc>
          <w:tcPr>
            <w:tcW w:w="1180" w:type="dxa"/>
            <w:vAlign w:val="bottom"/>
            <w:gridSpan w:val="3"/>
          </w:tcPr>
          <w:p>
            <w:pPr>
              <w:jc w:val="right"/>
              <w:ind w:right="160"/>
              <w:spacing w:after="0" w:line="178" w:lineRule="exact"/>
              <w:rPr>
                <w:sz w:val="20"/>
                <w:szCs w:val="20"/>
                <w:color w:val="auto"/>
              </w:rPr>
            </w:pPr>
            <w:r>
              <w:rPr>
                <w:rFonts w:ascii="Arial" w:cs="Arial" w:eastAsia="Arial" w:hAnsi="Arial"/>
                <w:sz w:val="16"/>
                <w:szCs w:val="16"/>
                <w:b w:val="1"/>
                <w:bCs w:val="1"/>
                <w:color w:val="auto"/>
                <w:w w:val="91"/>
              </w:rPr>
              <w:t>September 30,</w:t>
            </w:r>
          </w:p>
        </w:tc>
        <w:tc>
          <w:tcPr>
            <w:tcW w:w="1160" w:type="dxa"/>
            <w:vAlign w:val="bottom"/>
            <w:gridSpan w:val="3"/>
          </w:tcPr>
          <w:p>
            <w:pPr>
              <w:jc w:val="center"/>
              <w:ind w:right="140"/>
              <w:spacing w:after="0" w:line="178" w:lineRule="exact"/>
              <w:rPr>
                <w:sz w:val="20"/>
                <w:szCs w:val="20"/>
                <w:color w:val="auto"/>
              </w:rPr>
            </w:pPr>
            <w:r>
              <w:rPr>
                <w:rFonts w:ascii="Arial" w:cs="Arial" w:eastAsia="Arial" w:hAnsi="Arial"/>
                <w:sz w:val="16"/>
                <w:szCs w:val="16"/>
                <w:b w:val="1"/>
                <w:bCs w:val="1"/>
                <w:color w:val="auto"/>
                <w:w w:val="90"/>
              </w:rPr>
              <w:t>December 31,</w:t>
            </w:r>
          </w:p>
        </w:tc>
        <w:tc>
          <w:tcPr>
            <w:tcW w:w="1040" w:type="dxa"/>
            <w:vAlign w:val="bottom"/>
            <w:gridSpan w:val="3"/>
          </w:tcPr>
          <w:p>
            <w:pPr>
              <w:jc w:val="right"/>
              <w:ind w:right="20"/>
              <w:spacing w:after="0" w:line="178" w:lineRule="exact"/>
              <w:rPr>
                <w:sz w:val="20"/>
                <w:szCs w:val="20"/>
                <w:color w:val="auto"/>
              </w:rPr>
            </w:pPr>
            <w:r>
              <w:rPr>
                <w:rFonts w:ascii="Arial" w:cs="Arial" w:eastAsia="Arial" w:hAnsi="Arial"/>
                <w:sz w:val="16"/>
                <w:szCs w:val="16"/>
                <w:b w:val="1"/>
                <w:bCs w:val="1"/>
                <w:color w:val="auto"/>
                <w:w w:val="91"/>
              </w:rPr>
              <w:t>September 30,</w:t>
            </w:r>
          </w:p>
        </w:tc>
        <w:tc>
          <w:tcPr>
            <w:tcW w:w="120" w:type="dxa"/>
            <w:vAlign w:val="bottom"/>
          </w:tcPr>
          <w:p>
            <w:pPr>
              <w:spacing w:after="0"/>
              <w:rPr>
                <w:sz w:val="15"/>
                <w:szCs w:val="15"/>
                <w:color w:val="auto"/>
              </w:rPr>
            </w:pPr>
          </w:p>
        </w:tc>
        <w:tc>
          <w:tcPr>
            <w:tcW w:w="1160" w:type="dxa"/>
            <w:vAlign w:val="bottom"/>
            <w:gridSpan w:val="3"/>
          </w:tcPr>
          <w:p>
            <w:pPr>
              <w:jc w:val="right"/>
              <w:ind w:right="140"/>
              <w:spacing w:after="0" w:line="178" w:lineRule="exact"/>
              <w:rPr>
                <w:sz w:val="20"/>
                <w:szCs w:val="20"/>
                <w:color w:val="auto"/>
              </w:rPr>
            </w:pPr>
            <w:r>
              <w:rPr>
                <w:rFonts w:ascii="Arial" w:cs="Arial" w:eastAsia="Arial" w:hAnsi="Arial"/>
                <w:sz w:val="16"/>
                <w:szCs w:val="16"/>
                <w:b w:val="1"/>
                <w:bCs w:val="1"/>
                <w:color w:val="auto"/>
                <w:w w:val="91"/>
              </w:rPr>
              <w:t>September 30,</w:t>
            </w:r>
          </w:p>
        </w:tc>
        <w:tc>
          <w:tcPr>
            <w:tcW w:w="1160" w:type="dxa"/>
            <w:vAlign w:val="bottom"/>
            <w:gridSpan w:val="3"/>
          </w:tcPr>
          <w:p>
            <w:pPr>
              <w:jc w:val="center"/>
              <w:ind w:right="100"/>
              <w:spacing w:after="0" w:line="178" w:lineRule="exact"/>
              <w:rPr>
                <w:sz w:val="20"/>
                <w:szCs w:val="20"/>
                <w:color w:val="auto"/>
              </w:rPr>
            </w:pPr>
            <w:r>
              <w:rPr>
                <w:rFonts w:ascii="Arial" w:cs="Arial" w:eastAsia="Arial" w:hAnsi="Arial"/>
                <w:sz w:val="16"/>
                <w:szCs w:val="16"/>
                <w:b w:val="1"/>
                <w:bCs w:val="1"/>
                <w:color w:val="auto"/>
                <w:w w:val="90"/>
              </w:rPr>
              <w:t>December 31,</w:t>
            </w:r>
          </w:p>
        </w:tc>
        <w:tc>
          <w:tcPr>
            <w:tcW w:w="1020" w:type="dxa"/>
            <w:vAlign w:val="bottom"/>
            <w:gridSpan w:val="2"/>
          </w:tcPr>
          <w:p>
            <w:pPr>
              <w:ind w:left="20"/>
              <w:spacing w:after="0" w:line="178" w:lineRule="exact"/>
              <w:rPr>
                <w:sz w:val="20"/>
                <w:szCs w:val="20"/>
                <w:color w:val="auto"/>
              </w:rPr>
            </w:pPr>
            <w:r>
              <w:rPr>
                <w:rFonts w:ascii="Arial" w:cs="Arial" w:eastAsia="Arial" w:hAnsi="Arial"/>
                <w:sz w:val="16"/>
                <w:szCs w:val="16"/>
                <w:b w:val="1"/>
                <w:bCs w:val="1"/>
                <w:color w:val="auto"/>
                <w:w w:val="89"/>
              </w:rPr>
              <w:t>September 30,</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6"/>
                <w:szCs w:val="16"/>
                <w:b w:val="1"/>
                <w:bCs w:val="1"/>
                <w:color w:val="auto"/>
              </w:rPr>
              <w:t>Minimum</w:t>
            </w:r>
          </w:p>
        </w:tc>
        <w:tc>
          <w:tcPr>
            <w:tcW w:w="106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9"/>
              </w:rPr>
              <w:t>Capitalized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79"/>
              <w:spacing w:after="0"/>
              <w:rPr>
                <w:sz w:val="20"/>
                <w:szCs w:val="20"/>
                <w:color w:val="auto"/>
              </w:rPr>
            </w:pPr>
            <w:r>
              <w:rPr>
                <w:rFonts w:ascii="Arial" w:cs="Arial" w:eastAsia="Arial" w:hAnsi="Arial"/>
                <w:sz w:val="16"/>
                <w:szCs w:val="16"/>
                <w:b w:val="1"/>
                <w:bCs w:val="1"/>
                <w:color w:val="auto"/>
              </w:rPr>
              <w:t>2013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59"/>
              <w:spacing w:after="0"/>
              <w:rPr>
                <w:sz w:val="20"/>
                <w:szCs w:val="20"/>
                <w:color w:val="auto"/>
              </w:rPr>
            </w:pPr>
            <w:r>
              <w:rPr>
                <w:rFonts w:ascii="Arial" w:cs="Arial" w:eastAsia="Arial" w:hAnsi="Arial"/>
                <w:sz w:val="16"/>
                <w:szCs w:val="16"/>
                <w:b w:val="1"/>
                <w:bCs w:val="1"/>
                <w:color w:val="auto"/>
              </w:rPr>
              <w:t>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ind w:right="159"/>
              <w:spacing w:after="0"/>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2013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259"/>
              <w:spacing w:after="0"/>
              <w:rPr>
                <w:sz w:val="20"/>
                <w:szCs w:val="20"/>
                <w:color w:val="auto"/>
              </w:rPr>
            </w:pPr>
            <w:r>
              <w:rPr>
                <w:rFonts w:ascii="Arial" w:cs="Arial" w:eastAsia="Arial" w:hAnsi="Arial"/>
                <w:sz w:val="16"/>
                <w:szCs w:val="16"/>
                <w:b w:val="1"/>
                <w:bCs w:val="1"/>
                <w:color w:val="auto"/>
              </w:rPr>
              <w:t>2013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shd w:val="clear" w:color="auto" w:fill="F0FFFF"/>
          </w:tcPr>
          <w:p>
            <w:pPr>
              <w:spacing w:after="0"/>
              <w:rPr>
                <w:sz w:val="20"/>
                <w:szCs w:val="20"/>
                <w:color w:val="auto"/>
              </w:rPr>
            </w:pPr>
            <w:r>
              <w:rPr>
                <w:rFonts w:ascii="Arial" w:cs="Arial" w:eastAsia="Arial" w:hAnsi="Arial"/>
                <w:sz w:val="16"/>
                <w:szCs w:val="16"/>
                <w:color w:val="auto"/>
              </w:rPr>
              <w:t>Risk-based ratios:</w:t>
            </w:r>
          </w:p>
        </w:tc>
        <w:tc>
          <w:tcPr>
            <w:tcW w:w="88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2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6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2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720" w:type="dxa"/>
            <w:vAlign w:val="bottom"/>
            <w:tcBorders>
              <w:top w:val="single" w:sz="8" w:color="auto"/>
            </w:tcBorders>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18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240" w:type="dxa"/>
            <w:vAlign w:val="bottom"/>
            <w:shd w:val="clear" w:color="auto" w:fill="F0FFFF"/>
          </w:tcPr>
          <w:p>
            <w:pPr>
              <w:spacing w:after="0"/>
              <w:rPr>
                <w:sz w:val="16"/>
                <w:szCs w:val="16"/>
                <w:color w:val="auto"/>
              </w:rPr>
            </w:pPr>
          </w:p>
        </w:tc>
        <w:tc>
          <w:tcPr>
            <w:tcW w:w="280" w:type="dxa"/>
            <w:vAlign w:val="bottom"/>
            <w:tcBorders>
              <w:top w:val="single" w:sz="8" w:color="auto"/>
            </w:tcBorders>
            <w:shd w:val="clear" w:color="auto" w:fill="F0FFFF"/>
          </w:tcPr>
          <w:p>
            <w:pPr>
              <w:spacing w:after="0"/>
              <w:rPr>
                <w:sz w:val="16"/>
                <w:szCs w:val="16"/>
                <w:color w:val="auto"/>
              </w:rPr>
            </w:pPr>
          </w:p>
        </w:tc>
        <w:tc>
          <w:tcPr>
            <w:tcW w:w="740" w:type="dxa"/>
            <w:vAlign w:val="bottom"/>
            <w:tcBorders>
              <w:top w:val="single" w:sz="8" w:color="auto"/>
            </w:tcBorders>
            <w:shd w:val="clear" w:color="auto" w:fill="F0FFFF"/>
          </w:tcPr>
          <w:p>
            <w:pPr>
              <w:spacing w:after="0"/>
              <w:rPr>
                <w:sz w:val="16"/>
                <w:szCs w:val="16"/>
                <w:color w:val="auto"/>
              </w:rPr>
            </w:pPr>
          </w:p>
        </w:tc>
        <w:tc>
          <w:tcPr>
            <w:tcW w:w="160" w:type="dxa"/>
            <w:vAlign w:val="bottom"/>
            <w:shd w:val="clear" w:color="auto" w:fill="F0FF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tcPr>
          <w:p>
            <w:pPr>
              <w:ind w:left="120"/>
              <w:spacing w:after="0"/>
              <w:rPr>
                <w:sz w:val="20"/>
                <w:szCs w:val="20"/>
                <w:color w:val="auto"/>
              </w:rPr>
            </w:pPr>
            <w:r>
              <w:rPr>
                <w:rFonts w:ascii="Arial" w:cs="Arial" w:eastAsia="Arial" w:hAnsi="Arial"/>
                <w:sz w:val="16"/>
                <w:szCs w:val="16"/>
                <w:color w:val="auto"/>
              </w:rPr>
              <w:t>Tier I capital</w:t>
            </w:r>
          </w:p>
        </w:tc>
        <w:tc>
          <w:tcPr>
            <w:tcW w:w="1140" w:type="dxa"/>
            <w:vAlign w:val="bottom"/>
            <w:gridSpan w:val="2"/>
          </w:tcPr>
          <w:p>
            <w:pPr>
              <w:ind w:left="680"/>
              <w:spacing w:after="0"/>
              <w:rPr>
                <w:sz w:val="20"/>
                <w:szCs w:val="20"/>
                <w:color w:val="auto"/>
              </w:rPr>
            </w:pPr>
            <w:r>
              <w:rPr>
                <w:rFonts w:ascii="Arial" w:cs="Arial" w:eastAsia="Arial" w:hAnsi="Arial"/>
                <w:sz w:val="16"/>
                <w:szCs w:val="16"/>
                <w:color w:val="auto"/>
              </w:rPr>
              <w:t>4.0%</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12.07%</w:t>
            </w:r>
          </w:p>
        </w:tc>
        <w:tc>
          <w:tcPr>
            <w:tcW w:w="160" w:type="dxa"/>
            <w:vAlign w:val="bottom"/>
          </w:tcPr>
          <w:p>
            <w:pPr>
              <w:spacing w:after="0"/>
              <w:rPr>
                <w:sz w:val="16"/>
                <w:szCs w:val="16"/>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12.74%</w:t>
            </w:r>
          </w:p>
        </w:tc>
        <w:tc>
          <w:tcPr>
            <w:tcW w:w="16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12.58%</w:t>
            </w:r>
          </w:p>
        </w:tc>
        <w:tc>
          <w:tcPr>
            <w:tcW w:w="18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13.55%</w:t>
            </w:r>
          </w:p>
        </w:tc>
        <w:tc>
          <w:tcPr>
            <w:tcW w:w="28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Total capital</w:t>
            </w:r>
          </w:p>
        </w:tc>
        <w:tc>
          <w:tcPr>
            <w:tcW w:w="1140" w:type="dxa"/>
            <w:vAlign w:val="bottom"/>
            <w:gridSpan w:val="2"/>
            <w:shd w:val="clear" w:color="auto" w:fill="F0FFFF"/>
          </w:tcPr>
          <w:p>
            <w:pPr>
              <w:ind w:left="680"/>
              <w:spacing w:after="0"/>
              <w:rPr>
                <w:sz w:val="20"/>
                <w:szCs w:val="20"/>
                <w:color w:val="auto"/>
              </w:rPr>
            </w:pPr>
            <w:r>
              <w:rPr>
                <w:rFonts w:ascii="Arial" w:cs="Arial" w:eastAsia="Arial" w:hAnsi="Arial"/>
                <w:sz w:val="16"/>
                <w:szCs w:val="16"/>
                <w:color w:val="auto"/>
              </w:rPr>
              <w:t>8.0</w:t>
            </w:r>
          </w:p>
        </w:tc>
        <w:tc>
          <w:tcPr>
            <w:tcW w:w="106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13.32</w:t>
            </w:r>
          </w:p>
        </w:tc>
        <w:tc>
          <w:tcPr>
            <w:tcW w:w="16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13.99</w:t>
            </w:r>
          </w:p>
        </w:tc>
        <w:tc>
          <w:tcPr>
            <w:tcW w:w="1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15.54</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13.83</w:t>
            </w:r>
          </w:p>
        </w:tc>
        <w:tc>
          <w:tcPr>
            <w:tcW w:w="1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14.81</w:t>
            </w:r>
          </w:p>
        </w:tc>
        <w:tc>
          <w:tcPr>
            <w:tcW w:w="2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15.74</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tcPr>
          <w:p>
            <w:pPr>
              <w:spacing w:after="0"/>
              <w:rPr>
                <w:sz w:val="20"/>
                <w:szCs w:val="20"/>
                <w:color w:val="auto"/>
              </w:rPr>
            </w:pPr>
            <w:r>
              <w:rPr>
                <w:rFonts w:ascii="Arial" w:cs="Arial" w:eastAsia="Arial" w:hAnsi="Arial"/>
                <w:sz w:val="16"/>
                <w:szCs w:val="16"/>
                <w:color w:val="auto"/>
              </w:rPr>
              <w:t>Leverage ratio</w:t>
            </w:r>
          </w:p>
        </w:tc>
        <w:tc>
          <w:tcPr>
            <w:tcW w:w="1140" w:type="dxa"/>
            <w:vAlign w:val="bottom"/>
            <w:gridSpan w:val="2"/>
          </w:tcPr>
          <w:p>
            <w:pPr>
              <w:ind w:left="680"/>
              <w:spacing w:after="0"/>
              <w:rPr>
                <w:sz w:val="20"/>
                <w:szCs w:val="20"/>
                <w:color w:val="auto"/>
              </w:rPr>
            </w:pPr>
            <w:r>
              <w:rPr>
                <w:rFonts w:ascii="Arial" w:cs="Arial" w:eastAsia="Arial" w:hAnsi="Arial"/>
                <w:sz w:val="16"/>
                <w:szCs w:val="16"/>
                <w:color w:val="auto"/>
              </w:rPr>
              <w:t>3.0</w:t>
            </w: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8.72</w:t>
            </w:r>
          </w:p>
        </w:tc>
        <w:tc>
          <w:tcPr>
            <w:tcW w:w="16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9.08</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10.03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9.08</w:t>
            </w:r>
          </w:p>
        </w:tc>
        <w:tc>
          <w:tcPr>
            <w:tcW w:w="1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9.61</w:t>
            </w:r>
          </w:p>
        </w:tc>
        <w:tc>
          <w:tcPr>
            <w:tcW w:w="2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10.17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shd w:val="clear" w:color="auto" w:fill="F0FFFF"/>
          </w:tcPr>
          <w:p>
            <w:pPr>
              <w:ind w:left="120"/>
              <w:spacing w:after="0"/>
              <w:rPr>
                <w:sz w:val="20"/>
                <w:szCs w:val="20"/>
                <w:color w:val="auto"/>
              </w:rPr>
            </w:pPr>
            <w:r>
              <w:rPr>
                <w:rFonts w:ascii="Arial" w:cs="Arial" w:eastAsia="Arial" w:hAnsi="Arial"/>
                <w:sz w:val="16"/>
                <w:szCs w:val="16"/>
                <w:color w:val="auto"/>
              </w:rPr>
              <w:t>Tier I capital</w:t>
            </w:r>
          </w:p>
        </w:tc>
        <w:tc>
          <w:tcPr>
            <w:tcW w:w="8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280" w:type="dxa"/>
            <w:vAlign w:val="bottom"/>
            <w:gridSpan w:val="2"/>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627,523</w:t>
            </w:r>
          </w:p>
        </w:tc>
        <w:tc>
          <w:tcPr>
            <w:tcW w:w="160" w:type="dxa"/>
            <w:vAlign w:val="bottom"/>
            <w:shd w:val="clear" w:color="auto" w:fill="F0FFFF"/>
          </w:tcPr>
          <w:p>
            <w:pPr>
              <w:jc w:val="right"/>
              <w:ind w:right="1"/>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649,162</w:t>
            </w:r>
          </w:p>
        </w:tc>
        <w:tc>
          <w:tcPr>
            <w:tcW w:w="160" w:type="dxa"/>
            <w:vAlign w:val="bottom"/>
            <w:shd w:val="clear" w:color="auto" w:fill="F0FFFF"/>
          </w:tcPr>
          <w:p>
            <w:pPr>
              <w:jc w:val="right"/>
              <w:ind w:right="2"/>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695,802</w:t>
            </w:r>
          </w:p>
        </w:tc>
        <w:tc>
          <w:tcPr>
            <w:tcW w:w="300" w:type="dxa"/>
            <w:vAlign w:val="bottom"/>
            <w:gridSpan w:val="2"/>
            <w:shd w:val="clear" w:color="auto" w:fill="F0FFFF"/>
          </w:tcPr>
          <w:p>
            <w:pPr>
              <w:jc w:val="right"/>
              <w:ind w:right="19"/>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652,748</w:t>
            </w:r>
          </w:p>
        </w:tc>
        <w:tc>
          <w:tcPr>
            <w:tcW w:w="180" w:type="dxa"/>
            <w:vAlign w:val="bottom"/>
            <w:shd w:val="clear" w:color="auto" w:fill="F0FFFF"/>
          </w:tcPr>
          <w:p>
            <w:pPr>
              <w:jc w:val="right"/>
              <w:ind w:right="22"/>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686,687</w:t>
            </w:r>
          </w:p>
        </w:tc>
        <w:tc>
          <w:tcPr>
            <w:tcW w:w="280" w:type="dxa"/>
            <w:vAlign w:val="bottom"/>
            <w:shd w:val="clear" w:color="auto" w:fill="F0FFFF"/>
          </w:tcPr>
          <w:p>
            <w:pPr>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704,591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tcPr>
          <w:p>
            <w:pPr>
              <w:ind w:left="120"/>
              <w:spacing w:after="0"/>
              <w:rPr>
                <w:sz w:val="20"/>
                <w:szCs w:val="20"/>
                <w:color w:val="auto"/>
              </w:rPr>
            </w:pPr>
            <w:r>
              <w:rPr>
                <w:rFonts w:ascii="Arial" w:cs="Arial" w:eastAsia="Arial" w:hAnsi="Arial"/>
                <w:sz w:val="16"/>
                <w:szCs w:val="16"/>
                <w:color w:val="auto"/>
              </w:rPr>
              <w:t>Total capital</w:t>
            </w: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692,641</w:t>
            </w:r>
          </w:p>
        </w:tc>
        <w:tc>
          <w:tcPr>
            <w:tcW w:w="160" w:type="dxa"/>
            <w:vAlign w:val="bottom"/>
          </w:tcPr>
          <w:p>
            <w:pPr>
              <w:spacing w:after="0"/>
              <w:rPr>
                <w:sz w:val="16"/>
                <w:szCs w:val="16"/>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713,063</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756,925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rPr>
              <w:t>717,730</w:t>
            </w:r>
          </w:p>
        </w:tc>
        <w:tc>
          <w:tcPr>
            <w:tcW w:w="18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750,216</w:t>
            </w:r>
          </w:p>
        </w:tc>
        <w:tc>
          <w:tcPr>
            <w:tcW w:w="28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765,646</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120" w:type="dxa"/>
            <w:vAlign w:val="bottom"/>
            <w:shd w:val="clear" w:color="auto" w:fill="F0FFFF"/>
          </w:tcPr>
          <w:p>
            <w:pPr>
              <w:ind w:left="120"/>
              <w:spacing w:after="0"/>
              <w:rPr>
                <w:sz w:val="20"/>
                <w:szCs w:val="20"/>
                <w:color w:val="auto"/>
              </w:rPr>
            </w:pPr>
            <w:r>
              <w:rPr>
                <w:rFonts w:ascii="Arial" w:cs="Arial" w:eastAsia="Arial" w:hAnsi="Arial"/>
                <w:sz w:val="16"/>
                <w:szCs w:val="16"/>
                <w:color w:val="auto"/>
              </w:rPr>
              <w:t>Risk-weighted assets</w:t>
            </w:r>
          </w:p>
        </w:tc>
        <w:tc>
          <w:tcPr>
            <w:tcW w:w="880" w:type="dxa"/>
            <w:vAlign w:val="bottom"/>
            <w:shd w:val="clear" w:color="auto" w:fill="F0FFFF"/>
          </w:tcPr>
          <w:p>
            <w:pPr>
              <w:spacing w:after="0"/>
              <w:rPr>
                <w:sz w:val="16"/>
                <w:szCs w:val="16"/>
                <w:color w:val="auto"/>
              </w:rPr>
            </w:pPr>
          </w:p>
        </w:tc>
        <w:tc>
          <w:tcPr>
            <w:tcW w:w="260" w:type="dxa"/>
            <w:vAlign w:val="bottom"/>
            <w:shd w:val="clear" w:color="auto" w:fill="F0FFFF"/>
          </w:tcPr>
          <w:p>
            <w:pPr>
              <w:spacing w:after="0"/>
              <w:rPr>
                <w:sz w:val="16"/>
                <w:szCs w:val="16"/>
                <w:color w:val="auto"/>
              </w:rPr>
            </w:pPr>
          </w:p>
        </w:tc>
        <w:tc>
          <w:tcPr>
            <w:tcW w:w="920" w:type="dxa"/>
            <w:vAlign w:val="bottom"/>
            <w:shd w:val="clear" w:color="auto" w:fill="F0FFFF"/>
          </w:tcPr>
          <w:p>
            <w:pPr>
              <w:spacing w:after="0"/>
              <w:rPr>
                <w:sz w:val="16"/>
                <w:szCs w:val="16"/>
                <w:color w:val="auto"/>
              </w:rPr>
            </w:pPr>
          </w:p>
        </w:tc>
        <w:tc>
          <w:tcPr>
            <w:tcW w:w="140" w:type="dxa"/>
            <w:vAlign w:val="bottom"/>
            <w:shd w:val="clear" w:color="auto" w:fill="F0FFFF"/>
          </w:tcPr>
          <w:p>
            <w:pPr>
              <w:spacing w:after="0"/>
              <w:rPr>
                <w:sz w:val="16"/>
                <w:szCs w:val="16"/>
                <w:color w:val="auto"/>
              </w:rPr>
            </w:pP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5,200,260</w:t>
            </w:r>
          </w:p>
        </w:tc>
        <w:tc>
          <w:tcPr>
            <w:tcW w:w="160" w:type="dxa"/>
            <w:vAlign w:val="bottom"/>
            <w:shd w:val="clear" w:color="auto" w:fill="F0FFFF"/>
          </w:tcPr>
          <w:p>
            <w:pPr>
              <w:spacing w:after="0"/>
              <w:rPr>
                <w:sz w:val="16"/>
                <w:szCs w:val="16"/>
                <w:color w:val="auto"/>
              </w:rPr>
            </w:pPr>
          </w:p>
        </w:tc>
        <w:tc>
          <w:tcPr>
            <w:tcW w:w="100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rPr>
              <w:t>5,097,091</w:t>
            </w:r>
          </w:p>
        </w:tc>
        <w:tc>
          <w:tcPr>
            <w:tcW w:w="160" w:type="dxa"/>
            <w:vAlign w:val="bottom"/>
            <w:shd w:val="clear" w:color="auto" w:fill="F0FFFF"/>
          </w:tcPr>
          <w:p>
            <w:pPr>
              <w:spacing w:after="0"/>
              <w:rPr>
                <w:sz w:val="16"/>
                <w:szCs w:val="16"/>
                <w:color w:val="auto"/>
              </w:rPr>
            </w:pPr>
          </w:p>
        </w:tc>
        <w:tc>
          <w:tcPr>
            <w:tcW w:w="880" w:type="dxa"/>
            <w:vAlign w:val="bottom"/>
            <w:gridSpan w:val="2"/>
            <w:shd w:val="clear" w:color="auto" w:fill="F0FFFF"/>
          </w:tcPr>
          <w:p>
            <w:pPr>
              <w:jc w:val="right"/>
              <w:ind w:right="140"/>
              <w:spacing w:after="0"/>
              <w:rPr>
                <w:sz w:val="20"/>
                <w:szCs w:val="20"/>
                <w:color w:val="auto"/>
              </w:rPr>
            </w:pPr>
            <w:r>
              <w:rPr>
                <w:rFonts w:ascii="Arial" w:cs="Arial" w:eastAsia="Arial" w:hAnsi="Arial"/>
                <w:sz w:val="16"/>
                <w:szCs w:val="16"/>
                <w:color w:val="auto"/>
              </w:rPr>
              <w:t>4,870,582</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60"/>
              <w:spacing w:after="0"/>
              <w:rPr>
                <w:sz w:val="20"/>
                <w:szCs w:val="20"/>
                <w:color w:val="auto"/>
              </w:rPr>
            </w:pPr>
            <w:r>
              <w:rPr>
                <w:rFonts w:ascii="Arial" w:cs="Arial" w:eastAsia="Arial" w:hAnsi="Arial"/>
                <w:sz w:val="16"/>
                <w:szCs w:val="16"/>
                <w:color w:val="auto"/>
                <w:w w:val="98"/>
              </w:rPr>
              <w:t>5,189,322</w:t>
            </w:r>
          </w:p>
        </w:tc>
        <w:tc>
          <w:tcPr>
            <w:tcW w:w="18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5,066,948</w:t>
            </w:r>
          </w:p>
        </w:tc>
        <w:tc>
          <w:tcPr>
            <w:tcW w:w="280" w:type="dxa"/>
            <w:vAlign w:val="bottom"/>
            <w:shd w:val="clear" w:color="auto" w:fill="F0FFFF"/>
          </w:tcPr>
          <w:p>
            <w:pPr>
              <w:spacing w:after="0"/>
              <w:rPr>
                <w:sz w:val="16"/>
                <w:szCs w:val="16"/>
                <w:color w:val="auto"/>
              </w:rPr>
            </w:pPr>
          </w:p>
        </w:tc>
        <w:tc>
          <w:tcPr>
            <w:tcW w:w="900" w:type="dxa"/>
            <w:vAlign w:val="bottom"/>
            <w:gridSpan w:val="2"/>
            <w:shd w:val="clear" w:color="auto" w:fill="F0FFFF"/>
          </w:tcPr>
          <w:p>
            <w:pPr>
              <w:jc w:val="right"/>
              <w:ind w:right="160"/>
              <w:spacing w:after="0"/>
              <w:rPr>
                <w:sz w:val="20"/>
                <w:szCs w:val="20"/>
                <w:color w:val="auto"/>
              </w:rPr>
            </w:pPr>
            <w:r>
              <w:rPr>
                <w:rFonts w:ascii="Arial" w:cs="Arial" w:eastAsia="Arial" w:hAnsi="Arial"/>
                <w:sz w:val="16"/>
                <w:szCs w:val="16"/>
                <w:color w:val="auto"/>
              </w:rPr>
              <w:t>4,865,066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120" w:type="dxa"/>
            <w:vAlign w:val="bottom"/>
          </w:tcPr>
          <w:p>
            <w:pPr>
              <w:ind w:left="120"/>
              <w:spacing w:after="0"/>
              <w:rPr>
                <w:sz w:val="20"/>
                <w:szCs w:val="20"/>
                <w:color w:val="auto"/>
              </w:rPr>
            </w:pPr>
            <w:r>
              <w:rPr>
                <w:rFonts w:ascii="Arial" w:cs="Arial" w:eastAsia="Arial" w:hAnsi="Arial"/>
                <w:sz w:val="16"/>
                <w:szCs w:val="16"/>
                <w:color w:val="auto"/>
              </w:rPr>
              <w:t>Average total assets</w:t>
            </w: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7,193,763</w:t>
            </w:r>
          </w:p>
        </w:tc>
        <w:tc>
          <w:tcPr>
            <w:tcW w:w="160" w:type="dxa"/>
            <w:vAlign w:val="bottom"/>
          </w:tcPr>
          <w:p>
            <w:pPr>
              <w:spacing w:after="0"/>
              <w:rPr>
                <w:sz w:val="17"/>
                <w:szCs w:val="17"/>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7,150,360</w:t>
            </w:r>
          </w:p>
        </w:tc>
        <w:tc>
          <w:tcPr>
            <w:tcW w:w="16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6,936,300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6"/>
                <w:szCs w:val="16"/>
                <w:color w:val="auto"/>
                <w:w w:val="98"/>
              </w:rPr>
              <w:t>7,185,923</w:t>
            </w:r>
          </w:p>
        </w:tc>
        <w:tc>
          <w:tcPr>
            <w:tcW w:w="1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7,142,050</w:t>
            </w:r>
          </w:p>
        </w:tc>
        <w:tc>
          <w:tcPr>
            <w:tcW w:w="28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6,925,099</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20"/>
        <w:spacing w:after="0" w:line="281" w:lineRule="auto"/>
        <w:rPr>
          <w:sz w:val="20"/>
          <w:szCs w:val="20"/>
          <w:color w:val="auto"/>
        </w:rPr>
      </w:pPr>
      <w:r>
        <w:rPr>
          <w:rFonts w:ascii="Arial" w:cs="Arial" w:eastAsia="Arial" w:hAnsi="Arial"/>
          <w:sz w:val="16"/>
          <w:szCs w:val="16"/>
          <w:color w:val="auto"/>
        </w:rPr>
        <w:t>United’s common stock trades on the Nasdaq Global Select Market under the symbol “UCBI”. Below is a quarterly schedule of high, low and closing stock prices and average daily volume for 2014 and 2013.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400" w:type="dxa"/>
            <w:vAlign w:val="bottom"/>
            <w:gridSpan w:val="2"/>
          </w:tcPr>
          <w:p>
            <w:pPr>
              <w:spacing w:after="0"/>
              <w:rPr>
                <w:sz w:val="20"/>
                <w:szCs w:val="20"/>
                <w:color w:val="auto"/>
              </w:rPr>
            </w:pPr>
            <w:r>
              <w:rPr>
                <w:rFonts w:ascii="Arial" w:cs="Arial" w:eastAsia="Arial" w:hAnsi="Arial"/>
                <w:sz w:val="16"/>
                <w:szCs w:val="16"/>
                <w:b w:val="1"/>
                <w:bCs w:val="1"/>
                <w:color w:val="auto"/>
                <w:w w:val="92"/>
              </w:rPr>
              <w:t>Table 16 - Stock Price Information</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vMerge w:val="restart"/>
          </w:tcPr>
          <w:p>
            <w:pPr>
              <w:jc w:val="right"/>
              <w:ind w:right="44"/>
              <w:spacing w:after="0"/>
              <w:rPr>
                <w:sz w:val="20"/>
                <w:szCs w:val="20"/>
                <w:color w:val="auto"/>
              </w:rPr>
            </w:pPr>
            <w:r>
              <w:rPr>
                <w:rFonts w:ascii="Arial" w:cs="Arial" w:eastAsia="Arial" w:hAnsi="Arial"/>
                <w:sz w:val="16"/>
                <w:szCs w:val="16"/>
                <w:b w:val="1"/>
                <w:bCs w:val="1"/>
                <w:color w:val="auto"/>
              </w:rPr>
              <w:t>2014</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4"/>
            <w:vMerge w:val="restart"/>
          </w:tcPr>
          <w:p>
            <w:pPr>
              <w:jc w:val="right"/>
              <w:ind w:right="120"/>
              <w:spacing w:after="0"/>
              <w:rPr>
                <w:sz w:val="20"/>
                <w:szCs w:val="20"/>
                <w:color w:val="auto"/>
              </w:rPr>
            </w:pPr>
            <w:r>
              <w:rPr>
                <w:rFonts w:ascii="Arial" w:cs="Arial" w:eastAsia="Arial" w:hAnsi="Arial"/>
                <w:sz w:val="16"/>
                <w:szCs w:val="16"/>
                <w:b w:val="1"/>
                <w:bCs w:val="1"/>
                <w:color w:val="auto"/>
              </w:rPr>
              <w:t>2013</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4"/>
            <w:vMerge w:val="continue"/>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tcPr>
          <w:p>
            <w:pPr>
              <w:ind w:left="120"/>
              <w:spacing w:after="0" w:line="178" w:lineRule="exact"/>
              <w:rPr>
                <w:sz w:val="20"/>
                <w:szCs w:val="20"/>
                <w:color w:val="auto"/>
              </w:rPr>
            </w:pPr>
            <w:r>
              <w:rPr>
                <w:rFonts w:ascii="Arial" w:cs="Arial" w:eastAsia="Arial" w:hAnsi="Arial"/>
                <w:sz w:val="16"/>
                <w:szCs w:val="16"/>
                <w:b w:val="1"/>
                <w:bCs w:val="1"/>
                <w:color w:val="auto"/>
              </w:rPr>
              <w:t>Avg Daily</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jc w:val="center"/>
              <w:spacing w:after="0" w:line="178" w:lineRule="exact"/>
              <w:rPr>
                <w:sz w:val="20"/>
                <w:szCs w:val="20"/>
                <w:color w:val="auto"/>
              </w:rPr>
            </w:pPr>
            <w:r>
              <w:rPr>
                <w:rFonts w:ascii="Arial" w:cs="Arial" w:eastAsia="Arial" w:hAnsi="Arial"/>
                <w:sz w:val="16"/>
                <w:szCs w:val="16"/>
                <w:b w:val="1"/>
                <w:bCs w:val="1"/>
                <w:color w:val="auto"/>
                <w:w w:val="93"/>
              </w:rPr>
              <w:t>Avg Daily</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High</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Low</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Close</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Volume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High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Low</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Close</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Volume</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First quarter</w:t>
            </w:r>
          </w:p>
        </w:tc>
        <w:tc>
          <w:tcPr>
            <w:tcW w:w="200" w:type="dxa"/>
            <w:vAlign w:val="bottom"/>
            <w:shd w:val="clear" w:color="auto" w:fill="F0FFFF"/>
          </w:tcPr>
          <w:p>
            <w:pPr>
              <w:jc w:val="right"/>
              <w:ind w:right="19"/>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20.28</w:t>
            </w:r>
          </w:p>
        </w:tc>
        <w:tc>
          <w:tcPr>
            <w:tcW w:w="3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15.74</w:t>
            </w:r>
          </w:p>
        </w:tc>
        <w:tc>
          <w:tcPr>
            <w:tcW w:w="180" w:type="dxa"/>
            <w:vAlign w:val="bottom"/>
            <w:shd w:val="clear" w:color="auto" w:fill="F0FFFF"/>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19.41</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494,205</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11.57</w:t>
            </w:r>
          </w:p>
        </w:tc>
        <w:tc>
          <w:tcPr>
            <w:tcW w:w="30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9.59</w:t>
            </w:r>
          </w:p>
        </w:tc>
        <w:tc>
          <w:tcPr>
            <w:tcW w:w="28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11.34</w:t>
            </w: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195,803</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Second quarter</w:t>
            </w:r>
          </w:p>
        </w:tc>
        <w:tc>
          <w:tcPr>
            <w:tcW w:w="20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19.87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14.86</w:t>
            </w: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16.37</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308,486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12.42</w:t>
            </w:r>
          </w:p>
        </w:tc>
        <w:tc>
          <w:tcPr>
            <w:tcW w:w="22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184,922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380" w:type="dxa"/>
            <w:vAlign w:val="bottom"/>
            <w:shd w:val="clear" w:color="auto" w:fill="F0FFFF"/>
          </w:tcPr>
          <w:p>
            <w:pPr>
              <w:spacing w:after="0"/>
              <w:rPr>
                <w:sz w:val="20"/>
                <w:szCs w:val="20"/>
                <w:color w:val="auto"/>
              </w:rPr>
            </w:pPr>
            <w:r>
              <w:rPr>
                <w:rFonts w:ascii="Arial" w:cs="Arial" w:eastAsia="Arial" w:hAnsi="Arial"/>
                <w:sz w:val="16"/>
                <w:szCs w:val="16"/>
                <w:color w:val="auto"/>
              </w:rPr>
              <w:t>Third quarter</w:t>
            </w:r>
          </w:p>
        </w:tc>
        <w:tc>
          <w:tcPr>
            <w:tcW w:w="200" w:type="dxa"/>
            <w:vAlign w:val="bottom"/>
            <w:shd w:val="clear" w:color="auto" w:fill="F0FFFF"/>
          </w:tcPr>
          <w:p>
            <w:pPr>
              <w:spacing w:after="0"/>
              <w:rPr>
                <w:sz w:val="16"/>
                <w:szCs w:val="16"/>
                <w:color w:val="auto"/>
              </w:rPr>
            </w:pPr>
          </w:p>
        </w:tc>
        <w:tc>
          <w:tcPr>
            <w:tcW w:w="86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18.42</w:t>
            </w:r>
          </w:p>
        </w:tc>
        <w:tc>
          <w:tcPr>
            <w:tcW w:w="12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980" w:type="dxa"/>
            <w:vAlign w:val="bottom"/>
            <w:gridSpan w:val="2"/>
            <w:shd w:val="clear" w:color="auto" w:fill="F0FFFF"/>
          </w:tcPr>
          <w:p>
            <w:pPr>
              <w:jc w:val="right"/>
              <w:ind w:right="240"/>
              <w:spacing w:after="0"/>
              <w:rPr>
                <w:sz w:val="20"/>
                <w:szCs w:val="20"/>
                <w:color w:val="auto"/>
              </w:rPr>
            </w:pPr>
            <w:r>
              <w:rPr>
                <w:rFonts w:ascii="Arial" w:cs="Arial" w:eastAsia="Arial" w:hAnsi="Arial"/>
                <w:sz w:val="16"/>
                <w:szCs w:val="16"/>
                <w:color w:val="auto"/>
              </w:rPr>
              <w:t>15.42</w:t>
            </w:r>
          </w:p>
        </w:tc>
        <w:tc>
          <w:tcPr>
            <w:tcW w:w="180" w:type="dxa"/>
            <w:vAlign w:val="bottom"/>
            <w:shd w:val="clear" w:color="auto" w:fill="F0FFFF"/>
          </w:tcPr>
          <w:p>
            <w:pPr>
              <w:spacing w:after="0"/>
              <w:rPr>
                <w:sz w:val="16"/>
                <w:szCs w:val="16"/>
                <w:color w:val="auto"/>
              </w:rPr>
            </w:pPr>
          </w:p>
        </w:tc>
        <w:tc>
          <w:tcPr>
            <w:tcW w:w="960" w:type="dxa"/>
            <w:vAlign w:val="bottom"/>
            <w:gridSpan w:val="2"/>
            <w:shd w:val="clear" w:color="auto" w:fill="F0FFFF"/>
          </w:tcPr>
          <w:p>
            <w:pPr>
              <w:jc w:val="right"/>
              <w:ind w:right="220"/>
              <w:spacing w:after="0"/>
              <w:rPr>
                <w:sz w:val="20"/>
                <w:szCs w:val="20"/>
                <w:color w:val="auto"/>
              </w:rPr>
            </w:pPr>
            <w:r>
              <w:rPr>
                <w:rFonts w:ascii="Arial" w:cs="Arial" w:eastAsia="Arial" w:hAnsi="Arial"/>
                <w:sz w:val="16"/>
                <w:szCs w:val="16"/>
                <w:color w:val="auto"/>
              </w:rPr>
              <w:t>16.46</w:t>
            </w:r>
          </w:p>
        </w:tc>
        <w:tc>
          <w:tcPr>
            <w:tcW w:w="10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331,109</w:t>
            </w:r>
          </w:p>
        </w:tc>
        <w:tc>
          <w:tcPr>
            <w:tcW w:w="100" w:type="dxa"/>
            <w:vAlign w:val="bottom"/>
            <w:shd w:val="clear" w:color="auto" w:fill="F0FFFF"/>
          </w:tcPr>
          <w:p>
            <w:pPr>
              <w:spacing w:after="0"/>
              <w:rPr>
                <w:sz w:val="16"/>
                <w:szCs w:val="16"/>
                <w:color w:val="auto"/>
              </w:rPr>
            </w:pPr>
          </w:p>
        </w:tc>
        <w:tc>
          <w:tcPr>
            <w:tcW w:w="200" w:type="dxa"/>
            <w:vAlign w:val="bottom"/>
            <w:shd w:val="clear" w:color="auto" w:fill="F0FFFF"/>
          </w:tcPr>
          <w:p>
            <w:pPr>
              <w:spacing w:after="0"/>
              <w:rPr>
                <w:sz w:val="16"/>
                <w:szCs w:val="16"/>
                <w:color w:val="auto"/>
              </w:rPr>
            </w:pPr>
          </w:p>
        </w:tc>
        <w:tc>
          <w:tcPr>
            <w:tcW w:w="820" w:type="dxa"/>
            <w:vAlign w:val="bottom"/>
            <w:gridSpan w:val="2"/>
            <w:shd w:val="clear" w:color="auto" w:fill="F0FFFF"/>
          </w:tcPr>
          <w:p>
            <w:pPr>
              <w:jc w:val="right"/>
              <w:ind w:right="100"/>
              <w:spacing w:after="0"/>
              <w:rPr>
                <w:sz w:val="20"/>
                <w:szCs w:val="20"/>
                <w:color w:val="auto"/>
              </w:rPr>
            </w:pPr>
            <w:r>
              <w:rPr>
                <w:rFonts w:ascii="Arial" w:cs="Arial" w:eastAsia="Arial" w:hAnsi="Arial"/>
                <w:sz w:val="16"/>
                <w:szCs w:val="16"/>
                <w:color w:val="auto"/>
              </w:rPr>
              <w:t>16.04</w:t>
            </w:r>
          </w:p>
        </w:tc>
        <w:tc>
          <w:tcPr>
            <w:tcW w:w="12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84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F0FFFF"/>
          </w:tcPr>
          <w:p>
            <w:pPr>
              <w:spacing w:after="0"/>
              <w:rPr>
                <w:sz w:val="16"/>
                <w:szCs w:val="16"/>
                <w:color w:val="auto"/>
              </w:rPr>
            </w:pPr>
          </w:p>
        </w:tc>
        <w:tc>
          <w:tcPr>
            <w:tcW w:w="180" w:type="dxa"/>
            <w:vAlign w:val="bottom"/>
            <w:shd w:val="clear" w:color="auto" w:fill="F0FFFF"/>
          </w:tcPr>
          <w:p>
            <w:pPr>
              <w:spacing w:after="0"/>
              <w:rPr>
                <w:sz w:val="16"/>
                <w:szCs w:val="16"/>
                <w:color w:val="auto"/>
              </w:rPr>
            </w:pPr>
          </w:p>
        </w:tc>
        <w:tc>
          <w:tcPr>
            <w:tcW w:w="740" w:type="dxa"/>
            <w:vAlign w:val="bottom"/>
            <w:shd w:val="clear" w:color="auto" w:fill="F0FFFF"/>
          </w:tcPr>
          <w:p>
            <w:pPr>
              <w:jc w:val="right"/>
              <w:spacing w:after="0"/>
              <w:rPr>
                <w:sz w:val="20"/>
                <w:szCs w:val="20"/>
                <w:color w:val="auto"/>
              </w:rPr>
            </w:pPr>
            <w:r>
              <w:rPr>
                <w:rFonts w:ascii="Arial" w:cs="Arial" w:eastAsia="Arial" w:hAnsi="Arial"/>
                <w:sz w:val="16"/>
                <w:szCs w:val="16"/>
                <w:color w:val="auto"/>
              </w:rPr>
              <w:t>14.99</w:t>
            </w:r>
          </w:p>
        </w:tc>
        <w:tc>
          <w:tcPr>
            <w:tcW w:w="220" w:type="dxa"/>
            <w:vAlign w:val="bottom"/>
            <w:shd w:val="clear" w:color="auto" w:fill="F0FFFF"/>
          </w:tcPr>
          <w:p>
            <w:pPr>
              <w:spacing w:after="0"/>
              <w:rPr>
                <w:sz w:val="16"/>
                <w:szCs w:val="16"/>
                <w:color w:val="auto"/>
              </w:rPr>
            </w:pPr>
          </w:p>
        </w:tc>
        <w:tc>
          <w:tcPr>
            <w:tcW w:w="1020" w:type="dxa"/>
            <w:vAlign w:val="bottom"/>
            <w:gridSpan w:val="2"/>
            <w:shd w:val="clear" w:color="auto" w:fill="F0FFFF"/>
          </w:tcPr>
          <w:p>
            <w:pPr>
              <w:jc w:val="right"/>
              <w:ind w:right="120"/>
              <w:spacing w:after="0"/>
              <w:rPr>
                <w:sz w:val="20"/>
                <w:szCs w:val="20"/>
                <w:color w:val="auto"/>
              </w:rPr>
            </w:pPr>
            <w:r>
              <w:rPr>
                <w:rFonts w:ascii="Arial" w:cs="Arial" w:eastAsia="Arial" w:hAnsi="Arial"/>
                <w:sz w:val="16"/>
                <w:szCs w:val="16"/>
                <w:color w:val="auto"/>
              </w:rPr>
              <w:t>341,270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380" w:type="dxa"/>
            <w:vAlign w:val="bottom"/>
          </w:tcPr>
          <w:p>
            <w:pPr>
              <w:spacing w:after="0"/>
              <w:rPr>
                <w:sz w:val="20"/>
                <w:szCs w:val="20"/>
                <w:color w:val="auto"/>
              </w:rPr>
            </w:pPr>
            <w:r>
              <w:rPr>
                <w:rFonts w:ascii="Arial" w:cs="Arial" w:eastAsia="Arial" w:hAnsi="Arial"/>
                <w:sz w:val="16"/>
                <w:szCs w:val="16"/>
                <w:color w:val="auto"/>
              </w:rPr>
              <w:t>Fourth quarter</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18.56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14.82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17.75</w:t>
            </w:r>
          </w:p>
        </w:tc>
        <w:tc>
          <w:tcPr>
            <w:tcW w:w="22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421,948</w:t>
            </w:r>
          </w:p>
        </w:tc>
        <w:tc>
          <w:tcPr>
            <w:tcW w:w="0" w:type="dxa"/>
            <w:vAlign w:val="bottom"/>
          </w:tcPr>
          <w:p>
            <w:pPr>
              <w:spacing w:after="0"/>
              <w:rPr>
                <w:sz w:val="1"/>
                <w:szCs w:val="1"/>
                <w:color w:val="auto"/>
              </w:rPr>
            </w:pPr>
          </w:p>
        </w:tc>
      </w:tr>
    </w:tbl>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Effect of Inflation and Changing Prices</w:t>
      </w:r>
    </w:p>
    <w:p>
      <w:pPr>
        <w:spacing w:after="0" w:line="23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186"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18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 About Market Risk</w:t>
      </w:r>
    </w:p>
    <w:p>
      <w:pPr>
        <w:spacing w:after="0" w:line="232" w:lineRule="exact"/>
        <w:rPr>
          <w:sz w:val="20"/>
          <w:szCs w:val="20"/>
          <w:color w:val="auto"/>
        </w:rPr>
      </w:pPr>
    </w:p>
    <w:p>
      <w:pPr>
        <w:jc w:val="both"/>
        <w:ind w:right="20"/>
        <w:spacing w:after="0" w:line="267" w:lineRule="auto"/>
        <w:rPr>
          <w:sz w:val="20"/>
          <w:szCs w:val="20"/>
          <w:color w:val="auto"/>
        </w:rPr>
      </w:pPr>
      <w:r>
        <w:rPr>
          <w:rFonts w:ascii="Arial" w:cs="Arial" w:eastAsia="Arial" w:hAnsi="Arial"/>
          <w:sz w:val="16"/>
          <w:szCs w:val="16"/>
          <w:color w:val="auto"/>
        </w:rPr>
        <w:t>There have been no material changes in United’s quantitative and qualitative disclosures about market risk as of September 30, 2014 from that presented in the Annual Report on Form 10-K for the year ended December 31, 2013. The interest rate sensitivity position at September 30, 2014 is included in management’s discussion and analysis on page 62 of this report.</w:t>
      </w:r>
    </w:p>
    <w:p>
      <w:pPr>
        <w:spacing w:after="0" w:line="182"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32" w:lineRule="exact"/>
        <w:rPr>
          <w:sz w:val="20"/>
          <w:szCs w:val="20"/>
          <w:color w:val="auto"/>
        </w:rPr>
      </w:pPr>
    </w:p>
    <w:p>
      <w:pPr>
        <w:jc w:val="both"/>
        <w:ind w:right="20"/>
        <w:spacing w:after="0" w:line="258" w:lineRule="auto"/>
        <w:rPr>
          <w:sz w:val="20"/>
          <w:szCs w:val="20"/>
          <w:color w:val="auto"/>
        </w:rPr>
      </w:pPr>
      <w:r>
        <w:rPr>
          <w:rFonts w:ascii="Arial" w:cs="Arial" w:eastAsia="Arial" w:hAnsi="Arial"/>
          <w:sz w:val="16"/>
          <w:szCs w:val="16"/>
          <w:color w:val="auto"/>
        </w:rPr>
        <w:t>United’s management, including the Chief Executive Officer and Chief Financial Officer, supervised and participated in an evaluation of United’s disclosure controls and procedures as of September 30, 2014.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Exchange Act is recorded, processed, summarized and reported within the time periods specified in the SEC’s rules and forms.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0"/>
          </w:cols>
          <w:pgMar w:left="240" w:top="842" w:right="219" w:bottom="1440" w:gutter="0" w:footer="0" w:header="0"/>
        </w:sectPr>
      </w:pPr>
    </w:p>
    <w:bookmarkStart w:id="66" w:name="page67"/>
    <w:bookmarkEnd w:id="66"/>
    <w:p>
      <w:pPr>
        <w:spacing w:after="0"/>
        <w:rPr>
          <w:sz w:val="20"/>
          <w:szCs w:val="20"/>
          <w:color w:val="auto"/>
        </w:rPr>
      </w:pPr>
      <w:r>
        <w:rPr>
          <w:rFonts w:ascii="Arial" w:cs="Arial" w:eastAsia="Arial" w:hAnsi="Arial"/>
          <w:sz w:val="15"/>
          <w:szCs w:val="15"/>
          <w:color w:val="auto"/>
        </w:rPr>
        <w:t>There were no significant changes in the internal controls or in other factors that could significantly affect these controls subsequent to the date of their evaluation.</w:t>
      </w:r>
    </w:p>
    <w:p>
      <w:pPr>
        <w:spacing w:after="0" w:line="236" w:lineRule="exact"/>
        <w:rPr>
          <w:sz w:val="20"/>
          <w:szCs w:val="20"/>
          <w:color w:val="auto"/>
        </w:rPr>
      </w:pPr>
    </w:p>
    <w:p>
      <w:pPr>
        <w:spacing w:after="0"/>
        <w:tabs>
          <w:tab w:leader="none" w:pos="900" w:val="left"/>
        </w:tabs>
        <w:rPr>
          <w:sz w:val="20"/>
          <w:szCs w:val="20"/>
          <w:color w:val="auto"/>
        </w:rPr>
      </w:pPr>
      <w:r>
        <w:rPr>
          <w:rFonts w:ascii="Arial" w:cs="Arial" w:eastAsia="Arial" w:hAnsi="Arial"/>
          <w:sz w:val="16"/>
          <w:szCs w:val="16"/>
          <w:b w:val="1"/>
          <w:bCs w:val="1"/>
          <w:color w:val="auto"/>
        </w:rPr>
        <w:t>Part II.</w:t>
      </w:r>
      <w:r>
        <w:rPr>
          <w:sz w:val="20"/>
          <w:szCs w:val="20"/>
          <w:color w:val="auto"/>
        </w:rPr>
        <w:tab/>
      </w:r>
      <w:r>
        <w:rPr>
          <w:rFonts w:ascii="Arial" w:cs="Arial" w:eastAsia="Arial" w:hAnsi="Arial"/>
          <w:sz w:val="15"/>
          <w:szCs w:val="15"/>
          <w:b w:val="1"/>
          <w:bCs w:val="1"/>
          <w:color w:val="auto"/>
        </w:rPr>
        <w:t>Other Information</w:t>
      </w:r>
    </w:p>
    <w:p>
      <w:pPr>
        <w:spacing w:after="0" w:line="22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32" w:lineRule="exact"/>
        <w:rPr>
          <w:sz w:val="20"/>
          <w:szCs w:val="20"/>
          <w:color w:val="auto"/>
        </w:rPr>
      </w:pPr>
    </w:p>
    <w:p>
      <w:pPr>
        <w:jc w:val="both"/>
        <w:spacing w:after="0" w:line="293" w:lineRule="auto"/>
        <w:rPr>
          <w:sz w:val="20"/>
          <w:szCs w:val="20"/>
          <w:color w:val="auto"/>
        </w:rPr>
      </w:pPr>
      <w:r>
        <w:rPr>
          <w:rFonts w:ascii="Arial" w:cs="Arial" w:eastAsia="Arial" w:hAnsi="Arial"/>
          <w:sz w:val="15"/>
          <w:szCs w:val="15"/>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in which an adverse decision could result in a material adverse change in the consolidated financial condition or results of operations of United.</w:t>
      </w:r>
    </w:p>
    <w:p>
      <w:pPr>
        <w:spacing w:after="0" w:line="165"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from the risk factors previously disclosed in United’s Annual Report on Form 10-K for the year ended December 31, 2013.</w:t>
      </w:r>
    </w:p>
    <w:p>
      <w:pPr>
        <w:spacing w:after="0" w:line="200"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Unregistered Sales of Equity Securities and Use of Proceeds – None</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 – None</w:t>
      </w:r>
    </w:p>
    <w:p>
      <w:pPr>
        <w:spacing w:after="0" w:line="204"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 – None</w:t>
      </w:r>
    </w:p>
    <w:p>
      <w:pPr>
        <w:spacing w:after="0" w:line="228"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 – None</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20"/>
          </w:cols>
          <w:pgMar w:left="240" w:top="84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10"/>
        </w:trPr>
        <w:tc>
          <w:tcPr>
            <w:tcW w:w="880" w:type="dxa"/>
            <w:vAlign w:val="bottom"/>
          </w:tcPr>
          <w:p>
            <w:pPr>
              <w:spacing w:after="0"/>
              <w:rPr>
                <w:sz w:val="20"/>
                <w:szCs w:val="20"/>
                <w:color w:val="auto"/>
              </w:rPr>
            </w:pPr>
            <w:r>
              <w:rPr>
                <w:rFonts w:ascii="Arial" w:cs="Arial" w:eastAsia="Arial" w:hAnsi="Arial"/>
                <w:sz w:val="16"/>
                <w:szCs w:val="16"/>
                <w:b w:val="1"/>
                <w:bCs w:val="1"/>
                <w:color w:val="auto"/>
              </w:rPr>
              <w:t>Item 6.</w:t>
            </w:r>
          </w:p>
        </w:tc>
        <w:tc>
          <w:tcPr>
            <w:tcW w:w="1056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r>
      <w:tr>
        <w:trPr>
          <w:trHeight w:val="412"/>
        </w:trPr>
        <w:tc>
          <w:tcPr>
            <w:tcW w:w="880" w:type="dxa"/>
            <w:vAlign w:val="bottom"/>
          </w:tcPr>
          <w:p>
            <w:pPr>
              <w:spacing w:after="0"/>
              <w:rPr>
                <w:sz w:val="20"/>
                <w:szCs w:val="20"/>
                <w:color w:val="auto"/>
              </w:rPr>
            </w:pPr>
            <w:r>
              <w:rPr>
                <w:rFonts w:ascii="Arial" w:cs="Arial" w:eastAsia="Arial" w:hAnsi="Arial"/>
                <w:sz w:val="16"/>
                <w:szCs w:val="16"/>
                <w:color w:val="auto"/>
              </w:rPr>
              <w:t>Exhibit No.</w:t>
            </w:r>
          </w:p>
        </w:tc>
        <w:tc>
          <w:tcPr>
            <w:tcW w:w="22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Description</w:t>
            </w:r>
          </w:p>
        </w:tc>
      </w:tr>
      <w:tr>
        <w:trPr>
          <w:trHeight w:val="376"/>
        </w:trPr>
        <w:tc>
          <w:tcPr>
            <w:tcW w:w="880" w:type="dxa"/>
            <w:vAlign w:val="bottom"/>
          </w:tcPr>
          <w:p>
            <w:pPr>
              <w:ind w:left="280"/>
              <w:spacing w:after="0"/>
              <w:rPr>
                <w:sz w:val="20"/>
                <w:szCs w:val="20"/>
                <w:color w:val="auto"/>
              </w:rPr>
            </w:pPr>
            <w:r>
              <w:rPr>
                <w:rFonts w:ascii="Arial" w:cs="Arial" w:eastAsia="Arial" w:hAnsi="Arial"/>
                <w:sz w:val="16"/>
                <w:szCs w:val="16"/>
                <w:color w:val="auto"/>
              </w:rPr>
              <w:t>31.1</w:t>
            </w:r>
          </w:p>
        </w:tc>
        <w:tc>
          <w:tcPr>
            <w:tcW w:w="22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w w:val="96"/>
              </w:rPr>
              <w:t>Certification by Jimmy C. Tallent, President and Chief Executive Officer of United Community Banks, Inc., as adopted pursuant to Section 302 of the</w:t>
            </w:r>
          </w:p>
        </w:tc>
      </w:tr>
      <w:tr>
        <w:trPr>
          <w:trHeight w:val="20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Sarbanes-Oxley Act of 2002.</w:t>
            </w:r>
          </w:p>
        </w:tc>
      </w:tr>
      <w:tr>
        <w:trPr>
          <w:trHeight w:val="376"/>
        </w:trPr>
        <w:tc>
          <w:tcPr>
            <w:tcW w:w="880" w:type="dxa"/>
            <w:vAlign w:val="bottom"/>
          </w:tcPr>
          <w:p>
            <w:pPr>
              <w:ind w:left="280"/>
              <w:spacing w:after="0"/>
              <w:rPr>
                <w:sz w:val="20"/>
                <w:szCs w:val="20"/>
                <w:color w:val="auto"/>
              </w:rPr>
            </w:pPr>
            <w:r>
              <w:rPr>
                <w:rFonts w:ascii="Arial" w:cs="Arial" w:eastAsia="Arial" w:hAnsi="Arial"/>
                <w:sz w:val="16"/>
                <w:szCs w:val="16"/>
                <w:color w:val="auto"/>
              </w:rPr>
              <w:t>31.2</w:t>
            </w:r>
          </w:p>
        </w:tc>
        <w:tc>
          <w:tcPr>
            <w:tcW w:w="22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w w:val="99"/>
              </w:rPr>
              <w:t>Certification by Rex S. Schuette, Executive Vice President and Chief Financial Officer of United Community Banks, Inc., as adopted pursuant to</w:t>
            </w:r>
          </w:p>
        </w:tc>
      </w:tr>
      <w:tr>
        <w:trPr>
          <w:trHeight w:val="20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Section 302 of the Sarbanes-Oxley Act of 2002.</w:t>
            </w:r>
          </w:p>
        </w:tc>
      </w:tr>
      <w:tr>
        <w:trPr>
          <w:trHeight w:val="388"/>
        </w:trPr>
        <w:tc>
          <w:tcPr>
            <w:tcW w:w="880" w:type="dxa"/>
            <w:vAlign w:val="bottom"/>
          </w:tcPr>
          <w:p>
            <w:pPr>
              <w:ind w:left="280"/>
              <w:spacing w:after="0"/>
              <w:rPr>
                <w:sz w:val="20"/>
                <w:szCs w:val="20"/>
                <w:color w:val="auto"/>
              </w:rPr>
            </w:pPr>
            <w:r>
              <w:rPr>
                <w:rFonts w:ascii="Arial" w:cs="Arial" w:eastAsia="Arial" w:hAnsi="Arial"/>
                <w:sz w:val="16"/>
                <w:szCs w:val="16"/>
                <w:color w:val="auto"/>
              </w:rPr>
              <w:t>32</w:t>
            </w:r>
          </w:p>
        </w:tc>
        <w:tc>
          <w:tcPr>
            <w:tcW w:w="22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tc>
      </w:tr>
      <w:tr>
        <w:trPr>
          <w:trHeight w:val="388"/>
        </w:trPr>
        <w:tc>
          <w:tcPr>
            <w:tcW w:w="880" w:type="dxa"/>
            <w:vAlign w:val="bottom"/>
          </w:tcPr>
          <w:p>
            <w:pPr>
              <w:ind w:left="280"/>
              <w:spacing w:after="0"/>
              <w:rPr>
                <w:sz w:val="20"/>
                <w:szCs w:val="20"/>
                <w:color w:val="auto"/>
              </w:rPr>
            </w:pPr>
            <w:r>
              <w:rPr>
                <w:rFonts w:ascii="Arial" w:cs="Arial" w:eastAsia="Arial" w:hAnsi="Arial"/>
                <w:sz w:val="16"/>
                <w:szCs w:val="16"/>
                <w:color w:val="auto"/>
              </w:rPr>
              <w:t>101.INS</w:t>
            </w:r>
          </w:p>
        </w:tc>
        <w:tc>
          <w:tcPr>
            <w:tcW w:w="22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XBRL Instance Document</w:t>
            </w:r>
          </w:p>
        </w:tc>
      </w:tr>
      <w:tr>
        <w:trPr>
          <w:trHeight w:val="388"/>
        </w:trPr>
        <w:tc>
          <w:tcPr>
            <w:tcW w:w="880" w:type="dxa"/>
            <w:vAlign w:val="bottom"/>
          </w:tcPr>
          <w:p>
            <w:pPr>
              <w:ind w:left="280"/>
              <w:spacing w:after="0"/>
              <w:rPr>
                <w:sz w:val="20"/>
                <w:szCs w:val="20"/>
                <w:color w:val="auto"/>
              </w:rPr>
            </w:pPr>
            <w:r>
              <w:rPr>
                <w:rFonts w:ascii="Arial" w:cs="Arial" w:eastAsia="Arial" w:hAnsi="Arial"/>
                <w:sz w:val="16"/>
                <w:szCs w:val="16"/>
                <w:color w:val="auto"/>
                <w:w w:val="89"/>
              </w:rPr>
              <w:t>101.SCH</w:t>
            </w:r>
          </w:p>
        </w:tc>
        <w:tc>
          <w:tcPr>
            <w:tcW w:w="22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XBRL Taxonomy Extension Schema Document</w:t>
            </w:r>
          </w:p>
        </w:tc>
      </w:tr>
      <w:tr>
        <w:trPr>
          <w:trHeight w:val="388"/>
        </w:trPr>
        <w:tc>
          <w:tcPr>
            <w:tcW w:w="1100" w:type="dxa"/>
            <w:vAlign w:val="bottom"/>
            <w:gridSpan w:val="2"/>
          </w:tcPr>
          <w:p>
            <w:pPr>
              <w:ind w:left="280"/>
              <w:spacing w:after="0"/>
              <w:rPr>
                <w:sz w:val="20"/>
                <w:szCs w:val="20"/>
                <w:color w:val="auto"/>
              </w:rPr>
            </w:pPr>
            <w:r>
              <w:rPr>
                <w:rFonts w:ascii="Arial" w:cs="Arial" w:eastAsia="Arial" w:hAnsi="Arial"/>
                <w:sz w:val="16"/>
                <w:szCs w:val="16"/>
                <w:color w:val="auto"/>
              </w:rPr>
              <w:t>101.CAL</w:t>
            </w:r>
          </w:p>
        </w:tc>
        <w:tc>
          <w:tcPr>
            <w:tcW w:w="10340" w:type="dxa"/>
            <w:vAlign w:val="bottom"/>
          </w:tcPr>
          <w:p>
            <w:pPr>
              <w:ind w:left="200"/>
              <w:spacing w:after="0"/>
              <w:rPr>
                <w:sz w:val="20"/>
                <w:szCs w:val="20"/>
                <w:color w:val="auto"/>
              </w:rPr>
            </w:pPr>
            <w:r>
              <w:rPr>
                <w:rFonts w:ascii="Arial" w:cs="Arial" w:eastAsia="Arial" w:hAnsi="Arial"/>
                <w:sz w:val="16"/>
                <w:szCs w:val="16"/>
                <w:color w:val="auto"/>
              </w:rPr>
              <w:t>XBRL Taxonomy Extension Calculation Linkbase Document</w:t>
            </w:r>
          </w:p>
        </w:tc>
      </w:tr>
      <w:tr>
        <w:trPr>
          <w:trHeight w:val="388"/>
        </w:trPr>
        <w:tc>
          <w:tcPr>
            <w:tcW w:w="880" w:type="dxa"/>
            <w:vAlign w:val="bottom"/>
          </w:tcPr>
          <w:p>
            <w:pPr>
              <w:ind w:left="280"/>
              <w:spacing w:after="0"/>
              <w:rPr>
                <w:sz w:val="20"/>
                <w:szCs w:val="20"/>
                <w:color w:val="auto"/>
              </w:rPr>
            </w:pPr>
            <w:r>
              <w:rPr>
                <w:rFonts w:ascii="Arial" w:cs="Arial" w:eastAsia="Arial" w:hAnsi="Arial"/>
                <w:sz w:val="16"/>
                <w:szCs w:val="16"/>
                <w:color w:val="auto"/>
                <w:w w:val="91"/>
              </w:rPr>
              <w:t>101.DEF</w:t>
            </w:r>
          </w:p>
        </w:tc>
        <w:tc>
          <w:tcPr>
            <w:tcW w:w="22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XBRL Taxonomy Extension Definition Linkbase Document</w:t>
            </w:r>
          </w:p>
        </w:tc>
      </w:tr>
      <w:tr>
        <w:trPr>
          <w:trHeight w:val="388"/>
        </w:trPr>
        <w:tc>
          <w:tcPr>
            <w:tcW w:w="1100" w:type="dxa"/>
            <w:vAlign w:val="bottom"/>
            <w:gridSpan w:val="2"/>
          </w:tcPr>
          <w:p>
            <w:pPr>
              <w:ind w:left="280"/>
              <w:spacing w:after="0"/>
              <w:rPr>
                <w:sz w:val="20"/>
                <w:szCs w:val="20"/>
                <w:color w:val="auto"/>
              </w:rPr>
            </w:pPr>
            <w:r>
              <w:rPr>
                <w:rFonts w:ascii="Arial" w:cs="Arial" w:eastAsia="Arial" w:hAnsi="Arial"/>
                <w:sz w:val="16"/>
                <w:szCs w:val="16"/>
                <w:color w:val="auto"/>
              </w:rPr>
              <w:t>101.LAB</w:t>
            </w:r>
          </w:p>
        </w:tc>
        <w:tc>
          <w:tcPr>
            <w:tcW w:w="10340" w:type="dxa"/>
            <w:vAlign w:val="bottom"/>
          </w:tcPr>
          <w:p>
            <w:pPr>
              <w:ind w:left="200"/>
              <w:spacing w:after="0"/>
              <w:rPr>
                <w:sz w:val="20"/>
                <w:szCs w:val="20"/>
                <w:color w:val="auto"/>
              </w:rPr>
            </w:pPr>
            <w:r>
              <w:rPr>
                <w:rFonts w:ascii="Arial" w:cs="Arial" w:eastAsia="Arial" w:hAnsi="Arial"/>
                <w:sz w:val="16"/>
                <w:szCs w:val="16"/>
                <w:color w:val="auto"/>
              </w:rPr>
              <w:t>XBRL Taxonomy Extension Label Linkbase Document</w:t>
            </w:r>
          </w:p>
        </w:tc>
      </w:tr>
      <w:tr>
        <w:trPr>
          <w:trHeight w:val="388"/>
        </w:trPr>
        <w:tc>
          <w:tcPr>
            <w:tcW w:w="880" w:type="dxa"/>
            <w:vAlign w:val="bottom"/>
          </w:tcPr>
          <w:p>
            <w:pPr>
              <w:ind w:left="280"/>
              <w:spacing w:after="0"/>
              <w:rPr>
                <w:sz w:val="20"/>
                <w:szCs w:val="20"/>
                <w:color w:val="auto"/>
              </w:rPr>
            </w:pPr>
            <w:r>
              <w:rPr>
                <w:rFonts w:ascii="Arial" w:cs="Arial" w:eastAsia="Arial" w:hAnsi="Arial"/>
                <w:sz w:val="16"/>
                <w:szCs w:val="16"/>
                <w:color w:val="auto"/>
                <w:w w:val="90"/>
              </w:rPr>
              <w:t>101.PRE</w:t>
            </w:r>
          </w:p>
        </w:tc>
        <w:tc>
          <w:tcPr>
            <w:tcW w:w="220" w:type="dxa"/>
            <w:vAlign w:val="bottom"/>
          </w:tcPr>
          <w:p>
            <w:pPr>
              <w:spacing w:after="0"/>
              <w:rPr>
                <w:sz w:val="24"/>
                <w:szCs w:val="24"/>
                <w:color w:val="auto"/>
              </w:rPr>
            </w:pPr>
          </w:p>
        </w:tc>
        <w:tc>
          <w:tcPr>
            <w:tcW w:w="10340" w:type="dxa"/>
            <w:vAlign w:val="bottom"/>
          </w:tcPr>
          <w:p>
            <w:pPr>
              <w:ind w:left="20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607"/>
        </w:trPr>
        <w:tc>
          <w:tcPr>
            <w:tcW w:w="88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340" w:type="dxa"/>
            <w:vAlign w:val="bottom"/>
            <w:tcBorders>
              <w:bottom w:val="single" w:sz="8" w:color="DCDCDC"/>
            </w:tcBorders>
          </w:tcPr>
          <w:p>
            <w:pPr>
              <w:ind w:left="4540"/>
              <w:spacing w:after="0"/>
              <w:rPr>
                <w:sz w:val="20"/>
                <w:szCs w:val="20"/>
                <w:color w:val="auto"/>
              </w:rPr>
            </w:pPr>
            <w:r>
              <w:rPr>
                <w:rFonts w:ascii="Arial" w:cs="Arial" w:eastAsia="Arial" w:hAnsi="Arial"/>
                <w:sz w:val="16"/>
                <w:szCs w:val="16"/>
                <w:color w:val="auto"/>
              </w:rPr>
              <w:t>68</w:t>
            </w:r>
          </w:p>
        </w:tc>
      </w:tr>
    </w:tbl>
    <w:p>
      <w:pPr>
        <w:sectPr>
          <w:pgSz w:w="11900" w:h="16838" w:orient="portrait"/>
          <w:cols w:equalWidth="0" w:num="1">
            <w:col w:w="11440"/>
          </w:cols>
          <w:pgMar w:left="240" w:top="838"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t>Signatures</w:t>
      </w:r>
    </w:p>
    <w:p>
      <w:pPr>
        <w:spacing w:after="0" w:line="23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7"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UNITED COMMUNITY BANKS, INC.</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6"/>
          <w:szCs w:val="16"/>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14605</wp:posOffset>
            </wp:positionV>
            <wp:extent cx="362648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626485" cy="15240"/>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Jimmy C. Tallent</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President and Chief Executive Officer</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(Principal Executive Officer)</w:t>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6"/>
          <w:szCs w:val="16"/>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14605</wp:posOffset>
            </wp:positionV>
            <wp:extent cx="362648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626485" cy="15240"/>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Rex S. Schuette</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Executive Vice President and</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Financial Officer</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(Principal Financial Officer)</w:t>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6"/>
          <w:szCs w:val="16"/>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14605</wp:posOffset>
            </wp:positionV>
            <wp:extent cx="362648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626485" cy="15240"/>
                    </a:xfrm>
                    <a:prstGeom prst="rect">
                      <a:avLst/>
                    </a:prstGeom>
                    <a:noFill/>
                  </pic:spPr>
                </pic:pic>
              </a:graphicData>
            </a:graphic>
          </wp:anchor>
        </w:drawing>
      </w:r>
    </w:p>
    <w:p>
      <w:pPr>
        <w:spacing w:after="0" w:line="14"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Alan H. Kumler</w:t>
      </w:r>
    </w:p>
    <w:p>
      <w:pPr>
        <w:spacing w:after="0" w:line="2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Senior Vice President and</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Chief Accounting Officer</w:t>
      </w:r>
    </w:p>
    <w:p>
      <w:pPr>
        <w:spacing w:after="0" w:line="10"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(Principal Accounting Officer)</w:t>
      </w:r>
    </w:p>
    <w:p>
      <w:pPr>
        <w:spacing w:after="0" w:line="19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Date: November 10, 2014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726059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20"/>
          </w:cols>
          <w:pgMar w:left="240" w:top="81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177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0910" cy="17780"/>
                    </a:xfrm>
                    <a:prstGeom prst="rect">
                      <a:avLst/>
                    </a:prstGeom>
                    <a:noFill/>
                  </pic:spPr>
                </pic:pic>
              </a:graphicData>
            </a:graphic>
          </wp:anchor>
        </w:drawing>
        <w:t>Exhibit 31.1</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color w:val="auto"/>
        </w:rPr>
        <w:t>I, Jimmy C. Tallent, certify that:</w:t>
      </w:r>
    </w:p>
    <w:p>
      <w:pPr>
        <w:spacing w:after="0" w:line="228" w:lineRule="exact"/>
        <w:rPr>
          <w:sz w:val="20"/>
          <w:szCs w:val="20"/>
          <w:color w:val="auto"/>
        </w:rPr>
      </w:pPr>
    </w:p>
    <w:p>
      <w:pPr>
        <w:ind w:left="203" w:hanging="203"/>
        <w:spacing w:after="0"/>
        <w:tabs>
          <w:tab w:leader="none" w:pos="203" w:val="left"/>
        </w:tabs>
        <w:numPr>
          <w:ilvl w:val="0"/>
          <w:numId w:val="1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United Community Banks, Inc. (the “Registrant”);</w:t>
      </w:r>
    </w:p>
    <w:p>
      <w:pPr>
        <w:spacing w:after="0" w:line="228" w:lineRule="exact"/>
        <w:rPr>
          <w:rFonts w:ascii="Arial" w:cs="Arial" w:eastAsia="Arial" w:hAnsi="Arial"/>
          <w:sz w:val="16"/>
          <w:szCs w:val="16"/>
          <w:color w:val="auto"/>
        </w:rPr>
      </w:pPr>
    </w:p>
    <w:p>
      <w:pPr>
        <w:ind w:left="3" w:right="20" w:hanging="3"/>
        <w:spacing w:after="0" w:line="281" w:lineRule="auto"/>
        <w:tabs>
          <w:tab w:leader="none" w:pos="2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3" w:right="20" w:hanging="3"/>
        <w:spacing w:after="0" w:line="281" w:lineRule="auto"/>
        <w:tabs>
          <w:tab w:leader="none" w:pos="20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3" w:right="20" w:hanging="3"/>
        <w:spacing w:after="0" w:line="316" w:lineRule="auto"/>
        <w:tabs>
          <w:tab w:leader="none" w:pos="227"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52" w:lineRule="exact"/>
        <w:rPr>
          <w:rFonts w:ascii="Arial" w:cs="Arial" w:eastAsia="Arial" w:hAnsi="Arial"/>
          <w:sz w:val="15"/>
          <w:szCs w:val="15"/>
          <w:color w:val="auto"/>
        </w:rPr>
      </w:pPr>
    </w:p>
    <w:p>
      <w:pPr>
        <w:jc w:val="both"/>
        <w:ind w:left="583" w:right="20" w:hanging="1"/>
        <w:spacing w:after="0" w:line="267" w:lineRule="auto"/>
        <w:tabs>
          <w:tab w:leader="none" w:pos="757"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583" w:right="20" w:hanging="1"/>
        <w:spacing w:after="0" w:line="267" w:lineRule="auto"/>
        <w:tabs>
          <w:tab w:leader="none" w:pos="772"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583" w:right="20" w:hanging="1"/>
        <w:spacing w:after="0" w:line="281" w:lineRule="auto"/>
        <w:tabs>
          <w:tab w:leader="none" w:pos="7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jc w:val="both"/>
        <w:ind w:left="583" w:right="20" w:hanging="1"/>
        <w:spacing w:after="0" w:line="267" w:lineRule="auto"/>
        <w:tabs>
          <w:tab w:leader="none" w:pos="771"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3" w:right="20" w:hanging="3"/>
        <w:spacing w:after="0" w:line="281" w:lineRule="auto"/>
        <w:tabs>
          <w:tab w:leader="none" w:pos="171"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5" w:lineRule="exact"/>
        <w:rPr>
          <w:rFonts w:ascii="Arial" w:cs="Arial" w:eastAsia="Arial" w:hAnsi="Arial"/>
          <w:sz w:val="16"/>
          <w:szCs w:val="16"/>
          <w:color w:val="auto"/>
        </w:rPr>
      </w:pPr>
    </w:p>
    <w:p>
      <w:pPr>
        <w:ind w:left="583" w:hanging="1"/>
        <w:spacing w:after="0" w:line="281" w:lineRule="auto"/>
        <w:tabs>
          <w:tab w:leader="none" w:pos="75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3" w:right="20" w:hanging="1"/>
        <w:spacing w:after="0" w:line="281" w:lineRule="auto"/>
        <w:tabs>
          <w:tab w:leader="none" w:pos="777" w:val="left"/>
        </w:tabs>
        <w:numPr>
          <w:ilvl w:val="1"/>
          <w:numId w:val="1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5703"/>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14605</wp:posOffset>
            </wp:positionV>
            <wp:extent cx="348043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80435" cy="15240"/>
                    </a:xfrm>
                    <a:prstGeom prst="rect">
                      <a:avLst/>
                    </a:prstGeom>
                    <a:noFill/>
                  </pic:spPr>
                </pic:pic>
              </a:graphicData>
            </a:graphic>
          </wp:anchor>
        </w:drawing>
      </w:r>
    </w:p>
    <w:p>
      <w:pPr>
        <w:spacing w:after="0" w:line="14"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Jimmy C. Tallent</w:t>
      </w:r>
    </w:p>
    <w:p>
      <w:pPr>
        <w:spacing w:after="0" w:line="22"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President and Chief Executive Officer</w:t>
      </w:r>
    </w:p>
    <w:p>
      <w:pPr>
        <w:spacing w:after="0" w:line="10"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of the Registrant</w:t>
      </w:r>
    </w:p>
    <w:p>
      <w:pPr>
        <w:spacing w:after="0" w:line="192" w:lineRule="exact"/>
        <w:rPr>
          <w:sz w:val="20"/>
          <w:szCs w:val="20"/>
          <w:color w:val="auto"/>
        </w:rPr>
      </w:pPr>
    </w:p>
    <w:p>
      <w:pPr>
        <w:ind w:left="5703"/>
        <w:spacing w:after="0"/>
        <w:rPr>
          <w:sz w:val="20"/>
          <w:szCs w:val="20"/>
          <w:color w:val="auto"/>
        </w:rPr>
      </w:pPr>
      <w:r>
        <w:rPr>
          <w:rFonts w:ascii="Arial" w:cs="Arial" w:eastAsia="Arial" w:hAnsi="Arial"/>
          <w:sz w:val="16"/>
          <w:szCs w:val="16"/>
          <w:color w:val="auto"/>
        </w:rPr>
        <w:t>Date: 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26059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3"/>
          </w:cols>
          <w:pgMar w:left="237" w:top="244" w:right="219" w:bottom="1440" w:gutter="0" w:footer="0" w:header="0"/>
        </w:sectPr>
      </w:pPr>
    </w:p>
    <w:bookmarkStart w:id="70" w:name="page71"/>
    <w:bookmarkEnd w:id="70"/>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177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0910" cy="17780"/>
                    </a:xfrm>
                    <a:prstGeom prst="rect">
                      <a:avLst/>
                    </a:prstGeom>
                    <a:noFill/>
                  </pic:spPr>
                </pic:pic>
              </a:graphicData>
            </a:graphic>
          </wp:anchor>
        </w:drawing>
        <w:t>Exhibit 31.2</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6"/>
          <w:szCs w:val="16"/>
          <w:color w:val="auto"/>
        </w:rPr>
        <w:t>I, Rex S. Schuette, certify that:</w:t>
      </w:r>
    </w:p>
    <w:p>
      <w:pPr>
        <w:spacing w:after="0" w:line="228" w:lineRule="exact"/>
        <w:rPr>
          <w:sz w:val="20"/>
          <w:szCs w:val="20"/>
          <w:color w:val="auto"/>
        </w:rPr>
      </w:pPr>
    </w:p>
    <w:p>
      <w:pPr>
        <w:ind w:left="203" w:hanging="203"/>
        <w:spacing w:after="0"/>
        <w:tabs>
          <w:tab w:leader="none" w:pos="203"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United Community Banks, Inc. (the “Registrant”);</w:t>
      </w:r>
    </w:p>
    <w:p>
      <w:pPr>
        <w:spacing w:after="0" w:line="228" w:lineRule="exact"/>
        <w:rPr>
          <w:rFonts w:ascii="Arial" w:cs="Arial" w:eastAsia="Arial" w:hAnsi="Arial"/>
          <w:sz w:val="16"/>
          <w:szCs w:val="16"/>
          <w:color w:val="auto"/>
        </w:rPr>
      </w:pPr>
    </w:p>
    <w:p>
      <w:pPr>
        <w:ind w:left="3" w:right="20" w:hanging="3"/>
        <w:spacing w:after="0" w:line="281" w:lineRule="auto"/>
        <w:tabs>
          <w:tab w:leader="none" w:pos="216"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3" w:right="20" w:hanging="3"/>
        <w:spacing w:after="0" w:line="281"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6"/>
          <w:szCs w:val="16"/>
          <w:color w:val="auto"/>
        </w:rPr>
      </w:pPr>
    </w:p>
    <w:p>
      <w:pPr>
        <w:ind w:left="3" w:right="20" w:hanging="3"/>
        <w:spacing w:after="0" w:line="316" w:lineRule="auto"/>
        <w:tabs>
          <w:tab w:leader="none" w:pos="227"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52" w:lineRule="exact"/>
        <w:rPr>
          <w:rFonts w:ascii="Arial" w:cs="Arial" w:eastAsia="Arial" w:hAnsi="Arial"/>
          <w:sz w:val="15"/>
          <w:szCs w:val="15"/>
          <w:color w:val="auto"/>
        </w:rPr>
      </w:pPr>
    </w:p>
    <w:p>
      <w:pPr>
        <w:jc w:val="both"/>
        <w:ind w:left="583" w:right="20" w:hanging="1"/>
        <w:spacing w:after="0" w:line="267" w:lineRule="auto"/>
        <w:tabs>
          <w:tab w:leader="none" w:pos="7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6"/>
          <w:szCs w:val="16"/>
          <w:color w:val="auto"/>
        </w:rPr>
      </w:pPr>
    </w:p>
    <w:p>
      <w:pPr>
        <w:jc w:val="both"/>
        <w:ind w:left="583" w:right="20" w:hanging="1"/>
        <w:spacing w:after="0" w:line="267" w:lineRule="auto"/>
        <w:tabs>
          <w:tab w:leader="none" w:pos="772" w:val="left"/>
        </w:tabs>
        <w:numPr>
          <w:ilvl w:val="1"/>
          <w:numId w:val="1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6"/>
          <w:szCs w:val="16"/>
          <w:color w:val="auto"/>
        </w:rPr>
      </w:pPr>
    </w:p>
    <w:p>
      <w:pPr>
        <w:ind w:left="583" w:right="20" w:hanging="1"/>
        <w:spacing w:after="0" w:line="281" w:lineRule="auto"/>
        <w:tabs>
          <w:tab w:leader="none" w:pos="7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6"/>
          <w:szCs w:val="16"/>
          <w:color w:val="auto"/>
        </w:rPr>
      </w:pPr>
    </w:p>
    <w:p>
      <w:pPr>
        <w:jc w:val="both"/>
        <w:ind w:left="583" w:right="20" w:hanging="1"/>
        <w:spacing w:after="0" w:line="267" w:lineRule="auto"/>
        <w:tabs>
          <w:tab w:leader="none" w:pos="771" w:val="left"/>
        </w:tabs>
        <w:numPr>
          <w:ilvl w:val="1"/>
          <w:numId w:val="1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6"/>
          <w:szCs w:val="16"/>
          <w:color w:val="auto"/>
        </w:rPr>
      </w:pPr>
    </w:p>
    <w:p>
      <w:pPr>
        <w:ind w:left="3" w:right="20" w:hanging="3"/>
        <w:spacing w:after="0" w:line="281" w:lineRule="auto"/>
        <w:tabs>
          <w:tab w:leader="none" w:pos="17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75" w:lineRule="exact"/>
        <w:rPr>
          <w:rFonts w:ascii="Arial" w:cs="Arial" w:eastAsia="Arial" w:hAnsi="Arial"/>
          <w:sz w:val="16"/>
          <w:szCs w:val="16"/>
          <w:color w:val="auto"/>
        </w:rPr>
      </w:pPr>
    </w:p>
    <w:p>
      <w:pPr>
        <w:ind w:left="583" w:hanging="1"/>
        <w:spacing w:after="0" w:line="281" w:lineRule="auto"/>
        <w:tabs>
          <w:tab w:leader="none" w:pos="75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6"/>
          <w:szCs w:val="16"/>
          <w:color w:val="auto"/>
        </w:rPr>
      </w:pPr>
    </w:p>
    <w:p>
      <w:pPr>
        <w:ind w:left="583" w:right="20" w:hanging="1"/>
        <w:spacing w:after="0" w:line="281" w:lineRule="auto"/>
        <w:tabs>
          <w:tab w:leader="none" w:pos="777" w:val="left"/>
        </w:tabs>
        <w:numPr>
          <w:ilvl w:val="1"/>
          <w:numId w:val="11"/>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5683"/>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472180"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472180" cy="15240"/>
                    </a:xfrm>
                    <a:prstGeom prst="rect">
                      <a:avLst/>
                    </a:prstGeom>
                    <a:noFill/>
                  </pic:spPr>
                </pic:pic>
              </a:graphicData>
            </a:graphic>
          </wp:anchor>
        </w:drawing>
      </w:r>
    </w:p>
    <w:p>
      <w:pPr>
        <w:spacing w:after="0" w:line="14"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Rex S. Schuette</w:t>
      </w:r>
    </w:p>
    <w:p>
      <w:pPr>
        <w:spacing w:after="0" w:line="22"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Executive Vice President and Chief Financial Officer</w:t>
      </w:r>
    </w:p>
    <w:p>
      <w:pPr>
        <w:spacing w:after="0" w:line="10" w:lineRule="exact"/>
        <w:rPr>
          <w:sz w:val="20"/>
          <w:szCs w:val="20"/>
          <w:color w:val="auto"/>
        </w:rPr>
      </w:pPr>
    </w:p>
    <w:p>
      <w:pPr>
        <w:ind w:left="5963"/>
        <w:spacing w:after="0"/>
        <w:rPr>
          <w:sz w:val="20"/>
          <w:szCs w:val="20"/>
          <w:color w:val="auto"/>
        </w:rPr>
      </w:pPr>
      <w:r>
        <w:rPr>
          <w:rFonts w:ascii="Arial" w:cs="Arial" w:eastAsia="Arial" w:hAnsi="Arial"/>
          <w:sz w:val="16"/>
          <w:szCs w:val="16"/>
          <w:color w:val="auto"/>
        </w:rPr>
        <w:t>of the Registrant</w:t>
      </w:r>
    </w:p>
    <w:p>
      <w:pPr>
        <w:spacing w:after="0" w:line="192" w:lineRule="exact"/>
        <w:rPr>
          <w:sz w:val="20"/>
          <w:szCs w:val="20"/>
          <w:color w:val="auto"/>
        </w:rPr>
      </w:pPr>
    </w:p>
    <w:p>
      <w:pPr>
        <w:ind w:left="5683"/>
        <w:spacing w:after="0"/>
        <w:rPr>
          <w:sz w:val="20"/>
          <w:szCs w:val="20"/>
          <w:color w:val="auto"/>
        </w:rPr>
      </w:pPr>
      <w:r>
        <w:rPr>
          <w:rFonts w:ascii="Arial" w:cs="Arial" w:eastAsia="Arial" w:hAnsi="Arial"/>
          <w:sz w:val="16"/>
          <w:szCs w:val="16"/>
          <w:color w:val="auto"/>
        </w:rPr>
        <w:t>Date: 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399415</wp:posOffset>
            </wp:positionV>
            <wp:extent cx="726059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p>
      <w:pPr>
        <w:sectPr>
          <w:pgSz w:w="11900" w:h="16838" w:orient="portrait"/>
          <w:cols w:equalWidth="0" w:num="1">
            <w:col w:w="11443"/>
          </w:cols>
          <w:pgMar w:left="237" w:top="244"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147955</wp:posOffset>
            </wp:positionH>
            <wp:positionV relativeFrom="page">
              <wp:posOffset>88900</wp:posOffset>
            </wp:positionV>
            <wp:extent cx="7280910" cy="177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0910" cy="17780"/>
                    </a:xfrm>
                    <a:prstGeom prst="rect">
                      <a:avLst/>
                    </a:prstGeom>
                    <a:noFill/>
                  </pic:spPr>
                </pic:pic>
              </a:graphicData>
            </a:graphic>
          </wp:anchor>
        </w:drawing>
        <w:t>Exhibit 32</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16" w:lineRule="exact"/>
        <w:rPr>
          <w:sz w:val="20"/>
          <w:szCs w:val="20"/>
          <w:color w:val="auto"/>
        </w:rPr>
      </w:pPr>
    </w:p>
    <w:p>
      <w:pPr>
        <w:jc w:val="both"/>
        <w:ind w:right="20"/>
        <w:spacing w:after="0" w:line="293" w:lineRule="auto"/>
        <w:rPr>
          <w:sz w:val="20"/>
          <w:szCs w:val="20"/>
          <w:color w:val="auto"/>
        </w:rPr>
      </w:pPr>
      <w:r>
        <w:rPr>
          <w:rFonts w:ascii="Arial" w:cs="Arial" w:eastAsia="Arial" w:hAnsi="Arial"/>
          <w:sz w:val="15"/>
          <w:szCs w:val="15"/>
          <w:color w:val="auto"/>
        </w:rPr>
        <w:t>In connection with the Quarterly Report of United Community Banks, Inc. (“United”) on Form 10-Q for the period ending September 30, 2014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169" w:lineRule="exact"/>
        <w:rPr>
          <w:sz w:val="20"/>
          <w:szCs w:val="20"/>
          <w:color w:val="auto"/>
        </w:rPr>
      </w:pPr>
    </w:p>
    <w:p>
      <w:pPr>
        <w:ind w:left="880" w:hanging="301"/>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8" w:lineRule="exact"/>
        <w:rPr>
          <w:rFonts w:ascii="Arial" w:cs="Arial" w:eastAsia="Arial" w:hAnsi="Arial"/>
          <w:sz w:val="16"/>
          <w:szCs w:val="16"/>
          <w:color w:val="auto"/>
        </w:rPr>
      </w:pPr>
    </w:p>
    <w:p>
      <w:pPr>
        <w:ind w:left="880" w:hanging="301"/>
        <w:spacing w:after="0"/>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United.</w:t>
      </w:r>
    </w:p>
    <w:p>
      <w:pPr>
        <w:spacing w:after="0" w:line="228"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14605</wp:posOffset>
            </wp:positionV>
            <wp:extent cx="3472180"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72180" cy="15240"/>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Jimmy C. Tallent</w:t>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President and Chief Executive Officer</w:t>
      </w:r>
    </w:p>
    <w:p>
      <w:pPr>
        <w:spacing w:after="0" w:line="19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3786505</wp:posOffset>
            </wp:positionH>
            <wp:positionV relativeFrom="paragraph">
              <wp:posOffset>14605</wp:posOffset>
            </wp:positionV>
            <wp:extent cx="3472180"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72180" cy="15240"/>
                    </a:xfrm>
                    <a:prstGeom prst="rect">
                      <a:avLst/>
                    </a:prstGeom>
                    <a:noFill/>
                  </pic:spPr>
                </pic:pic>
              </a:graphicData>
            </a:graphic>
          </wp:anchor>
        </w:drawing>
      </w:r>
    </w:p>
    <w:p>
      <w:pPr>
        <w:spacing w:after="0" w:line="14"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Rex S. Schuette</w:t>
      </w:r>
    </w:p>
    <w:p>
      <w:pPr>
        <w:spacing w:after="0" w:line="22"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Executive Vice President and</w:t>
      </w:r>
    </w:p>
    <w:p>
      <w:pPr>
        <w:spacing w:after="0" w:line="10" w:lineRule="exact"/>
        <w:rPr>
          <w:sz w:val="20"/>
          <w:szCs w:val="20"/>
          <w:color w:val="auto"/>
        </w:rPr>
      </w:pPr>
    </w:p>
    <w:p>
      <w:pPr>
        <w:ind w:left="5960"/>
        <w:spacing w:after="0"/>
        <w:rPr>
          <w:sz w:val="20"/>
          <w:szCs w:val="20"/>
          <w:color w:val="auto"/>
        </w:rPr>
      </w:pPr>
      <w:r>
        <w:rPr>
          <w:rFonts w:ascii="Arial" w:cs="Arial" w:eastAsia="Arial" w:hAnsi="Arial"/>
          <w:sz w:val="16"/>
          <w:szCs w:val="16"/>
          <w:color w:val="auto"/>
        </w:rPr>
        <w:t>Chief Financial Officer</w:t>
      </w:r>
    </w:p>
    <w:p>
      <w:pPr>
        <w:spacing w:after="0" w:line="192" w:lineRule="exact"/>
        <w:rPr>
          <w:sz w:val="20"/>
          <w:szCs w:val="20"/>
          <w:color w:val="auto"/>
        </w:rPr>
      </w:pPr>
    </w:p>
    <w:p>
      <w:pPr>
        <w:ind w:left="5680"/>
        <w:spacing w:after="0"/>
        <w:rPr>
          <w:sz w:val="20"/>
          <w:szCs w:val="20"/>
          <w:color w:val="auto"/>
        </w:rPr>
      </w:pPr>
      <w:r>
        <w:rPr>
          <w:rFonts w:ascii="Arial" w:cs="Arial" w:eastAsia="Arial" w:hAnsi="Arial"/>
          <w:sz w:val="16"/>
          <w:szCs w:val="16"/>
          <w:color w:val="auto"/>
        </w:rPr>
        <w:t>Date: November 10,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399415</wp:posOffset>
            </wp:positionV>
            <wp:extent cx="726059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0590" cy="7620"/>
                    </a:xfrm>
                    <a:prstGeom prst="rect">
                      <a:avLst/>
                    </a:prstGeom>
                    <a:noFill/>
                  </pic:spPr>
                </pic:pic>
              </a:graphicData>
            </a:graphic>
          </wp:anchor>
        </w:drawing>
      </w:r>
    </w:p>
    <w:sectPr>
      <w:pgSz w:w="11900" w:h="16838" w:orient="portrait"/>
      <w:cols w:equalWidth="0" w:num="1">
        <w:col w:w="11440"/>
      </w:cols>
      <w:pgMar w:left="240" w:top="24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2019-12-06T03:26:24Z</dcterms:created>
  <dcterms:modified xsi:type="dcterms:W3CDTF">2019-12-06T03:26:24Z</dcterms:modified>
</cp:coreProperties>
</file>